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ind w:left="340" w:hanging="265"/>
        <w:spacing w:after="0" w:line="185" w:lineRule="auto"/>
        <w:tabs>
          <w:tab w:leader="none" w:pos="340" w:val="left"/>
        </w:tabs>
        <w:numPr>
          <w:ilvl w:val="0"/>
          <w:numId w:val="1"/>
        </w:numPr>
        <w:rPr>
          <w:rFonts w:ascii="MS PGothic" w:cs="MS PGothic" w:eastAsia="MS PGothic" w:hAnsi="MS PGothic"/>
          <w:sz w:val="39"/>
          <w:szCs w:val="39"/>
          <w:color w:val="auto"/>
          <w:vertAlign w:val="subscript"/>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December 31, 2024</w:t>
      </w:r>
    </w:p>
    <w:p>
      <w:pPr>
        <w:ind w:left="380" w:hanging="305"/>
        <w:spacing w:after="0" w:line="183" w:lineRule="auto"/>
        <w:tabs>
          <w:tab w:leader="none" w:pos="380" w:val="left"/>
        </w:tabs>
        <w:numPr>
          <w:ilvl w:val="0"/>
          <w:numId w:val="2"/>
        </w:numPr>
        <w:rPr>
          <w:rFonts w:ascii="MS PGothic" w:cs="MS PGothic" w:eastAsia="MS PGothic" w:hAnsi="MS PGothic"/>
          <w:sz w:val="37"/>
          <w:szCs w:val="37"/>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4" w:lineRule="exact"/>
        <w:rPr>
          <w:sz w:val="24"/>
          <w:szCs w:val="24"/>
          <w:color w:val="auto"/>
        </w:rPr>
      </w:pPr>
    </w:p>
    <w:p>
      <w:pPr>
        <w:ind w:left="3980"/>
        <w:spacing w:after="0"/>
        <w:tabs>
          <w:tab w:leader="none" w:pos="61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001-32942</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EVOLUTION PETROLEUM CORPORATION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2306320</wp:posOffset>
            </wp:positionH>
            <wp:positionV relativeFrom="paragraph">
              <wp:posOffset>39370</wp:posOffset>
            </wp:positionV>
            <wp:extent cx="1868805"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20" w:type="dxa"/>
            <w:vAlign w:val="bottom"/>
            <w:gridSpan w:val="2"/>
          </w:tcPr>
          <w:p>
            <w:pPr>
              <w:ind w:left="2260"/>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44"/>
              <w:spacing w:after="0"/>
              <w:rPr>
                <w:sz w:val="20"/>
                <w:szCs w:val="20"/>
                <w:color w:val="auto"/>
              </w:rPr>
            </w:pPr>
            <w:r>
              <w:rPr>
                <w:rFonts w:ascii="Times New Roman" w:cs="Times New Roman" w:eastAsia="Times New Roman" w:hAnsi="Times New Roman"/>
                <w:sz w:val="16"/>
                <w:szCs w:val="16"/>
                <w:b w:val="1"/>
                <w:bCs w:val="1"/>
                <w:color w:val="auto"/>
              </w:rPr>
              <w:t>41-1781991</w:t>
            </w:r>
          </w:p>
        </w:tc>
      </w:tr>
      <w:tr>
        <w:trPr>
          <w:trHeight w:val="203"/>
        </w:trPr>
        <w:tc>
          <w:tcPr>
            <w:tcW w:w="3520" w:type="dxa"/>
            <w:vAlign w:val="bottom"/>
            <w:gridSpan w:val="2"/>
          </w:tcPr>
          <w:p>
            <w:pPr>
              <w:ind w:left="156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44"/>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52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jc w:val="center"/>
              <w:ind w:right="1664"/>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190"/>
        </w:trPr>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1155 Dairy Ashford Road, Suite 425, Houston, Texas 77079</w:t>
            </w:r>
          </w:p>
        </w:tc>
        <w:tc>
          <w:tcPr>
            <w:tcW w:w="3300" w:type="dxa"/>
            <w:vAlign w:val="bottom"/>
          </w:tcPr>
          <w:p>
            <w:pPr>
              <w:spacing w:after="0"/>
              <w:rPr>
                <w:sz w:val="16"/>
                <w:szCs w:val="16"/>
                <w:color w:val="auto"/>
              </w:rPr>
            </w:pPr>
          </w:p>
        </w:tc>
      </w:tr>
      <w:tr>
        <w:trPr>
          <w:trHeight w:val="164"/>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(Address of principal executive offices and zip code)</w:t>
            </w:r>
          </w:p>
        </w:tc>
        <w:tc>
          <w:tcPr>
            <w:tcW w:w="3300" w:type="dxa"/>
            <w:vAlign w:val="bottom"/>
          </w:tcPr>
          <w:p>
            <w:pPr>
              <w:spacing w:after="0"/>
              <w:rPr>
                <w:sz w:val="14"/>
                <w:szCs w:val="14"/>
                <w:color w:val="auto"/>
              </w:rPr>
            </w:pPr>
          </w:p>
        </w:tc>
      </w:tr>
      <w:tr>
        <w:trPr>
          <w:trHeight w:val="173"/>
        </w:trPr>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(713) 935-0122</w:t>
            </w:r>
          </w:p>
        </w:tc>
        <w:tc>
          <w:tcPr>
            <w:tcW w:w="22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164"/>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300" w:type="dxa"/>
            <w:vAlign w:val="bottom"/>
          </w:tcPr>
          <w:p>
            <w:pPr>
              <w:spacing w:after="0"/>
              <w:rPr>
                <w:sz w:val="14"/>
                <w:szCs w:val="14"/>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22"/>
        </w:trPr>
        <w:tc>
          <w:tcPr>
            <w:tcW w:w="3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193"/>
        </w:trPr>
        <w:tc>
          <w:tcPr>
            <w:tcW w:w="35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Common Stock, $0.001 par value</w:t>
            </w:r>
          </w:p>
        </w:tc>
        <w:tc>
          <w:tcPr>
            <w:tcW w:w="34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7"/>
              </w:rPr>
              <w:t>EPM</w:t>
            </w: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NYSE American</w:t>
            </w:r>
          </w:p>
        </w:tc>
      </w:tr>
    </w:tbl>
    <w:p>
      <w:pPr>
        <w:spacing w:after="0" w:line="79"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12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ectPr>
          <w:pgSz w:w="11900" w:h="16838" w:orient="portrait"/>
          <w:cols w:equalWidth="0" w:num="8">
            <w:col w:w="1120" w:space="500"/>
            <w:col w:w="580" w:space="720"/>
            <w:col w:w="840" w:space="380"/>
            <w:col w:w="400" w:space="720"/>
            <w:col w:w="1060" w:space="420"/>
            <w:col w:w="400" w:space="720"/>
            <w:col w:w="1360" w:space="660"/>
            <w:col w:w="340"/>
          </w:cols>
          <w:pgMar w:left="840" w:top="661" w:right="839" w:bottom="1440" w:gutter="0" w:footer="0" w:header="0"/>
          <w:type w:val="continuous"/>
        </w:sectPr>
      </w:pPr>
    </w:p>
    <w:p>
      <w:pPr>
        <w:spacing w:after="0" w:line="16" w:lineRule="exact"/>
        <w:rPr>
          <w:sz w:val="24"/>
          <w:szCs w:val="24"/>
          <w:color w:val="auto"/>
        </w:rPr>
      </w:pPr>
    </w:p>
    <w:p>
      <w:pPr>
        <w:ind w:left="786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3" w:lineRule="exact"/>
        <w:rPr>
          <w:sz w:val="24"/>
          <w:szCs w:val="24"/>
          <w:color w:val="auto"/>
        </w:rPr>
      </w:pPr>
    </w:p>
    <w:p>
      <w:pPr>
        <w:sectPr>
          <w:pgSz w:w="11900" w:h="16838" w:orient="portrait"/>
          <w:cols w:equalWidth="0" w:num="2">
            <w:col w:w="9220" w:space="660"/>
            <w:col w:w="340"/>
          </w:cols>
          <w:pgMar w:left="840" w:top="661" w:right="839" w:bottom="1440" w:gutter="0" w:footer="0" w:header="0"/>
          <w:type w:val="continuous"/>
        </w:sectPr>
      </w:pPr>
    </w:p>
    <w:p>
      <w:pPr>
        <w:spacing w:after="0" w:line="94" w:lineRule="exact"/>
        <w:rPr>
          <w:sz w:val="24"/>
          <w:szCs w:val="24"/>
          <w:color w:val="auto"/>
        </w:rPr>
      </w:pPr>
    </w:p>
    <w:p>
      <w:pPr>
        <w:ind w:right="38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 w:lineRule="exact"/>
        <w:rPr>
          <w:sz w:val="24"/>
          <w:szCs w:val="24"/>
          <w:color w:val="auto"/>
        </w:rPr>
      </w:pPr>
    </w:p>
    <w:p>
      <w:pPr>
        <w:ind w:right="3640"/>
        <w:spacing w:after="0" w:line="19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At February 7, 2025, 34,253,898 shares of the Registrant’s Common Stock, $0.001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610870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190500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233680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15"/>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EVOLUTION PETROLEUM CORPORATION</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80" w:type="dxa"/>
            <w:vAlign w:val="bottom"/>
            <w:gridSpan w:val="10"/>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360" w:type="dxa"/>
            <w:vAlign w:val="bottom"/>
            <w:gridSpan w:val="2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Forward-Looking Statements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r>
              <w:rPr>
                <w:rFonts w:ascii="Times New Roman" w:cs="Times New Roman" w:eastAsia="Times New Roman" w:hAnsi="Times New Roman"/>
                <w:sz w:val="18"/>
                <w:szCs w:val="18"/>
                <w:b w:val="1"/>
                <w:bCs w:val="1"/>
                <w:color w:val="000000"/>
              </w:rPr>
              <w:t>.</w:t>
            </w: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(Unaudited) as of December 31, 2024 and June 30, 2024</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and six months ended</w:t>
            </w: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December 31, 2024 and 2023</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40" w:type="dxa"/>
            <w:vAlign w:val="bottom"/>
            <w:tcBorders>
              <w:bottom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six months ended December</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31, 2024 and 2023</w:t>
            </w:r>
          </w:p>
        </w:tc>
        <w:tc>
          <w:tcPr>
            <w:tcW w:w="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38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for the three and</w:t>
            </w:r>
          </w:p>
        </w:tc>
        <w:tc>
          <w:tcPr>
            <w:tcW w:w="5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440" w:type="dxa"/>
            <w:vAlign w:val="bottom"/>
            <w:tcBorders>
              <w:bottom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six months ended December 31, 2024 and 2023</w:t>
            </w:r>
          </w:p>
        </w:tc>
        <w:tc>
          <w:tcPr>
            <w:tcW w:w="3940" w:type="dxa"/>
            <w:vAlign w:val="bottom"/>
            <w:tcBorders>
              <w:bottom w:val="single" w:sz="8" w:color="CCEEFF"/>
            </w:tcBorders>
            <w:gridSpan w:val="9"/>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60" w:type="dxa"/>
            <w:vAlign w:val="bottom"/>
            <w:gridSpan w:val="26"/>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 w:right="5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We use the terms, “EPM,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 refer to Evolution Petroleum Corporation, and unless the context otherwise requires,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This Form 10-Q and the information referenced herein contains forward-looking statements within the meaning of the Private Securities Litigations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w:t>
      </w:r>
    </w:p>
    <w:p>
      <w:pPr>
        <w:spacing w:after="0" w:line="192" w:lineRule="exact"/>
        <w:rPr>
          <w:sz w:val="20"/>
          <w:szCs w:val="20"/>
          <w:color w:val="auto"/>
        </w:rPr>
      </w:pPr>
    </w:p>
    <w:p>
      <w:pPr>
        <w:ind w:left="1040" w:right="319" w:hanging="315"/>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plans, strategies and objectives, including anticipated development activity and capital spending;</w:t>
      </w:r>
    </w:p>
    <w:p>
      <w:pPr>
        <w:ind w:left="1040" w:right="79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capital structure, anticipated sources of funding, growth in long-term shareholder value and ability to preserve balance sheet strength;</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future acquisitions and the need for additional capital to complete future acquisitions;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our multi-basin portfolio, including operational and commodity flexibility;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cash flow and the application of excess cash flows to pay dividends;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oil, natural gas and NGLs production and commodity mix;</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oil, natural gas and NGL prices;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drilling and completions activity;</w:t>
      </w:r>
    </w:p>
    <w:p>
      <w:pPr>
        <w:spacing w:after="0" w:line="9" w:lineRule="exact"/>
        <w:rPr>
          <w:rFonts w:ascii="Times New Roman" w:cs="Times New Roman" w:eastAsia="Times New Roman" w:hAnsi="Times New Roman"/>
          <w:sz w:val="18"/>
          <w:szCs w:val="18"/>
          <w:color w:val="auto"/>
        </w:rPr>
      </w:pPr>
    </w:p>
    <w:p>
      <w:pPr>
        <w:ind w:left="1040" w:right="23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operational risks, including accidents, equipment failures, fires, and leaks of toxic or hazardous materials;</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oil, natural gas and NGL reserves and recoverable quantities;</w:t>
      </w:r>
    </w:p>
    <w:p>
      <w:pPr>
        <w:spacing w:after="0" w:line="9" w:lineRule="exact"/>
        <w:rPr>
          <w:rFonts w:ascii="Times New Roman" w:cs="Times New Roman" w:eastAsia="Times New Roman" w:hAnsi="Times New Roman"/>
          <w:sz w:val="18"/>
          <w:szCs w:val="18"/>
          <w:color w:val="auto"/>
        </w:rPr>
      </w:pPr>
    </w:p>
    <w:p>
      <w:pPr>
        <w:ind w:left="1040" w:right="33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credit facilities and other sources of liquidity to meet financial obligations throughout commodity price cycles;</w:t>
      </w:r>
    </w:p>
    <w:p>
      <w:pPr>
        <w:ind w:left="1040" w:right="6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obtain funding based on environmental, social, and corporate governance (“ESG”) performance;</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interest expense;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debt and financial ratios, finance growth and comply with financial covenants;</w:t>
      </w:r>
    </w:p>
    <w:p>
      <w:pPr>
        <w:spacing w:after="0" w:line="9" w:lineRule="exact"/>
        <w:rPr>
          <w:rFonts w:ascii="Times New Roman" w:cs="Times New Roman" w:eastAsia="Times New Roman" w:hAnsi="Times New Roman"/>
          <w:sz w:val="18"/>
          <w:szCs w:val="18"/>
          <w:color w:val="auto"/>
        </w:rPr>
      </w:pPr>
    </w:p>
    <w:p>
      <w:pPr>
        <w:ind w:left="1040" w:right="1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and outcomes of risk management programs, including exposure to commodity price and interest rate fluctuations, the volume of oil and natural gas production hedged, and the markets or physical sales locations hedged;</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federal, state, provincial and local, rules and regulations;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compliance with current or proposed environmental requirements, including the costs thereof;</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greenhouse gas (“GHG”) emissions limitations and renewable energy incentives;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provisions for abandonment and site reclamation costs;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financial flexibility, discipline and ability to respond to evolving market conditions;</w:t>
      </w:r>
    </w:p>
    <w:p>
      <w:pPr>
        <w:spacing w:after="0" w:line="9" w:lineRule="exact"/>
        <w:rPr>
          <w:rFonts w:ascii="Times New Roman" w:cs="Times New Roman" w:eastAsia="Times New Roman" w:hAnsi="Times New Roman"/>
          <w:sz w:val="18"/>
          <w:szCs w:val="18"/>
          <w:color w:val="auto"/>
        </w:rPr>
      </w:pPr>
    </w:p>
    <w:p>
      <w:pPr>
        <w:ind w:left="1040" w:right="2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future dividends and any anticipated repurchase of our outstanding common shares;</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provision for taxes and legal claims;</w:t>
      </w:r>
    </w:p>
    <w:p>
      <w:pPr>
        <w:spacing w:after="0" w:line="9" w:lineRule="exact"/>
        <w:rPr>
          <w:rFonts w:ascii="Times New Roman" w:cs="Times New Roman" w:eastAsia="Times New Roman" w:hAnsi="Times New Roman"/>
          <w:sz w:val="18"/>
          <w:szCs w:val="18"/>
          <w:color w:val="auto"/>
        </w:rPr>
      </w:pPr>
    </w:p>
    <w:p>
      <w:pPr>
        <w:ind w:left="1040" w:right="115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cost inflation and expected cost structures, including expected operating, transportation, processing and labor expenses;</w:t>
      </w:r>
    </w:p>
    <w:p>
      <w:pPr>
        <w:ind w:left="1040" w:right="5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competitiveness relative to our peers, including with respect to capital, materials, people, assets and production;</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NGL inventories and global demand for oil, natural gas and NGLs;</w:t>
      </w:r>
    </w:p>
    <w:p>
      <w:pPr>
        <w:spacing w:after="0" w:line="9" w:lineRule="exact"/>
        <w:rPr>
          <w:rFonts w:ascii="Times New Roman" w:cs="Times New Roman" w:eastAsia="Times New Roman" w:hAnsi="Times New Roman"/>
          <w:sz w:val="18"/>
          <w:szCs w:val="18"/>
          <w:color w:val="auto"/>
        </w:rPr>
      </w:pPr>
    </w:p>
    <w:p>
      <w:pPr>
        <w:ind w:left="1040" w:right="25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the oil and natural gas industry generally, including impacts from changes to the geopolitical environment;</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events;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staffing levels;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99" w:hanging="315"/>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payments related to our commitments, obligations and contingencies, and the ability to satisfy the same; and</w:t>
      </w: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accounting and tax pronouncements, rule changes and standards.</w:t>
      </w:r>
    </w:p>
    <w:p>
      <w:pPr>
        <w:spacing w:after="0" w:line="20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w:t>
      </w:r>
    </w:p>
    <w:p>
      <w:pPr>
        <w:spacing w:after="0" w:line="180"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commodity prices and basis differentials;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credit facilities and shelf prospectuses;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contained in our corporate guidance;</w:t>
      </w:r>
    </w:p>
    <w:p>
      <w:pPr>
        <w:spacing w:after="0" w:line="9" w:lineRule="exact"/>
        <w:rPr>
          <w:rFonts w:ascii="Times New Roman" w:cs="Times New Roman" w:eastAsia="Times New Roman" w:hAnsi="Times New Roman"/>
          <w:sz w:val="18"/>
          <w:szCs w:val="18"/>
          <w:color w:val="auto"/>
        </w:rPr>
      </w:pPr>
    </w:p>
    <w:p>
      <w:pPr>
        <w:ind w:left="1040" w:right="619" w:hanging="315"/>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commodity or financial hedges and the enforceability of risk management programs;</w:t>
      </w:r>
    </w:p>
    <w:p>
      <w:pPr>
        <w:ind w:left="1040" w:right="179" w:hanging="315"/>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counterparties will fulfill their obligations pursuant to gathering, processing, transportation and marketing agreements;</w:t>
      </w: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adequate gathering, transportation, processing and storage facilities;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tax, royalty and regulatory regimes;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and projections made in light of, and generally consistent with, our historical experience and our perception of historical industry trends; and</w:t>
      </w: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assumptions contained herein.</w:t>
      </w:r>
    </w:p>
    <w:p>
      <w:pPr>
        <w:spacing w:after="0" w:line="20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operating risks and other risk factors as described under the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section of our previously filed Annual Report on Form 10-K for the fiscal year ended June 30, 2024,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other disclosures contained herein, therein, and as also may be described from time to time in future reports we file with the Securities and Exchange Commission. There also may be other factors that we cannot anticipate or that are not described in this report, generally because we do not currently perceive them to be material. Such factors could cause results to differ materially from our expectations.</w:t>
      </w:r>
    </w:p>
    <w:p>
      <w:pPr>
        <w:spacing w:after="0" w:line="188"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to update these statements other than as required by law. Readers are advised, however, to review any further disclosures we make on related subjects in our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left="1520" w:right="1800"/>
        <w:spacing w:after="0" w:line="393" w:lineRule="auto"/>
        <w:rPr>
          <w:sz w:val="20"/>
          <w:szCs w:val="20"/>
          <w:color w:val="auto"/>
        </w:rPr>
      </w:pPr>
      <w:r>
        <w:rPr>
          <w:rFonts w:ascii="Times New Roman" w:cs="Times New Roman" w:eastAsia="Times New Roman" w:hAnsi="Times New Roman"/>
          <w:sz w:val="18"/>
          <w:szCs w:val="18"/>
          <w:b w:val="1"/>
          <w:bCs w:val="1"/>
          <w:color w:val="auto"/>
        </w:rPr>
        <w:t>EVOLUTION PETROLEUM CORPORATION CONDENSED CONSOLIDATED BALANCE SHEETS (Unaudited) (In thousands, except share and per share amounts)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9"/>
        </w:trPr>
        <w:tc>
          <w:tcPr>
            <w:tcW w:w="5660" w:type="dxa"/>
            <w:vAlign w:val="bottom"/>
            <w:tcBorders>
              <w:top w:val="single" w:sz="8" w:color="CCEEFF"/>
            </w:tcBorders>
            <w:shd w:val="clear" w:color="auto" w:fill="CCEEFF"/>
          </w:tcPr>
          <w:p>
            <w:pPr>
              <w:ind w:left="24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Receivables from crude oil, natural gas, and natural gas liquids revenues</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10,826</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contract assets</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03"/>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3,855</w:t>
            </w:r>
          </w:p>
        </w:tc>
      </w:tr>
      <w:tr>
        <w:trPr>
          <w:trHeight w:val="196"/>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26,987</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21,723</w:t>
            </w: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depletion, depreciation, and impairment</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Oil and natural gas properties, net—full-cost method of accounting, of which</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none were excluded from amortization</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139,685</w:t>
            </w:r>
          </w:p>
        </w:tc>
      </w:tr>
      <w:tr>
        <w:trPr>
          <w:trHeight w:val="202"/>
        </w:trPr>
        <w:tc>
          <w:tcPr>
            <w:tcW w:w="5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contract assets</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r>
      <w:tr>
        <w:trPr>
          <w:trHeight w:val="23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160,217</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162,877</w:t>
            </w:r>
          </w:p>
        </w:tc>
      </w:tr>
      <w:tr>
        <w:trPr>
          <w:trHeight w:val="183"/>
        </w:trPr>
        <w:tc>
          <w:tcPr>
            <w:tcW w:w="5660" w:type="dxa"/>
            <w:vAlign w:val="bottom"/>
            <w:shd w:val="clear" w:color="auto" w:fill="CCEEFF"/>
          </w:tcPr>
          <w:p>
            <w:pPr>
              <w:ind w:left="14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8,308</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6,239</w:t>
            </w:r>
          </w:p>
        </w:tc>
      </w:tr>
      <w:tr>
        <w:trPr>
          <w:trHeight w:val="202"/>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contract liabilities</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State and federal taxes payable</w:t>
            </w:r>
          </w:p>
        </w:tc>
        <w:tc>
          <w:tcPr>
            <w:tcW w:w="80" w:type="dxa"/>
            <w:vAlign w:val="bottom"/>
          </w:tcPr>
          <w:p>
            <w:pPr>
              <w:spacing w:after="0"/>
              <w:rPr>
                <w:sz w:val="17"/>
                <w:szCs w:val="17"/>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196"/>
        </w:trPr>
        <w:tc>
          <w:tcPr>
            <w:tcW w:w="56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16,459</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15,813</w:t>
            </w: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liabilities</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39,500</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19,209</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contract liabilities</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96"/>
        </w:trPr>
        <w:tc>
          <w:tcPr>
            <w:tcW w:w="5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83,915</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81,750</w:t>
            </w:r>
          </w:p>
        </w:tc>
      </w:tr>
      <w:tr>
        <w:trPr>
          <w:trHeight w:val="19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par value $0.001; 100,000,000 shares authorized: issued and</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 34,076,846 and 33,339,535 shares as of December 31, 2024</w:t>
            </w: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June 30, 2024, respectively</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41,091</w:t>
            </w:r>
          </w:p>
        </w:tc>
      </w:tr>
      <w:tr>
        <w:trPr>
          <w:trHeight w:val="202"/>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32,128</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40,003</w:t>
            </w:r>
          </w:p>
        </w:tc>
      </w:tr>
      <w:tr>
        <w:trPr>
          <w:trHeight w:val="196"/>
        </w:trPr>
        <w:tc>
          <w:tcPr>
            <w:tcW w:w="5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76,302</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81,127</w:t>
            </w:r>
          </w:p>
        </w:tc>
      </w:tr>
      <w:tr>
        <w:trPr>
          <w:trHeight w:val="196"/>
        </w:trPr>
        <w:tc>
          <w:tcPr>
            <w:tcW w:w="5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160,217</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162,877</w:t>
            </w:r>
          </w:p>
        </w:tc>
      </w:tr>
      <w:tr>
        <w:trPr>
          <w:trHeight w:val="20"/>
        </w:trPr>
        <w:tc>
          <w:tcPr>
            <w:tcW w:w="5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260"/>
        <w:spacing w:after="0" w:line="393" w:lineRule="auto"/>
        <w:rPr>
          <w:sz w:val="20"/>
          <w:szCs w:val="20"/>
          <w:color w:val="auto"/>
        </w:rPr>
      </w:pPr>
      <w:r>
        <w:rPr>
          <w:rFonts w:ascii="Times New Roman" w:cs="Times New Roman" w:eastAsia="Times New Roman" w:hAnsi="Times New Roman"/>
          <w:sz w:val="18"/>
          <w:szCs w:val="18"/>
          <w:b w:val="1"/>
          <w:bCs w:val="1"/>
          <w:color w:val="auto"/>
        </w:rPr>
        <w:t>EVOLUTION PETROLEUM CORPORATION CONDENSED CONSOLIDATED STATEMENTS OF OPERATIONS (Unaudited) (In thousands, except per share amounts)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202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5"/>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tcPr>
          <w:p>
            <w:pPr>
              <w:spacing w:after="0"/>
              <w:rPr>
                <w:sz w:val="18"/>
                <w:szCs w:val="18"/>
                <w:color w:val="auto"/>
              </w:rPr>
            </w:pPr>
          </w:p>
        </w:tc>
      </w:tr>
      <w:tr>
        <w:trPr>
          <w:trHeight w:val="199"/>
        </w:trPr>
        <w:tc>
          <w:tcPr>
            <w:tcW w:w="45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3"/>
              </w:rPr>
              <w:t>2023</w:t>
            </w:r>
          </w:p>
        </w:tc>
      </w:tr>
      <w:tr>
        <w:trPr>
          <w:trHeight w:val="19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4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Crude oil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11,763</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11,759</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w:t>
            </w:r>
          </w:p>
        </w:tc>
        <w:tc>
          <w:tcPr>
            <w:tcW w:w="26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24,375</w:t>
            </w: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Natural gas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10,078</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12,083</w:t>
            </w:r>
          </w:p>
        </w:tc>
      </w:tr>
      <w:tr>
        <w:trPr>
          <w:trHeight w:val="203"/>
        </w:trPr>
        <w:tc>
          <w:tcPr>
            <w:tcW w:w="4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Natural gas liquids</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5,167</w:t>
            </w:r>
          </w:p>
        </w:tc>
      </w:tr>
      <w:tr>
        <w:trPr>
          <w:trHeight w:val="19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42,171</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41,625</w:t>
            </w:r>
          </w:p>
        </w:tc>
      </w:tr>
      <w:tr>
        <w:trPr>
          <w:trHeight w:val="20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costs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operating costs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24,583</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24,241</w:t>
            </w:r>
          </w:p>
        </w:tc>
      </w:tr>
      <w:tr>
        <w:trPr>
          <w:trHeight w:val="203"/>
        </w:trPr>
        <w:tc>
          <w:tcPr>
            <w:tcW w:w="4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Depletion, depreciation, and accretion</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8,860</w:t>
            </w: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5,181</w:t>
            </w:r>
          </w:p>
        </w:tc>
        <w:tc>
          <w:tcPr>
            <w:tcW w:w="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r>
      <w:tr>
        <w:trPr>
          <w:trHeight w:val="196"/>
        </w:trPr>
        <w:tc>
          <w:tcPr>
            <w:tcW w:w="45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operating costs</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20,880</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19,458</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40,922</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38,206</w:t>
            </w:r>
          </w:p>
        </w:tc>
      </w:tr>
      <w:tr>
        <w:trPr>
          <w:trHeight w:val="19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r>
      <w:tr>
        <w:trPr>
          <w:trHeight w:val="20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gain (loss) on derivative contracts</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(1,219)</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(764)</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(1,587)</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19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w:t>
            </w:r>
          </w:p>
        </w:tc>
      </w:tr>
      <w:tr>
        <w:trPr>
          <w:trHeight w:val="20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(554)</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(110)</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r>
      <w:tr>
        <w:trPr>
          <w:trHeight w:val="236"/>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2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6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w:t>
            </w:r>
          </w:p>
        </w:tc>
      </w:tr>
      <w:tr>
        <w:trPr>
          <w:trHeight w:val="183"/>
        </w:trPr>
        <w:tc>
          <w:tcPr>
            <w:tcW w:w="45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Net income (loss) per common share:</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03"/>
        </w:trPr>
        <w:tc>
          <w:tcPr>
            <w:tcW w:w="4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0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32,828</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32,676</w:t>
            </w:r>
          </w:p>
        </w:tc>
      </w:tr>
      <w:tr>
        <w:trPr>
          <w:trHeight w:val="210"/>
        </w:trPr>
        <w:tc>
          <w:tcPr>
            <w:tcW w:w="4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32,940</w:t>
            </w:r>
          </w:p>
        </w:tc>
      </w:tr>
    </w:tbl>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60"/>
        <w:spacing w:after="0" w:line="393" w:lineRule="auto"/>
        <w:rPr>
          <w:sz w:val="20"/>
          <w:szCs w:val="20"/>
          <w:color w:val="auto"/>
        </w:rPr>
      </w:pPr>
      <w:r>
        <w:rPr>
          <w:rFonts w:ascii="Times New Roman" w:cs="Times New Roman" w:eastAsia="Times New Roman" w:hAnsi="Times New Roman"/>
          <w:sz w:val="18"/>
          <w:szCs w:val="18"/>
          <w:b w:val="1"/>
          <w:bCs w:val="1"/>
          <w:color w:val="auto"/>
        </w:rPr>
        <w:t>EVOLUTION PETROLEUM CORPORATION CONDENSED CONSOLIDATED STATEMENTS OF CASH FLOWS (Unaudited) (In thousands)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5"/>
        </w:trPr>
        <w:tc>
          <w:tcPr>
            <w:tcW w:w="7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9"/>
        </w:trPr>
        <w:tc>
          <w:tcPr>
            <w:tcW w:w="76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3"/>
        </w:trPr>
        <w:tc>
          <w:tcPr>
            <w:tcW w:w="7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w:t>
            </w:r>
          </w:p>
        </w:tc>
      </w:tr>
      <w:tr>
        <w:trPr>
          <w:trHeight w:val="203"/>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Depletion, depreciation, and accretion</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11,158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8,860</w:t>
            </w:r>
          </w:p>
        </w:tc>
      </w:tr>
      <w:tr>
        <w:trPr>
          <w:trHeight w:val="202"/>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Settlement of asset retirement obligations</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Unrealized (gain) loss on derivative contracts</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settlements on derivative contracts</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3"/>
        </w:trPr>
        <w:tc>
          <w:tcPr>
            <w:tcW w:w="7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Receivables from crude oil, natural gas, and natural gas liquids revenues</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w:t>
            </w:r>
          </w:p>
        </w:tc>
      </w:tr>
      <w:tr>
        <w:trPr>
          <w:trHeight w:val="203"/>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03"/>
        </w:trPr>
        <w:tc>
          <w:tcPr>
            <w:tcW w:w="7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 accrued liabilities and other</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w:t>
            </w:r>
          </w:p>
        </w:tc>
      </w:tr>
      <w:tr>
        <w:trPr>
          <w:trHeight w:val="203"/>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State and federal taxes payable</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196"/>
        </w:trPr>
        <w:tc>
          <w:tcPr>
            <w:tcW w:w="76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15,333</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11,378</w:t>
            </w:r>
          </w:p>
        </w:tc>
      </w:tr>
      <w:tr>
        <w:trPr>
          <w:trHeight w:val="19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oil and natural gas properties</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 expenditures for oil and natural gas properties</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(3,498)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w:t>
            </w:r>
          </w:p>
        </w:tc>
      </w:tr>
      <w:tr>
        <w:trPr>
          <w:trHeight w:val="196"/>
        </w:trPr>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(5,705)</w:t>
            </w:r>
          </w:p>
        </w:tc>
      </w:tr>
      <w:tr>
        <w:trPr>
          <w:trHeight w:val="19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dividends paid</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(8,115)</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(8,034)</w:t>
            </w: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repurchases, including stock surrendered for tax withholding</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Offering costs</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(8,247)</w:t>
            </w:r>
          </w:p>
        </w:tc>
      </w:tr>
      <w:tr>
        <w:trPr>
          <w:trHeight w:val="196"/>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w:t>
            </w:r>
          </w:p>
        </w:tc>
      </w:tr>
      <w:tr>
        <w:trPr>
          <w:trHeight w:val="202"/>
        </w:trPr>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6,446</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11,034</w:t>
            </w:r>
          </w:p>
        </w:tc>
      </w:tr>
      <w:tr>
        <w:trPr>
          <w:trHeight w:val="196"/>
        </w:trPr>
        <w:tc>
          <w:tcPr>
            <w:tcW w:w="7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11,667</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8,460</w:t>
            </w:r>
          </w:p>
        </w:tc>
      </w:tr>
      <w:tr>
        <w:trPr>
          <w:trHeight w:val="20"/>
        </w:trPr>
        <w:tc>
          <w:tcPr>
            <w:tcW w:w="7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3"/>
        </w:trPr>
        <w:tc>
          <w:tcPr>
            <w:tcW w:w="7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(decrease) in accrued capital expenditures for oil and natural gas properties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0"/>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Oil and natural gas property costs attributable to the recognition (derecognition) of asset retirement obligations</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8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3"/>
                <w:szCs w:val="13"/>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 2024</w:t>
            </w:r>
          </w:p>
        </w:tc>
        <w:tc>
          <w:tcPr>
            <w:tcW w:w="88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Par Value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7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20" w:type="dxa"/>
            <w:vAlign w:val="bottom"/>
            <w:vMerge w:val="continue"/>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September 30, 2024</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33,607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41,561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38,035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79,630</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Forfeitures of restricted stock</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7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2,259</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Offering costs</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659</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(1,825)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(1,825)</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(4,082)</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(4,082)</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December 31, 2024</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34,077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44,140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32,128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76,302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Six Months Ended December 31, 2024</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June 30, 2024</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33,340</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41,091</w:t>
            </w: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40,003</w:t>
            </w:r>
          </w:p>
        </w:tc>
        <w:tc>
          <w:tcPr>
            <w:tcW w:w="1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81,127</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Forfeitures of restricted stock</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(191)</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2,259</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Offering costs</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(8,115)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(8,115)</w:t>
            </w:r>
          </w:p>
        </w:tc>
        <w:tc>
          <w:tcPr>
            <w:tcW w:w="0" w:type="dxa"/>
            <w:vAlign w:val="bottom"/>
          </w:tcPr>
          <w:p>
            <w:pPr>
              <w:spacing w:after="0"/>
              <w:rPr>
                <w:sz w:val="1"/>
                <w:szCs w:val="1"/>
                <w:color w:val="auto"/>
              </w:rPr>
            </w:pPr>
          </w:p>
        </w:tc>
      </w:tr>
      <w:tr>
        <w:trPr>
          <w:trHeight w:val="182"/>
        </w:trPr>
        <w:tc>
          <w:tcPr>
            <w:tcW w:w="32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December 31, 2024</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34,077</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44,140</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32,128</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76,302</w:t>
            </w:r>
          </w:p>
        </w:tc>
        <w:tc>
          <w:tcPr>
            <w:tcW w:w="0" w:type="dxa"/>
            <w:vAlign w:val="bottom"/>
          </w:tcPr>
          <w:p>
            <w:pPr>
              <w:spacing w:after="0"/>
              <w:rPr>
                <w:sz w:val="1"/>
                <w:szCs w:val="1"/>
                <w:color w:val="auto"/>
              </w:rPr>
            </w:pPr>
          </w:p>
        </w:tc>
      </w:tr>
      <w:tr>
        <w:trPr>
          <w:trHeight w:val="129"/>
        </w:trPr>
        <w:tc>
          <w:tcPr>
            <w:tcW w:w="3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 December 31, 2023</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September 30, 2022</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33,440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40,465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89,922</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(4,021)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(4,021)</w:t>
            </w:r>
          </w:p>
        </w:tc>
        <w:tc>
          <w:tcPr>
            <w:tcW w:w="0" w:type="dxa"/>
            <w:vAlign w:val="bottom"/>
          </w:tcPr>
          <w:p>
            <w:pPr>
              <w:spacing w:after="0"/>
              <w:rPr>
                <w:sz w:val="1"/>
                <w:szCs w:val="1"/>
                <w:color w:val="auto"/>
              </w:rPr>
            </w:pPr>
          </w:p>
        </w:tc>
      </w:tr>
      <w:tr>
        <w:trPr>
          <w:trHeight w:val="182"/>
        </w:trPr>
        <w:tc>
          <w:tcPr>
            <w:tcW w:w="32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December 31, 2023</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33,507</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40,920</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46,485</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87,439</w:t>
            </w:r>
          </w:p>
        </w:tc>
        <w:tc>
          <w:tcPr>
            <w:tcW w:w="0" w:type="dxa"/>
            <w:vAlign w:val="bottom"/>
          </w:tcPr>
          <w:p>
            <w:pPr>
              <w:spacing w:after="0"/>
              <w:rPr>
                <w:sz w:val="1"/>
                <w:szCs w:val="1"/>
                <w:color w:val="auto"/>
              </w:rPr>
            </w:pPr>
          </w:p>
        </w:tc>
      </w:tr>
      <w:tr>
        <w:trPr>
          <w:trHeight w:val="129"/>
        </w:trPr>
        <w:tc>
          <w:tcPr>
            <w:tcW w:w="3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Six Months Ended December 31, 2023</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June 30, 2023</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33,248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51,963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92,094</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(213)</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(8,034)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(8,034)</w:t>
            </w:r>
          </w:p>
        </w:tc>
        <w:tc>
          <w:tcPr>
            <w:tcW w:w="0" w:type="dxa"/>
            <w:vAlign w:val="bottom"/>
          </w:tcPr>
          <w:p>
            <w:pPr>
              <w:spacing w:after="0"/>
              <w:rPr>
                <w:sz w:val="1"/>
                <w:szCs w:val="1"/>
                <w:color w:val="auto"/>
              </w:rPr>
            </w:pPr>
          </w:p>
        </w:tc>
      </w:tr>
      <w:tr>
        <w:trPr>
          <w:trHeight w:val="142"/>
        </w:trPr>
        <w:tc>
          <w:tcPr>
            <w:tcW w:w="32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December 31, 2023</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33,507</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40,920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46,485</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87,439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Financial Statement Presentation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Operations. </w:t>
      </w:r>
      <w:r>
        <w:rPr>
          <w:rFonts w:ascii="Times New Roman" w:cs="Times New Roman" w:eastAsia="Times New Roman" w:hAnsi="Times New Roman"/>
          <w:sz w:val="18"/>
          <w:szCs w:val="18"/>
          <w:color w:val="auto"/>
        </w:rPr>
        <w:t>Evolution Petroleum Corporation (“Evolution,” and together with its consolidated subsidiaries,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an independent energy company focused on maximizing 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opportunities, production enhancement, and other exploitation efforts on its oil and natural gas properties.</w:t>
      </w:r>
    </w:p>
    <w:p>
      <w:pPr>
        <w:spacing w:after="0" w:line="186" w:lineRule="exact"/>
        <w:rPr>
          <w:sz w:val="20"/>
          <w:szCs w:val="20"/>
          <w:color w:val="auto"/>
        </w:rPr>
      </w:pPr>
    </w:p>
    <w:p>
      <w:pPr>
        <w:ind w:left="60" w:right="79"/>
        <w:spacing w:after="0" w:line="241" w:lineRule="auto"/>
        <w:rPr>
          <w:sz w:val="20"/>
          <w:szCs w:val="20"/>
          <w:color w:val="auto"/>
        </w:rPr>
      </w:pPr>
      <w:r>
        <w:rPr>
          <w:rFonts w:ascii="Times New Roman" w:cs="Times New Roman" w:eastAsia="Times New Roman" w:hAnsi="Times New Roman"/>
          <w:sz w:val="18"/>
          <w:szCs w:val="18"/>
          <w:color w:val="auto"/>
        </w:rPr>
        <w:t xml:space="preserve">The Company’s oil and natural gas properties consist of non-operated interests in </w:t>
      </w:r>
      <w:r>
        <w:rPr>
          <w:rFonts w:ascii="Times New Roman" w:cs="Times New Roman" w:eastAsia="Times New Roman" w:hAnsi="Times New Roman"/>
          <w:sz w:val="18"/>
          <w:szCs w:val="18"/>
          <w:color w:val="333333"/>
        </w:rPr>
        <w:t>the following areas: the SCOOP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STACK plays of the Anadarko Basin located in central Oklahoma; </w:t>
      </w:r>
      <w:r>
        <w:rPr>
          <w:rFonts w:ascii="Times New Roman" w:cs="Times New Roman" w:eastAsia="Times New Roman" w:hAnsi="Times New Roman"/>
          <w:sz w:val="18"/>
          <w:szCs w:val="18"/>
          <w:color w:val="000000"/>
        </w:rPr>
        <w:t>the Chaveroo oilfield in Chaves and Roosevelt Counties</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 xml:space="preserve">of New Mexico; the </w:t>
      </w:r>
      <w:r>
        <w:rPr>
          <w:rFonts w:ascii="Times New Roman" w:cs="Times New Roman" w:eastAsia="Times New Roman" w:hAnsi="Times New Roman"/>
          <w:sz w:val="18"/>
          <w:szCs w:val="18"/>
          <w:color w:val="333333"/>
        </w:rPr>
        <w:t>Jonah</w:t>
      </w:r>
      <w:r>
        <w:rPr>
          <w:rFonts w:ascii="Times New Roman" w:cs="Times New Roman" w:eastAsia="Times New Roman" w:hAnsi="Times New Roman"/>
          <w:sz w:val="18"/>
          <w:szCs w:val="18"/>
          <w:color w:val="000000"/>
        </w:rPr>
        <w:t xml:space="preserve"> Field in Sublette County, Wyoming; the Williston Basin in North Dakota; the Barnett Shale located in North Texas; the Hamilton Dome Field located in Hot Springs County, Wyoming, a secondary recovery field utilizing water injection wells to pressurize the reservoir; the Delhi Holt-Bryant Unit in the Delhi Field in Northeast Louisiana, a CO</w:t>
      </w:r>
      <w:r>
        <w:rPr>
          <w:rFonts w:ascii="Times New Roman" w:cs="Times New Roman" w:eastAsia="Times New Roman" w:hAnsi="Times New Roman"/>
          <w:sz w:val="26"/>
          <w:szCs w:val="26"/>
          <w:color w:val="000000"/>
          <w:vertAlign w:val="subscript"/>
        </w:rPr>
        <w:t>2</w:t>
      </w:r>
      <w:r>
        <w:rPr>
          <w:rFonts w:ascii="Times New Roman" w:cs="Times New Roman" w:eastAsia="Times New Roman" w:hAnsi="Times New Roman"/>
          <w:sz w:val="18"/>
          <w:szCs w:val="18"/>
          <w:color w:val="000000"/>
        </w:rPr>
        <w:t xml:space="preserve"> enhanced oil recovery project; as well as small overriding royalty interests in four onshore Texas wells.</w:t>
      </w:r>
    </w:p>
    <w:p>
      <w:pPr>
        <w:spacing w:after="0" w:line="18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Interim Financial Statements. </w:t>
      </w:r>
      <w:r>
        <w:rPr>
          <w:rFonts w:ascii="Times New Roman" w:cs="Times New Roman" w:eastAsia="Times New Roman" w:hAnsi="Times New Roman"/>
          <w:sz w:val="18"/>
          <w:szCs w:val="18"/>
          <w:color w:val="auto"/>
        </w:rPr>
        <w:t>The accompanying unaudited condensed consolidated financial statements have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prepared in accordance with generally accepted accounting principles in the United States of America (“GAAP”) for interim financial information and the appropriate rules and regulations of the Securities and Exchange Commission (“SEC”). Accordingly, certain information and footnote disclosures normally included in financial statements prepared in accordance with GAAP have been condensed or omitted pursuant to such rules and regulations. All adjustments (consisting of normal recurring accruals) which are, in the opinion of management, necessary for a fair presentation of the financial position and results of operations for the interim periods presented have been included. The interim financial information and notes hereto should be read in conjunction with the Company’s 2024 Annual Report on Form 10-K for the fiscal year ended June 30, 2024, as filed with the SEC on September 11, 2024. The results of operations for interim periods are not necessarily indicative of results to be expected for a full fiscal year. The Company has evaluated events and transactions through the date of issuance of these unaudited condensed consolidated financial statements.</w:t>
      </w:r>
    </w:p>
    <w:p>
      <w:pPr>
        <w:spacing w:after="0" w:line="182"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and Reporting. </w:t>
      </w:r>
      <w:r>
        <w:rPr>
          <w:rFonts w:ascii="Times New Roman" w:cs="Times New Roman" w:eastAsia="Times New Roman" w:hAnsi="Times New Roman"/>
          <w:sz w:val="18"/>
          <w:szCs w:val="18"/>
          <w:color w:val="auto"/>
        </w:rPr>
        <w:t>The unaudited condensed consolidated financial statements include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of Evolution Petroleum Corporation and its wholly-owned subsidiaries. All significant intercompany transactions have been eliminated in consolidation. The unaudited condensed consolidated financial statements for the previous year may be condensed or include certain reclassifications to conform to the current presentation.</w:t>
      </w:r>
    </w:p>
    <w:p>
      <w:pPr>
        <w:spacing w:after="0" w:line="176"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and Uncertainties. </w:t>
      </w:r>
      <w:r>
        <w:rPr>
          <w:rFonts w:ascii="Times New Roman" w:cs="Times New Roman" w:eastAsia="Times New Roman" w:hAnsi="Times New Roman"/>
          <w:sz w:val="18"/>
          <w:szCs w:val="18"/>
          <w:color w:val="auto"/>
        </w:rPr>
        <w:t>The Company’s oil and natural gas interests are operated by third-party operators and involve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third-party working interest owners. As a result, the Company has limited ability to influence the operation or future development of such properties. However, the Company is proactive with its third-party operators to review the management of capital expenditures.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Oil and Natural Gas Properties. </w:t>
      </w:r>
      <w:r>
        <w:rPr>
          <w:rFonts w:ascii="Times New Roman" w:cs="Times New Roman" w:eastAsia="Times New Roman" w:hAnsi="Times New Roman"/>
          <w:sz w:val="18"/>
          <w:szCs w:val="18"/>
          <w:color w:val="auto"/>
        </w:rPr>
        <w:t>The Company uses the full-cost method of accounting for its investments in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properties. Under this method of 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 These costs are excluded until the project is evaluated and proved reserves are established or impairment is determined.</w:t>
      </w:r>
    </w:p>
    <w:p>
      <w:pPr>
        <w:spacing w:after="0" w:line="188"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the Company’s unaudited condensed consolidated financial statements in conformity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GAAP requires the Company to make estimates and assumptions that affect the reported amounts of assets and liabilities and the disclosure of contingent assets and liabilities, if any, at the date of the consolidated financial statements and the reported amounts of revenues and expenses during the respective reporting periods. Significant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estimates include (a) 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gas, and NGL revenues and expenses. The Company analyzes estimates and judgments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unaudited condensed consolidated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right="259"/>
        <w:spacing w:after="0" w:line="275"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xml:space="preserve"> (“ASU 2024-03”). ASU 2024-03 increases the transparency of expense information presented in the statement of operations through disclosures of expanded disaggregation of relevant expense captions including purchases of inventory, employee compensation, depletion, depreciation, and amortization. ASU 2024-03 is effective for annual periods beginning after December 15, 2026, and interim periods within fiscal years beginning after December 15, 2027 with early adoption permitted. The Company is currently evaluating ASU 2024-03 and the impact it may have to the Company’s disclosures.</w:t>
      </w:r>
    </w:p>
    <w:p>
      <w:pPr>
        <w:spacing w:after="0" w:line="168"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Improvements to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xml:space="preserve"> (“ASU 2023-09”). ASU 2023-09 enhances the transparency of income tax disclosures by expanding the income tax rate reconciliation disclosure and income taxes paid information. ASU 2023-09 also includes certain other amendments to improve the effectiveness of income tax disclosures. ASU 2023-09 is effective for annual periods beginning after December 15, 2024. The Company is currently evaluating ASU 2023-09 and the impact it may have to the Company’s financial position, results of operations, cash flow or disclosures.</w:t>
      </w:r>
    </w:p>
    <w:p>
      <w:pPr>
        <w:spacing w:after="0" w:line="182"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ASU 2023-07 expands the segment disclosures, even for entities with only one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to include additional information about significant segment expenses and other segment items on an annual and interim basis as well as the title and position of the chief operating decision maker. ASU 2023-07 is effective for annual periods beginning after December 15, 2023, and interim periods within fiscal years beginning after December 15, 2024. Early adoption is permitted and entities must adopt the amendment retrospectively for all prior periods presented in the financial statements. The Company is currently evaluating ASU 2023-07 and the impact it may have to the Company’s financial position, results of operations, cash flow or disclosures.</w:t>
      </w:r>
    </w:p>
    <w:p>
      <w:pPr>
        <w:spacing w:after="0" w:line="187"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Other accounting pronouncements that have recently been issued by the FASB or other standards-setting bodies are not expected to have a material impact on the Company’s financial position, results of operations, cash flows or disclosures.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 xml:space="preserve">The Company’s revenues are primarily generated from its crude oil, natural gas and NGL production from </w:t>
      </w:r>
      <w:r>
        <w:rPr>
          <w:rFonts w:ascii="Times New Roman" w:cs="Times New Roman" w:eastAsia="Times New Roman" w:hAnsi="Times New Roman"/>
          <w:sz w:val="18"/>
          <w:szCs w:val="18"/>
          <w:color w:val="333333"/>
        </w:rPr>
        <w:t>the SCOOP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STACK plays in central Oklahoma, t</w:t>
      </w:r>
      <w:r>
        <w:rPr>
          <w:rFonts w:ascii="Times New Roman" w:cs="Times New Roman" w:eastAsia="Times New Roman" w:hAnsi="Times New Roman"/>
          <w:sz w:val="18"/>
          <w:szCs w:val="18"/>
          <w:color w:val="000000"/>
        </w:rPr>
        <w:t>he Chaveroo oilfield in Chaves and Roosevelt Counties of New Mexico, the</w:t>
      </w:r>
      <w:r>
        <w:rPr>
          <w:rFonts w:ascii="Times New Roman" w:cs="Times New Roman" w:eastAsia="Times New Roman" w:hAnsi="Times New Roman"/>
          <w:sz w:val="18"/>
          <w:szCs w:val="18"/>
          <w:color w:val="333333"/>
        </w:rPr>
        <w:t xml:space="preserve"> Jonah </w:t>
      </w:r>
      <w:r>
        <w:rPr>
          <w:rFonts w:ascii="Times New Roman" w:cs="Times New Roman" w:eastAsia="Times New Roman" w:hAnsi="Times New Roman"/>
          <w:sz w:val="18"/>
          <w:szCs w:val="18"/>
          <w:color w:val="000000"/>
        </w:rPr>
        <w:t>Field in Sublette County, Wyoming, the Williston Basin in North Dakota, the Barnett Shale located in North Texas, the Hamilton Dome Field in Wyoming, and the Delhi Field in Northeast Louisiana. Additionally, an overriding royalty interest retained in a past divestiture of Texas properties provides de minimis revenue. The following table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disaggregates the Company’s revenues by major product for the three and six months ended December 31, 2024 and 2023 (in thousands):</w:t>
      </w:r>
    </w:p>
    <w:p>
      <w:pPr>
        <w:spacing w:after="0" w:line="178" w:lineRule="exact"/>
        <w:rPr>
          <w:sz w:val="20"/>
          <w:szCs w:val="20"/>
          <w:color w:val="auto"/>
        </w:rPr>
      </w:pPr>
    </w:p>
    <w:tbl>
      <w:tblPr>
        <w:tblLayout w:type="fixed"/>
        <w:tblInd w:w="1220" w:type="dxa"/>
        <w:tblCellMar>
          <w:top w:w="0" w:type="dxa"/>
          <w:left w:w="0" w:type="dxa"/>
          <w:bottom w:w="0" w:type="dxa"/>
          <w:right w:w="0" w:type="dxa"/>
        </w:tblCellMar>
      </w:tblPr>
      <w:tr>
        <w:trPr>
          <w:trHeight w:val="203"/>
        </w:trPr>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5"/>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9"/>
        </w:trPr>
        <w:tc>
          <w:tcPr>
            <w:tcW w:w="16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1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Crude oil</w:t>
            </w:r>
          </w:p>
        </w:tc>
        <w:tc>
          <w:tcPr>
            <w:tcW w:w="5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11,763</w:t>
            </w:r>
          </w:p>
        </w:tc>
        <w:tc>
          <w:tcPr>
            <w:tcW w:w="4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11,759</w:t>
            </w: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w:t>
            </w:r>
          </w:p>
        </w:tc>
        <w:tc>
          <w:tcPr>
            <w:tcW w:w="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24,375</w:t>
            </w:r>
          </w:p>
        </w:tc>
      </w:tr>
      <w:tr>
        <w:trPr>
          <w:trHeight w:val="203"/>
        </w:trPr>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Natural gas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12,083</w:t>
            </w:r>
          </w:p>
        </w:tc>
      </w:tr>
      <w:tr>
        <w:trPr>
          <w:trHeight w:val="203"/>
        </w:trPr>
        <w:tc>
          <w:tcPr>
            <w:tcW w:w="1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Natural gas liquids</w:t>
            </w: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5,167</w:t>
            </w:r>
          </w:p>
        </w:tc>
      </w:tr>
      <w:tr>
        <w:trPr>
          <w:trHeight w:val="196"/>
        </w:trPr>
        <w:tc>
          <w:tcPr>
            <w:tcW w:w="16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20,275</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21,024</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42,171</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41,625</w:t>
            </w:r>
          </w:p>
        </w:tc>
      </w:tr>
      <w:tr>
        <w:trPr>
          <w:trHeight w:val="20"/>
        </w:trPr>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In the Jonah Field, the Company has elected to take its natural gas and NGL working interest production in-kind and markets its NGL production to Enterprise Products Partners L.P. (“Enterprise”) and its natural gas production to different purchasers.</w:t>
      </w:r>
    </w:p>
    <w:p>
      <w:pPr>
        <w:spacing w:after="0" w:line="176" w:lineRule="exact"/>
        <w:rPr>
          <w:sz w:val="20"/>
          <w:szCs w:val="20"/>
          <w:color w:val="auto"/>
        </w:rPr>
      </w:pPr>
    </w:p>
    <w:p>
      <w:pPr>
        <w:ind w:left="60" w:right="79"/>
        <w:spacing w:after="0" w:line="274" w:lineRule="auto"/>
        <w:rPr>
          <w:sz w:val="20"/>
          <w:szCs w:val="20"/>
          <w:color w:val="auto"/>
        </w:rPr>
      </w:pPr>
      <w:r>
        <w:rPr>
          <w:rFonts w:ascii="Times New Roman" w:cs="Times New Roman" w:eastAsia="Times New Roman" w:hAnsi="Times New Roman"/>
          <w:sz w:val="17"/>
          <w:szCs w:val="17"/>
          <w:color w:val="auto"/>
        </w:rPr>
        <w:t>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typically receives payment from the sale of oil and natural gas production one to two months after delivery.</w:t>
      </w:r>
    </w:p>
    <w:p>
      <w:pPr>
        <w:spacing w:after="0" w:line="171" w:lineRule="exact"/>
        <w:rPr>
          <w:sz w:val="20"/>
          <w:szCs w:val="20"/>
          <w:color w:val="auto"/>
        </w:rPr>
      </w:pPr>
    </w:p>
    <w:p>
      <w:pPr>
        <w:ind w:left="60" w:right="259"/>
        <w:spacing w:after="0" w:line="257" w:lineRule="auto"/>
        <w:rPr>
          <w:sz w:val="20"/>
          <w:szCs w:val="20"/>
          <w:color w:val="auto"/>
        </w:rPr>
      </w:pPr>
      <w:r>
        <w:rPr>
          <w:rFonts w:ascii="Times New Roman" w:cs="Times New Roman" w:eastAsia="Times New Roman" w:hAnsi="Times New Roman"/>
          <w:sz w:val="18"/>
          <w:szCs w:val="18"/>
          <w:color w:val="auto"/>
        </w:rPr>
        <w:t xml:space="preserve">Judgments made in applying the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spacing w:after="0" w:line="184"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Company’s contractual performance obligations arise upon the production of hydrocarbons from wells in which the Company has an ownership interest. The performance obligations are considered satisfied upon control of produced hydrocarbons transferring to a customer at a specified delivery point. Consideration is allocated to completed performance obligations at the end of an accounting period.</w:t>
      </w:r>
    </w:p>
    <w:p>
      <w:pPr>
        <w:spacing w:after="0" w:line="18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 xml:space="preserve">Revenue is recorded in the month when contractual performance obligations are satisfied. However, settlement statements from the purchasers of hydrocarbons and the related cash consideration are received by field operators one to two months before the Company receives payment and documentation from the operator,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Because the contractual performance obligations have been satisfied and an unconditional right to consideration exists as of the balance sheet date, the Company recognized amounts due from contracts with field operators as </w:t>
      </w:r>
      <w:r>
        <w:rPr>
          <w:rFonts w:ascii="Times New Roman" w:cs="Times New Roman" w:eastAsia="Times New Roman" w:hAnsi="Times New Roman"/>
          <w:sz w:val="18"/>
          <w:szCs w:val="18"/>
          <w:i w:val="1"/>
          <w:iCs w:val="1"/>
          <w:color w:val="auto"/>
        </w:rPr>
        <w:t>“Receivables from crude oil, natural gas,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natural gas liquids revenues” </w:t>
      </w:r>
      <w:r>
        <w:rPr>
          <w:rFonts w:ascii="Times New Roman" w:cs="Times New Roman" w:eastAsia="Times New Roman" w:hAnsi="Times New Roman"/>
          <w:sz w:val="18"/>
          <w:szCs w:val="18"/>
          <w:color w:val="auto"/>
        </w:rPr>
        <w:t>on the unaudited condensed consolidated balance sheets. Differences between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amounts received for product sales are recorded in the month that payments received from purchasers are remitted to the Company by field operators.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SCOOP/STACK Acquisitions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February 12, 2024, the Company closed the acquisitions of certain non-operated oil and natural gas assets in the SCOOP and STACK plays in central Oklahoma (the "SCOOP/STACK Acquisitions") from Red Sky Resources III, LLC, Red Sky Resources IV, LLC, and Coriolis Energy Partners I, LLC. After taking into account customary closing adjustments and an effective date of November 1, 2023, total combined cash consideration for the SCOOP/STACK Acquisitions was approximately $39.1 million, which includes $43.9 million paid at closing less purchase price adjustments totaling approximately $4.8 million related to net cash flows received on the properties subsequent to closing. The Company accounted for these transactions as asset acquisitions and allocated all of the combined purchase price (including $0.3 million of transaction costs) to proved oil and natural gas properties. In addition, the Company recognized $0.1 million in non-cash asset retirement obligations, the estimated net present value of future net retirement costs. The transactions were funded with cash on hand and $42.5 million in borrowings under the Company’s Senior Secured Credit Facility.</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acquired assets consist of an average net working interest of approximately 2.6%, in 263 producing wells in the SCOOP and STACK plays of the Anadarko Basin in Oklahoma.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Chaveroo Oilfield Participation Agreement</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On September 12, 2023, the Company entered into a Participation Agreement with PEDEVCO for the joint development of a portion of PEDEVCO’s Permian Basin property in the Chaveroo oilfield, located in Chaves and Roosevelt Counties, New Mexico. In accordance with the Participation Agreement, the Company has the right, but not the obligation, to elect to participate and acquire a 50% working interest share in certain development blocks at a fixed price of $450 per net acre for up to a total of approximately 16,000 gross acres. The Participation Agreement does not include any of PEDEVCO’s existing vertical or horizontal wells.</w:t>
      </w:r>
    </w:p>
    <w:p>
      <w:pPr>
        <w:spacing w:after="0" w:line="187"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has incurred approximately $0.8 million in exchange for a 50% working interest share in the existing leases associated with five development blocks. As of December 31, 2024, the Company has participated in the drilling and completion of the first development block, consisting of three gross wells (1.5 net wells). Drilling operations on development block two commenced in January 2025, consisting of four drilling locations.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as of December 31, 2024 and June 30, 2024 consisted of the following (in thousands):</w:t>
      </w: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8"/>
                <w:szCs w:val="18"/>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9"/>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Oil and natural gas properties</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03"/>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costs subject to amortization</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251,945</w:t>
            </w:r>
          </w:p>
        </w:tc>
        <w:tc>
          <w:tcPr>
            <w:tcW w:w="26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249,559</w:t>
            </w:r>
          </w:p>
        </w:tc>
      </w:tr>
      <w:tr>
        <w:trPr>
          <w:trHeight w:val="203"/>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Accumulated depletion, depreciation, and impairment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(120,223)</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(109,874)</w:t>
            </w:r>
          </w:p>
        </w:tc>
      </w:tr>
      <w:tr>
        <w:trPr>
          <w:trHeight w:val="196"/>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Oil and natural gas properties, net</w:t>
            </w:r>
          </w:p>
        </w:tc>
        <w:tc>
          <w:tcPr>
            <w:tcW w:w="3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131,722</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139,685</w:t>
            </w:r>
          </w:p>
        </w:tc>
      </w:tr>
      <w:tr>
        <w:trPr>
          <w:trHeight w:val="20"/>
        </w:trPr>
        <w:tc>
          <w:tcPr>
            <w:tcW w:w="4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 Company uses the full cost method of accounting for its investments in oil and natural gas properties. All costs of acquisition, exploration, and development of oil and natural gas reserves are capitalized as the cost of oil and natural gas properties when incurred. To the extent capitalized costs of evaluated oil and natural gas properties, net of accumulated depletion, exceed the discounted future net revenues of proved oil and natural gas reserves, net of deferred taxes, such excess capitalized costs would be charged to expense as a write-down of oil and natural gas properties.</w:t>
      </w:r>
    </w:p>
    <w:p>
      <w:pPr>
        <w:spacing w:after="0" w:line="183"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Additionally, the Company assesses all properties classified as unevaluated property on a quarterly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159"/>
        <w:spacing w:after="0" w:line="289" w:lineRule="auto"/>
        <w:rPr>
          <w:sz w:val="20"/>
          <w:szCs w:val="20"/>
          <w:color w:val="auto"/>
        </w:rPr>
      </w:pPr>
      <w:r>
        <w:rPr>
          <w:rFonts w:ascii="Times New Roman" w:cs="Times New Roman" w:eastAsia="Times New Roman" w:hAnsi="Times New Roman"/>
          <w:sz w:val="17"/>
          <w:szCs w:val="17"/>
          <w:color w:val="auto"/>
        </w:rPr>
        <w:t>the economic viability of development if proved reserves are assigned. During any period in which these factors indicate impairment, the cumulative drilling costs incurred to date for such property and all or a portion of the associated leasehold costs are transferred to the full cost pool and are then subject to depletion and the full cost ceiling test limitation.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Depletion on oil and natural gas properties was $10.3 million and $8.1 million for the six months ended</w:t>
      </w:r>
    </w:p>
    <w:p>
      <w:pPr>
        <w:spacing w:after="0" w:line="27" w:lineRule="exact"/>
        <w:rPr>
          <w:sz w:val="20"/>
          <w:szCs w:val="20"/>
          <w:color w:val="auto"/>
        </w:rPr>
      </w:pPr>
    </w:p>
    <w:p>
      <w:pPr>
        <w:ind w:left="60" w:right="499"/>
        <w:spacing w:after="0" w:line="260" w:lineRule="auto"/>
        <w:rPr>
          <w:sz w:val="20"/>
          <w:szCs w:val="20"/>
          <w:color w:val="auto"/>
        </w:rPr>
      </w:pPr>
      <w:r>
        <w:rPr>
          <w:rFonts w:ascii="Times New Roman" w:cs="Times New Roman" w:eastAsia="Times New Roman" w:hAnsi="Times New Roman"/>
          <w:sz w:val="18"/>
          <w:szCs w:val="18"/>
          <w:color w:val="auto"/>
        </w:rPr>
        <w:t>December 31, 2024 and 2023, respectively. During the six months ended December 31, 2024 and 2023, the Company incurred development capital expenditures of $2.2 million and $2.4 million,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At December 31, 2024, the ceiling test value of the Company’s reserves was calculated based on the first-day-of-the-month</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average for the 12-months ended December 31, 2024 of the West Texas Intermediate (“WTI”) crude oil spot price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$76.32 per barrel and Henry Hub natural gas spot price of $2.13 per MMBtu, adjusted by market differentials by field.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price per barrel of NGLs was $22.60, which was based on historical differentials to WTI as NGLs do not have any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single comparable reference index price. Using these prices, at December 31, 2024 the cost center ceiling was higher than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capitalized costs of oil and natural gas properties and, as a result, no write-down was applicable.</w:t>
      </w:r>
    </w:p>
    <w:p>
      <w:pPr>
        <w:spacing w:after="0" w:line="20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At December 31, 2023, the ceiling test value of the Company’s reserves was calculated based on the first-day-of the month average for the 12-months ended December 31, 2023 of the WTI crude oil spot price of $78.21 per barrel and Henry Hub natural gas spot price of $2.63 per MMBtu, adjusted by market differentials by field. The net price per barrel of NGLs was $31.57, which was based on historical prices received as NGLs do not have any single comparable reference index price. Using these prices, at December 31, 2023 the cost center ceiling was higher than the capitalized costs of oil and natural gas properties and, as a result, no write-down was applicable.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Senior Secured Credit Facility</w:t>
      </w:r>
    </w:p>
    <w:p>
      <w:pPr>
        <w:spacing w:after="0" w:line="229"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7"/>
          <w:szCs w:val="17"/>
          <w:color w:val="auto"/>
        </w:rPr>
        <w:t>On April 11, 2016, the Company entered into a senior secured reserve-based credit facility, as amended, (the “Senior Secured Credit Facility”) with MidFirst Bank in an amount up to $50.0 million with a current borrowing base of $50.0 million. On May 5, 2023, the Company entered into the Tenth Amendment to the Senior Secured Credit Facility extending the maturity to April 9, 2026. The Tenth Amendment also replaced the London Interbank Offered Rate (“LIBOR”) with the Secured Overnight Financing Rate (“SOFR”) plus a credit spread adjustment of 0.05% to effectively convert SOFR to a LIBOR equivalent. The borrowing base will be redetermined semiannually, with the lenders and the 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carries a commitment fee of 0.25% per annum on the undrawn portion of the borrowing base. Any borrowings under the Senior Secured Credit Facility will bear interest, at the Company’s option, at either SOFR plus</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2.80%, subject to a minimum SOFR of 0.50%, or the Prime Rate, as defined under the Senior Secured Credit Facility, plus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1.00%.</w:t>
      </w:r>
    </w:p>
    <w:p>
      <w:pPr>
        <w:spacing w:after="0" w:line="207"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development of oil and natural gas properties, investments in cash flow generating properties complimentary to the production of oil and natural gas, and for letters of credit or other general corporate purposes.</w:t>
      </w:r>
    </w:p>
    <w:p>
      <w:pPr>
        <w:spacing w:after="0" w:line="187"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The Senior Secured Credit Facility contains certain events of default, including non-payment; breaches or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As of December 31, 2024, the Company had $39.5 million borrowings outstanding under its Senior Secured Credit Facility,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resulting in $10.5 million of available borrowing capacity. For the six months ended December 31, 2024, the weighted average interest on borrowings under the Senior Secured Credit Facility was 7.80%. As of December 31, 2024, the Company is in compliance with all covenants under the Senior Secured Credit Facility.</w:t>
      </w:r>
    </w:p>
    <w:p>
      <w:pPr>
        <w:spacing w:after="0" w:line="1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Senior Secured Credit Facility also contains hedging requirements that apply when there is 25% or more utilization of the Margined Collateral Value, as defined under the Senior Secured Credit Facility, to the extent it exceeds the borrowing base then in effect. The Required Hedging Percentage, as defined in the Eighth Amendment to the Senior Secured Credit Facility dated November 9, 2021, provides for a tiered approach for adding hedges based on the utilization of the facility. On February 12, 2024, the Company entered into an amendment to the Senior Secured Credit Facility, which required that the Company enter into hedges for the next 12-month period, and on a rolling 12-month basis thereafter, covering expected crude oil and natural gas production from proved developed reserves, calculated separately, equal to a minimum of 40% of expected crude oil production each month, or 25% of expected crude oil and natural gas production each month over that period. Thus, the Company had the option to choose whether to hedge 40% of expected crude oil production or 25% each of expected crude oil and natural gas production.</w:t>
      </w:r>
    </w:p>
    <w:p>
      <w:pPr>
        <w:spacing w:after="0" w:line="194"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As a result of the fall borrowing base redetermination, the utilization percentage of the Senior Secured Credit Facility increased whereby the Company will be required to hedge 50% of its expected crude oil and natural gas production. During the third quarter of fiscal year 2025, the Company will either make principal repayments of approximately $7.0 million to MidFirst, reducing the borrowings outstanding to such a level that the utilization percentage of the facility drops below 50%, or enter into additional derivative contracts to hedge at least 50% of expected crude oil and natural gas production. See Note 7,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for information regarding the Company’s current derivative positions.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Company files a consolidated federal income tax return in the United States and various combined and separate filings in several state and local jurisdictions.</w:t>
      </w:r>
    </w:p>
    <w:p>
      <w:pPr>
        <w:spacing w:after="0" w:line="162"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There were no unrecognized tax benefits, nor any accrued interest or penalties associated with unrecognized tax benefits during the periods presented in the unaudited condensed consolidated financial statements.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2020 through June 30, 2023 for federal tax purposes and for the fiscal years ended June 30, 2019 through June 30, 2023 for state tax purposes. To the extent the Company utilizes net operating losses (“NOLs”) generated in earlier years, such earlier years may also be subject to audit.</w:t>
      </w:r>
    </w:p>
    <w:p>
      <w:pPr>
        <w:spacing w:after="0" w:line="172"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For six months ended December 31, 2024, the Company recognized income tax expense of $0.1 million and had an effective tax rate of 31.4% compared to income tax expense of $1.0 million and an effective tax rate of 28.5% for the six months ended December 31, 2023.</w:t>
      </w:r>
    </w:p>
    <w:p>
      <w:pPr>
        <w:spacing w:after="0" w:line="1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will typically differ from the statutory federal rate as a result of state income taxes, primarily in the states of Louisiana, Oklahoma, North Dakota and Texas, percentage depletion in excess of basis, and other permanent differences. For both periods, the respective statutory federal tax rate was 21%.</w:t>
      </w:r>
    </w:p>
    <w:p>
      <w:pPr>
        <w:spacing w:after="0" w:line="1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Deferred income taxes primarily represent the net tax effect of temporary differences between the carrying amounts of assets and liabilities for financial reporting purposes and the amounts used for income tax purposes.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Derivatives</w:t>
      </w:r>
    </w:p>
    <w:p>
      <w:pPr>
        <w:spacing w:after="0" w:line="229"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Company is exposed to certain risks relating to its ongoing business operations, including commodity price risk and interest rate risk. In accordance with the Company’s strategy and the requirements under the Senior Secured Credit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1"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color w:val="auto"/>
        </w:rPr>
        <w:t xml:space="preserve">Facility (as discussed in Note 5, </w:t>
      </w:r>
      <w:r>
        <w:rPr>
          <w:rFonts w:ascii="Times New Roman" w:cs="Times New Roman" w:eastAsia="Times New Roman" w:hAnsi="Times New Roman"/>
          <w:sz w:val="18"/>
          <w:szCs w:val="18"/>
          <w:i w:val="1"/>
          <w:iCs w:val="1"/>
          <w:color w:val="auto"/>
        </w:rPr>
        <w:t>“Senior Secured Credit Facility”</w:t>
      </w:r>
      <w:r>
        <w:rPr>
          <w:rFonts w:ascii="Times New Roman" w:cs="Times New Roman" w:eastAsia="Times New Roman" w:hAnsi="Times New Roman"/>
          <w:sz w:val="18"/>
          <w:szCs w:val="18"/>
          <w:color w:val="auto"/>
        </w:rPr>
        <w:t>), it may hedge or may be required to hedge a varying portion of anticipated oil and natural gas production for future periods. Derivatives are carried at fair value on the unaudited condensed consolidated balance sheets as assets or liabilities, with the changes in the fair value included in the unaudited condensed consolidated statements of operations for the period in which the change occurs. The Company’s hedge strategies and objectives may change significantly as its operational profile changes or as required under the Senior Secured Credit Facility. The Company does not enter into derivative contracts for speculative trading purposes.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 is the Company’s policy to enter into derivative contracts only with counterparties that are creditworthy financial 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commodity hedging institutions deemed by management as competent and competitive market makers. As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the Company did not post collateral under any of its derivative contracts during the periods in which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contracts were open as they were secured under the Company’s Senior Secured Credit Facility.</w:t>
      </w:r>
    </w:p>
    <w:p>
      <w:pPr>
        <w:spacing w:after="0" w:line="20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When the Company utilizes commodity derivative contracts, it expects to enter into deferred premium puts, costless put/call collars, fixed-price swaps, and/or basis swaps to hedge a portion of its anticipated future production. A costless collar consists of a sold call, which establishes a maximum price the Company will receive for the volumes under contract, and a purchased put that establishes a minimum price. Fixed-price swaps are designed so that the Company receives or makes payments based on a differential between fixed and variable prices for the volumes under contract. Basis swaps effectively lock in a price differential between regional prices (i.e., Inside FERC’s Northwest Pipeline Corp Rocky Mountains) where the product is sold and the relevant pricing index under which the natural gas production is hedged (i.e., NYMEX Henry Hub).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Times New Roman" w:cs="Times New Roman" w:eastAsia="Times New Roman" w:hAnsi="Times New Roman"/>
          <w:sz w:val="18"/>
          <w:szCs w:val="18"/>
          <w:i w:val="1"/>
          <w:iCs w:val="1"/>
          <w:color w:val="auto"/>
        </w:rPr>
        <w:t>Net gain (loss) on derivative contracts</w:t>
      </w:r>
      <w:r>
        <w:rPr>
          <w:rFonts w:ascii="Times New Roman" w:cs="Times New Roman" w:eastAsia="Times New Roman" w:hAnsi="Times New Roman"/>
          <w:sz w:val="18"/>
          <w:szCs w:val="18"/>
          <w:color w:val="auto"/>
        </w:rPr>
        <w:t>” on the unaudited condensed consolidated statements of operations.</w:t>
      </w:r>
    </w:p>
    <w:p>
      <w:pPr>
        <w:spacing w:after="0" w:line="19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 xml:space="preserve">All derivative contracts are recorded at fair market value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and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and included in the unaudited condensed consolidated balance sheets as assets or liabilities. The </w:t>
      </w:r>
      <w:r>
        <w:rPr>
          <w:rFonts w:ascii="Times New Roman" w:cs="Times New Roman" w:eastAsia="Times New Roman" w:hAnsi="Times New Roman"/>
          <w:sz w:val="18"/>
          <w:szCs w:val="18"/>
          <w:i w:val="1"/>
          <w:iCs w:val="1"/>
          <w:color w:val="auto"/>
        </w:rPr>
        <w:t>“Derivative contract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“Derivative contract liabilities”</w:t>
      </w:r>
      <w:r>
        <w:rPr>
          <w:rFonts w:ascii="Times New Roman" w:cs="Times New Roman" w:eastAsia="Times New Roman" w:hAnsi="Times New Roman"/>
          <w:sz w:val="18"/>
          <w:szCs w:val="18"/>
          <w:color w:val="auto"/>
        </w:rPr>
        <w:t xml:space="preserve"> represent the difference between the market commodity prices and the hedged prices for the remaining volumes of production hedges as of December 31, 2024 and June 30, 2024 (the “mark-to-market valuation”).</w:t>
      </w:r>
    </w:p>
    <w:p>
      <w:pPr>
        <w:spacing w:after="0" w:line="185"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fair value amounts of all derivative contracts in the unaudited condensed consolidated balance sheets as of December 31, 2024 and June 30, 2024 (in thousands):</w:t>
      </w:r>
    </w:p>
    <w:p>
      <w:pPr>
        <w:spacing w:after="0" w:line="15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4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4"/>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Derivative Contract Assets</w:t>
            </w:r>
          </w:p>
        </w:tc>
        <w:tc>
          <w:tcPr>
            <w:tcW w:w="160" w:type="dxa"/>
            <w:vAlign w:val="bottom"/>
          </w:tcPr>
          <w:p>
            <w:pPr>
              <w:spacing w:after="0"/>
              <w:rPr>
                <w:sz w:val="13"/>
                <w:szCs w:val="13"/>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gridSpan w:val="4"/>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Derivative Contract Liabilities</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hedging contracts</w:t>
            </w: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under ASC 815</w:t>
            </w:r>
          </w:p>
        </w:tc>
        <w:tc>
          <w:tcPr>
            <w:tcW w:w="1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2"/>
                <w:szCs w:val="12"/>
                <w:color w:val="auto"/>
              </w:rPr>
            </w:pPr>
          </w:p>
        </w:tc>
        <w:tc>
          <w:tcPr>
            <w:tcW w:w="1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98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2"/>
                <w:szCs w:val="12"/>
                <w:color w:val="auto"/>
              </w:rPr>
            </w:pPr>
          </w:p>
        </w:tc>
        <w:tc>
          <w:tcPr>
            <w:tcW w:w="8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2"/>
                <w:szCs w:val="12"/>
                <w:color w:val="auto"/>
              </w:rPr>
            </w:pPr>
          </w:p>
        </w:tc>
        <w:tc>
          <w:tcPr>
            <w:tcW w:w="12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19"/>
        </w:trPr>
        <w:tc>
          <w:tcPr>
            <w:tcW w:w="19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Current</w:t>
            </w: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assets –</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liabilities –</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derivative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w:t>
            </w:r>
          </w:p>
        </w:tc>
        <w:tc>
          <w:tcPr>
            <w:tcW w:w="1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derivative</w:t>
            </w: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contract</w:t>
            </w:r>
          </w:p>
        </w:tc>
        <w:tc>
          <w:tcPr>
            <w:tcW w:w="2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46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0" w:type="dxa"/>
            <w:vAlign w:val="bottom"/>
          </w:tcPr>
          <w:p>
            <w:pPr>
              <w:spacing w:after="0"/>
              <w:rPr>
                <w:sz w:val="1"/>
                <w:szCs w:val="1"/>
                <w:color w:val="auto"/>
              </w:rPr>
            </w:pPr>
          </w:p>
        </w:tc>
      </w:tr>
      <w:tr>
        <w:trPr>
          <w:trHeight w:val="171"/>
        </w:trPr>
        <w:tc>
          <w:tcPr>
            <w:tcW w:w="1920" w:type="dxa"/>
            <w:vAlign w:val="bottom"/>
            <w:vMerge w:val="continue"/>
            <w:shd w:val="clear" w:color="auto" w:fill="CCEEFF"/>
          </w:tcPr>
          <w:p>
            <w:pPr>
              <w:spacing w:after="0"/>
              <w:rPr>
                <w:sz w:val="14"/>
                <w:szCs w:val="14"/>
                <w:color w:val="auto"/>
              </w:rPr>
            </w:pPr>
          </w:p>
        </w:tc>
        <w:tc>
          <w:tcPr>
            <w:tcW w:w="1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assets</w:t>
            </w:r>
          </w:p>
        </w:tc>
        <w:tc>
          <w:tcPr>
            <w:tcW w:w="300" w:type="dxa"/>
            <w:vAlign w:val="bottom"/>
            <w:gridSpan w:val="2"/>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liabilities</w:t>
            </w:r>
          </w:p>
        </w:tc>
        <w:tc>
          <w:tcPr>
            <w:tcW w:w="280" w:type="dxa"/>
            <w:vAlign w:val="bottom"/>
            <w:gridSpan w:val="2"/>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4"/>
                <w:szCs w:val="14"/>
                <w:color w:val="auto"/>
              </w:rPr>
              <w:t>Long term</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Other assets –</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liabilities –</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derivative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Commodity contracts</w:t>
            </w:r>
          </w:p>
        </w:tc>
        <w:tc>
          <w:tcPr>
            <w:tcW w:w="1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derivative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contract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contract assets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liabilities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9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Total derivatives not designated</w:t>
            </w:r>
          </w:p>
        </w:tc>
        <w:tc>
          <w:tcPr>
            <w:tcW w:w="1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 hedging contracts under ASC</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46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0" w:type="dxa"/>
            <w:vAlign w:val="bottom"/>
          </w:tcPr>
          <w:p>
            <w:pPr>
              <w:spacing w:after="0"/>
              <w:rPr>
                <w:sz w:val="1"/>
                <w:szCs w:val="1"/>
                <w:color w:val="auto"/>
              </w:rPr>
            </w:pPr>
          </w:p>
        </w:tc>
      </w:tr>
      <w:tr>
        <w:trPr>
          <w:trHeight w:val="158"/>
        </w:trPr>
        <w:tc>
          <w:tcPr>
            <w:tcW w:w="19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815</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summarizes the location and amounts of the Company’s realized and unrealized gains and losses on derivative contracts in the Company’s unaudited condensed consolidated statements of operations for the three and six months ended December 31, 2024 and 2023 (in thousands). </w:t>
      </w:r>
      <w:r>
        <w:rPr>
          <w:rFonts w:ascii="Times New Roman" w:cs="Times New Roman" w:eastAsia="Times New Roman" w:hAnsi="Times New Roman"/>
          <w:sz w:val="18"/>
          <w:szCs w:val="18"/>
          <w:i w:val="1"/>
          <w:iCs w:val="1"/>
          <w:color w:val="auto"/>
        </w:rPr>
        <w:t>“Realized gain (loss) on derivative contracts”</w:t>
      </w:r>
      <w:r>
        <w:rPr>
          <w:rFonts w:ascii="Times New Roman" w:cs="Times New Roman" w:eastAsia="Times New Roman" w:hAnsi="Times New Roman"/>
          <w:sz w:val="18"/>
          <w:szCs w:val="18"/>
          <w:color w:val="auto"/>
        </w:rPr>
        <w:t xml:space="preserve"> represents all receipts (payments) on derivative contracts settled during the period. </w:t>
      </w:r>
      <w:r>
        <w:rPr>
          <w:rFonts w:ascii="Times New Roman" w:cs="Times New Roman" w:eastAsia="Times New Roman" w:hAnsi="Times New Roman"/>
          <w:sz w:val="18"/>
          <w:szCs w:val="18"/>
          <w:i w:val="1"/>
          <w:iCs w:val="1"/>
          <w:color w:val="auto"/>
        </w:rPr>
        <w:t>“Unrealized gain (loss) on derivative contracts”</w:t>
      </w:r>
      <w:r>
        <w:rPr>
          <w:rFonts w:ascii="Times New Roman" w:cs="Times New Roman" w:eastAsia="Times New Roman" w:hAnsi="Times New Roman"/>
          <w:sz w:val="18"/>
          <w:szCs w:val="18"/>
          <w:color w:val="auto"/>
        </w:rPr>
        <w:t xml:space="preserve"> represents the net change in the mark-to-market valuation of the derivative contracts.</w:t>
      </w:r>
    </w:p>
    <w:p>
      <w:pPr>
        <w:spacing w:after="0" w:line="39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60" w:type="dxa"/>
            <w:vAlign w:val="bottom"/>
          </w:tcPr>
          <w:p>
            <w:pPr>
              <w:spacing w:after="0"/>
              <w:rPr>
                <w:sz w:val="13"/>
                <w:szCs w:val="13"/>
                <w:color w:val="auto"/>
              </w:rPr>
            </w:pPr>
          </w:p>
        </w:tc>
        <w:tc>
          <w:tcPr>
            <w:tcW w:w="166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hedging contracts</w:t>
            </w: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recognized in income on</w:t>
            </w: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under ASC 815</w:t>
            </w:r>
          </w:p>
        </w:tc>
        <w:tc>
          <w:tcPr>
            <w:tcW w:w="1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derivative contracts</w:t>
            </w:r>
          </w:p>
        </w:tc>
        <w:tc>
          <w:tcPr>
            <w:tcW w:w="160" w:type="dxa"/>
            <w:vAlign w:val="bottom"/>
          </w:tcPr>
          <w:p>
            <w:pPr>
              <w:spacing w:after="0"/>
              <w:rPr>
                <w:sz w:val="12"/>
                <w:szCs w:val="12"/>
                <w:color w:val="auto"/>
              </w:rPr>
            </w:pPr>
          </w:p>
        </w:tc>
        <w:tc>
          <w:tcPr>
            <w:tcW w:w="7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7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Commodity contracts:</w:t>
            </w:r>
          </w:p>
        </w:tc>
        <w:tc>
          <w:tcPr>
            <w:tcW w:w="14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income and expenses</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gain (loss) on derivative contracts</w:t>
            </w:r>
          </w:p>
        </w:tc>
        <w:tc>
          <w:tcPr>
            <w:tcW w:w="1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net gain (loss) on</w:t>
            </w:r>
          </w:p>
        </w:tc>
        <w:tc>
          <w:tcPr>
            <w:tcW w:w="1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34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20" w:type="dxa"/>
            <w:vAlign w:val="bottom"/>
            <w:gridSpan w:val="2"/>
            <w:vMerge w:val="continue"/>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 contracts</w:t>
            </w:r>
          </w:p>
        </w:tc>
        <w:tc>
          <w:tcPr>
            <w:tcW w:w="1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Other income and expenses</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Unrealized gain (loss) on derivative contracts</w:t>
            </w:r>
          </w:p>
        </w:tc>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net gain (loss) on</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(1,368)</w:t>
            </w:r>
          </w:p>
        </w:tc>
        <w:tc>
          <w:tcPr>
            <w:tcW w:w="180" w:type="dxa"/>
            <w:vAlign w:val="bottom"/>
          </w:tcPr>
          <w:p>
            <w:pPr>
              <w:spacing w:after="0"/>
              <w:rPr>
                <w:sz w:val="12"/>
                <w:szCs w:val="12"/>
                <w:color w:val="auto"/>
              </w:rPr>
            </w:pP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derivative contracts</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net gain (loss) on derivative contracts</w:t>
            </w:r>
          </w:p>
        </w:tc>
        <w:tc>
          <w:tcPr>
            <w:tcW w:w="16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ind w:left="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2024, the Company had the following open crude oil and natural gas derivative contracts:</w:t>
      </w: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Volumes in</w:t>
            </w:r>
          </w:p>
        </w:tc>
        <w:tc>
          <w:tcPr>
            <w:tcW w:w="140" w:type="dxa"/>
            <w:vAlign w:val="bottom"/>
          </w:tcPr>
          <w:p>
            <w:pPr>
              <w:spacing w:after="0"/>
              <w:rPr>
                <w:sz w:val="16"/>
                <w:szCs w:val="16"/>
                <w:color w:val="auto"/>
              </w:rPr>
            </w:pP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Swap Price per</w:t>
            </w:r>
          </w:p>
        </w:tc>
        <w:tc>
          <w:tcPr>
            <w:tcW w:w="1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Floor Price per</w:t>
            </w:r>
          </w:p>
        </w:tc>
        <w:tc>
          <w:tcPr>
            <w:tcW w:w="1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Ceiling Price per</w:t>
            </w:r>
          </w:p>
        </w:tc>
      </w:tr>
      <w:tr>
        <w:trPr>
          <w:trHeight w:val="186"/>
        </w:trPr>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8"/>
              </w:rPr>
              <w:t>MMBTU/BBL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MMBTU/BBL</w:t>
            </w:r>
          </w:p>
        </w:tc>
      </w:tr>
      <w:tr>
        <w:trPr>
          <w:trHeight w:val="142"/>
        </w:trPr>
        <w:tc>
          <w:tcPr>
            <w:tcW w:w="18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January 2025 - March 2025</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Crude Oil</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Collar</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42,566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68.00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73.77</w:t>
            </w:r>
          </w:p>
        </w:tc>
      </w:tr>
      <w:tr>
        <w:trPr>
          <w:trHeight w:val="148"/>
        </w:trPr>
        <w:tc>
          <w:tcPr>
            <w:tcW w:w="1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January 2025 - June 2025</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12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Fixed-Price Swap</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51,992</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194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April 2025 - June 2025</w:t>
            </w:r>
          </w:p>
        </w:tc>
        <w:tc>
          <w:tcPr>
            <w:tcW w:w="106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120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Collar</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41,601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84.00</w:t>
            </w:r>
          </w:p>
        </w:tc>
      </w:tr>
      <w:tr>
        <w:trPr>
          <w:trHeight w:val="149"/>
        </w:trPr>
        <w:tc>
          <w:tcPr>
            <w:tcW w:w="1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July 2025 - December 2025</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12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Fixed-Price Swap</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81,335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71.40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194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January 2025 - February 2025</w:t>
            </w:r>
          </w:p>
        </w:tc>
        <w:tc>
          <w:tcPr>
            <w:tcW w:w="106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2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Fixed-Price Swap</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312,286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9"/>
        </w:trPr>
        <w:tc>
          <w:tcPr>
            <w:tcW w:w="1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January 2025 - March 2025</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2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Basis Swap</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194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March 2025 - December 2026</w:t>
            </w:r>
          </w:p>
        </w:tc>
        <w:tc>
          <w:tcPr>
            <w:tcW w:w="106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2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Fixed-Price Swap</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3,170,705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9"/>
        </w:trPr>
        <w:tc>
          <w:tcPr>
            <w:tcW w:w="1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January 2026 - March 2026</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Collar</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375,481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r>
      <w:tr>
        <w:trPr>
          <w:trHeight w:val="148"/>
        </w:trPr>
        <w:tc>
          <w:tcPr>
            <w:tcW w:w="194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April 2025 - December 2027</w:t>
            </w:r>
          </w:p>
        </w:tc>
        <w:tc>
          <w:tcPr>
            <w:tcW w:w="106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2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Fixed-Price Swap</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3,729,540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Subsequent to December 31, 2024, the Company entered into the following new crude oil derivative contracts: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Volumes in</w:t>
            </w:r>
          </w:p>
        </w:tc>
        <w:tc>
          <w:tcPr>
            <w:tcW w:w="8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Swap Price per</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Floor Price per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Ceiling Price per</w:t>
            </w:r>
          </w:p>
        </w:tc>
      </w:tr>
      <w:tr>
        <w:trPr>
          <w:trHeight w:val="185"/>
        </w:trPr>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8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MMBTU/BBL</w:t>
            </w:r>
          </w:p>
        </w:tc>
      </w:tr>
      <w:tr>
        <w:trPr>
          <w:trHeight w:val="142"/>
        </w:trPr>
        <w:tc>
          <w:tcPr>
            <w:tcW w:w="18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February 2025 - March 2025</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Crude Oil</w:t>
            </w:r>
          </w:p>
        </w:tc>
        <w:tc>
          <w:tcPr>
            <w:tcW w:w="1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6"/>
              </w:rPr>
              <w:t>Put</w:t>
            </w: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3,277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75.00</w:t>
            </w:r>
          </w:p>
        </w:tc>
        <w:tc>
          <w:tcPr>
            <w:tcW w:w="1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r>
      <w:tr>
        <w:trPr>
          <w:trHeight w:val="162"/>
        </w:trPr>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February 2025 - March 2025</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Crude Oil</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Fixed-Price Swap</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April 2025 - December 2025</w:t>
            </w:r>
          </w:p>
        </w:tc>
        <w:tc>
          <w:tcPr>
            <w:tcW w:w="10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Crude Oil</w:t>
            </w: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Fixed-Price Swap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8"/>
        </w:trPr>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January 2026 - March 2026</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Crude Oil</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Collar</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75.80</w:t>
            </w:r>
          </w:p>
        </w:tc>
      </w:tr>
    </w:tbl>
    <w:p>
      <w:pPr>
        <w:spacing w:after="0" w:line="171"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The Company presents the fair value of its derivative contracts at the gross amounts in the unaudited condensed consolidated balance sheets. The following table shows the potential effects of master netting arrangements on the fair value of the Company’s derivative contracts as of December 31, 2024 and June 30, 2024 (in thousands):</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Offsetting of Derivative Assets and Liabilities</w:t>
            </w:r>
          </w:p>
        </w:tc>
        <w:tc>
          <w:tcPr>
            <w:tcW w:w="20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Derivative Contracts Assets</w:t>
            </w:r>
          </w:p>
        </w:tc>
        <w:tc>
          <w:tcPr>
            <w:tcW w:w="240" w:type="dxa"/>
            <w:vAlign w:val="bottom"/>
          </w:tcPr>
          <w:p>
            <w:pPr>
              <w:spacing w:after="0"/>
              <w:rPr>
                <w:sz w:val="15"/>
                <w:szCs w:val="15"/>
                <w:color w:val="auto"/>
              </w:rPr>
            </w:pPr>
          </w:p>
        </w:tc>
        <w:tc>
          <w:tcPr>
            <w:tcW w:w="25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Derivative Contracts Liabilities</w:t>
            </w:r>
          </w:p>
        </w:tc>
        <w:tc>
          <w:tcPr>
            <w:tcW w:w="0" w:type="dxa"/>
            <w:vAlign w:val="bottom"/>
          </w:tcPr>
          <w:p>
            <w:pPr>
              <w:spacing w:after="0"/>
              <w:rPr>
                <w:sz w:val="1"/>
                <w:szCs w:val="1"/>
                <w:color w:val="auto"/>
              </w:rPr>
            </w:pPr>
          </w:p>
        </w:tc>
      </w:tr>
      <w:tr>
        <w:trPr>
          <w:trHeight w:val="142"/>
        </w:trPr>
        <w:tc>
          <w:tcPr>
            <w:tcW w:w="29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12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0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Gross amounts presented in the Consolidated</w:t>
            </w:r>
          </w:p>
        </w:tc>
        <w:tc>
          <w:tcPr>
            <w:tcW w:w="20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2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2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2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Sheet</w:t>
            </w:r>
          </w:p>
        </w:tc>
        <w:tc>
          <w:tcPr>
            <w:tcW w:w="3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Amounts not offset in the Consolidated Balance</w:t>
            </w:r>
          </w:p>
        </w:tc>
        <w:tc>
          <w:tcPr>
            <w:tcW w:w="30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(497)</w:t>
            </w:r>
          </w:p>
        </w:tc>
        <w:tc>
          <w:tcPr>
            <w:tcW w:w="24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(688)</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Sheet</w:t>
            </w:r>
          </w:p>
        </w:tc>
        <w:tc>
          <w:tcPr>
            <w:tcW w:w="3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amount</w:t>
            </w:r>
          </w:p>
        </w:tc>
        <w:tc>
          <w:tcPr>
            <w:tcW w:w="300" w:type="dxa"/>
            <w:vAlign w:val="bottom"/>
            <w:tcBorders>
              <w:top w:val="single" w:sz="8" w:color="auto"/>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Company enters into an International Swap Dealers Association Master Agreements (“ISDA”) with each counterparty prior to a derivative contract with such counterparty. The ISDA is a standard contract that governs all derivative contracts entered into between the Company and the respective counterparty. The ISDA allows for offsetting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939"/>
        <w:spacing w:after="0" w:line="282" w:lineRule="auto"/>
        <w:rPr>
          <w:sz w:val="20"/>
          <w:szCs w:val="20"/>
          <w:color w:val="auto"/>
        </w:rPr>
      </w:pPr>
      <w:r>
        <w:rPr>
          <w:rFonts w:ascii="Times New Roman" w:cs="Times New Roman" w:eastAsia="Times New Roman" w:hAnsi="Times New Roman"/>
          <w:sz w:val="18"/>
          <w:szCs w:val="18"/>
          <w:color w:val="auto"/>
        </w:rPr>
        <w:t>of amounts payable or receivable between the Company and the counterparty, at the election of both parties, for transactions that occur on the same date and in the same currency.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Fair Value Measurement</w:t>
      </w:r>
    </w:p>
    <w:p>
      <w:pPr>
        <w:spacing w:after="0" w:line="22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three levels are defined as follows:</w:t>
      </w:r>
    </w:p>
    <w:p>
      <w:pPr>
        <w:spacing w:after="0" w:line="117" w:lineRule="exact"/>
        <w:rPr>
          <w:sz w:val="20"/>
          <w:szCs w:val="20"/>
          <w:color w:val="auto"/>
        </w:rPr>
      </w:pPr>
    </w:p>
    <w:p>
      <w:pPr>
        <w:ind w:left="700" w:right="679"/>
        <w:spacing w:after="0" w:line="282" w:lineRule="auto"/>
        <w:rPr>
          <w:sz w:val="20"/>
          <w:szCs w:val="20"/>
          <w:color w:val="auto"/>
        </w:rPr>
      </w:pPr>
      <w:r>
        <w:rPr>
          <w:rFonts w:ascii="Times New Roman" w:cs="Times New Roman" w:eastAsia="Times New Roman" w:hAnsi="Times New Roman"/>
          <w:sz w:val="18"/>
          <w:szCs w:val="18"/>
          <w:color w:val="auto"/>
        </w:rPr>
        <w:t>Level 1—Observable inputs such as quoted prices in active markets at the measurement date for identical, unrestricted assets or liabilities.</w:t>
      </w:r>
    </w:p>
    <w:p>
      <w:pPr>
        <w:spacing w:after="0" w:line="54" w:lineRule="exact"/>
        <w:rPr>
          <w:sz w:val="20"/>
          <w:szCs w:val="20"/>
          <w:color w:val="auto"/>
        </w:rPr>
      </w:pPr>
    </w:p>
    <w:p>
      <w:pPr>
        <w:ind w:left="700" w:right="379"/>
        <w:spacing w:after="0" w:line="266" w:lineRule="auto"/>
        <w:rPr>
          <w:sz w:val="20"/>
          <w:szCs w:val="20"/>
          <w:color w:val="auto"/>
        </w:rPr>
      </w:pPr>
      <w:r>
        <w:rPr>
          <w:rFonts w:ascii="Times New Roman" w:cs="Times New Roman" w:eastAsia="Times New Roman" w:hAnsi="Times New Roman"/>
          <w:sz w:val="18"/>
          <w:szCs w:val="18"/>
          <w:color w:val="auto"/>
        </w:rPr>
        <w:t>Level 2—Other inputs that are observable directly or indirectly, such as quoted prices in markets that are not active or inputs which are observable, either directly or indirectly, for substantially the full term of the asset or liability.</w:t>
      </w:r>
    </w:p>
    <w:p>
      <w:pPr>
        <w:spacing w:after="0" w:line="68" w:lineRule="exact"/>
        <w:rPr>
          <w:sz w:val="20"/>
          <w:szCs w:val="20"/>
          <w:color w:val="auto"/>
        </w:rPr>
      </w:pPr>
    </w:p>
    <w:p>
      <w:pPr>
        <w:ind w:left="700" w:right="139"/>
        <w:spacing w:after="0" w:line="282" w:lineRule="auto"/>
        <w:rPr>
          <w:sz w:val="20"/>
          <w:szCs w:val="20"/>
          <w:color w:val="auto"/>
        </w:rPr>
      </w:pPr>
      <w:r>
        <w:rPr>
          <w:rFonts w:ascii="Times New Roman" w:cs="Times New Roman" w:eastAsia="Times New Roman" w:hAnsi="Times New Roman"/>
          <w:sz w:val="18"/>
          <w:szCs w:val="18"/>
          <w:color w:val="auto"/>
        </w:rPr>
        <w:t>Level 3—Unobservable inputs for which there are little or no market data and which the Company makes its own assumptions about how market participants would price the assets and liabilities.</w:t>
      </w:r>
    </w:p>
    <w:p>
      <w:pPr>
        <w:spacing w:after="0" w:line="5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Fair Value of Derivative Instruments. </w:t>
      </w:r>
      <w:r>
        <w:rPr>
          <w:rFonts w:ascii="Times New Roman" w:cs="Times New Roman" w:eastAsia="Times New Roman" w:hAnsi="Times New Roman"/>
          <w:sz w:val="18"/>
          <w:szCs w:val="18"/>
          <w:color w:val="auto"/>
        </w:rPr>
        <w:t>The Company’s determination of fair value incorporates not only the credit 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counterparties involved in transactions with the Company resulting in receivables on the Company’s unaudited condensed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w:t>
      </w:r>
    </w:p>
    <w:p>
      <w:pPr>
        <w:spacing w:after="0" w:line="190"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judgement, and may affect the valuation of fair value assets and liabilities and their placement within the fair value hierarchy levels. There were no transfers between fair value hierarchy levels for any period presented in this report. The following table, set forth by level within the fair value hierarchy, shows the Company’s financial assets and liabilities that were accounted for at fair value as of December 31, 2024 and June 30, 2024 (in thousands).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3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8"/>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7"/>
                <w:szCs w:val="17"/>
                <w:color w:val="auto"/>
              </w:rPr>
            </w:pPr>
          </w:p>
        </w:tc>
        <w:tc>
          <w:tcPr>
            <w:tcW w:w="9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43"/>
        </w:trPr>
        <w:tc>
          <w:tcPr>
            <w:tcW w:w="3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contract assets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260" w:type="dxa"/>
            <w:vAlign w:val="bottom"/>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r>
      <w:tr>
        <w:trPr>
          <w:trHeight w:val="183"/>
        </w:trPr>
        <w:tc>
          <w:tcPr>
            <w:tcW w:w="3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contract liabilities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9"/>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7"/>
                <w:szCs w:val="17"/>
                <w:color w:val="auto"/>
              </w:rPr>
            </w:pPr>
          </w:p>
        </w:tc>
        <w:tc>
          <w:tcPr>
            <w:tcW w:w="9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43"/>
        </w:trPr>
        <w:tc>
          <w:tcPr>
            <w:tcW w:w="3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contract assets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260" w:type="dxa"/>
            <w:vAlign w:val="bottom"/>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183"/>
        </w:trPr>
        <w:tc>
          <w:tcPr>
            <w:tcW w:w="3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contract liabilities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 xml:space="preserve">Derivative contracts listed above as Level 2 include fixed-price swaps and costless put/call collars that are carried at fair value. The Company records the net change in fair value of these positions in </w:t>
      </w:r>
      <w:r>
        <w:rPr>
          <w:rFonts w:ascii="Times New Roman" w:cs="Times New Roman" w:eastAsia="Times New Roman" w:hAnsi="Times New Roman"/>
          <w:sz w:val="18"/>
          <w:szCs w:val="18"/>
          <w:i w:val="1"/>
          <w:iCs w:val="1"/>
          <w:color w:val="auto"/>
        </w:rPr>
        <w:t>“Net gain (loss) on derivative contracts”</w:t>
      </w:r>
      <w:r>
        <w:rPr>
          <w:rFonts w:ascii="Times New Roman" w:cs="Times New Roman" w:eastAsia="Times New Roman" w:hAnsi="Times New Roman"/>
          <w:sz w:val="18"/>
          <w:szCs w:val="18"/>
          <w:color w:val="auto"/>
        </w:rPr>
        <w:t xml:space="preserve"> in the Company’s unaudited condensed consolidated statements of operations. The Company is able to value the assets and liabilities based on observable market data for similar instruments, which resulted in the Company reporting its derivatives as Level 2. This observable data includes the forward curves for commodity prices based on quoted market prices and implied volatility factors related to changes in the forward curves. See Note 7,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for additional discussion of derivatives.</w:t>
      </w:r>
    </w:p>
    <w:p>
      <w:pPr>
        <w:spacing w:after="0" w:line="189"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Company’s derivative contracts are with large utilities with investment grade credit ratings which are believed to have minimal credit risk. As such, the Company is exposed to credit risk to the extent of nonperformance by the counterparties in the derivative contracts; however, the Company does not expect such nonperformance.</w:t>
      </w:r>
    </w:p>
    <w:p>
      <w:pPr>
        <w:spacing w:after="0" w:line="174"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Fair Value Measurements. </w:t>
      </w:r>
      <w:r>
        <w:rPr>
          <w:rFonts w:ascii="Times New Roman" w:cs="Times New Roman" w:eastAsia="Times New Roman" w:hAnsi="Times New Roman"/>
          <w:sz w:val="18"/>
          <w:szCs w:val="18"/>
          <w:color w:val="auto"/>
        </w:rPr>
        <w:t>The following disclosure of the estimated fair value of financial instruments is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the requirements of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r>
    </w:p>
    <w:p>
      <w:pPr>
        <w:spacing w:after="0" w:line="18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820, for nonfinancial assets and liabilities measured at fair value on a non-recurring basis. These provisions apply to the Company’s initial measurement and any subsequent revision of asset retirement obligations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9, </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 reconciliation of the beginning and ending balances of the liability for the Company’s ARO.</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Asset Retirement Obligations</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 xml:space="preserve">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unaudited condensed consolidated balance sheets and capitalizes the cost in </w:t>
      </w:r>
      <w:r>
        <w:rPr>
          <w:rFonts w:ascii="Times New Roman" w:cs="Times New Roman" w:eastAsia="Times New Roman" w:hAnsi="Times New Roman"/>
          <w:sz w:val="18"/>
          <w:szCs w:val="18"/>
          <w:i w:val="1"/>
          <w:iCs w:val="1"/>
          <w:color w:val="auto"/>
        </w:rPr>
        <w:t>“Oil and natural gas properties, net”</w:t>
      </w:r>
      <w:r>
        <w:rPr>
          <w:rFonts w:ascii="Times New Roman" w:cs="Times New Roman" w:eastAsia="Times New Roman" w:hAnsi="Times New Roman"/>
          <w:sz w:val="18"/>
          <w:szCs w:val="18"/>
          <w:color w:val="auto"/>
        </w:rPr>
        <w:t xml:space="preserve"> during the period in which the obligation is incurred. The Company records the accretion of its ARO liabilities in </w:t>
      </w:r>
      <w:r>
        <w:rPr>
          <w:rFonts w:ascii="Times New Roman" w:cs="Times New Roman" w:eastAsia="Times New Roman" w:hAnsi="Times New Roman"/>
          <w:sz w:val="18"/>
          <w:szCs w:val="18"/>
          <w:i w:val="1"/>
          <w:iCs w:val="1"/>
          <w:color w:val="auto"/>
        </w:rPr>
        <w:t>“Depletion, depreciation and accretion”</w:t>
      </w:r>
      <w:r>
        <w:rPr>
          <w:rFonts w:ascii="Times New Roman" w:cs="Times New Roman" w:eastAsia="Times New Roman" w:hAnsi="Times New Roman"/>
          <w:sz w:val="18"/>
          <w:szCs w:val="18"/>
          <w:color w:val="auto"/>
        </w:rPr>
        <w:t xml:space="preserve"> expense in the unaudited condensed consolidated statements of operations.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the activity related to the Company’s ARO liability (inclusive of the current portion)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period ended December 31, 2024 (in thousands):</w:t>
      </w:r>
    </w:p>
    <w:p>
      <w:pPr>
        <w:spacing w:after="0" w:line="115" w:lineRule="exact"/>
        <w:rPr>
          <w:sz w:val="20"/>
          <w:szCs w:val="20"/>
          <w:color w:val="auto"/>
        </w:rPr>
      </w:pPr>
    </w:p>
    <w:tbl>
      <w:tblPr>
        <w:tblLayout w:type="fixed"/>
        <w:tblInd w:w="1180" w:type="dxa"/>
        <w:tblCellMar>
          <w:top w:w="0" w:type="dxa"/>
          <w:left w:w="0" w:type="dxa"/>
          <w:bottom w:w="0" w:type="dxa"/>
          <w:right w:w="0" w:type="dxa"/>
        </w:tblCellMar>
      </w:tblPr>
      <w:tr>
        <w:trPr>
          <w:trHeight w:val="212"/>
        </w:trPr>
        <w:tc>
          <w:tcPr>
            <w:tcW w:w="43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obligations — beginning of period</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19,411</w:t>
            </w:r>
          </w:p>
        </w:tc>
      </w:tr>
      <w:tr>
        <w:trPr>
          <w:trHeight w:val="20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Liabilities incurred</w:t>
            </w: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settled and divested</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3"/>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Accretion of discount</w:t>
            </w:r>
          </w:p>
        </w:tc>
        <w:tc>
          <w:tcPr>
            <w:tcW w:w="10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w:t>
            </w:r>
          </w:p>
        </w:tc>
      </w:tr>
      <w:tr>
        <w:trPr>
          <w:trHeight w:val="19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obligations — end of period</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20,173</w:t>
            </w:r>
          </w:p>
        </w:tc>
      </w:tr>
      <w:tr>
        <w:trPr>
          <w:trHeight w:val="203"/>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current asset retirement obligations</w:t>
            </w:r>
          </w:p>
        </w:tc>
        <w:tc>
          <w:tcPr>
            <w:tcW w:w="10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196"/>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portion of asset retirement obligations</w:t>
            </w:r>
          </w:p>
        </w:tc>
        <w:tc>
          <w:tcPr>
            <w:tcW w:w="10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19,993</w:t>
            </w:r>
          </w:p>
        </w:tc>
      </w:tr>
      <w:tr>
        <w:trPr>
          <w:trHeight w:val="20"/>
        </w:trPr>
        <w:tc>
          <w:tcPr>
            <w:tcW w:w="4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subject to estimation.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2024, the Company had 34,076,846 shares of common stock outstanding.</w:t>
      </w:r>
    </w:p>
    <w:p>
      <w:pPr>
        <w:spacing w:after="0" w:line="225"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The Company began paying quarterly cash dividends on common stock in December 2013. As of December 31, 2024, the Company has cumulatively paid over $126.6 million in cash dividends. The Company paid dividends of $8.1 million and $8.0 million to its common stockholders during the six months ended December 31, 2024 and 2023,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reflects the dividends paid per share within the respective three-month periods:</w:t>
      </w:r>
    </w:p>
    <w:p>
      <w:pPr>
        <w:spacing w:after="0" w:line="133"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800" w:type="dxa"/>
            <w:vAlign w:val="bottom"/>
            <w:tcBorders>
              <w:bottom w:val="single" w:sz="8" w:color="auto"/>
            </w:tcBorders>
          </w:tcPr>
          <w:p>
            <w:pPr>
              <w:spacing w:after="0"/>
              <w:rPr>
                <w:sz w:val="18"/>
                <w:szCs w:val="18"/>
                <w:color w:val="auto"/>
              </w:rPr>
            </w:pPr>
          </w:p>
        </w:tc>
      </w:tr>
      <w:tr>
        <w:trPr>
          <w:trHeight w:val="199"/>
        </w:trPr>
        <w:tc>
          <w:tcPr>
            <w:tcW w:w="3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Second fiscal quarter</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0.120</w:t>
            </w: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First fiscal quarter</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0.120</w:t>
            </w:r>
          </w:p>
        </w:tc>
      </w:tr>
    </w:tbl>
    <w:p>
      <w:pPr>
        <w:spacing w:after="0" w:line="190"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212529"/>
        </w:rPr>
        <w:t>On October 21, 2024, the Company entered into an At-the-Market (“ATM”) equity Sales Agreement (the “ATM Sales Agreement”) with Roth Capital Partners, LLC (the “Lead Agent”), Northland Securities Inc., and A.G.P./Alliance Global Partners pursuant to which the Company may issue and sell, from time to time, up to $30.0 million of shares of common stock through or to the Lead Agent, acting as agent or principal. During the period ended December 31, 2024, the Company sold a total of approximately 0.4 million shares of its common stock under the ATM Sales Agreement for net proceeds of approximately $2.0 million, after deducting an initial $0.2 million in fees for due diligence incurred with the offering. The Company intends to use the net proceeds from any sales of common stock for general corporate purposes, including to redeem or repay outstanding indebtedness. The Company is not obligated to sell any shares of common stock in the future.</w:t>
      </w:r>
    </w:p>
    <w:p>
      <w:pPr>
        <w:spacing w:after="0" w:line="188"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On September 8, 2022, the Board of Directors approved a share repurchase program, under which the Company was authorized to repurchase up to $25.0 million of its common stock in the open market through December 31, 2024. The Company funded repurchases from working capital and cash provided by operating activities. The share repurchase program was complimentary to the existing dividend policy and was a tax efficient means to further improve shareholder return. The shares were repurchased from time to time in open market transactions, through privately negotiated transactions or by other means in accordance with federal securities laws. The Company repurchased a total of 0.8 million shares of its common stock under the program at a total cost of approximately $4.6 million, including incremental direct transaction costs.</w:t>
      </w:r>
    </w:p>
    <w:p>
      <w:pPr>
        <w:spacing w:after="0" w:line="19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2024 and 2023, the Company acquired treasury stock upon the ordinary course of scheduled vestings of employee stock-based awards to fund payroll tax withholding obligations. These treasury shares were subsequently cancelled. Such shares were valued at fair market value on the date of vesting.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all treasury stock purchases during the six months ended December 31, 2024 and 2023 (in thousands, except per share amounts):</w:t>
      </w:r>
    </w:p>
    <w:p>
      <w:pPr>
        <w:spacing w:after="0" w:line="7"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6"/>
                <w:szCs w:val="16"/>
                <w:color w:val="auto"/>
              </w:rPr>
            </w:pPr>
          </w:p>
        </w:tc>
      </w:tr>
      <w:tr>
        <w:trPr>
          <w:trHeight w:val="186"/>
        </w:trPr>
        <w:tc>
          <w:tcPr>
            <w:tcW w:w="3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3"/>
        </w:trPr>
        <w:tc>
          <w:tcPr>
            <w:tcW w:w="330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treasury shares acquired</w:t>
            </w:r>
          </w:p>
        </w:tc>
        <w:tc>
          <w:tcPr>
            <w:tcW w:w="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Average cost per share</w:t>
            </w:r>
          </w:p>
        </w:tc>
        <w:tc>
          <w:tcPr>
            <w:tcW w:w="168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280" w:type="dxa"/>
            <w:vAlign w:val="bottom"/>
          </w:tcPr>
          <w:p>
            <w:pPr>
              <w:spacing w:after="0"/>
              <w:rPr>
                <w:sz w:val="17"/>
                <w:szCs w:val="17"/>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r>
      <w:tr>
        <w:trPr>
          <w:trHeight w:val="196"/>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 of treasury shares acquired</w:t>
            </w: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
        </w:trPr>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Expected Tax Treatment of Dividends</w:t>
      </w:r>
    </w:p>
    <w:p>
      <w:pPr>
        <w:spacing w:after="0" w:line="121"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For the fiscal year ended June 30, 2024, all common stock dividends for that fiscal year were treated for tax purposes as qualified dividend income to the recipients. Based on its current projections for the fiscal year ended June 30, 2025, the Company expects all common stock dividends for such period to be treated as qualified dividend income to the recipients. Such projections are based on the Company’s reasonable expectations as of December 31, 2024 and are subject to change based on the Company’s final tax calculations at the end of the fiscal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Incentive Plan</w:t>
      </w:r>
    </w:p>
    <w:p>
      <w:pPr>
        <w:spacing w:after="0" w:line="12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Evolution Petroleum Corporation 2016 Equity Incentive Plan (the “2016 Plan”) authorized the issuance of 3.6 million shares of common stock prior to its expiration on December 8, 2026. On December 5, 2024 shareholders approved and adopted the amendment and restatement of the 2016 Plan (hereinafter the “Amended and Restated Plan”), which increased the shares authorized for issuance under the 2016 Plan by 2.1 million shares to a maximum of 5.7 million shares. The duration of the Amended and Restated Plan is indefinite, provided that no new awards shall be made under the Amended and Restated Plan on or after the tenth anniversary of the date the stockholders approved the Amended and Restated Plan. Incentives under the Amended and Restated Plan may be granted to employees, directors, and consultants of the Company in any one or a combination of the following forms: incentive stock options, non-qualified stock options, stock appreciation rights, restricted stock awards, restricted stock unit awards, and performance share awards. As of December 31, 2024 and June 30, 2024, approximately 2.5 million shares and 0.9 million shares, respectively, remained available for grant under the Amended and Restated Plan.</w:t>
      </w:r>
    </w:p>
    <w:p>
      <w:pPr>
        <w:spacing w:after="0" w:line="192" w:lineRule="exact"/>
        <w:rPr>
          <w:sz w:val="20"/>
          <w:szCs w:val="20"/>
          <w:color w:val="auto"/>
        </w:rPr>
      </w:pPr>
    </w:p>
    <w:p>
      <w:pPr>
        <w:jc w:val="both"/>
        <w:ind w:left="60" w:right="119"/>
        <w:spacing w:after="0" w:line="257" w:lineRule="auto"/>
        <w:rPr>
          <w:sz w:val="20"/>
          <w:szCs w:val="20"/>
          <w:color w:val="auto"/>
        </w:rPr>
      </w:pPr>
      <w:r>
        <w:rPr>
          <w:rFonts w:ascii="Times New Roman" w:cs="Times New Roman" w:eastAsia="Times New Roman" w:hAnsi="Times New Roman"/>
          <w:sz w:val="18"/>
          <w:szCs w:val="18"/>
          <w:color w:val="auto"/>
        </w:rPr>
        <w:t>The Company estimates the fair value of stock-based compensation awards on the grant date to provide the basis for future compensation expense. During the three and six months ended December 31, 2024, the Company recognized $0.7 million and $1.2 million, respectively, related to stock-based compensation. During the three and six months ended</w:t>
      </w:r>
    </w:p>
    <w:p>
      <w:pPr>
        <w:spacing w:after="0" w:line="1"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December 31, 2023, the Company recognized $0.6 million and $1.0 million, respectively, related to stock-based compensation. Stock-based compensation expense is recorded as a component of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on the unaudited condensed consolidated statements of operations.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Time-Vested Restricted Stock Awards</w:t>
      </w:r>
    </w:p>
    <w:p>
      <w:pPr>
        <w:spacing w:after="0" w:line="121"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Time-vested restricted stock awards contain service-based vesting conditions and expire after a maximum of four years from the date of grant if unvested. The common shares underlying these awards are issued on the date of grant and participate in dividends paid by the Company. These service-based awards vest with continuous employment by the Company, generally in annual installments over terms of three to four years. Awards to the Company’s directors 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Awards and Performance-Based Contingent Stock Units</w:t>
      </w:r>
    </w:p>
    <w:p>
      <w:pPr>
        <w:spacing w:after="0" w:line="121" w:lineRule="exact"/>
        <w:rPr>
          <w:sz w:val="20"/>
          <w:szCs w:val="20"/>
          <w:color w:val="auto"/>
        </w:rPr>
      </w:pPr>
    </w:p>
    <w:p>
      <w:pPr>
        <w:ind w:left="60" w:right="259"/>
        <w:spacing w:after="0" w:line="281" w:lineRule="auto"/>
        <w:rPr>
          <w:sz w:val="20"/>
          <w:szCs w:val="20"/>
          <w:color w:val="auto"/>
        </w:rPr>
      </w:pPr>
      <w:r>
        <w:rPr>
          <w:rFonts w:ascii="Times New Roman" w:cs="Times New Roman" w:eastAsia="Times New Roman" w:hAnsi="Times New Roman"/>
          <w:sz w:val="17"/>
          <w:szCs w:val="17"/>
          <w:color w:val="auto"/>
        </w:rPr>
        <w:t>Performance-based restricted stock awards and performance-based contingent stock units contain market-based vesting conditions based on the price of the Company’s common stock, the intrinsic value indexed solely to its common stock or the intrinsic value indexed to its common stock compared to the performance of the common stock of its peers. The common shares underlying the Company’s performance-based restricted stock awards are issued on the date of grant and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participate in dividends paid by the Company and expire after a maximum of four years from the date of grant if unvested. Performance-based contingent share units do not participate in dividends and shares are only issued in part or in full upon the attainment of vesting conditions, generally have a lower probability of achievement and expire after a maximum of four years from the date of grant if unvested. Shares underlying performance-based contingent share units are reserved from the 2016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and/or the Company’s absolute total stock return. For certain awards, this Monte Carlo simulation also provides an expected vesting term. Stock-based compensation is recognized ratably over the expected vesting period, so long as the award holder remains an employee of the Company. Previously recognized compensation expense is only reversed for the awards with market-based vesting conditions if the requisite service period is not rendered by the holder resulting in forfeiture of the award or as a result of regulatory required clawback.</w:t>
      </w:r>
    </w:p>
    <w:p>
      <w:pPr>
        <w:spacing w:after="0" w:line="190"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w:t>
      </w:r>
    </w:p>
    <w:p>
      <w:pPr>
        <w:spacing w:after="0" w:line="1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2024, the Company granted a total of 0.5 million equity awards that included 0.2 million time-vested restricted stock awards, 0.2 million performance-based restricted stock awards, and 0.1 million performance-based contingent stock units.</w:t>
      </w:r>
    </w:p>
    <w:p>
      <w:pPr>
        <w:spacing w:after="0" w:line="176"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2023, the Company granted a total of 0.4 million equity awards that included 0.2 million time-vested restricted stock awards, 0.1 million performance-based restricted stock awards, and 0.1 million of performance-based contingent stock units.</w:t>
      </w:r>
    </w:p>
    <w:p>
      <w:pPr>
        <w:spacing w:after="0" w:line="1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For performance-based awards granted during the six months ended December 31, 2024 and 2023, the assumptions used in the Monte Carlo simulation valuations were as follows:</w:t>
      </w:r>
    </w:p>
    <w:p>
      <w:pPr>
        <w:spacing w:after="0" w:line="70"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4"/>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5"/>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199"/>
        </w:trPr>
        <w:tc>
          <w:tcPr>
            <w:tcW w:w="4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69"/>
        </w:trPr>
        <w:tc>
          <w:tcPr>
            <w:tcW w:w="4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Weighted average fair value of performance-based awards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0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0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Unvested restricted stock awards as of December 31, 2024 consisted of the following:</w:t>
      </w:r>
    </w:p>
    <w:p>
      <w:pPr>
        <w:spacing w:after="0" w:line="27" w:lineRule="exact"/>
        <w:rPr>
          <w:sz w:val="20"/>
          <w:szCs w:val="20"/>
          <w:color w:val="auto"/>
        </w:rPr>
      </w:pPr>
    </w:p>
    <w:tbl>
      <w:tblPr>
        <w:tblLayout w:type="fixed"/>
        <w:tblInd w:w="1200" w:type="dxa"/>
        <w:tblCellMar>
          <w:top w:w="0" w:type="dxa"/>
          <w:left w:w="0" w:type="dxa"/>
          <w:bottom w:w="0" w:type="dxa"/>
          <w:right w:w="0" w:type="dxa"/>
        </w:tblCellMar>
      </w:tblPr>
      <w:tr>
        <w:trPr>
          <w:trHeight w:val="200"/>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12"/>
        </w:trPr>
        <w:tc>
          <w:tcPr>
            <w:tcW w:w="4580" w:type="dxa"/>
            <w:vAlign w:val="bottom"/>
            <w:gridSpan w:val="2"/>
          </w:tcPr>
          <w:p>
            <w:pPr>
              <w:ind w:left="1780"/>
              <w:spacing w:after="0"/>
              <w:rPr>
                <w:sz w:val="20"/>
                <w:szCs w:val="20"/>
                <w:color w:val="auto"/>
              </w:rPr>
            </w:pPr>
            <w:r>
              <w:rPr>
                <w:rFonts w:ascii="Times New Roman" w:cs="Times New Roman" w:eastAsia="Times New Roman" w:hAnsi="Times New Roman"/>
                <w:sz w:val="16"/>
                <w:szCs w:val="16"/>
                <w:b w:val="1"/>
                <w:bCs w:val="1"/>
                <w:color w:val="auto"/>
              </w:rPr>
              <w:t>Award Type</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02"/>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Time-vested awards</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396,477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03"/>
        </w:trPr>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Performance-based awards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417,923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196"/>
        </w:trPr>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814,400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20"/>
        </w:trPr>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restricted stock award transactions for the six months ended December 31, 2024:</w:t>
      </w: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3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Unamortized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306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306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96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14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2"/>
        </w:trPr>
        <w:tc>
          <w:tcPr>
            <w:tcW w:w="306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8"/>
                <w:szCs w:val="18"/>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(Years)</w:t>
            </w:r>
          </w:p>
        </w:tc>
      </w:tr>
      <w:tr>
        <w:trPr>
          <w:trHeight w:val="202"/>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June 30,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628,511</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Time-vested shares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187,155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Performance-based shares granted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189,477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Vested</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(182,316)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(8,427)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814,400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3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contingent restricted stock unit transactions for the six months ended December 31, 2024:</w:t>
      </w:r>
    </w:p>
    <w:p>
      <w:pPr>
        <w:spacing w:after="0" w:line="27" w:lineRule="exact"/>
        <w:rPr>
          <w:sz w:val="20"/>
          <w:szCs w:val="20"/>
          <w:color w:val="auto"/>
        </w:rPr>
      </w:pPr>
    </w:p>
    <w:tbl>
      <w:tblPr>
        <w:tblLayout w:type="fixed"/>
        <w:tblInd w:w="700" w:type="dxa"/>
        <w:tblCellMar>
          <w:top w:w="0" w:type="dxa"/>
          <w:left w:w="0" w:type="dxa"/>
          <w:bottom w:w="0" w:type="dxa"/>
          <w:right w:w="0" w:type="dxa"/>
        </w:tblCellMar>
      </w:tblPr>
      <w:tr>
        <w:trPr>
          <w:trHeight w:val="200"/>
        </w:trPr>
        <w:tc>
          <w:tcPr>
            <w:tcW w:w="2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2"/>
        </w:trPr>
        <w:tc>
          <w:tcPr>
            <w:tcW w:w="2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Unamortized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296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296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2"/>
        </w:trPr>
        <w:tc>
          <w:tcPr>
            <w:tcW w:w="296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(Years)</w:t>
            </w:r>
          </w:p>
        </w:tc>
      </w:tr>
      <w:tr>
        <w:trPr>
          <w:trHeight w:val="202"/>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June 30,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150,788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Performance-based awards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289,506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2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Earnings (Loss) per Common Share</w:t>
      </w:r>
    </w:p>
    <w:p>
      <w:pPr>
        <w:spacing w:after="0" w:line="229"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common share, reflecting the application of the two-class method (in thousands, except per share amounts):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74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8"/>
                <w:szCs w:val="18"/>
                <w:color w:val="auto"/>
              </w:rPr>
            </w:pPr>
          </w:p>
        </w:tc>
        <w:tc>
          <w:tcPr>
            <w:tcW w:w="174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49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Numerator</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(1,825)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8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Undistributed earnings allocated to unvested restricted stock</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(178)</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for earnings per share calculation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0" w:type="dxa"/>
            <w:vAlign w:val="bottom"/>
          </w:tcPr>
          <w:p>
            <w:pPr>
              <w:spacing w:after="0"/>
              <w:rPr>
                <w:sz w:val="1"/>
                <w:szCs w:val="1"/>
                <w:color w:val="auto"/>
              </w:rPr>
            </w:pPr>
          </w:p>
        </w:tc>
      </w:tr>
      <w:tr>
        <w:trPr>
          <w:trHeight w:val="183"/>
        </w:trPr>
        <w:tc>
          <w:tcPr>
            <w:tcW w:w="4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Denominator</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32,676</w:t>
            </w: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contingent restricted stock units</w:t>
            </w: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69"/>
        </w:trPr>
        <w:tc>
          <w:tcPr>
            <w:tcW w:w="492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Weighted average number of common shares and dilutive potential</w:t>
            </w: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32,934</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32,900</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32,994</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32,940</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used in diluted earnings per share</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(0.06)</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2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60" w:type="dxa"/>
            <w:vAlign w:val="bottom"/>
            <w:vMerge w:val="continue"/>
          </w:tcPr>
          <w:p>
            <w:pPr>
              <w:spacing w:after="0"/>
              <w:rPr>
                <w:sz w:val="15"/>
                <w:szCs w:val="15"/>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continue"/>
          </w:tcPr>
          <w:p>
            <w:pPr>
              <w:spacing w:after="0"/>
              <w:rPr>
                <w:sz w:val="15"/>
                <w:szCs w:val="15"/>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Unvested restricted stock awards (both time-vested and performance-based), totaling approximately 0.8 million for the three months ended December 31, 2024 were not included in the computation of diluted earnings per common share because the effect would have been anti-dilutive due to the net loss. Unvested restricted stock awards (both time-vested and performance-based), totaling approximately 0.1 million for the six months ended December 31, 2024, were not included in the computation of diluted earnings per common share because the effect would have been anti-dilutive.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Unvested restricted stock awards (both time-vested and performance-based), totaling approximately 0.2 million and 0.1 million for the three and six months ended December 31, 2023, respectively, were not included in the computation of diluted earning per common share because the effect would have been anti-dilutive.</w:t>
      </w:r>
    </w:p>
    <w:p>
      <w:pPr>
        <w:spacing w:after="0" w:line="17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In addition, unvested performance-based restricted stock awards and unvested contingent restricted stock units that would not meet the performance criteria as of the period end are excluded from the computation of diluted earnings per common share.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Additional Financial Statement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Certain amounts on the unaudited condensed consolidated balance sheets are comprised of the following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9"/>
        </w:trPr>
        <w:tc>
          <w:tcPr>
            <w:tcW w:w="5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insurance</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Prepaid federal and state income taxes</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w:t>
            </w:r>
          </w:p>
        </w:tc>
      </w:tr>
      <w:tr>
        <w:trPr>
          <w:trHeight w:val="202"/>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Carryback of EOR tax credit</w:t>
            </w: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Advances to operators</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other</w:t>
            </w:r>
          </w:p>
        </w:tc>
        <w:tc>
          <w:tcPr>
            <w:tcW w:w="1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36"/>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3,855</w:t>
            </w:r>
          </w:p>
        </w:tc>
      </w:tr>
      <w:tr>
        <w:trPr>
          <w:trHeight w:val="183"/>
        </w:trPr>
        <w:tc>
          <w:tcPr>
            <w:tcW w:w="224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Deposit</w:t>
            </w:r>
            <w:r>
              <w:rPr>
                <w:rFonts w:ascii="Times New Roman" w:cs="Times New Roman" w:eastAsia="Times New Roman" w:hAnsi="Times New Roman"/>
                <w:sz w:val="23"/>
                <w:szCs w:val="23"/>
                <w:i w:val="1"/>
                <w:i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r>
      <w:tr>
        <w:trPr>
          <w:trHeight w:val="203"/>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Right of use asset under operating lease</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196"/>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r>
      <w:tr>
        <w:trPr>
          <w:trHeight w:val="20"/>
        </w:trPr>
        <w:tc>
          <w:tcPr>
            <w:tcW w:w="2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Accrued liabilities and other:</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payables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incentive and other compensation</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03"/>
        </w:trPr>
        <w:tc>
          <w:tcPr>
            <w:tcW w:w="57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Accrued royalties payable</w:t>
            </w:r>
            <w:r>
              <w:rPr>
                <w:rFonts w:ascii="Times New Roman" w:cs="Times New Roman" w:eastAsia="Times New Roman" w:hAnsi="Times New Roman"/>
                <w:sz w:val="23"/>
                <w:szCs w:val="23"/>
                <w:i w:val="1"/>
                <w:iCs w:val="1"/>
                <w:color w:val="auto"/>
                <w:vertAlign w:val="superscript"/>
              </w:rPr>
              <w:t>(2)</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taxes other than federal and state income tax</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settlements on derivative contracts</w:t>
            </w: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02"/>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obligations due within one year</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03"/>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Accrued interest and other</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196"/>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accrued liabilities and other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6,239</w:t>
            </w:r>
          </w:p>
        </w:tc>
      </w:tr>
      <w:tr>
        <w:trPr>
          <w:trHeight w:val="20"/>
        </w:trPr>
        <w:tc>
          <w:tcPr>
            <w:tcW w:w="2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r>
    </w:tbl>
    <w:p>
      <w:pPr>
        <w:spacing w:after="0" w:line="103" w:lineRule="exact"/>
        <w:rPr>
          <w:sz w:val="20"/>
          <w:szCs w:val="20"/>
          <w:color w:val="auto"/>
        </w:rPr>
      </w:pPr>
    </w:p>
    <w:p>
      <w:pPr>
        <w:ind w:left="380" w:right="99" w:hanging="330"/>
        <w:spacing w:after="0" w:line="208" w:lineRule="auto"/>
        <w:tabs>
          <w:tab w:leader="none" w:pos="380" w:val="left"/>
        </w:tabs>
        <w:numPr>
          <w:ilvl w:val="0"/>
          <w:numId w:val="6"/>
        </w:numPr>
        <w:rPr>
          <w:rFonts w:ascii="Times New Roman" w:cs="Times New Roman" w:eastAsia="Times New Roman" w:hAnsi="Times New Roman"/>
          <w:sz w:val="27"/>
          <w:szCs w:val="27"/>
          <w:b w:val="1"/>
          <w:bCs w:val="1"/>
          <w:i w:val="1"/>
          <w:iCs w:val="1"/>
          <w:color w:val="auto"/>
          <w:vertAlign w:val="superscript"/>
        </w:rPr>
      </w:pPr>
      <w:r>
        <w:rPr>
          <w:rFonts w:ascii="Times New Roman" w:cs="Times New Roman" w:eastAsia="Times New Roman" w:hAnsi="Times New Roman"/>
          <w:sz w:val="18"/>
          <w:szCs w:val="18"/>
          <w:color w:val="auto"/>
        </w:rPr>
        <w:t>The deposit of $1.2 million is related to a long-term gas gathering deposit with Enterprise entered into at closing of the Company’s Jonah Field properties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27"/>
          <w:szCs w:val="27"/>
          <w:b w:val="1"/>
          <w:bCs w:val="1"/>
          <w:i w:val="1"/>
          <w:iCs w:val="1"/>
          <w:color w:val="auto"/>
          <w:vertAlign w:val="superscript"/>
        </w:rPr>
      </w:pPr>
    </w:p>
    <w:p>
      <w:pPr>
        <w:ind w:left="380" w:right="339" w:hanging="330"/>
        <w:spacing w:after="0" w:line="209" w:lineRule="auto"/>
        <w:tabs>
          <w:tab w:leader="none" w:pos="380" w:val="left"/>
        </w:tabs>
        <w:numPr>
          <w:ilvl w:val="0"/>
          <w:numId w:val="6"/>
        </w:numPr>
        <w:rPr>
          <w:rFonts w:ascii="Times New Roman" w:cs="Times New Roman" w:eastAsia="Times New Roman" w:hAnsi="Times New Roman"/>
          <w:sz w:val="26"/>
          <w:szCs w:val="26"/>
          <w:b w:val="1"/>
          <w:bCs w:val="1"/>
          <w:i w:val="1"/>
          <w:iCs w:val="1"/>
          <w:color w:val="auto"/>
          <w:vertAlign w:val="superscript"/>
        </w:rPr>
      </w:pPr>
      <w:r>
        <w:rPr>
          <w:rFonts w:ascii="Times New Roman" w:cs="Times New Roman" w:eastAsia="Times New Roman" w:hAnsi="Times New Roman"/>
          <w:sz w:val="17"/>
          <w:szCs w:val="17"/>
          <w:color w:val="auto"/>
        </w:rPr>
        <w:t xml:space="preserve">Accrued royalties payable relate to royalty and owner payments in the Jonah Field as the Company takes its natural gas and NGL working interest production in-kind. See Note 2, </w:t>
      </w: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xml:space="preserve"> for a further discussion.</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Declaration</w:t>
      </w:r>
    </w:p>
    <w:p>
      <w:pPr>
        <w:spacing w:after="0" w:line="229" w:lineRule="exact"/>
        <w:rPr>
          <w:sz w:val="20"/>
          <w:szCs w:val="20"/>
          <w:color w:val="auto"/>
        </w:rPr>
      </w:pPr>
    </w:p>
    <w:p>
      <w:pPr>
        <w:ind w:left="60" w:right="899"/>
        <w:spacing w:after="0" w:line="282" w:lineRule="auto"/>
        <w:rPr>
          <w:sz w:val="20"/>
          <w:szCs w:val="20"/>
          <w:color w:val="auto"/>
        </w:rPr>
      </w:pPr>
      <w:r>
        <w:rPr>
          <w:rFonts w:ascii="Times New Roman" w:cs="Times New Roman" w:eastAsia="Times New Roman" w:hAnsi="Times New Roman"/>
          <w:sz w:val="18"/>
          <w:szCs w:val="18"/>
          <w:color w:val="auto"/>
        </w:rPr>
        <w:t>On February 10, 2025, the Company declared a quarterly cash dividend of $0.120 per share of common stock to shareholders of record on March 14, 2025 and payable on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Executive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9359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1475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9899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89965" cy="889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Critical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12947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Commonly Used Terms</w:t>
      </w:r>
    </w:p>
    <w:p>
      <w:pPr>
        <w:spacing w:after="0" w:line="2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“Current quarter” refers to the three months ended December 31, 2024, our second quarter of fiscal year 2025.</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i w:val="1"/>
          <w:iCs w:val="1"/>
          <w:color w:val="auto"/>
        </w:rPr>
        <w:t>“Year-ago quarter” refers to the three months ended December 31, 2023, our second quarter of fiscal year 2024.</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Our oil and natural gas properties consist of non-operated </w:t>
      </w:r>
      <w:r>
        <w:rPr>
          <w:rFonts w:ascii="Times New Roman" w:cs="Times New Roman" w:eastAsia="Times New Roman" w:hAnsi="Times New Roman"/>
          <w:sz w:val="18"/>
          <w:szCs w:val="18"/>
          <w:color w:val="333333"/>
        </w:rPr>
        <w:t>interests in the SCOOP and STACK plays of the Anadarko Basin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located in central Oklahoma; </w:t>
      </w:r>
      <w:r>
        <w:rPr>
          <w:rFonts w:ascii="Times New Roman" w:cs="Times New Roman" w:eastAsia="Times New Roman" w:hAnsi="Times New Roman"/>
          <w:sz w:val="18"/>
          <w:szCs w:val="18"/>
          <w:color w:val="000000"/>
        </w:rPr>
        <w:t>the Chaveroo oilfield in Chaves and Roosevelt Counties of New Mexico;</w:t>
      </w:r>
      <w:r>
        <w:rPr>
          <w:rFonts w:ascii="Times New Roman" w:cs="Times New Roman" w:eastAsia="Times New Roman" w:hAnsi="Times New Roman"/>
          <w:sz w:val="18"/>
          <w:szCs w:val="18"/>
          <w:color w:val="333333"/>
        </w:rPr>
        <w:t xml:space="preserve"> Jonah </w:t>
      </w:r>
      <w:r>
        <w:rPr>
          <w:rFonts w:ascii="Times New Roman" w:cs="Times New Roman" w:eastAsia="Times New Roman" w:hAnsi="Times New Roman"/>
          <w:sz w:val="18"/>
          <w:szCs w:val="18"/>
          <w:color w:val="000000"/>
        </w:rPr>
        <w:t>Field in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Sublette County, Wyoming; the Williston Basin in North Dakota; the Barnett Shale located in North Texas; the Hamilton Dome Field located in Hot Springs County, Wyoming; the Delhi Holt-Bryant Unit in the Delhi Field in Northeast Louisiana; and small overriding royalty interests in four onshore central Texas wells.</w:t>
      </w:r>
    </w:p>
    <w:p>
      <w:pPr>
        <w:spacing w:after="0" w:line="183" w:lineRule="exact"/>
        <w:rPr>
          <w:sz w:val="20"/>
          <w:szCs w:val="20"/>
          <w:color w:val="auto"/>
        </w:rPr>
      </w:pPr>
    </w:p>
    <w:p>
      <w:pPr>
        <w:ind w:left="60" w:right="379"/>
        <w:spacing w:after="0" w:line="256" w:lineRule="auto"/>
        <w:rPr>
          <w:sz w:val="20"/>
          <w:szCs w:val="20"/>
          <w:color w:val="auto"/>
        </w:rPr>
      </w:pPr>
      <w:r>
        <w:rPr>
          <w:rFonts w:ascii="Times New Roman" w:cs="Times New Roman" w:eastAsia="Times New Roman" w:hAnsi="Times New Roman"/>
          <w:sz w:val="18"/>
          <w:szCs w:val="18"/>
          <w:color w:val="auto"/>
        </w:rPr>
        <w:t>Our non-operated interests in the SCOOP and STACK plays consist of oil and natural gas producing properties in the Anadarko basin, where we hold approximately 2.6% average net working interest and approximately 2.0% average net revenue interests located on approximately 103,700 gross or 4,200 net acres (approximately 96% held by production), across Blaine, Canadian, Carter, Custer, Dewey, Garvin, Grady, Kingfisher, McClain, Murray, and Stephens counties in Oklahoma. The oil and natural gas properties are operated by Continental Resources, Inc., Ovintiv USA Inc. and EOG Resources, Inc. with approximately 40% of wells operated by other operators.</w:t>
      </w:r>
    </w:p>
    <w:p>
      <w:pPr>
        <w:spacing w:after="0" w:line="187" w:lineRule="exact"/>
        <w:rPr>
          <w:sz w:val="20"/>
          <w:szCs w:val="20"/>
          <w:color w:val="auto"/>
        </w:rPr>
      </w:pPr>
    </w:p>
    <w:p>
      <w:pPr>
        <w:jc w:val="both"/>
        <w:ind w:left="60" w:right="179"/>
        <w:spacing w:after="0" w:line="261" w:lineRule="auto"/>
        <w:rPr>
          <w:sz w:val="20"/>
          <w:szCs w:val="20"/>
          <w:color w:val="auto"/>
        </w:rPr>
      </w:pPr>
      <w:r>
        <w:rPr>
          <w:rFonts w:ascii="Times New Roman" w:cs="Times New Roman" w:eastAsia="Times New Roman" w:hAnsi="Times New Roman"/>
          <w:sz w:val="18"/>
          <w:szCs w:val="18"/>
          <w:color w:val="auto"/>
        </w:rPr>
        <w:t>Our non-operated interests in the Chaveroo oilfield consist of a 50% net working interest, with an average associated 41% revenue interest, in approximately 3,200 gross or 1,600 net acres all held by production, associated with five development blocks with the right to acquire the same working interest in additional development locations and associated acreage at a fixed price. The field is operated by PEDEVCO Corp. (“PEDEVCO”).</w:t>
      </w:r>
    </w:p>
    <w:p>
      <w:pPr>
        <w:spacing w:after="0" w:line="180"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Our non-operated interests in the Jonah Field, a natural gas and NGL property in Sublette County, Wyoming, consist of approximately 20% average net working interest and approximately 15% average net revenue interest located on approximately 5,300 gross or 950 net acres all held by production. The properties are operated by Jonah Energy.</w:t>
      </w:r>
    </w:p>
    <w:p>
      <w:pPr>
        <w:spacing w:after="0" w:line="1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Our non-operated interests in the Williston Basin, an oil and natural gas producing property, consist of approximately 39% average net working interest and approximately 33% average net revenue interest located on approximately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141,400 gross or 42,200 net acres (approximately 95% held by production) across Billings, Golden Valley, and McKenzie Counties in North Dakota. The properties are operated by Foundation Energy Management.</w:t>
      </w:r>
    </w:p>
    <w:p>
      <w:pPr>
        <w:spacing w:after="0" w:line="16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non-operated interests in the Barnett Shale, a natural gas and NGL producing shale reservoir, consist of approximately 17% average net working interest and approximately 14% average net revenue interest (inclusive of small overriding royalty interests). The approximately 123,800 gross or 21,000 net acres are held by production across nine North Texas counties. The oil and natural gas properties are primarily operated by Diversified Energy Company with approximately 10% of wells operated by six other operators.</w:t>
      </w:r>
    </w:p>
    <w:p>
      <w:pPr>
        <w:spacing w:after="0" w:line="183"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approximately 5,900 gross acre unitized field, of which we hold approximately 1,400 net acres, is operated by Merit Energy Company, who owns the majority of the remaining working interest in the Hamilton Dome Field. The Hamilton Dome Field is located in the southwest region of the Big Horn Basin in northwest Wyoming.</w:t>
      </w:r>
    </w:p>
    <w:p>
      <w:pPr>
        <w:spacing w:after="0" w:line="93"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Our non-operated interests in the Delhi Field, a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-EOR project,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a subsidiary of Exxon Mobil Corporation. The approximately 13,600 gross acre unitized Delhi Field, of which we hold approximately 3,200 net acres, is located in northeast Louisiana in Franklin, Madison, and Richland Parishes.</w:t>
      </w:r>
    </w:p>
    <w:p>
      <w:pPr>
        <w:spacing w:after="0" w:line="183"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During the six months ended December 31, 2024, crude oil, natural gas and NGL production increased 13% compared to the year-ago period due to our recent acquisitions and development drilling activities since the year-ago period. Our crude oil, natural gas and NGL revenues had a modest increase of 1% over the same period despite our increase in production volumes due to declines in commodity prices. Our lease operating costs for the six months ended December 31, 2024 have decreased 10%, or $2.13 per BOE, compared to the year-ago period. See below for a further discussion around our results of operations and cash flow activities.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Declaration</w:t>
      </w:r>
    </w:p>
    <w:p>
      <w:pPr>
        <w:spacing w:after="0" w:line="229"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On February 10, 2025, Evolution’s Board of Directors approved and declared a quarterly dividend of $0.12 per common share payable March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At-the-Market (“ATM”) Equity Sales Program</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212529"/>
        </w:rPr>
        <w:t>On October 21, 2024, we entered into an ATM equity Sales Agreement (the “ATM Sales Agreement”) with Roth Capital Partners, LLC (the “Lead Agent”), Northland Securities Inc., and A.G.P./Alliance Global Partners pursuant to which we may issue and sell, from time to time, up to $30.0 million of shares of common stock through or to the Lead Agent, acting as agent or principal. During the period ended December 31, 2024, we sold a total of approximately 0.4 million shares of our common stock under the ATM Sales Agreement for net proceeds of approximately $2.0 million, after deducting an initial $0.2 million in fees for due diligence incurred with the offering. We intend to use the net proceeds from any sales of common stock for general corporate purposes, including to redeem or repay outstanding indebtedness. We are not obligated to sell any shares of common stock in the future.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oil and natural gas industry is a global market impacted by many factors, such as government regulations, particularly in the areas of trade sanctions, taxation, energy, climate change and the environment, geopolitical instability and armed conflicts (including between Russia and Ukraine and in the Middle East between Israel and Gaza), demand in Asian and European markets, and the extent to which members of OPEC and other oil exporting nations manage oil supply through export quotas. Natural gas prices are generally determined by North American supply and demand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are also affected by imports and exports of liquefied natural gas. Weather also has a significant impact on demand for natural gas since it is a primary heating source.</w:t>
      </w:r>
    </w:p>
    <w:p>
      <w:pPr>
        <w:spacing w:after="0" w:line="162"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Oil and natural gas prices have been, and we expect may continue to be, volatile. Lower oil and natural gas prices not only decrease our revenues, but an extended decline in oil or natural gas prices may affect planned capital expenditures and the oil and natural gas reserves that we can economically produce. Lower oil and natural gas prices may also reduce the amount of our borrowing base under our Senior Secured Credit Facility, which is determined at the discretion of the lenders based on various factors including the collateral value of our proved reserves, as well as the dividend rate determined by the Board of Directors each quarter.</w:t>
      </w:r>
    </w:p>
    <w:p>
      <w:pPr>
        <w:spacing w:after="0" w:line="18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At times, we maintain cash balances in excess of the U.S. Federal Deposit Insurance Corporation (“FDIC”). We utilize insured cash sweep deposits to maximize the amount of our cash that is protected by FDIC insurance.</w:t>
      </w:r>
    </w:p>
    <w:p>
      <w:pPr>
        <w:spacing w:after="0" w:line="162" w:lineRule="exact"/>
        <w:rPr>
          <w:sz w:val="20"/>
          <w:szCs w:val="20"/>
          <w:color w:val="auto"/>
        </w:rPr>
      </w:pPr>
    </w:p>
    <w:p>
      <w:pPr>
        <w:jc w:val="both"/>
        <w:ind w:left="60" w:right="359"/>
        <w:spacing w:after="0" w:line="261" w:lineRule="auto"/>
        <w:rPr>
          <w:sz w:val="20"/>
          <w:szCs w:val="20"/>
          <w:color w:val="auto"/>
        </w:rPr>
      </w:pPr>
      <w:r>
        <w:rPr>
          <w:rFonts w:ascii="Times New Roman" w:cs="Times New Roman" w:eastAsia="Times New Roman" w:hAnsi="Times New Roman"/>
          <w:sz w:val="18"/>
          <w:szCs w:val="18"/>
          <w:color w:val="auto"/>
        </w:rPr>
        <w:t>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the management of capital expenditures.</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Given the dynamic nature of these factors and events, we cannot reasonably estimate the period of time that certain market conditions will persist. Nor can we predict the broader impact of liquidity concerns around financial institutions; the impact to long-term cost of capital or economic growth as a result of the Federal Reserve’s policies; or the impact on the commodity prices that we realize.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As of December 31, 2024, we had $11.7 million in cash and cash equivalents and $39.5 million outstanding borrowings on our Senior Secured Credit Facility compared to $6.4 million in cash and cash equivalents and $39.5 million borrowings outstanding on our Senior Secured Credit Facility at June 30, 2024. Our primary sources of liquidity and capital resources during the six months ended December 31, 2024 were cash provided by operations. Our primary uses of liquidity and capital resources for the three months ended December 31, 2024 were our cash dividend payments to our common stockholders and development capital expenditures. As of December 31, 2024, working capital was $10.5 million, an increase of $4.6 million from working capital of $5.9 million as of June 30, 2024.</w:t>
      </w:r>
    </w:p>
    <w:p>
      <w:pPr>
        <w:spacing w:after="0" w:line="18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Senior Secured Credit Facility has a maximum capacity of $50.0 million subject to a borrowing base determined by the lender based on the value of our oil and natural gas properties. The Senior Secured Credit Facility has a current borrowing base of $50.0 million, with $39.5 million drawn as of December 31, 2024. The Senior Secured Credit Facility is secured by substantially all of our oil and natural gas properties and matures on April 9, 2026.</w:t>
      </w:r>
    </w:p>
    <w:p>
      <w:pPr>
        <w:spacing w:after="0" w:line="180"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Borrowings bear interest, at our option, at either the SOFR plus 2.80% or the Prime Rate, as defined under the Senior Secured Credit Facility, plus 1.0%. For the six months ended December 31, 2024, the weighted average interest on our borrowings was 7.80%. The Senior Secured Credit Facility contains covenants requiring the maintenance of (i) a total leverage ratio of not more than 3.00 to 1.00, (ii) a current ratio of not less than 1.00 to 1.00, and (iii) a consolidated tangible net worth of not less than $40.0 million, each as defined in the Senior Secured Credit Facility. It also contains other customary affirmative and negative covenants, including a hedging covenant discussed below, and events of default. As of December 31, 2024, we were in compliance with all covenants under the Senior Secured Credit Facility.</w:t>
      </w:r>
    </w:p>
    <w:p>
      <w:pPr>
        <w:spacing w:after="0" w:line="18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contains hedging requirements that apply when there is 25% or more utilization of the Margined Collateral Value, as defined under the Senior Secured Credit Facility, to the extent it exceeds the borrowing base then in effect. The Required Hedging Percentage, as defined in the Eighth Amendment to the Senior Secured Credit Facility dated November 9, 2021, provides for a tiered approach for adding hedges based on the utilization of the facility. On February 12, 2024, in conjunction with the Scoop/Stack Acquisitions, we entered into an amendment to the Senior Secured Credit Facility, which required us to enter into hedges for the next 12-month period, and on a rolling 12-month basis thereafter, covering expected crude oil and natural gas production from proved developed reserves, calculated separately, equal to a minimum of 40% of expected crude oil production each month,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139"/>
        <w:spacing w:after="0" w:line="289" w:lineRule="auto"/>
        <w:rPr>
          <w:sz w:val="20"/>
          <w:szCs w:val="20"/>
          <w:color w:val="auto"/>
        </w:rPr>
      </w:pPr>
      <w:r>
        <w:rPr>
          <w:rFonts w:ascii="Times New Roman" w:cs="Times New Roman" w:eastAsia="Times New Roman" w:hAnsi="Times New Roman"/>
          <w:sz w:val="17"/>
          <w:szCs w:val="17"/>
          <w:color w:val="auto"/>
        </w:rPr>
        <w:t>25% each of expected crude oil and natural gas production each month over that period. Thus, we had the option to choose whether to hedge 40% of expected crude oil production or 25% each of expected crude oil and natural gas production. As of December 31, 2024, we were in compliance with the hedging requirements under the Senior Secured Credit Facility.</w:t>
      </w:r>
    </w:p>
    <w:p>
      <w:pPr>
        <w:spacing w:after="0" w:line="158"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requires for redeterminations of the borrowing base to occur semi-annually. At each redetermination, the Margined Collateral Value is updated based on the estimated value of our oil and natural gas properties, which includes our proved developed reserves, proved undeveloped reserves, and other relevant factors consistent with customary oil and natural gas lending criteria. As a result of our fall borrowing base redetermination, the utilization percentage of our Senior Secured Credit Facility increased whereby we will be required to hedge 50% of our expected crude oil and natural gas production. During the third quarter of fiscal year 2025, we will either make principal repayments of approximately $7.0 million to MidFirst, reducing our borrowings outstanding to such a level that the utilization percentage of the facility drops below 50% or enter into additional derivative contracts to hedge at least 50% of expected crude oil and natural gas production.</w:t>
      </w:r>
    </w:p>
    <w:p>
      <w:pPr>
        <w:spacing w:after="0" w:line="188" w:lineRule="exact"/>
        <w:rPr>
          <w:sz w:val="20"/>
          <w:szCs w:val="20"/>
          <w:color w:val="auto"/>
        </w:rPr>
      </w:pPr>
    </w:p>
    <w:p>
      <w:pPr>
        <w:ind w:left="60" w:right="299"/>
        <w:spacing w:after="0" w:line="277" w:lineRule="auto"/>
        <w:rPr>
          <w:sz w:val="20"/>
          <w:szCs w:val="20"/>
          <w:color w:val="auto"/>
        </w:rPr>
      </w:pPr>
      <w:r>
        <w:rPr>
          <w:rFonts w:ascii="Times New Roman" w:cs="Times New Roman" w:eastAsia="Times New Roman" w:hAnsi="Times New Roman"/>
          <w:sz w:val="17"/>
          <w:szCs w:val="17"/>
          <w:color w:val="auto"/>
        </w:rPr>
        <w:t>We have historically funded operations through cash from operations and working capital. Our primary source of cash is the sale of produced crude oil, natural gas, and NGLs. A portion of these cash flows is used to fund capital expenditures and pay cash dividends to shareholders. We expect to fund near-future capital development activities for our properties with cash flows from operating activities, existing working capital and, as needed, borrowings under our Senior Secured Credit Facility and proceeds from the ATM Sales Agreement (as described in “</w:t>
      </w:r>
      <w:r>
        <w:rPr>
          <w:rFonts w:ascii="Times New Roman" w:cs="Times New Roman" w:eastAsia="Times New Roman" w:hAnsi="Times New Roman"/>
          <w:sz w:val="17"/>
          <w:szCs w:val="17"/>
          <w:i w:val="1"/>
          <w:iCs w:val="1"/>
          <w:color w:val="auto"/>
        </w:rPr>
        <w:t>Recent Developments</w:t>
      </w:r>
      <w:r>
        <w:rPr>
          <w:rFonts w:ascii="Times New Roman" w:cs="Times New Roman" w:eastAsia="Times New Roman" w:hAnsi="Times New Roman"/>
          <w:sz w:val="17"/>
          <w:szCs w:val="17"/>
          <w:color w:val="auto"/>
        </w:rPr>
        <w:t>” above).</w:t>
      </w:r>
    </w:p>
    <w:p>
      <w:pPr>
        <w:spacing w:after="0" w:line="16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are pursuing new growth opportunities through acquisitions and other transactions. In addition to cash on hand, we have access to the undrawn portion of the borrowing base available under our Senior Secured Credit Facility, totaling $10.5 million as of December 31, 2024. We also have an effective shelf registration statement with the SEC under which we may issue up to $500.0 million of new debt or equity securities.</w:t>
      </w:r>
    </w:p>
    <w:p>
      <w:pPr>
        <w:spacing w:after="0" w:line="18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212529"/>
        </w:rPr>
        <w:t>On October 21, 2024, we entered into an ATM Sales Agreement with Roth Capital Partners, LLC as our Lead Agent, Northland Securities Inc., and A.G.P./Alliance Global Partners pursuant to which we may issue and sell, from time to time, up to $30.0 million of shares of common stock through or to the Lead Agent, acting as agent or principal. During the period ended December 31, 2024, we sold a total of approximately 0.4 million shares of our common stock under the ATM Sales Agreement for net proceeds of approximately $2.0 million, after deducting an initial $0.2 million in fees for due diligence incurred with the offering; however, we are not obligated to sell any shares of common stock in the future.</w:t>
      </w:r>
    </w:p>
    <w:p>
      <w:pPr>
        <w:spacing w:after="0" w:line="18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Board of Directors instituted a cash dividend on common stock in December 2013. We have since paid 45 consecutive quarterly dividends. Distribution of a substantial portion of free cash flow in excess of operating and capital requirements through cash dividends remains a priority of our financial strategy, and it is our long-term goal to increase dividends over time, as appropriate. On February 10, 2025, the Board of Directors declared a quarterly cash dividend of $0.12 per share of common stock to shareholders of record on March 14, 2025 and payable on March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During the six months ending December 31, 2024, we incurred $2.2 million on development capital expenditures. During the first half of fiscal 2025, capital spending occurred at our fields, including at SCOOP/STACK where our operators are actively drilling and have brought 10 gross wells online during the fiscal year. Based on discussions with our operators, we expect capital workover projects to continue in most of our fields throughout the year.</w:t>
      </w:r>
    </w:p>
    <w:p>
      <w:pPr>
        <w:spacing w:after="0" w:line="180"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Overall, for fiscal year 2025, we expect budgeted capital expenditures to be in the range of $12.5 million to $14.5 million, which excludes any potential acquisitions. Our expected capital expenditures for fiscal year 2025 include the 10 gross wells brought online at SCOOP/STACK during the first six months of the fiscal year, discussed above, and bringing an additional eight gross wells online during the remainder of the year. It also includes the drilling and completion of four new gross wells at Chaveroo Field for development block two, which commenced drilling operations in January 2025, and the drilling and completion of one new well at Delhi Field Test Site V.</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Full Cost Pool Ceiling Test</w:t>
      </w:r>
    </w:p>
    <w:p>
      <w:pPr>
        <w:spacing w:after="0" w:line="22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December 31, 2024 were $76.32 per barrel of oil, $2.13 per MMBtu of natural gas and $22.60 per barrel of NGLs. As of December 31, 2024, our capitalized costs of oil and natural gas properties were below the full cost valuation ceiling. If commodity price levels were to substantially decline from the 12-month average first day of the month pricing levels as of December 31, 2024 and remain down for a prolonged period of time, our valuation ceiling over our capitalized costs may be reduced and adversely impact our ceiling test results in future quarters. While using the crude oil and natural gas price for January 1, 2025 of $72.44 per barrel and $3.40 per MMBtu, and holding it constant for two months to create a trailing 12-month period of average prices (which is more reflective of recent price trends) would not generate an impairment under our ceiling test limitation, we cannot give assurance that a write-down of capitalized oil and natural gas properties will not be required in the future.</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 of Cash Flow Activities</w:t>
      </w:r>
    </w:p>
    <w:p>
      <w:pPr>
        <w:spacing w:after="0" w:line="245" w:lineRule="exact"/>
        <w:rPr>
          <w:sz w:val="20"/>
          <w:szCs w:val="20"/>
          <w:color w:val="auto"/>
        </w:rPr>
      </w:pPr>
    </w:p>
    <w:tbl>
      <w:tblPr>
        <w:tblLayout w:type="fixed"/>
        <w:tblInd w:w="92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24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2"/>
        </w:trPr>
        <w:tc>
          <w:tcPr>
            <w:tcW w:w="36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w:t>
            </w:r>
          </w:p>
        </w:tc>
      </w:tr>
      <w:tr>
        <w:trPr>
          <w:trHeight w:val="203"/>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r>
      <w:tr>
        <w:trPr>
          <w:trHeight w:val="20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r>
      <w:tr>
        <w:trPr>
          <w:trHeight w:val="19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5,221</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7,795</w:t>
            </w:r>
          </w:p>
        </w:tc>
      </w:tr>
      <w:tr>
        <w:trPr>
          <w:trHeight w:val="20"/>
        </w:trPr>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 xml:space="preserve">Cash provided by operating activities for the six months ended December 31, 2024 increased $4.0 million compared to the six months ended December 31, 2023 primarily due to an increase in revenues and changes in the timing of our working capital. Total revenues increased $0.5 million as compared to the prior year period primarily due increased production volumes partially offset by lower commodity prices. Our average daily production increased 832 BOEPD or 13.0% from the prior year period; however our average realized price per barrel of oil equivalent (“BOE”) decreased $3.68, or 10.4% from the prior year period. Refer to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below for further information.</w:t>
      </w:r>
    </w:p>
    <w:p>
      <w:pPr>
        <w:spacing w:after="0" w:line="18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December 31, 2024 decreased $1.9 million compared to the six months ended December 31, 2023 primarily due to the participation of our drilling and completion of three gross wells in the Chaveroo Field in the prior year partially offset by the addition of our SCOOP/STACK properties and associated development capital expenditures since the prior year period.</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 xml:space="preserve">Net cash flows used in financing activities for the six months ended December 31, 2024 decreased $2.0 million compared to the six months ended December 31, 2023 primarily due to proceeds received from the sale of our common stock under our ATM Sales Agreement. For the six months ended, December 31, 2024, we paid $8.1 million in cash dividends to our common stockholders and received </w:t>
      </w:r>
      <w:r>
        <w:rPr>
          <w:rFonts w:ascii="Times New Roman" w:cs="Times New Roman" w:eastAsia="Times New Roman" w:hAnsi="Times New Roman"/>
          <w:sz w:val="18"/>
          <w:szCs w:val="18"/>
          <w:color w:val="212529"/>
        </w:rPr>
        <w:t>net proceeds from the sale of common stock under the ATM Sales Agreement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approximately $2.0 million, after deducting and initial $0.2 million of fees for due diligence incurred with the offering</w:t>
      </w:r>
      <w:r>
        <w:rPr>
          <w:rFonts w:ascii="Times New Roman" w:cs="Times New Roman" w:eastAsia="Times New Roman" w:hAnsi="Times New Roman"/>
          <w:sz w:val="18"/>
          <w:szCs w:val="18"/>
          <w:color w:val="000000"/>
        </w:rPr>
        <w:t>. For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six months ended December 31, 2023, we paid $8.0 million in cash dividends to our common stockholders.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December 31, 2024 and 2023</w:t>
      </w:r>
    </w:p>
    <w:p>
      <w:pPr>
        <w:spacing w:after="0" w:line="229"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We reported a net loss of $1.8 million and net income of $1.1 million for the three months ended December 31, 2024 and 2023, respectively. The following table summarizes the comparison of financial information for the periods presented:</w:t>
      </w:r>
    </w:p>
    <w:p>
      <w:pPr>
        <w:spacing w:after="0" w:line="1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(1,825)</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1,082</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(2,907)</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(268.7)</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(738)</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(11.3) %</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 liquids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 %</w:t>
            </w:r>
          </w:p>
        </w:tc>
      </w:tr>
      <w:tr>
        <w:trPr>
          <w:trHeight w:val="142"/>
        </w:trPr>
        <w:tc>
          <w:tcPr>
            <w:tcW w:w="41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20,275</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21,024</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(749)</w:t>
            </w: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Gathering, transportation, and other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8,590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depreciation, and accretion: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5,024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Accretion of asset retirement obligations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(loss) on derivative contracts</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(730)</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2,147.1</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1,265</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(228.3)</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(MBOE)</w:t>
            </w:r>
            <w:r>
              <w:rPr>
                <w:rFonts w:ascii="Times New Roman" w:cs="Times New Roman" w:eastAsia="Times New Roman" w:hAnsi="Times New Roman"/>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Average daily production (BOEPD)</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Average price per unit</w:t>
            </w:r>
            <w:r>
              <w:rPr>
                <w:rFonts w:ascii="Times New Roman" w:cs="Times New Roman" w:eastAsia="Times New Roman" w:hAnsi="Times New Roman"/>
                <w:sz w:val="17"/>
                <w:szCs w:val="17"/>
                <w:i w:val="1"/>
                <w:iCs w:val="1"/>
                <w:color w:val="auto"/>
                <w:vertAlign w:val="superscript"/>
              </w:rPr>
              <w:t>(2)</w:t>
            </w: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(BBL)</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65.72</w:t>
            </w:r>
          </w:p>
        </w:tc>
        <w:tc>
          <w:tcPr>
            <w:tcW w:w="220" w:type="dxa"/>
            <w:vAlign w:val="bottom"/>
          </w:tcPr>
          <w:p>
            <w:pPr>
              <w:spacing w:after="0"/>
              <w:rPr>
                <w:sz w:val="12"/>
                <w:szCs w:val="12"/>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73.96</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(11.1) %</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(MCF)</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(0.62)</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 %</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(9.1) %</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(BOE)</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cost per unit: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0.07</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Gathering, transportation, and other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4" w:lineRule="exact"/>
        <w:rPr>
          <w:sz w:val="20"/>
          <w:szCs w:val="20"/>
          <w:color w:val="auto"/>
        </w:rPr>
      </w:pPr>
    </w:p>
    <w:p>
      <w:pPr>
        <w:ind w:left="380" w:right="159" w:hanging="330"/>
        <w:spacing w:after="0" w:line="229" w:lineRule="auto"/>
        <w:tabs>
          <w:tab w:leader="none" w:pos="380" w:val="left"/>
        </w:tabs>
        <w:numPr>
          <w:ilvl w:val="0"/>
          <w:numId w:val="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80" w:hanging="330"/>
        <w:spacing w:after="0"/>
        <w:tabs>
          <w:tab w:leader="none" w:pos="380" w:val="left"/>
        </w:tabs>
        <w:numPr>
          <w:ilvl w:val="0"/>
          <w:numId w:val="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Amounts exclude the impact of cash paid or received on the settlement of derivative contracts since we did not elect to apply hedge accounting.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Crude oil, natural gas and NGL revenues were $20.3 million and $21.0 million for the three months ended</w:t>
      </w:r>
    </w:p>
    <w:p>
      <w:pPr>
        <w:spacing w:after="0" w:line="27" w:lineRule="exact"/>
        <w:rPr>
          <w:sz w:val="20"/>
          <w:szCs w:val="20"/>
          <w:color w:val="auto"/>
        </w:rPr>
      </w:pPr>
    </w:p>
    <w:p>
      <w:pPr>
        <w:ind w:left="60" w:right="59"/>
        <w:spacing w:after="0" w:line="238" w:lineRule="auto"/>
        <w:rPr>
          <w:sz w:val="20"/>
          <w:szCs w:val="20"/>
          <w:color w:val="auto"/>
        </w:rPr>
      </w:pPr>
      <w:r>
        <w:rPr>
          <w:rFonts w:ascii="Times New Roman" w:cs="Times New Roman" w:eastAsia="Times New Roman" w:hAnsi="Times New Roman"/>
          <w:sz w:val="18"/>
          <w:szCs w:val="18"/>
          <w:color w:val="auto"/>
        </w:rPr>
        <w:t>December 31, 2024 and 2023, respectively. The decrease in revenues is due to a decrease in our average realized price per BOE partially offset by an increase in production volumes. Our average realized commodity price (excluding the impact of derivative contracts) for the three months ended December 31, 2024 decreased approximately $4.47 per BOE, or 12.3%, over the prior year quarter. The amount we realize for our production depends predominantly upon commodity prices, which are affected by changes in market demand and supply, as impacted by overall economic activity, weather, inventory storage levels, basis differentials and other factors. Realized natural gas prices decreased 18.5% from the year-ago quarter, which was the primary driver of the decrease in revenues. Average daily equivalent production increased 10.0% from 6,304 BOEPD in the prior year quarter to 6,935 BOEPD in the current quarter as a result of the acquisitions of non-operated working interests in the SCOOP/STACK plays in February 2024 and first production of our wells at Chaveroo Field in early February 2024, which collectively increased production for the three months ended December 31, 2024 by approximately 1,200 BOEPD. The overall increase in production is partially offset by natural production declines in our other fields, as well as temporary reductions in oil sales at Williston Basin, where crude oil was left in tanks at quarter-end, combined with reduced oil recovery at Delhi Field as the field experienced a reduction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injection volumes since the prior year period due to downtime from compressors and the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 pipeline taken offline.</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 Operating Costs</w:t>
      </w:r>
    </w:p>
    <w:p>
      <w:pPr>
        <w:spacing w:after="0" w:line="11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Ad valorem and production taxes were $1.4 million and $1.3 million for the three months ended December 31, 2024 and 2023, respectively. The increase in ad valorem and production taxes is primarily due to increases in ad valorem tax rates at Barnett Shale. On a per unit basis, ad valorem and production taxes were $2.26 per BOE and $2.19 per BOE for the three months ended December 31, 2024 and 2023, respectively.</w:t>
      </w:r>
    </w:p>
    <w:p>
      <w:pPr>
        <w:spacing w:after="0" w:line="180"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Gathering, transportation and other costs were $2.9 million for the three months ended December 31, 2024 compared to $2.5 million for the three months ended December 31, 2023. Costs include gathering, transportation and processing fees we incur primarily for our natural gas producing properties. The increase is primarily due to the acquisitions of non-operated working interests in the SCOOP/STACK plays in February 2024 which added $0.5 million in gathering transportation and other costs for the three months ended December 31, 2024. On a per unit basis, gathering transportation and other costs were $4.53 per BOE and $4.30 per BOE for the three months ended December 31, 2024 and 2023, respectively.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lease operating costs were $8.5 million for the three months ended December 31, 2024 compared to $8.6 million for</w:t>
      </w:r>
    </w:p>
    <w:p>
      <w:pPr>
        <w:ind w:left="60"/>
        <w:spacing w:after="0" w:line="207" w:lineRule="auto"/>
        <w:rPr>
          <w:sz w:val="20"/>
          <w:szCs w:val="20"/>
          <w:color w:val="auto"/>
        </w:rPr>
      </w:pPr>
      <w:r>
        <w:rPr>
          <w:rFonts w:ascii="Times New Roman" w:cs="Times New Roman" w:eastAsia="Times New Roman" w:hAnsi="Times New Roman"/>
          <w:sz w:val="18"/>
          <w:szCs w:val="18"/>
          <w:color w:val="auto"/>
        </w:rPr>
        <w:t>the three months ended December 31, 2023. Other lease operating costs decreased primarily due to reduced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w:t>
      </w:r>
    </w:p>
    <w:p>
      <w:pPr>
        <w:ind w:left="60"/>
        <w:spacing w:after="0" w:line="184" w:lineRule="auto"/>
        <w:rPr>
          <w:sz w:val="20"/>
          <w:szCs w:val="20"/>
          <w:color w:val="auto"/>
        </w:rPr>
      </w:pPr>
      <w:r>
        <w:rPr>
          <w:rFonts w:ascii="Times New Roman" w:cs="Times New Roman" w:eastAsia="Times New Roman" w:hAnsi="Times New Roman"/>
          <w:sz w:val="18"/>
          <w:szCs w:val="18"/>
          <w:color w:val="auto"/>
        </w:rPr>
        <w:t>at Delhi.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resumed in late October of 2024 and we had net purchases of $1.1 million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for the three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months ended December 31, 2024 compared to net purchases of $1.6 million in the year-ago quarter. Partially offsetting</w:t>
      </w:r>
    </w:p>
    <w:p>
      <w:pPr>
        <w:ind w:left="60"/>
        <w:spacing w:after="0" w:line="191" w:lineRule="auto"/>
        <w:rPr>
          <w:sz w:val="20"/>
          <w:szCs w:val="20"/>
          <w:color w:val="auto"/>
        </w:rPr>
      </w:pPr>
      <w:r>
        <w:rPr>
          <w:rFonts w:ascii="Times New Roman" w:cs="Times New Roman" w:eastAsia="Times New Roman" w:hAnsi="Times New Roman"/>
          <w:sz w:val="18"/>
          <w:szCs w:val="18"/>
          <w:color w:val="auto"/>
        </w:rPr>
        <w:t>the reduction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were cost increases due to the acquisitions of non-operated working interests in the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SCOOP/STACK plays in February 2024 and the addition of wells drilled since our acquisitions which collectively added</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$0.4 million in other lease operating costs. On a per unit basis, other lease operating costs were $13.26 per BOE and $14.81</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 BOE for the three months ended December 31, 2024 and 2023, respectively.</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Depletion of Full Cost Proved Oil and Natural Gas Properties</w:t>
      </w:r>
    </w:p>
    <w:p>
      <w:pPr>
        <w:spacing w:after="0" w:line="11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Depletion expense increased $0.8 million or 18.5% from $4.2 million to $5.0 million for the three months ended December 31, 2024 primarily due to an increase in the depletion rate and the addition of depletable assets. On a per unit basis, depletion expense was $7.87 per BOE and $7.31 per BOE for the three months ended December 31, 2024 and 2023, respectively. The depletion rate of our unit of production calculation increased due to an increase in our depletable base due to our SCOOP/STACK Acquisitions and capital expenditures since the year-ago quarter.</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December 31, 2024 and 2023 were $2.0 million and $1.9 million, respectively. On a per unit basis, general and administrative expenses were $3.13 per BOE and $3.34 per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BOE for the three months ended December 31, 2024 and 2023, respectively. The decrease on a per unit basis is the primarily result of the increase in production for the current year quarter.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December 31, 2024 increased $0.1 million to $0.7 million compared to $0.6 million for the year-ago quarter. The increase is associated with new awards granted since the year-ago quarter.</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Gain (Loss) on Derivative Contracts</w:t>
      </w:r>
    </w:p>
    <w:p>
      <w:pPr>
        <w:spacing w:after="0" w:line="119"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our SCOOP/STACK Acquisitions in February 2024 and the corresponding borrowings on our Senior Secured Credit Facility, we were required by terms in our Senior Secured Credit Facility to hedge a portion of our production. The increase in forward commodity prices as of December 31, 2024 from the prior quarter, resulted in an unrealized loss on the mark-to-market of our hedges for the three months ended December 31, 2024. As of December 31, 2024, we had $1.3 million derivative assets, $1.1 million of which was classified as current, and $1.7 million derivative liabilities, $0.4 million of which was classified as current.</w:t>
      </w:r>
    </w:p>
    <w:p>
      <w:pPr>
        <w:spacing w:after="0" w:line="19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Realized gain (loss) on derivative contracts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(loss) on derivative contracts</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net gain (loss) on derivative contracts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(1,219)</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(1,219)</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crude oil price per BBL</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73.96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oil derivative contracts per 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0.83</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Crude oil price per BBL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66.55</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73.96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(7.41)</w:t>
            </w:r>
          </w:p>
        </w:tc>
        <w:tc>
          <w:tcPr>
            <w:tcW w:w="2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natural gas price per MCF</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(0.62)</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4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natural gas derivative contracts per MCF</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4140" w:type="dxa"/>
            <w:vAlign w:val="bottom"/>
            <w:gridSpan w:val="2"/>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Natural gas price per MCF (including impact of realized</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2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2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(0.62)</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Interest expense increased $0.7 million for the three months ended December 31, 2024 compared to the prior year period primarily due to borrowings drawn on our Senior Secured Credit Facility to finance our SCOOP/STACK Acquisitions in February 2024.</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1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2024, we recognized income tax benefit of $0.7 million on net loss before income taxes of $2.5 million compared to income tax expense of $0.6 million on net income before income taxes of $1.6 million for the three months ended December 31, 2023. The effective tax rates were 28.0% and 33.9% for three months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 Months Ended December 31, 2024 and 2023</w:t>
      </w:r>
    </w:p>
    <w:p>
      <w:pPr>
        <w:spacing w:after="0" w:line="229" w:lineRule="exact"/>
        <w:rPr>
          <w:sz w:val="20"/>
          <w:szCs w:val="20"/>
          <w:color w:val="auto"/>
        </w:rPr>
      </w:pPr>
    </w:p>
    <w:p>
      <w:pPr>
        <w:jc w:val="both"/>
        <w:ind w:left="60" w:right="859"/>
        <w:spacing w:after="0" w:line="312" w:lineRule="auto"/>
        <w:rPr>
          <w:sz w:val="20"/>
          <w:szCs w:val="20"/>
          <w:color w:val="auto"/>
        </w:rPr>
      </w:pPr>
      <w:r>
        <w:rPr>
          <w:rFonts w:ascii="Times New Roman" w:cs="Times New Roman" w:eastAsia="Times New Roman" w:hAnsi="Times New Roman"/>
          <w:sz w:val="17"/>
          <w:szCs w:val="17"/>
          <w:color w:val="auto"/>
        </w:rPr>
        <w:t>We reported net income of $0.2 million and $2.6 million for the six months ended December 31, 2024 and 2023, respectively. The following table summarizes the comparison of financial information for the periods presented:</w:t>
      </w:r>
    </w:p>
    <w:p>
      <w:pPr>
        <w:spacing w:after="0" w:line="15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240</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2,556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(2,316)</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(90.6)</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24,375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2,125</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(2,005)</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 liquids</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5,593</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5,167</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41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42,171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41,625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546</w:t>
            </w:r>
          </w:p>
        </w:tc>
        <w:tc>
          <w:tcPr>
            <w:tcW w:w="220" w:type="dxa"/>
            <w:vAlign w:val="bottom"/>
          </w:tcPr>
          <w:p>
            <w:pPr>
              <w:spacing w:after="0"/>
              <w:rPr>
                <w:sz w:val="12"/>
                <w:szCs w:val="12"/>
                <w:color w:val="auto"/>
              </w:rPr>
            </w:pPr>
          </w:p>
        </w:tc>
        <w:tc>
          <w:tcPr>
            <w:tcW w:w="8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Gathering, transportation, and other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5,679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4,399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(1,243)</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depreciation, and accretion: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8,148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2,201</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Accretion of asset retirement obligations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3,963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(loss) on derivative contracts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(1,587)</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(1,521)</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2,304.5</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907</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4,353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(MBOE)</w:t>
            </w:r>
            <w:r>
              <w:rPr>
                <w:rFonts w:ascii="Times New Roman" w:cs="Times New Roman" w:eastAsia="Times New Roman" w:hAnsi="Times New Roman"/>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Average daily production (BOEPD)</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7,212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6,380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Average price per unit</w:t>
            </w:r>
            <w:r>
              <w:rPr>
                <w:rFonts w:ascii="Times New Roman" w:cs="Times New Roman" w:eastAsia="Times New Roman" w:hAnsi="Times New Roman"/>
                <w:sz w:val="17"/>
                <w:szCs w:val="17"/>
                <w:i w:val="1"/>
                <w:iCs w:val="1"/>
                <w:color w:val="auto"/>
                <w:vertAlign w:val="superscript"/>
              </w:rPr>
              <w:t>(2)</w:t>
            </w: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(BBL)</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69.19</w:t>
            </w:r>
          </w:p>
        </w:tc>
        <w:tc>
          <w:tcPr>
            <w:tcW w:w="220" w:type="dxa"/>
            <w:vAlign w:val="bottom"/>
          </w:tcPr>
          <w:p>
            <w:pPr>
              <w:spacing w:after="0"/>
              <w:rPr>
                <w:sz w:val="12"/>
                <w:szCs w:val="12"/>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76.17</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(9.2) %</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(MCF)</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(0.72)</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 %</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 %</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(BOE)</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 %</w:t>
            </w: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cost per unit: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220" w:type="dxa"/>
            <w:vAlign w:val="bottom"/>
          </w:tcPr>
          <w:p>
            <w:pPr>
              <w:spacing w:after="0"/>
              <w:rPr>
                <w:sz w:val="12"/>
                <w:szCs w:val="12"/>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Gathering, transportation, and other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0.86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(0.48)</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4" w:lineRule="exact"/>
        <w:rPr>
          <w:sz w:val="20"/>
          <w:szCs w:val="20"/>
          <w:color w:val="auto"/>
        </w:rPr>
      </w:pPr>
    </w:p>
    <w:p>
      <w:pPr>
        <w:ind w:left="380" w:right="159" w:hanging="330"/>
        <w:spacing w:after="0" w:line="229" w:lineRule="auto"/>
        <w:tabs>
          <w:tab w:leader="none" w:pos="380" w:val="left"/>
        </w:tabs>
        <w:numPr>
          <w:ilvl w:val="0"/>
          <w:numId w:val="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80" w:hanging="330"/>
        <w:spacing w:after="0"/>
        <w:tabs>
          <w:tab w:leader="none" w:pos="380" w:val="left"/>
        </w:tabs>
        <w:numPr>
          <w:ilvl w:val="0"/>
          <w:numId w:val="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Amounts exclude the impact of cash paid or received on the settlement of derivative contracts since we did not elect to apply hedge accounting.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Crude oil, natural gas and NGL revenues were $42.2 million and $41.6 million for the six months ended</w:t>
      </w:r>
    </w:p>
    <w:p>
      <w:pPr>
        <w:spacing w:after="0" w:line="27" w:lineRule="exact"/>
        <w:rPr>
          <w:sz w:val="20"/>
          <w:szCs w:val="20"/>
          <w:color w:val="auto"/>
        </w:rPr>
      </w:pPr>
    </w:p>
    <w:p>
      <w:pPr>
        <w:ind w:left="60" w:right="139"/>
        <w:spacing w:after="0" w:line="265" w:lineRule="auto"/>
        <w:rPr>
          <w:sz w:val="20"/>
          <w:szCs w:val="20"/>
          <w:color w:val="auto"/>
        </w:rPr>
      </w:pPr>
      <w:r>
        <w:rPr>
          <w:rFonts w:ascii="Times New Roman" w:cs="Times New Roman" w:eastAsia="Times New Roman" w:hAnsi="Times New Roman"/>
          <w:sz w:val="17"/>
          <w:szCs w:val="17"/>
          <w:color w:val="auto"/>
        </w:rPr>
        <w:t>December 31, 2024 and 2023, respectively. The increase in revenues is primarily due to an increase in production volumes partially offset by the decrease in our average realized price per BOE. Average daily equivalent production increased</w:t>
      </w:r>
    </w:p>
    <w:p>
      <w:pPr>
        <w:ind w:left="60" w:right="59"/>
        <w:spacing w:after="0" w:line="228" w:lineRule="auto"/>
        <w:rPr>
          <w:sz w:val="20"/>
          <w:szCs w:val="20"/>
          <w:color w:val="auto"/>
        </w:rPr>
      </w:pPr>
      <w:r>
        <w:rPr>
          <w:rFonts w:ascii="Times New Roman" w:cs="Times New Roman" w:eastAsia="Times New Roman" w:hAnsi="Times New Roman"/>
          <w:sz w:val="18"/>
          <w:szCs w:val="18"/>
          <w:color w:val="auto"/>
        </w:rPr>
        <w:t>13.0% from 6,380 BOEPD in the prior year period to 7,212 BOEPD in the current period as a result of the SCOOP/STACK Acquisitions in February 2024 and first production of our wells at Chaveroo Field in early February 2024, which collectively increased production for the six months ended December 31, 2024 by approximately 1,400 BOEPD. The overall increase in production is partially offset by natural production declines in our other fields combined with reduced oil recovery at Delhi Field as the field experienced reduced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injected volumes during the current period as compared to the prior year period. The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 pipeline was taken offline for preventative maintenance at the end of February 2024 and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were not resumed until late October 2024. Our average realized commodity price (excluding the impact of derivative contracts) for the six months ended December 31, 2024 decreased approximately $3.68 per BOE, or 10.4%, over the prior year period. The amount we realize for our production depends predominantly upon commodity prices, which are affected by changes in market demand and supply, as impacted by overall economic activity, weather, inventory storage levels, basis differentials and other factors. Realized natural gas prices decreased 23.7% from the six months ended December 31, 2023, which was the primary driver of the decreased revenues.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 Operating Costs</w:t>
      </w:r>
    </w:p>
    <w:p>
      <w:pPr>
        <w:spacing w:after="0" w:line="22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Ad valorem and production taxes were $2.9 million and $2.6 million for the six months ended December 31, 2024 and 2023, respectively. The increase in ad valorem and production taxes is primarily due to our SCOOP/STACK Acquisitions since the prior year period. On a per unit basis, ad valorem and production taxes were $2.15 per BOE and $2.17 per BOE for the six months ended December 31, 2024 and 2023, respectively. The slight decrease on a per BOE basis is a result of the increase in production for the current year period.</w:t>
      </w:r>
    </w:p>
    <w:p>
      <w:pPr>
        <w:spacing w:after="0" w:line="18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Gathering, transportation and other costs were $5.7 million for the six months ended December 31, 2024 compared to $4.4 million for the six months ended December 31, 2023. Costs include gathering, transportation and processing fees we incur primarily for our natural gas producing properties. The increase is primarily due to the acquisitions of non-operated working interests in the SCOOP/STACK plays in February 2024 which added $1.0 million in gathering, transportation and other costs for the six months ended December 31, 2024. On a per unit basis, gathering, transportation and other costs were $4.28 per BOE and $3.75 per BOE for the six months ended December 31, 2024 and 2023, respectively.</w:t>
      </w:r>
    </w:p>
    <w:p>
      <w:pPr>
        <w:spacing w:after="0" w:line="187" w:lineRule="exact"/>
        <w:rPr>
          <w:sz w:val="20"/>
          <w:szCs w:val="20"/>
          <w:color w:val="auto"/>
        </w:rPr>
      </w:pPr>
    </w:p>
    <w:p>
      <w:pPr>
        <w:ind w:left="60" w:right="119"/>
        <w:spacing w:after="0" w:line="221" w:lineRule="auto"/>
        <w:rPr>
          <w:sz w:val="20"/>
          <w:szCs w:val="20"/>
          <w:color w:val="auto"/>
        </w:rPr>
      </w:pPr>
      <w:r>
        <w:rPr>
          <w:rFonts w:ascii="Times New Roman" w:cs="Times New Roman" w:eastAsia="Times New Roman" w:hAnsi="Times New Roman"/>
          <w:sz w:val="18"/>
          <w:szCs w:val="18"/>
          <w:color w:val="auto"/>
        </w:rPr>
        <w:t>Other lease operating costs were $16.0 million for the six months ended December 31, 2024 compared to $17.3 million for the six months ended December 31, 2023. Other lease operating costs decreased primarily due to reduced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at Delhi.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resumed in late October of 2024 and we had net purchases $1.1 million of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for the six months ended December 31, 2024 compared to net purchases of $3.2 million in the year-ago period. Partially offsetting the reduction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were cost increases due to the acquisitions of non-operated working interests in the SCOOP/STACK plays in February 2024 and the addition of wells drilled since acquisitions which collectively added $0.8 million in other lease operating costs. On a per unit basis, other lease operating costs decreased to $12.09 per BOE for the six months ended December 31, 2024 from $14.73 per BOE in the six months ended December 31, 2023.</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Depletion of Full Cost Proved Oil and Natural Gas Properties</w:t>
      </w:r>
    </w:p>
    <w:p>
      <w:pPr>
        <w:spacing w:after="0" w:line="22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Depletion expense increased $2.2 million or 27.0% from $8.1 million to $10.3 million for the six months ended December 31, 2024 primarily due to an increase in the depletion rate and increase in depletable assets. On a per unit basis, depletion expense was $7.80 per BOE and $6.94 per BOE for the six months ended December 31, 2024 and 2023, respectively. The depletion rate of our unit of production calculation increased due to an increase in our depletable base due to our SCOOP/STACK Acquisitions and capital expenditures since the year-ago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December 31, 2024 and 2023 were $4.0 million and $4.1 million, respectively. The decrease primarily relates to lower transaction and consulting fees. On a per unit basis, general and administrative expenses were $2.99 per BOE and $3.47 per BOE for the six months ended December 31, 2024 and 2023, respectively. In addition to lower transaction and consulting fees, the increase in production for the current year period further reduced general and administrative expense on per BOE basis.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the six months ended December 31, 2024 increased $0.2 million to $1.2 million compared to $1.0 million for the year-ago period. The increase is associated with new awards granted since the year-ago period.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Gain (Loss) on Derivative Contracts</w:t>
      </w:r>
    </w:p>
    <w:p>
      <w:pPr>
        <w:spacing w:after="0" w:line="227"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our SCOOP/STACK Acquisitions in February 2024 and the corresponding borrowings on our Senior Secured Credit Facility, we were required by terms in our Senior Secured Credit Facility to hedge a portion of our production. The decrease in forward commodity prices as of December 31, 2024 as compared to June 30, 2024, resulted in an unrealized gain on the mark-to-market of our hedges for the six months ended December 31, 2024. As of December 31, 2024, we had $1.3 million derivative assets, $1.1 million of which was classified as current, and $1.7 million derivative liabilities, $0.4 million of which was classified as current.</w:t>
      </w:r>
    </w:p>
    <w:p>
      <w:pPr>
        <w:spacing w:after="0" w:line="19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Realized gain (loss) on derivative contracts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(loss) on derivative contracts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net gain (loss) on derivative contracts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579</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579</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crude oil price per BBL</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69.19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oil derivative contracts per 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Crude oil price per BBL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69.40</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76.17</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(6.77)</w:t>
            </w:r>
          </w:p>
        </w:tc>
        <w:tc>
          <w:tcPr>
            <w:tcW w:w="2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 %</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natural gas price per MCF</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(0.72)</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natural gas derivative contracts per MCF</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4140" w:type="dxa"/>
            <w:vAlign w:val="bottom"/>
            <w:gridSpan w:val="2"/>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Natural gas price per MCF (including impact of realized</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2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(0.72)</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Interest expense increased $1.5 million for the six months ended December 31, 2024 compared to the prior year period primarily due to borrowings drawn on our Senior Secured Credit Facility to finance our SCOOP/STACK Acquisitions in February 2024. The weighted average interest rate on our borrowings was 7.80% for the six months ended December 31, 2024.</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7" w:lineRule="exact"/>
        <w:rPr>
          <w:sz w:val="20"/>
          <w:szCs w:val="20"/>
          <w:color w:val="auto"/>
        </w:rPr>
      </w:pPr>
    </w:p>
    <w:p>
      <w:pPr>
        <w:ind w:left="60" w:right="199"/>
        <w:spacing w:after="0" w:line="277" w:lineRule="auto"/>
        <w:rPr>
          <w:sz w:val="20"/>
          <w:szCs w:val="20"/>
          <w:color w:val="auto"/>
        </w:rPr>
      </w:pPr>
      <w:r>
        <w:rPr>
          <w:rFonts w:ascii="Times New Roman" w:cs="Times New Roman" w:eastAsia="Times New Roman" w:hAnsi="Times New Roman"/>
          <w:sz w:val="17"/>
          <w:szCs w:val="17"/>
          <w:color w:val="auto"/>
        </w:rPr>
        <w:t>For the six months ended December 31, 2024, we recognized income tax expense of $0.1 million on net income before income taxes of $0.4 million compared to income tax expense of $1.0 million on net income before income taxes of $3.6 million for the six months ended December 31, 2023. The effective tax rates were 31.4% and 28.5% for six months ended December 31, 2024 and 2023, respectively. The effective tax rate increased compared to the year-ago period as projected state income taxes have become a larger component of our overall income tax expense during the current period.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the unaudited condensed consolidated financial statements. 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unaudited condensed consolidated financial statements. There have been no material changes to our critical accounting policies from those described in our Annual Report on Form 10-K for the fiscal year ended June 30, 2024.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Activity</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are exposed to various risks, including energy commodity price risk, such as price differentials between the NYMEX commodity price and the index price at the location where our production is sold. When oil, natural gas, and natural gas liquids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 In accordance with our Senior Secured Credit Facility, we may be required to enter into hedges if we meet certain utilization levels of the borrowing base under the credit facility. We intend to remain in compliance with these covenants and will enter into derivative contracts from time to time to meet the requirements. Additionally, depending on market conditions, financial and other considerations we may enter into additional hedges to meet our objectives of increasing value to shareholders.</w:t>
      </w:r>
    </w:p>
    <w:p>
      <w:pPr>
        <w:spacing w:after="0" w:line="194"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2025 and 2024, we did not post collateral. We account for our derivative activities under the provisions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establishes accounting and reporting that every derivative instrument be recorded on the balance sheet as either an asset or liability measured at fair value. See Note 7,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to our unaudited condensed consolidated financial statements for more details.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We are exposed to changes in interest rates. Changes in interest rates affect the interest earned on our cash and cash equivalents. Additionally, any borrowings under the Senior Secured Credit Facility will bear interest, at our option, at either SOFR plus 2.80%, subject to a minimum SOFR of 0.50%, or the Prime Rate, as defined under the Senior Secured Credit Facility, plus 1.00%. SOFR rates are sensitive to the period of contract and market volatility, as well as changes in forward interest rate yields. Under our current practices, we do not use interest rate derivative instruments to manage exposure to interest rate changes.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(“SEC”) rules and forms. This information is accumulated and communicated to our management, including our Principal Executive Officer and Principal Financial Officer, as appropriate, to allow for timely decisions regarding required disclosure.</w:t>
      </w:r>
    </w:p>
    <w:p>
      <w:pPr>
        <w:spacing w:after="0" w:line="18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defined in Exchange Act Rules 13a-15(c) and 15(d)-15(e)) as of the end of the quarter covered by this report. In designing and evaluating our disclosure controls and procedures, our management recognizes that controls and procedures, no matter how well designed and operated, can provide only reasonable assurance of achieving desired control objectives. Based on the foregoing, our Principal Executive Officer and Principal Financial Officer concluded that as of December 31, 2024 our disclosure controls and procedures are effective in ensuring that the information required to be disclosed in our reports filed or submitted under the Exchange Act is recorded, processed, summarized, and reported within the time periods specified in the SEC rules and forms.</w:t>
      </w:r>
    </w:p>
    <w:p>
      <w:pPr>
        <w:spacing w:after="0" w:line="18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during the quarter ended December 31, 2024, we have determined that there have been no changes in our internal control over financial reporting that have materially affected, or are reasonably likely to materially affect, our internal control over financial reporting.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left="60" w:right="219"/>
        <w:spacing w:after="0" w:line="267"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unaudited condensed consolidated financial statements in Item 1. </w:t>
      </w:r>
      <w:r>
        <w:rPr>
          <w:rFonts w:ascii="Times New Roman" w:cs="Times New Roman" w:eastAsia="Times New Roman" w:hAnsi="Times New Roman"/>
          <w:sz w:val="18"/>
          <w:szCs w:val="18"/>
          <w:i w:val="1"/>
          <w:iCs w:val="1"/>
          <w:color w:val="auto"/>
        </w:rPr>
        <w:t xml:space="preserve">Condensed Consolidated Financial Statements (Unaudited) </w:t>
      </w:r>
      <w:r>
        <w:rPr>
          <w:rFonts w:ascii="Times New Roman" w:cs="Times New Roman" w:eastAsia="Times New Roman" w:hAnsi="Times New Roman"/>
          <w:sz w:val="18"/>
          <w:szCs w:val="18"/>
          <w:color w:val="auto"/>
        </w:rPr>
        <w:t>for a description of any legal proceedings,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herein by reference.</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Annual Report on Form 10-K for the year ended June 30, 2024 includes a detailed description of our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table below summarizes information about the Company's purchases of its equity securities during the three months ended December 31, 2024.</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 Total number</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 Maximum dollar value</w:t>
            </w:r>
          </w:p>
        </w:tc>
      </w:tr>
      <w:tr>
        <w:trPr>
          <w:trHeight w:val="203"/>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 Total number</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of shares</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that may yet be</w:t>
            </w:r>
          </w:p>
        </w:tc>
      </w:tr>
      <w:tr>
        <w:trPr>
          <w:trHeight w:val="203"/>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purchased as part</w:t>
            </w:r>
          </w:p>
        </w:tc>
        <w:tc>
          <w:tcPr>
            <w:tcW w:w="160" w:type="dxa"/>
            <w:vAlign w:val="bottom"/>
          </w:tcPr>
          <w:p>
            <w:pPr>
              <w:spacing w:after="0"/>
              <w:rPr>
                <w:sz w:val="17"/>
                <w:szCs w:val="17"/>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purchased under the</w:t>
            </w:r>
          </w:p>
        </w:tc>
      </w:tr>
      <w:tr>
        <w:trPr>
          <w:trHeight w:val="189"/>
        </w:trPr>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purchased and</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(b) Average price</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public announced</w:t>
            </w:r>
          </w:p>
        </w:tc>
        <w:tc>
          <w:tcPr>
            <w:tcW w:w="160" w:type="dxa"/>
            <w:vAlign w:val="bottom"/>
          </w:tcPr>
          <w:p>
            <w:pPr>
              <w:spacing w:after="0"/>
              <w:rPr>
                <w:sz w:val="16"/>
                <w:szCs w:val="16"/>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plans or programs</w:t>
            </w:r>
          </w:p>
        </w:tc>
      </w:tr>
      <w:tr>
        <w:trPr>
          <w:trHeight w:val="23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80" w:type="dxa"/>
            <w:vAlign w:val="bottom"/>
          </w:tcPr>
          <w:p>
            <w:pPr>
              <w:spacing w:after="0"/>
              <w:rPr>
                <w:sz w:val="20"/>
                <w:szCs w:val="20"/>
                <w:color w:val="auto"/>
              </w:rPr>
            </w:pPr>
          </w:p>
        </w:tc>
        <w:tc>
          <w:tcPr>
            <w:tcW w:w="1380" w:type="dxa"/>
            <w:vAlign w:val="bottom"/>
            <w:gridSpan w:val="2"/>
          </w:tcPr>
          <w:p>
            <w:pPr>
              <w:jc w:val="center"/>
              <w:ind w:right="320"/>
              <w:spacing w:after="0" w:line="232" w:lineRule="exact"/>
              <w:rPr>
                <w:sz w:val="20"/>
                <w:szCs w:val="20"/>
                <w:color w:val="auto"/>
              </w:rPr>
            </w:pPr>
            <w:r>
              <w:rPr>
                <w:rFonts w:ascii="Times New Roman" w:cs="Times New Roman" w:eastAsia="Times New Roman" w:hAnsi="Times New Roman"/>
                <w:sz w:val="16"/>
                <w:szCs w:val="16"/>
                <w:b w:val="1"/>
                <w:bCs w:val="1"/>
                <w:color w:val="auto"/>
                <w:w w:val="92"/>
              </w:rPr>
              <w:t xml:space="preserve">received </w:t>
            </w:r>
            <w:r>
              <w:rPr>
                <w:rFonts w:ascii="Times New Roman" w:cs="Times New Roman" w:eastAsia="Times New Roman" w:hAnsi="Times New Roman"/>
                <w:sz w:val="24"/>
                <w:szCs w:val="24"/>
                <w:b w:val="1"/>
                <w:bCs w:val="1"/>
                <w:color w:val="auto"/>
                <w:w w:val="92"/>
                <w:vertAlign w:val="superscript"/>
              </w:rPr>
              <w:t>(1)</w:t>
            </w:r>
          </w:p>
        </w:tc>
        <w:tc>
          <w:tcPr>
            <w:tcW w:w="1520" w:type="dxa"/>
            <w:vAlign w:val="bottom"/>
            <w:gridSpan w:val="3"/>
          </w:tcPr>
          <w:p>
            <w:pPr>
              <w:ind w:left="60"/>
              <w:spacing w:after="0" w:line="232" w:lineRule="exact"/>
              <w:rPr>
                <w:sz w:val="20"/>
                <w:szCs w:val="20"/>
                <w:color w:val="auto"/>
              </w:rPr>
            </w:pPr>
            <w:r>
              <w:rPr>
                <w:rFonts w:ascii="Times New Roman" w:cs="Times New Roman" w:eastAsia="Times New Roman" w:hAnsi="Times New Roman"/>
                <w:sz w:val="16"/>
                <w:szCs w:val="16"/>
                <w:b w:val="1"/>
                <w:bCs w:val="1"/>
                <w:color w:val="auto"/>
              </w:rPr>
              <w:t xml:space="preserve">paid per share </w:t>
            </w:r>
            <w:r>
              <w:rPr>
                <w:rFonts w:ascii="Times New Roman" w:cs="Times New Roman" w:eastAsia="Times New Roman" w:hAnsi="Times New Roman"/>
                <w:sz w:val="24"/>
                <w:szCs w:val="24"/>
                <w:b w:val="1"/>
                <w:bCs w:val="1"/>
                <w:color w:val="auto"/>
                <w:vertAlign w:val="superscript"/>
              </w:rPr>
              <w:t>(1)</w:t>
            </w:r>
          </w:p>
        </w:tc>
        <w:tc>
          <w:tcPr>
            <w:tcW w:w="1940" w:type="dxa"/>
            <w:vAlign w:val="bottom"/>
            <w:gridSpan w:val="2"/>
          </w:tcPr>
          <w:p>
            <w:pPr>
              <w:jc w:val="center"/>
              <w:ind w:right="240"/>
              <w:spacing w:after="0" w:line="232" w:lineRule="exact"/>
              <w:rPr>
                <w:sz w:val="20"/>
                <w:szCs w:val="20"/>
                <w:color w:val="auto"/>
              </w:rPr>
            </w:pPr>
            <w:r>
              <w:rPr>
                <w:rFonts w:ascii="Times New Roman" w:cs="Times New Roman" w:eastAsia="Times New Roman" w:hAnsi="Times New Roman"/>
                <w:sz w:val="16"/>
                <w:szCs w:val="16"/>
                <w:b w:val="1"/>
                <w:bCs w:val="1"/>
                <w:color w:val="auto"/>
                <w:w w:val="97"/>
              </w:rPr>
              <w:t>plans or programs</w:t>
            </w:r>
            <w:r>
              <w:rPr>
                <w:rFonts w:ascii="Times New Roman" w:cs="Times New Roman" w:eastAsia="Times New Roman" w:hAnsi="Times New Roman"/>
                <w:sz w:val="24"/>
                <w:szCs w:val="24"/>
                <w:b w:val="1"/>
                <w:bCs w:val="1"/>
                <w:color w:val="auto"/>
                <w:w w:val="97"/>
                <w:vertAlign w:val="superscript"/>
              </w:rPr>
              <w:t>(2)</w:t>
            </w:r>
          </w:p>
        </w:tc>
        <w:tc>
          <w:tcPr>
            <w:tcW w:w="160" w:type="dxa"/>
            <w:vAlign w:val="bottom"/>
          </w:tcPr>
          <w:p>
            <w:pPr>
              <w:spacing w:after="0"/>
              <w:rPr>
                <w:sz w:val="20"/>
                <w:szCs w:val="20"/>
                <w:color w:val="auto"/>
              </w:rPr>
            </w:pPr>
          </w:p>
        </w:tc>
        <w:tc>
          <w:tcPr>
            <w:tcW w:w="1720" w:type="dxa"/>
            <w:vAlign w:val="bottom"/>
          </w:tcPr>
          <w:p>
            <w:pPr>
              <w:jc w:val="center"/>
              <w:ind w:right="79"/>
              <w:spacing w:after="0" w:line="232" w:lineRule="exact"/>
              <w:rPr>
                <w:sz w:val="20"/>
                <w:szCs w:val="20"/>
                <w:color w:val="auto"/>
              </w:rPr>
            </w:pPr>
            <w:r>
              <w:rPr>
                <w:rFonts w:ascii="Times New Roman" w:cs="Times New Roman" w:eastAsia="Times New Roman" w:hAnsi="Times New Roman"/>
                <w:sz w:val="16"/>
                <w:szCs w:val="16"/>
                <w:b w:val="1"/>
                <w:bCs w:val="1"/>
                <w:color w:val="auto"/>
                <w:w w:val="96"/>
              </w:rPr>
              <w:t>(in thousands)</w:t>
            </w:r>
            <w:r>
              <w:rPr>
                <w:rFonts w:ascii="Times New Roman" w:cs="Times New Roman" w:eastAsia="Times New Roman" w:hAnsi="Times New Roman"/>
                <w:sz w:val="24"/>
                <w:szCs w:val="24"/>
                <w:b w:val="1"/>
                <w:bCs w:val="1"/>
                <w:color w:val="auto"/>
                <w:w w:val="96"/>
                <w:vertAlign w:val="superscript"/>
              </w:rPr>
              <w:t>(2)</w:t>
            </w:r>
          </w:p>
        </w:tc>
      </w:tr>
      <w:tr>
        <w:trPr>
          <w:trHeight w:val="196"/>
        </w:trPr>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2024</w:t>
            </w: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24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20,403</w:t>
            </w:r>
          </w:p>
        </w:tc>
      </w:tr>
      <w:tr>
        <w:trPr>
          <w:trHeight w:val="20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2024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17,363</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240" w:type="dxa"/>
            <w:vAlign w:val="bottom"/>
          </w:tcPr>
          <w:p>
            <w:pPr>
              <w:spacing w:after="0"/>
              <w:rPr>
                <w:sz w:val="17"/>
                <w:szCs w:val="17"/>
                <w:color w:val="auto"/>
              </w:rPr>
            </w:pPr>
          </w:p>
        </w:tc>
        <w:tc>
          <w:tcPr>
            <w:tcW w:w="194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20,403</w:t>
            </w:r>
          </w:p>
        </w:tc>
      </w:tr>
      <w:tr>
        <w:trPr>
          <w:trHeight w:val="20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2024</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35"/>
        </w:trPr>
        <w:tc>
          <w:tcPr>
            <w:tcW w:w="1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bl>
    <w:p>
      <w:pPr>
        <w:spacing w:after="0" w:line="90" w:lineRule="exact"/>
        <w:rPr>
          <w:sz w:val="20"/>
          <w:szCs w:val="20"/>
          <w:color w:val="auto"/>
        </w:rPr>
      </w:pPr>
    </w:p>
    <w:p>
      <w:pPr>
        <w:ind w:left="380" w:right="559" w:hanging="330"/>
        <w:spacing w:after="0" w:line="208" w:lineRule="auto"/>
        <w:tabs>
          <w:tab w:leader="none" w:pos="380" w:val="left"/>
        </w:tabs>
        <w:numPr>
          <w:ilvl w:val="0"/>
          <w:numId w:val="9"/>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8"/>
          <w:szCs w:val="18"/>
          <w:color w:val="auto"/>
        </w:rPr>
        <w:t>During the three months ended December 31, 2024, all of the shares received were surrendered by employees in exchange for the payment of tax withholding upon the vesting of restricted stock awards.</w:t>
      </w:r>
    </w:p>
    <w:p>
      <w:pPr>
        <w:spacing w:after="0" w:line="1" w:lineRule="exact"/>
        <w:rPr>
          <w:rFonts w:ascii="Times New Roman" w:cs="Times New Roman" w:eastAsia="Times New Roman" w:hAnsi="Times New Roman"/>
          <w:sz w:val="27"/>
          <w:szCs w:val="27"/>
          <w:i w:val="1"/>
          <w:iCs w:val="1"/>
          <w:color w:val="auto"/>
          <w:vertAlign w:val="superscript"/>
        </w:rPr>
      </w:pPr>
    </w:p>
    <w:p>
      <w:pPr>
        <w:ind w:left="380" w:right="99" w:hanging="330"/>
        <w:spacing w:after="0" w:line="214" w:lineRule="auto"/>
        <w:tabs>
          <w:tab w:leader="none" w:pos="380" w:val="left"/>
        </w:tabs>
        <w:numPr>
          <w:ilvl w:val="0"/>
          <w:numId w:val="9"/>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8"/>
          <w:szCs w:val="18"/>
          <w:color w:val="auto"/>
        </w:rPr>
        <w:t>On September 8, 2022, the Company’s Board of Directors approved a share repurchase program, under which the Company was authorized to repurchase up to $25.0 million of its common stock in the open market through December 31, 2024.</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On December 5, 2024, shareholders approved and adopted the amendment and restatement of the Evolution Petroleum Corporation 2016 Equity Incentive Plan (hereinafter the “Amended and Restated Plan”) which increased the shares authorized for issuance under the 2016 Plan by 2.1 million shares to a maximum of 5.7 million shares. The duration of the Amended and Restated Plan is indefinite, provided that no new awards shall be made under the Amended and Restated Plan on or after the tenth anniversary of the date the stockholders approved the Amended and Restated Plan. Incentives under the Amended and Restated Plan may be granted to employees, directors, and consultants of the Company in any one or a combination of the following forms: incentive stock options, non-qualified stock options, stock appreciation rights, restricted stock awards, restricted stock unit awards, and performance share awards. The foregoing description of the Amended and Restated Plan is subject to, and qualified in its entirety by, the full text of the Amended and Restated Plan filed as Exhibit 4.3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The following documents are included as exhibits to the Quarterly Report on Form 10-Q. Those exhibits incorporated by reference are so indicated by the information supplied with respect thereto. Those exhibits which are not incorporated by reference are attached hereto.</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Borders>
              <w:bottom w:val="single" w:sz="8" w:color="CCEEFF"/>
            </w:tcBorders>
            <w:shd w:val="clear" w:color="auto" w:fill="CCEEFF"/>
          </w:tcPr>
          <w:p>
            <w:pPr>
              <w:spacing w:after="0"/>
              <w:rPr>
                <w:sz w:val="17"/>
                <w:szCs w:val="17"/>
                <w:color w:val="auto"/>
              </w:rPr>
            </w:pPr>
          </w:p>
        </w:tc>
        <w:tc>
          <w:tcPr>
            <w:tcW w:w="7420" w:type="dxa"/>
            <w:vAlign w:val="bottom"/>
            <w:tcBorders>
              <w:bottom w:val="single" w:sz="8" w:color="0000EE"/>
            </w:tcBorders>
            <w:gridSpan w:val="11"/>
            <w:shd w:val="clear" w:color="auto" w:fill="CCEEFF"/>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Restated Articles of Incorporation (incorporated by reference to Exhibit 3.1 of our Quarterly Report on</w:t>
              </w:r>
            </w:hyperlink>
          </w:p>
        </w:tc>
        <w:tc>
          <w:tcPr>
            <w:tcW w:w="40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2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Form 10-Q filed February 8, 2023).</w:t>
              </w:r>
            </w:hyperlink>
          </w:p>
        </w:tc>
      </w:tr>
      <w:tr>
        <w:trPr>
          <w:trHeight w:val="48"/>
        </w:trPr>
        <w:tc>
          <w:tcPr>
            <w:tcW w:w="20" w:type="dxa"/>
            <w:vAlign w:val="bottom"/>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7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5"/>
                <w:szCs w:val="15"/>
                <w:color w:val="auto"/>
              </w:rPr>
            </w:pPr>
          </w:p>
        </w:tc>
        <w:tc>
          <w:tcPr>
            <w:tcW w:w="706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Amended and Restated Bylaws (incorporated by reference to Exhibit 3.3 of our Annual Report on</w:t>
              </w:r>
            </w:hyperlink>
          </w:p>
        </w:tc>
        <w:tc>
          <w:tcPr>
            <w:tcW w:w="760" w:type="dxa"/>
            <w:vAlign w:val="bottom"/>
            <w:gridSpan w:val="5"/>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20" w:type="dxa"/>
            <w:vAlign w:val="bottom"/>
            <w:gridSpan w:val="1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10- filed September 13, 2023)</w:t>
              </w:r>
            </w:hyperlink>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i w:val="1"/>
                <w:iCs w:val="1"/>
                <w:color w:val="212529"/>
                <w:w w:val="88"/>
                <w:shd w:val="clear" w:color="auto" w:fill="CCEEFF"/>
              </w:rPr>
              <w:t>†</w:t>
            </w:r>
          </w:p>
        </w:tc>
        <w:tc>
          <w:tcPr>
            <w:tcW w:w="8120" w:type="dxa"/>
            <w:vAlign w:val="bottom"/>
            <w:gridSpan w:val="15"/>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Amended and Restated 2016 Equity Incentive Plan</w:t>
            </w:r>
          </w:p>
        </w:tc>
      </w:tr>
      <w:tr>
        <w:trPr>
          <w:trHeight w:val="48"/>
        </w:trPr>
        <w:tc>
          <w:tcPr>
            <w:tcW w:w="20" w:type="dxa"/>
            <w:vAlign w:val="bottom"/>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7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10.2.12*</w:t>
            </w:r>
          </w:p>
        </w:tc>
        <w:tc>
          <w:tcPr>
            <w:tcW w:w="300" w:type="dxa"/>
            <w:vAlign w:val="bottom"/>
          </w:tcPr>
          <w:p>
            <w:pPr>
              <w:spacing w:after="0"/>
              <w:rPr>
                <w:sz w:val="15"/>
                <w:szCs w:val="15"/>
                <w:color w:val="auto"/>
              </w:rPr>
            </w:pPr>
          </w:p>
        </w:tc>
        <w:tc>
          <w:tcPr>
            <w:tcW w:w="6880" w:type="dxa"/>
            <w:vAlign w:val="bottom"/>
            <w:tcBorders>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9"/>
              </w:rPr>
              <w:t>Letter Agreement to the Credit Agreement dated January 6, 2025 between Evolution Petroleum</w:t>
            </w:r>
          </w:p>
        </w:tc>
        <w:tc>
          <w:tcPr>
            <w:tcW w:w="940" w:type="dxa"/>
            <w:vAlign w:val="bottom"/>
            <w:gridSpan w:val="6"/>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Corporation and MidFirst Bank</w:t>
            </w: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300" w:type="dxa"/>
            <w:vAlign w:val="bottom"/>
            <w:tcBorders>
              <w:bottom w:val="single" w:sz="8" w:color="CCEEFF"/>
            </w:tcBorders>
            <w:shd w:val="clear" w:color="auto" w:fill="CCEEFF"/>
          </w:tcPr>
          <w:p>
            <w:pPr>
              <w:spacing w:after="0"/>
              <w:rPr>
                <w:sz w:val="15"/>
                <w:szCs w:val="15"/>
                <w:color w:val="auto"/>
              </w:rPr>
            </w:pPr>
          </w:p>
        </w:tc>
        <w:tc>
          <w:tcPr>
            <w:tcW w:w="74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 15D-14 of the Securities Exchange Act of</w:t>
            </w:r>
          </w:p>
        </w:tc>
        <w:tc>
          <w:tcPr>
            <w:tcW w:w="380" w:type="dxa"/>
            <w:vAlign w:val="bottom"/>
            <w:tcBorders>
              <w:bottom w:val="single" w:sz="8" w:color="CCEEFF"/>
            </w:tcBorders>
            <w:gridSpan w:val="2"/>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2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1934, as Amended as Adopted Pursuant to Section 302 of the Sarbanes-Oxley Act of 2002</w:t>
            </w:r>
          </w:p>
        </w:tc>
      </w:tr>
      <w:tr>
        <w:trPr>
          <w:trHeight w:val="48"/>
        </w:trPr>
        <w:tc>
          <w:tcPr>
            <w:tcW w:w="20" w:type="dxa"/>
            <w:vAlign w:val="bottom"/>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8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7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15"/>
                <w:szCs w:val="15"/>
                <w:color w:val="auto"/>
              </w:rPr>
            </w:pPr>
          </w:p>
        </w:tc>
        <w:tc>
          <w:tcPr>
            <w:tcW w:w="78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15D-14 of the Securities Exchange Act of</w:t>
            </w: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3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1934, as Amended as Adopted Pursuant to Section 302 of the Sarbanes-Oxley Act of 2002</w:t>
            </w:r>
          </w:p>
        </w:tc>
        <w:tc>
          <w:tcPr>
            <w:tcW w:w="440" w:type="dxa"/>
            <w:vAlign w:val="bottom"/>
            <w:gridSpan w:val="4"/>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8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300" w:type="dxa"/>
            <w:vAlign w:val="bottom"/>
            <w:tcBorders>
              <w:bottom w:val="single" w:sz="8" w:color="CCEEFF"/>
            </w:tcBorders>
            <w:shd w:val="clear" w:color="auto" w:fill="CCEEFF"/>
          </w:tcPr>
          <w:p>
            <w:pPr>
              <w:spacing w:after="0"/>
              <w:rPr>
                <w:sz w:val="15"/>
                <w:szCs w:val="15"/>
                <w:color w:val="auto"/>
              </w:rPr>
            </w:pPr>
          </w:p>
        </w:tc>
        <w:tc>
          <w:tcPr>
            <w:tcW w:w="75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w:t>
            </w:r>
          </w:p>
        </w:tc>
        <w:tc>
          <w:tcPr>
            <w:tcW w:w="320" w:type="dxa"/>
            <w:vAlign w:val="bottom"/>
            <w:tcBorders>
              <w:bottom w:val="single" w:sz="8" w:color="CCEEFF"/>
            </w:tcBorders>
            <w:shd w:val="clear" w:color="auto" w:fill="CCEE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400" w:type="dxa"/>
            <w:vAlign w:val="bottom"/>
            <w:tcBorders>
              <w:bottom w:val="single" w:sz="8" w:color="CCEEFF"/>
            </w:tcBorders>
            <w:gridSpan w:val="9"/>
            <w:shd w:val="clear" w:color="auto" w:fill="CCEEFF"/>
          </w:tcPr>
          <w:p>
            <w:pPr>
              <w:spacing w:after="0"/>
              <w:rPr>
                <w:sz w:val="21"/>
                <w:szCs w:val="21"/>
                <w:color w:val="auto"/>
              </w:rPr>
            </w:pPr>
          </w:p>
        </w:tc>
      </w:tr>
      <w:tr>
        <w:trPr>
          <w:trHeight w:val="176"/>
        </w:trPr>
        <w:tc>
          <w:tcPr>
            <w:tcW w:w="20" w:type="dxa"/>
            <w:vAlign w:val="bottom"/>
          </w:tcPr>
          <w:p>
            <w:pPr>
              <w:spacing w:after="0"/>
              <w:rPr>
                <w:sz w:val="15"/>
                <w:szCs w:val="15"/>
                <w:color w:val="auto"/>
              </w:rPr>
            </w:pPr>
          </w:p>
        </w:tc>
        <w:tc>
          <w:tcPr>
            <w:tcW w:w="7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15"/>
                <w:szCs w:val="15"/>
                <w:color w:val="auto"/>
              </w:rPr>
            </w:pPr>
          </w:p>
        </w:tc>
        <w:tc>
          <w:tcPr>
            <w:tcW w:w="78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w:t>
            </w: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380" w:type="dxa"/>
            <w:vAlign w:val="bottom"/>
            <w:gridSpan w:val="2"/>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10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101.INS*</w:t>
            </w:r>
          </w:p>
        </w:tc>
        <w:tc>
          <w:tcPr>
            <w:tcW w:w="7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39"/>
        </w:trPr>
        <w:tc>
          <w:tcPr>
            <w:tcW w:w="20" w:type="dxa"/>
            <w:vAlign w:val="bottom"/>
          </w:tcPr>
          <w:p>
            <w:pPr>
              <w:spacing w:after="0"/>
              <w:rPr>
                <w:sz w:val="20"/>
                <w:szCs w:val="20"/>
                <w:color w:val="auto"/>
              </w:rPr>
            </w:pPr>
          </w:p>
        </w:tc>
        <w:tc>
          <w:tcPr>
            <w:tcW w:w="10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101.SCH*</w:t>
            </w:r>
          </w:p>
        </w:tc>
        <w:tc>
          <w:tcPr>
            <w:tcW w:w="7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7"/>
        </w:trPr>
        <w:tc>
          <w:tcPr>
            <w:tcW w:w="20" w:type="dxa"/>
            <w:vAlign w:val="bottom"/>
          </w:tcPr>
          <w:p>
            <w:pPr>
              <w:spacing w:after="0"/>
              <w:rPr>
                <w:sz w:val="21"/>
                <w:szCs w:val="21"/>
                <w:color w:val="auto"/>
              </w:rPr>
            </w:pPr>
          </w:p>
        </w:tc>
        <w:tc>
          <w:tcPr>
            <w:tcW w:w="10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9"/>
              </w:rPr>
              <w:t>101.CAL*</w:t>
            </w:r>
          </w:p>
        </w:tc>
        <w:tc>
          <w:tcPr>
            <w:tcW w:w="7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9"/>
        </w:trPr>
        <w:tc>
          <w:tcPr>
            <w:tcW w:w="20" w:type="dxa"/>
            <w:vAlign w:val="bottom"/>
          </w:tcPr>
          <w:p>
            <w:pPr>
              <w:spacing w:after="0"/>
              <w:rPr>
                <w:sz w:val="20"/>
                <w:szCs w:val="20"/>
                <w:color w:val="auto"/>
              </w:rPr>
            </w:pPr>
          </w:p>
        </w:tc>
        <w:tc>
          <w:tcPr>
            <w:tcW w:w="10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101.DEF*</w:t>
            </w:r>
          </w:p>
        </w:tc>
        <w:tc>
          <w:tcPr>
            <w:tcW w:w="7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7"/>
        </w:trPr>
        <w:tc>
          <w:tcPr>
            <w:tcW w:w="20" w:type="dxa"/>
            <w:vAlign w:val="bottom"/>
          </w:tcPr>
          <w:p>
            <w:pPr>
              <w:spacing w:after="0"/>
              <w:rPr>
                <w:sz w:val="21"/>
                <w:szCs w:val="21"/>
                <w:color w:val="auto"/>
              </w:rPr>
            </w:pPr>
          </w:p>
        </w:tc>
        <w:tc>
          <w:tcPr>
            <w:tcW w:w="10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9"/>
              </w:rPr>
              <w:t>101.LAB*</w:t>
            </w:r>
          </w:p>
        </w:tc>
        <w:tc>
          <w:tcPr>
            <w:tcW w:w="7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9"/>
        </w:trPr>
        <w:tc>
          <w:tcPr>
            <w:tcW w:w="20" w:type="dxa"/>
            <w:vAlign w:val="bottom"/>
          </w:tcPr>
          <w:p>
            <w:pPr>
              <w:spacing w:after="0"/>
              <w:rPr>
                <w:sz w:val="20"/>
                <w:szCs w:val="20"/>
                <w:color w:val="auto"/>
              </w:rPr>
            </w:pPr>
          </w:p>
        </w:tc>
        <w:tc>
          <w:tcPr>
            <w:tcW w:w="10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101.PRE*</w:t>
            </w:r>
          </w:p>
        </w:tc>
        <w:tc>
          <w:tcPr>
            <w:tcW w:w="78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7"/>
        </w:trPr>
        <w:tc>
          <w:tcPr>
            <w:tcW w:w="20" w:type="dxa"/>
            <w:vAlign w:val="bottom"/>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shd w:val="clear" w:color="auto" w:fill="CCEEFF"/>
          </w:tcPr>
          <w:p>
            <w:pPr>
              <w:spacing w:after="0"/>
              <w:rPr>
                <w:sz w:val="21"/>
                <w:szCs w:val="21"/>
                <w:color w:val="auto"/>
              </w:rPr>
            </w:pPr>
          </w:p>
        </w:tc>
        <w:tc>
          <w:tcPr>
            <w:tcW w:w="7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9"/>
        </w:trPr>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r>
    </w:tbl>
    <w:p>
      <w:pPr>
        <w:spacing w:after="0" w:line="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Attached hereto.</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Furnished herewith.</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212529"/>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93" w:lineRule="exact"/>
        <w:rPr>
          <w:sz w:val="20"/>
          <w:szCs w:val="20"/>
          <w:color w:val="auto"/>
        </w:rPr>
      </w:pPr>
    </w:p>
    <w:p>
      <w:pPr>
        <w:ind w:left="4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34290</wp:posOffset>
            </wp:positionV>
            <wp:extent cx="2571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4"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Kelly W. Loyd</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Executive Officer) and Director</w:t>
      </w:r>
    </w:p>
    <w:p>
      <w:pPr>
        <w:spacing w:after="0" w:line="200" w:lineRule="exact"/>
        <w:rPr>
          <w:sz w:val="20"/>
          <w:szCs w:val="20"/>
          <w:color w:val="auto"/>
        </w:rPr>
      </w:pPr>
    </w:p>
    <w:p>
      <w:pPr>
        <w:spacing w:after="0" w:line="223" w:lineRule="exact"/>
        <w:rPr>
          <w:sz w:val="20"/>
          <w:szCs w:val="20"/>
          <w:color w:val="auto"/>
        </w:rPr>
      </w:pPr>
    </w:p>
    <w:p>
      <w:pPr>
        <w:ind w:left="458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STASH</w:t>
      </w:r>
    </w:p>
    <w:p>
      <w:pPr>
        <w:spacing w:after="0" w:line="48"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-126365</wp:posOffset>
            </wp:positionV>
            <wp:extent cx="25717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(Principal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jc w:val="right"/>
        <w:ind w:right="219"/>
        <w:spacing w:after="0"/>
        <w:rPr>
          <w:sz w:val="20"/>
          <w:szCs w:val="20"/>
          <w:color w:val="auto"/>
        </w:rPr>
      </w:pPr>
      <w:r>
        <w:rPr>
          <w:rFonts w:ascii="Calibri" w:cs="Calibri" w:eastAsia="Calibri" w:hAnsi="Calibri"/>
          <w:sz w:val="20"/>
          <w:szCs w:val="20"/>
          <w:b w:val="1"/>
          <w:bCs w:val="1"/>
          <w:color w:val="auto"/>
        </w:rPr>
        <w:t>EXHIBIT 4.3</w:t>
      </w:r>
    </w:p>
    <w:p>
      <w:pPr>
        <w:spacing w:after="0" w:line="12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EVOLUTION PETROLEUM CORPORATION</w:t>
      </w:r>
    </w:p>
    <w:p>
      <w:pPr>
        <w:spacing w:after="0" w:line="14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AMENDED AND RESTATED 2016 EQUITY INCENTIVE PLAN</w:t>
      </w:r>
    </w:p>
    <w:p>
      <w:pPr>
        <w:spacing w:after="0" w:line="228" w:lineRule="exact"/>
        <w:rPr>
          <w:sz w:val="20"/>
          <w:szCs w:val="20"/>
          <w:color w:val="auto"/>
        </w:rPr>
      </w:pPr>
    </w:p>
    <w:p>
      <w:pPr>
        <w:ind w:left="1560" w:hanging="703"/>
        <w:spacing w:after="0"/>
        <w:tabs>
          <w:tab w:leader="none" w:pos="1560" w:val="left"/>
        </w:tabs>
        <w:numPr>
          <w:ilvl w:val="0"/>
          <w:numId w:val="10"/>
        </w:numPr>
        <w:rPr>
          <w:rFonts w:ascii="Calibri" w:cs="Calibri" w:eastAsia="Calibri" w:hAnsi="Calibri"/>
          <w:sz w:val="20"/>
          <w:szCs w:val="20"/>
          <w:color w:val="auto"/>
        </w:rPr>
      </w:pPr>
      <w:r>
        <w:rPr>
          <w:rFonts w:ascii="Calibri" w:cs="Calibri" w:eastAsia="Calibri" w:hAnsi="Calibri"/>
          <w:sz w:val="20"/>
          <w:szCs w:val="20"/>
          <w:u w:val="single" w:color="auto"/>
          <w:color w:val="auto"/>
          <w:highlight w:val="white"/>
        </w:rPr>
        <w:t>Purpose; Eligibility</w:t>
      </w:r>
      <w:r>
        <w:rPr>
          <w:rFonts w:ascii="Calibri" w:cs="Calibri" w:eastAsia="Calibri" w:hAnsi="Calibri"/>
          <w:sz w:val="20"/>
          <w:szCs w:val="20"/>
          <w:color w:val="auto"/>
        </w:rPr>
        <w:t>.</w:t>
      </w:r>
    </w:p>
    <w:p>
      <w:pPr>
        <w:spacing w:after="0" w:line="238"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 xml:space="preserve">1.1 </w:t>
      </w:r>
      <w:r>
        <w:rPr>
          <w:rFonts w:ascii="Calibri" w:cs="Calibri" w:eastAsia="Calibri" w:hAnsi="Calibri"/>
          <w:sz w:val="20"/>
          <w:szCs w:val="20"/>
          <w:u w:val="single" w:color="auto"/>
          <w:color w:val="auto"/>
        </w:rPr>
        <w:t>General Purpose</w:t>
      </w:r>
      <w:r>
        <w:rPr>
          <w:rFonts w:ascii="Calibri" w:cs="Calibri" w:eastAsia="Calibri" w:hAnsi="Calibri"/>
          <w:sz w:val="20"/>
          <w:szCs w:val="20"/>
          <w:color w:val="auto"/>
        </w:rPr>
        <w:t>. Evoluton Petroleum Corporaton, a Nevada corporaton (the “</w:t>
      </w:r>
      <w:r>
        <w:rPr>
          <w:rFonts w:ascii="Calibri" w:cs="Calibri" w:eastAsia="Calibri" w:hAnsi="Calibri"/>
          <w:sz w:val="20"/>
          <w:szCs w:val="20"/>
          <w:b w:val="1"/>
          <w:bCs w:val="1"/>
          <w:color w:val="auto"/>
        </w:rPr>
        <w:t>Company</w:t>
      </w:r>
      <w:r>
        <w:rPr>
          <w:rFonts w:ascii="Calibri" w:cs="Calibri" w:eastAsia="Calibri" w:hAnsi="Calibri"/>
          <w:sz w:val="20"/>
          <w:szCs w:val="20"/>
          <w:color w:val="auto"/>
        </w:rPr>
        <w:t xml:space="preserve">”), established the Evoluton Petroleum Corporaton 2016 Equity Incentve Plan (the </w:t>
      </w:r>
      <w:r>
        <w:rPr>
          <w:rFonts w:ascii="Calibri" w:cs="Calibri" w:eastAsia="Calibri" w:hAnsi="Calibri"/>
          <w:sz w:val="20"/>
          <w:szCs w:val="20"/>
          <w:b w:val="1"/>
          <w:bCs w:val="1"/>
          <w:color w:val="auto"/>
        </w:rPr>
        <w:t>“Plan”</w:t>
      </w:r>
      <w:r>
        <w:rPr>
          <w:rFonts w:ascii="Calibri" w:cs="Calibri" w:eastAsia="Calibri" w:hAnsi="Calibri"/>
          <w:sz w:val="20"/>
          <w:szCs w:val="20"/>
          <w:color w:val="auto"/>
        </w:rPr>
        <w:t xml:space="preserve">) to enable the Company and its Afliates to atract and retain the best available personnel for positons of responsibility with the Company, to provide additonal incentves to Employees, Consultants, and Directors and align their interests with those of the Company’s shareholders, and to promote the long-term success and prosperity of the Company. The following provisions consttute an amendment, restatement, and contnuaton of the Plan efectve as of the Efectve Date in the form of </w:t>
      </w:r>
      <w:r>
        <w:rPr>
          <w:rFonts w:ascii="Calibri" w:cs="Calibri" w:eastAsia="Calibri" w:hAnsi="Calibri"/>
          <w:sz w:val="20"/>
          <w:szCs w:val="20"/>
          <w:b w:val="1"/>
          <w:bCs w:val="1"/>
          <w:color w:val="auto"/>
        </w:rPr>
        <w:t>“Evoluton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Petroleum Corporaton Amended and Restated 2016 Equity Incentve Plan”</w:t>
      </w:r>
      <w:r>
        <w:rPr>
          <w:rFonts w:ascii="Calibri" w:cs="Calibri" w:eastAsia="Calibri" w:hAnsi="Calibri"/>
          <w:sz w:val="20"/>
          <w:szCs w:val="20"/>
          <w:color w:val="auto"/>
        </w:rPr>
        <w:t>.</w:t>
      </w:r>
    </w:p>
    <w:p>
      <w:pPr>
        <w:spacing w:after="0" w:line="231" w:lineRule="exact"/>
        <w:rPr>
          <w:sz w:val="20"/>
          <w:szCs w:val="20"/>
          <w:color w:val="auto"/>
        </w:rPr>
      </w:pPr>
    </w:p>
    <w:p>
      <w:pPr>
        <w:jc w:val="both"/>
        <w:ind w:left="200" w:right="219" w:firstLine="648"/>
        <w:spacing w:after="0" w:line="244" w:lineRule="auto"/>
        <w:rPr>
          <w:sz w:val="20"/>
          <w:szCs w:val="20"/>
          <w:color w:val="auto"/>
        </w:rPr>
      </w:pPr>
      <w:r>
        <w:rPr>
          <w:rFonts w:ascii="Calibri" w:cs="Calibri" w:eastAsia="Calibri" w:hAnsi="Calibri"/>
          <w:sz w:val="20"/>
          <w:szCs w:val="20"/>
          <w:color w:val="auto"/>
        </w:rPr>
        <w:t xml:space="preserve">1.2 </w:t>
      </w:r>
      <w:r>
        <w:rPr>
          <w:rFonts w:ascii="Calibri" w:cs="Calibri" w:eastAsia="Calibri" w:hAnsi="Calibri"/>
          <w:sz w:val="20"/>
          <w:szCs w:val="20"/>
          <w:u w:val="single" w:color="auto"/>
          <w:color w:val="auto"/>
        </w:rPr>
        <w:t>Eligibility</w:t>
      </w:r>
      <w:r>
        <w:rPr>
          <w:rFonts w:ascii="Calibri" w:cs="Calibri" w:eastAsia="Calibri" w:hAnsi="Calibri"/>
          <w:sz w:val="20"/>
          <w:szCs w:val="20"/>
          <w:color w:val="auto"/>
        </w:rPr>
        <w:t xml:space="preserve">. The persons eligible to receive Awards are the Employees, Consultants, and Directors and such other individuals designated by the Commitee who are reasonably expected to become Employees, Consultants, and Directors afer the receipt of Awards; </w:t>
      </w:r>
      <w:r>
        <w:rPr>
          <w:rFonts w:ascii="Calibri" w:cs="Calibri" w:eastAsia="Calibri" w:hAnsi="Calibri"/>
          <w:sz w:val="20"/>
          <w:szCs w:val="20"/>
          <w:i w:val="1"/>
          <w:iCs w:val="1"/>
          <w:color w:val="auto"/>
        </w:rPr>
        <w:t>provided, however,</w:t>
      </w:r>
      <w:r>
        <w:rPr>
          <w:rFonts w:ascii="Calibri" w:cs="Calibri" w:eastAsia="Calibri" w:hAnsi="Calibri"/>
          <w:sz w:val="20"/>
          <w:szCs w:val="20"/>
          <w:color w:val="auto"/>
        </w:rPr>
        <w:t xml:space="preserve"> that Incentve Stock Optons may be granted only to Employees; and </w:t>
      </w:r>
      <w:r>
        <w:rPr>
          <w:rFonts w:ascii="Calibri" w:cs="Calibri" w:eastAsia="Calibri" w:hAnsi="Calibri"/>
          <w:sz w:val="20"/>
          <w:szCs w:val="20"/>
          <w:i w:val="1"/>
          <w:iCs w:val="1"/>
          <w:color w:val="auto"/>
        </w:rPr>
        <w:t>provided further</w:t>
      </w:r>
      <w:r>
        <w:rPr>
          <w:rFonts w:ascii="Calibri" w:cs="Calibri" w:eastAsia="Calibri" w:hAnsi="Calibri"/>
          <w:sz w:val="20"/>
          <w:szCs w:val="20"/>
          <w:color w:val="auto"/>
        </w:rPr>
        <w:t xml:space="preserve"> that, no Award to an individual who is not an Employee, Consultant or Director shall be efectve prior to the date on which such individual becomes an Employee, Consultant or Director.</w:t>
      </w:r>
    </w:p>
    <w:p>
      <w:pPr>
        <w:spacing w:after="0" w:line="239"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 xml:space="preserve">1.3 </w:t>
      </w:r>
      <w:r>
        <w:rPr>
          <w:rFonts w:ascii="Calibri" w:cs="Calibri" w:eastAsia="Calibri" w:hAnsi="Calibri"/>
          <w:sz w:val="20"/>
          <w:szCs w:val="20"/>
          <w:u w:val="single" w:color="auto"/>
          <w:color w:val="auto"/>
        </w:rPr>
        <w:t>Available Awards</w:t>
      </w:r>
      <w:r>
        <w:rPr>
          <w:rFonts w:ascii="Calibri" w:cs="Calibri" w:eastAsia="Calibri" w:hAnsi="Calibri"/>
          <w:sz w:val="20"/>
          <w:szCs w:val="20"/>
          <w:color w:val="auto"/>
        </w:rPr>
        <w:t>. Awards that may be granted under the Plan include (a) Incentve Stock Optons, (b) Non-qualifed Stock Optons, (c) Stock Appreciaton Rights, (d) Restricted Awards, and (e) Performance Share Awards.</w:t>
      </w:r>
    </w:p>
    <w:p>
      <w:pPr>
        <w:spacing w:after="0" w:line="209" w:lineRule="exact"/>
        <w:rPr>
          <w:sz w:val="20"/>
          <w:szCs w:val="20"/>
          <w:color w:val="auto"/>
        </w:rPr>
      </w:pPr>
    </w:p>
    <w:p>
      <w:pPr>
        <w:ind w:left="1500" w:hanging="643"/>
        <w:spacing w:after="0"/>
        <w:tabs>
          <w:tab w:leader="none" w:pos="1500"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Defnitons</w:t>
      </w:r>
      <w:r>
        <w:rPr>
          <w:rFonts w:ascii="Calibri" w:cs="Calibri" w:eastAsia="Calibri" w:hAnsi="Calibri"/>
          <w:sz w:val="20"/>
          <w:szCs w:val="20"/>
          <w:color w:val="auto"/>
        </w:rPr>
        <w:t>.</w:t>
      </w:r>
    </w:p>
    <w:p>
      <w:pPr>
        <w:spacing w:after="0" w:line="238" w:lineRule="exact"/>
        <w:rPr>
          <w:sz w:val="20"/>
          <w:szCs w:val="20"/>
          <w:color w:val="auto"/>
        </w:rPr>
      </w:pPr>
    </w:p>
    <w:p>
      <w:pPr>
        <w:jc w:val="both"/>
        <w:ind w:left="200" w:right="219" w:firstLine="648"/>
        <w:spacing w:after="0" w:line="24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Afliate</w:t>
      </w:r>
      <w:r>
        <w:rPr>
          <w:rFonts w:ascii="Calibri" w:cs="Calibri" w:eastAsia="Calibri" w:hAnsi="Calibri"/>
          <w:sz w:val="20"/>
          <w:szCs w:val="20"/>
          <w:color w:val="auto"/>
        </w:rPr>
        <w:t>” means a corporaton or other entty that, directly or through one or more intermediaries, controls, is controlled by, or is under common control with, the Company.</w:t>
      </w:r>
    </w:p>
    <w:p>
      <w:pPr>
        <w:spacing w:after="0" w:line="237" w:lineRule="exact"/>
        <w:rPr>
          <w:sz w:val="20"/>
          <w:szCs w:val="20"/>
          <w:color w:val="auto"/>
        </w:rPr>
      </w:pPr>
    </w:p>
    <w:p>
      <w:pPr>
        <w:jc w:val="both"/>
        <w:ind w:left="200" w:right="219" w:firstLine="648"/>
        <w:spacing w:after="0" w:line="24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Applicable Laws</w:t>
      </w:r>
      <w:r>
        <w:rPr>
          <w:rFonts w:ascii="Calibri" w:cs="Calibri" w:eastAsia="Calibri" w:hAnsi="Calibri"/>
          <w:sz w:val="20"/>
          <w:szCs w:val="20"/>
          <w:color w:val="auto"/>
        </w:rPr>
        <w:t>” means the requirements related to or implicated by the administraton of the Plan under applicable state corporate law, United States federal and state securites laws, the Code, any stock exchange or quotaton system on which the shares of Common Stock are listed or quoted, and the applicable laws of any foreign country or jurisdicton where Awards are granted under the Plan.</w:t>
      </w:r>
    </w:p>
    <w:p>
      <w:pPr>
        <w:spacing w:after="0" w:line="236" w:lineRule="exact"/>
        <w:rPr>
          <w:sz w:val="20"/>
          <w:szCs w:val="20"/>
          <w:color w:val="auto"/>
        </w:rPr>
      </w:pPr>
    </w:p>
    <w:p>
      <w:pPr>
        <w:jc w:val="both"/>
        <w:ind w:left="200" w:right="239"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Award</w:t>
      </w:r>
      <w:r>
        <w:rPr>
          <w:rFonts w:ascii="Calibri" w:cs="Calibri" w:eastAsia="Calibri" w:hAnsi="Calibri"/>
          <w:sz w:val="20"/>
          <w:szCs w:val="20"/>
          <w:color w:val="auto"/>
        </w:rPr>
        <w:t>” means any right granted under the Plan, including an Incentve Stock Opton, a Non-qualifed Stock Opton, a Stock Appreciaton Right, a Restricted Award, or a Performance Share Award.</w:t>
      </w:r>
    </w:p>
    <w:p>
      <w:pPr>
        <w:spacing w:after="0" w:line="239"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Award Agreement</w:t>
      </w:r>
      <w:r>
        <w:rPr>
          <w:rFonts w:ascii="Calibri" w:cs="Calibri" w:eastAsia="Calibri" w:hAnsi="Calibri"/>
          <w:sz w:val="20"/>
          <w:szCs w:val="20"/>
          <w:color w:val="auto"/>
        </w:rPr>
        <w:t>” means a writen agreement, contract, certfcate, or other instrument or document evidencing the terms and conditons of an individual Award granted under the Plan and including provisions not inconsistent with the Plan. An Award Agreement may be transmited electronically to any Partcipant at the Company's discreton. Any such document is an Award Agreement regardless of whether any Partcipant signature is required. An Award Agreement may contain provisions not inconsistent with the Plan as determined by the Board or the Commitee.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0" w:name="page41"/>
    <w:bookmarkEnd w:id="40"/>
    <w:p>
      <w:pPr>
        <w:ind w:left="8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Board</w:t>
      </w:r>
      <w:r>
        <w:rPr>
          <w:rFonts w:ascii="Calibri" w:cs="Calibri" w:eastAsia="Calibri" w:hAnsi="Calibri"/>
          <w:sz w:val="20"/>
          <w:szCs w:val="20"/>
          <w:color w:val="auto"/>
        </w:rPr>
        <w:t>” means the Company's Board of Directors, as consttuted at any tme.</w:t>
      </w:r>
    </w:p>
    <w:p>
      <w:pPr>
        <w:spacing w:after="0" w:line="228" w:lineRule="exact"/>
        <w:rPr>
          <w:sz w:val="20"/>
          <w:szCs w:val="20"/>
          <w:color w:val="auto"/>
        </w:rPr>
      </w:pPr>
    </w:p>
    <w:p>
      <w:pPr>
        <w:ind w:left="8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Cause</w:t>
      </w:r>
      <w:r>
        <w:rPr>
          <w:rFonts w:ascii="Calibri" w:cs="Calibri" w:eastAsia="Calibri" w:hAnsi="Calibri"/>
          <w:sz w:val="20"/>
          <w:szCs w:val="20"/>
          <w:color w:val="auto"/>
        </w:rPr>
        <w:t>” means:</w:t>
      </w:r>
    </w:p>
    <w:p>
      <w:pPr>
        <w:spacing w:after="0" w:line="215" w:lineRule="exact"/>
        <w:rPr>
          <w:sz w:val="20"/>
          <w:szCs w:val="20"/>
          <w:color w:val="auto"/>
        </w:rPr>
      </w:pPr>
    </w:p>
    <w:p>
      <w:pPr>
        <w:ind w:left="2160" w:hanging="655"/>
        <w:spacing w:after="0"/>
        <w:tabs>
          <w:tab w:leader="none" w:pos="2160" w:val="left"/>
        </w:tabs>
        <w:numPr>
          <w:ilvl w:val="0"/>
          <w:numId w:val="12"/>
        </w:numPr>
        <w:rPr>
          <w:rFonts w:ascii="Calibri" w:cs="Calibri" w:eastAsia="Calibri" w:hAnsi="Calibri"/>
          <w:sz w:val="20"/>
          <w:szCs w:val="20"/>
          <w:color w:val="auto"/>
        </w:rPr>
      </w:pPr>
      <w:r>
        <w:rPr>
          <w:rFonts w:ascii="Calibri" w:cs="Calibri" w:eastAsia="Calibri" w:hAnsi="Calibri"/>
          <w:sz w:val="20"/>
          <w:szCs w:val="20"/>
          <w:color w:val="auto"/>
        </w:rPr>
        <w:t>With respect to any Employee or Consultant:</w:t>
      </w:r>
    </w:p>
    <w:p>
      <w:pPr>
        <w:spacing w:after="0" w:line="170" w:lineRule="exact"/>
        <w:rPr>
          <w:rFonts w:ascii="Calibri" w:cs="Calibri" w:eastAsia="Calibri" w:hAnsi="Calibri"/>
          <w:sz w:val="20"/>
          <w:szCs w:val="20"/>
          <w:color w:val="auto"/>
        </w:rPr>
      </w:pPr>
    </w:p>
    <w:p>
      <w:pPr>
        <w:jc w:val="both"/>
        <w:ind w:left="1760" w:right="239" w:firstLine="639"/>
        <w:spacing w:after="0"/>
        <w:tabs>
          <w:tab w:leader="none" w:pos="3137" w:val="left"/>
        </w:tabs>
        <w:numPr>
          <w:ilvl w:val="1"/>
          <w:numId w:val="12"/>
        </w:numPr>
        <w:rPr>
          <w:rFonts w:ascii="Calibri" w:cs="Calibri" w:eastAsia="Calibri" w:hAnsi="Calibri"/>
          <w:sz w:val="20"/>
          <w:szCs w:val="20"/>
          <w:color w:val="auto"/>
        </w:rPr>
      </w:pPr>
      <w:r>
        <w:rPr>
          <w:rFonts w:ascii="Calibri" w:cs="Calibri" w:eastAsia="Calibri" w:hAnsi="Calibri"/>
          <w:sz w:val="20"/>
          <w:szCs w:val="20"/>
          <w:color w:val="auto"/>
        </w:rPr>
        <w:t>If the Employee or Consultant is a party to an employment or service agreement with the Company or its Afliates and such agreement provides for a defniton of Cause, the defniton contained therein; or</w:t>
      </w:r>
    </w:p>
    <w:p>
      <w:pPr>
        <w:spacing w:after="0" w:line="67" w:lineRule="exact"/>
        <w:rPr>
          <w:rFonts w:ascii="Calibri" w:cs="Calibri" w:eastAsia="Calibri" w:hAnsi="Calibri"/>
          <w:sz w:val="20"/>
          <w:szCs w:val="20"/>
          <w:color w:val="auto"/>
        </w:rPr>
      </w:pPr>
    </w:p>
    <w:p>
      <w:pPr>
        <w:ind w:left="3120" w:hanging="721"/>
        <w:spacing w:after="0"/>
        <w:tabs>
          <w:tab w:leader="none" w:pos="3120" w:val="left"/>
        </w:tabs>
        <w:numPr>
          <w:ilvl w:val="1"/>
          <w:numId w:val="12"/>
        </w:numPr>
        <w:rPr>
          <w:rFonts w:ascii="Calibri" w:cs="Calibri" w:eastAsia="Calibri" w:hAnsi="Calibri"/>
          <w:sz w:val="20"/>
          <w:szCs w:val="20"/>
          <w:color w:val="auto"/>
        </w:rPr>
      </w:pPr>
      <w:r>
        <w:rPr>
          <w:rFonts w:ascii="Calibri" w:cs="Calibri" w:eastAsia="Calibri" w:hAnsi="Calibri"/>
          <w:sz w:val="20"/>
          <w:szCs w:val="20"/>
          <w:color w:val="auto"/>
        </w:rPr>
        <w:t>If no such agreement exists, or if such agreement does not defne</w:t>
      </w:r>
    </w:p>
    <w:p>
      <w:pPr>
        <w:spacing w:after="0" w:line="22" w:lineRule="exact"/>
        <w:rPr>
          <w:rFonts w:ascii="Calibri" w:cs="Calibri" w:eastAsia="Calibri" w:hAnsi="Calibri"/>
          <w:sz w:val="20"/>
          <w:szCs w:val="20"/>
          <w:color w:val="auto"/>
        </w:rPr>
      </w:pPr>
    </w:p>
    <w:p>
      <w:pPr>
        <w:jc w:val="both"/>
        <w:ind w:left="176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Cause: (A) a plea of guilty or no contest to a felony or the commission of any other act involving material willful malfeasance or material fduciary breach with respect to the Company or an Afliate; (B) conduct that results in material harm to the reputaton or business of the Company or any of its Afliates; (C) gross negligence or willful</w:t>
      </w:r>
    </w:p>
    <w:p>
      <w:pPr>
        <w:spacing w:after="0" w:line="19" w:lineRule="exact"/>
        <w:rPr>
          <w:rFonts w:ascii="Calibri" w:cs="Calibri" w:eastAsia="Calibri" w:hAnsi="Calibri"/>
          <w:sz w:val="20"/>
          <w:szCs w:val="20"/>
          <w:color w:val="auto"/>
        </w:rPr>
      </w:pPr>
    </w:p>
    <w:p>
      <w:pPr>
        <w:ind w:left="1760" w:right="21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misconduct with respect to the Company or an Afliate; or (D) material violaton of state or federal securites laws.</w:t>
      </w:r>
    </w:p>
    <w:p>
      <w:pPr>
        <w:spacing w:after="0" w:line="77" w:lineRule="exact"/>
        <w:rPr>
          <w:rFonts w:ascii="Calibri" w:cs="Calibri" w:eastAsia="Calibri" w:hAnsi="Calibri"/>
          <w:sz w:val="20"/>
          <w:szCs w:val="20"/>
          <w:color w:val="auto"/>
        </w:rPr>
      </w:pPr>
    </w:p>
    <w:p>
      <w:pPr>
        <w:ind w:left="860" w:right="219" w:firstLine="645"/>
        <w:spacing w:after="0" w:line="242" w:lineRule="auto"/>
        <w:tabs>
          <w:tab w:leader="none" w:pos="2156" w:val="left"/>
        </w:tabs>
        <w:numPr>
          <w:ilvl w:val="0"/>
          <w:numId w:val="12"/>
        </w:numPr>
        <w:rPr>
          <w:rFonts w:ascii="Calibri" w:cs="Calibri" w:eastAsia="Calibri" w:hAnsi="Calibri"/>
          <w:sz w:val="20"/>
          <w:szCs w:val="20"/>
          <w:color w:val="auto"/>
        </w:rPr>
      </w:pPr>
      <w:r>
        <w:rPr>
          <w:rFonts w:ascii="Calibri" w:cs="Calibri" w:eastAsia="Calibri" w:hAnsi="Calibri"/>
          <w:sz w:val="20"/>
          <w:szCs w:val="20"/>
          <w:color w:val="auto"/>
        </w:rPr>
        <w:t>With respect to any Director, a determinaton by a majority of the disinterested Board members that the Director has engaged in any of the following:</w:t>
      </w:r>
    </w:p>
    <w:p>
      <w:pPr>
        <w:spacing w:after="0" w:line="145" w:lineRule="exact"/>
        <w:rPr>
          <w:rFonts w:ascii="Calibri" w:cs="Calibri" w:eastAsia="Calibri" w:hAnsi="Calibri"/>
          <w:sz w:val="20"/>
          <w:szCs w:val="20"/>
          <w:color w:val="auto"/>
        </w:rPr>
      </w:pPr>
    </w:p>
    <w:p>
      <w:pPr>
        <w:ind w:left="3120" w:hanging="721"/>
        <w:spacing w:after="0"/>
        <w:tabs>
          <w:tab w:leader="none" w:pos="3120" w:val="left"/>
        </w:tabs>
        <w:numPr>
          <w:ilvl w:val="1"/>
          <w:numId w:val="12"/>
        </w:numPr>
        <w:rPr>
          <w:rFonts w:ascii="Calibri" w:cs="Calibri" w:eastAsia="Calibri" w:hAnsi="Calibri"/>
          <w:sz w:val="20"/>
          <w:szCs w:val="20"/>
          <w:color w:val="auto"/>
        </w:rPr>
      </w:pPr>
      <w:r>
        <w:rPr>
          <w:rFonts w:ascii="Calibri" w:cs="Calibri" w:eastAsia="Calibri" w:hAnsi="Calibri"/>
          <w:sz w:val="20"/>
          <w:szCs w:val="20"/>
          <w:color w:val="auto"/>
        </w:rPr>
        <w:t>malfeasance in ofce, including material undisclosed confict of</w:t>
      </w:r>
    </w:p>
    <w:p>
      <w:pPr>
        <w:spacing w:after="0" w:line="12" w:lineRule="exact"/>
        <w:rPr>
          <w:rFonts w:ascii="Calibri" w:cs="Calibri" w:eastAsia="Calibri" w:hAnsi="Calibri"/>
          <w:sz w:val="20"/>
          <w:szCs w:val="20"/>
          <w:color w:val="auto"/>
        </w:rPr>
      </w:pPr>
    </w:p>
    <w:p>
      <w:pPr>
        <w:ind w:left="1760"/>
        <w:spacing w:after="0"/>
        <w:rPr>
          <w:rFonts w:ascii="Calibri" w:cs="Calibri" w:eastAsia="Calibri" w:hAnsi="Calibri"/>
          <w:sz w:val="20"/>
          <w:szCs w:val="20"/>
          <w:color w:val="auto"/>
        </w:rPr>
      </w:pPr>
      <w:r>
        <w:rPr>
          <w:rFonts w:ascii="Calibri" w:cs="Calibri" w:eastAsia="Calibri" w:hAnsi="Calibri"/>
          <w:sz w:val="20"/>
          <w:szCs w:val="20"/>
          <w:color w:val="auto"/>
        </w:rPr>
        <w:t>interest;</w:t>
      </w:r>
    </w:p>
    <w:p>
      <w:pPr>
        <w:spacing w:after="0" w:line="66" w:lineRule="exact"/>
        <w:rPr>
          <w:rFonts w:ascii="Calibri" w:cs="Calibri" w:eastAsia="Calibri" w:hAnsi="Calibri"/>
          <w:sz w:val="20"/>
          <w:szCs w:val="20"/>
          <w:color w:val="auto"/>
        </w:rPr>
      </w:pPr>
    </w:p>
    <w:p>
      <w:pPr>
        <w:ind w:left="3120" w:hanging="721"/>
        <w:spacing w:after="0"/>
        <w:tabs>
          <w:tab w:leader="none" w:pos="3120" w:val="left"/>
        </w:tabs>
        <w:numPr>
          <w:ilvl w:val="1"/>
          <w:numId w:val="12"/>
        </w:numPr>
        <w:rPr>
          <w:rFonts w:ascii="Calibri" w:cs="Calibri" w:eastAsia="Calibri" w:hAnsi="Calibri"/>
          <w:sz w:val="20"/>
          <w:szCs w:val="20"/>
          <w:color w:val="auto"/>
        </w:rPr>
      </w:pPr>
      <w:r>
        <w:rPr>
          <w:rFonts w:ascii="Calibri" w:cs="Calibri" w:eastAsia="Calibri" w:hAnsi="Calibri"/>
          <w:sz w:val="20"/>
          <w:szCs w:val="20"/>
          <w:color w:val="auto"/>
        </w:rPr>
        <w:t>gross misconduct or neglect;</w:t>
      </w:r>
    </w:p>
    <w:p>
      <w:pPr>
        <w:spacing w:after="0" w:line="66" w:lineRule="exact"/>
        <w:rPr>
          <w:rFonts w:ascii="Calibri" w:cs="Calibri" w:eastAsia="Calibri" w:hAnsi="Calibri"/>
          <w:sz w:val="20"/>
          <w:szCs w:val="20"/>
          <w:color w:val="auto"/>
        </w:rPr>
      </w:pPr>
    </w:p>
    <w:p>
      <w:pPr>
        <w:ind w:left="3140" w:hanging="741"/>
        <w:spacing w:after="0"/>
        <w:tabs>
          <w:tab w:leader="none" w:pos="3140" w:val="left"/>
        </w:tabs>
        <w:numPr>
          <w:ilvl w:val="1"/>
          <w:numId w:val="12"/>
        </w:numPr>
        <w:rPr>
          <w:rFonts w:ascii="Calibri" w:cs="Calibri" w:eastAsia="Calibri" w:hAnsi="Calibri"/>
          <w:sz w:val="20"/>
          <w:szCs w:val="20"/>
          <w:color w:val="auto"/>
        </w:rPr>
      </w:pPr>
      <w:r>
        <w:rPr>
          <w:rFonts w:ascii="Calibri" w:cs="Calibri" w:eastAsia="Calibri" w:hAnsi="Calibri"/>
          <w:sz w:val="20"/>
          <w:szCs w:val="20"/>
          <w:color w:val="auto"/>
        </w:rPr>
        <w:t>false  or  fraudulent  misrepresentaton  inducing  the  Director’s</w:t>
      </w:r>
    </w:p>
    <w:p>
      <w:pPr>
        <w:ind w:left="1760"/>
        <w:spacing w:after="0" w:line="238" w:lineRule="auto"/>
        <w:rPr>
          <w:rFonts w:ascii="Calibri" w:cs="Calibri" w:eastAsia="Calibri" w:hAnsi="Calibri"/>
          <w:sz w:val="20"/>
          <w:szCs w:val="20"/>
          <w:color w:val="auto"/>
        </w:rPr>
      </w:pPr>
      <w:r>
        <w:rPr>
          <w:rFonts w:ascii="Calibri" w:cs="Calibri" w:eastAsia="Calibri" w:hAnsi="Calibri"/>
          <w:sz w:val="20"/>
          <w:szCs w:val="20"/>
          <w:color w:val="auto"/>
        </w:rPr>
        <w:t>appointment;</w:t>
      </w:r>
    </w:p>
    <w:p>
      <w:pPr>
        <w:spacing w:after="0" w:line="67" w:lineRule="exact"/>
        <w:rPr>
          <w:rFonts w:ascii="Calibri" w:cs="Calibri" w:eastAsia="Calibri" w:hAnsi="Calibri"/>
          <w:sz w:val="20"/>
          <w:szCs w:val="20"/>
          <w:color w:val="auto"/>
        </w:rPr>
      </w:pPr>
    </w:p>
    <w:p>
      <w:pPr>
        <w:ind w:left="3140" w:hanging="741"/>
        <w:spacing w:after="0"/>
        <w:tabs>
          <w:tab w:leader="none" w:pos="3140" w:val="left"/>
        </w:tabs>
        <w:numPr>
          <w:ilvl w:val="1"/>
          <w:numId w:val="12"/>
        </w:numPr>
        <w:rPr>
          <w:rFonts w:ascii="Calibri" w:cs="Calibri" w:eastAsia="Calibri" w:hAnsi="Calibri"/>
          <w:sz w:val="20"/>
          <w:szCs w:val="20"/>
          <w:color w:val="auto"/>
        </w:rPr>
      </w:pPr>
      <w:r>
        <w:rPr>
          <w:rFonts w:ascii="Calibri" w:cs="Calibri" w:eastAsia="Calibri" w:hAnsi="Calibri"/>
          <w:sz w:val="20"/>
          <w:szCs w:val="20"/>
          <w:color w:val="auto"/>
        </w:rPr>
        <w:t>willful conversion of corporate funds; or</w:t>
      </w:r>
    </w:p>
    <w:p>
      <w:pPr>
        <w:spacing w:after="0" w:line="76" w:lineRule="exact"/>
        <w:rPr>
          <w:rFonts w:ascii="Calibri" w:cs="Calibri" w:eastAsia="Calibri" w:hAnsi="Calibri"/>
          <w:sz w:val="20"/>
          <w:szCs w:val="20"/>
          <w:color w:val="auto"/>
        </w:rPr>
      </w:pPr>
    </w:p>
    <w:p>
      <w:pPr>
        <w:ind w:left="1760" w:right="239" w:firstLine="639"/>
        <w:spacing w:after="0" w:line="242" w:lineRule="auto"/>
        <w:tabs>
          <w:tab w:leader="none" w:pos="3138" w:val="left"/>
        </w:tabs>
        <w:numPr>
          <w:ilvl w:val="1"/>
          <w:numId w:val="12"/>
        </w:numPr>
        <w:rPr>
          <w:rFonts w:ascii="Calibri" w:cs="Calibri" w:eastAsia="Calibri" w:hAnsi="Calibri"/>
          <w:sz w:val="20"/>
          <w:szCs w:val="20"/>
          <w:color w:val="auto"/>
        </w:rPr>
      </w:pPr>
      <w:r>
        <w:rPr>
          <w:rFonts w:ascii="Calibri" w:cs="Calibri" w:eastAsia="Calibri" w:hAnsi="Calibri"/>
          <w:sz w:val="20"/>
          <w:szCs w:val="20"/>
          <w:color w:val="auto"/>
        </w:rPr>
        <w:t>repeated failure to regularly partcipate in Board meetngs despite receiving proper notce of the meetngs in advance.</w:t>
      </w:r>
    </w:p>
    <w:p>
      <w:pPr>
        <w:spacing w:after="0" w:line="115" w:lineRule="exact"/>
        <w:rPr>
          <w:sz w:val="20"/>
          <w:szCs w:val="20"/>
          <w:color w:val="auto"/>
        </w:rPr>
      </w:pPr>
    </w:p>
    <w:p>
      <w:pPr>
        <w:ind w:left="200" w:right="219" w:firstLine="648"/>
        <w:spacing w:after="0" w:line="242" w:lineRule="auto"/>
        <w:rPr>
          <w:sz w:val="20"/>
          <w:szCs w:val="20"/>
          <w:color w:val="auto"/>
        </w:rPr>
      </w:pPr>
      <w:r>
        <w:rPr>
          <w:rFonts w:ascii="Calibri" w:cs="Calibri" w:eastAsia="Calibri" w:hAnsi="Calibri"/>
          <w:sz w:val="20"/>
          <w:szCs w:val="20"/>
          <w:color w:val="auto"/>
        </w:rPr>
        <w:t>The Commitee, in its sole discreton, shall determine the efect of all maters and questons relatng to whether a Partcipant has been discharged for Cause.</w:t>
      </w:r>
    </w:p>
    <w:p>
      <w:pPr>
        <w:spacing w:after="0" w:line="227" w:lineRule="exact"/>
        <w:rPr>
          <w:sz w:val="20"/>
          <w:szCs w:val="20"/>
          <w:color w:val="auto"/>
        </w:rPr>
      </w:pPr>
    </w:p>
    <w:p>
      <w:pPr>
        <w:ind w:left="8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Change in Control</w:t>
      </w:r>
      <w:r>
        <w:rPr>
          <w:rFonts w:ascii="Calibri" w:cs="Calibri" w:eastAsia="Calibri" w:hAnsi="Calibri"/>
          <w:sz w:val="20"/>
          <w:szCs w:val="20"/>
          <w:color w:val="auto"/>
        </w:rPr>
        <w:t>” shall be deemed to have occurred if:</w:t>
      </w:r>
    </w:p>
    <w:p>
      <w:pPr>
        <w:spacing w:after="0" w:line="238" w:lineRule="exact"/>
        <w:rPr>
          <w:sz w:val="20"/>
          <w:szCs w:val="20"/>
          <w:color w:val="auto"/>
        </w:rPr>
      </w:pPr>
    </w:p>
    <w:p>
      <w:pPr>
        <w:jc w:val="both"/>
        <w:ind w:left="860" w:right="219" w:firstLine="645"/>
        <w:spacing w:after="0" w:line="244" w:lineRule="auto"/>
        <w:tabs>
          <w:tab w:leader="none" w:pos="2156" w:val="left"/>
        </w:tabs>
        <w:numPr>
          <w:ilvl w:val="0"/>
          <w:numId w:val="13"/>
        </w:numPr>
        <w:rPr>
          <w:rFonts w:ascii="Calibri" w:cs="Calibri" w:eastAsia="Calibri" w:hAnsi="Calibri"/>
          <w:sz w:val="20"/>
          <w:szCs w:val="20"/>
          <w:color w:val="auto"/>
        </w:rPr>
      </w:pPr>
      <w:r>
        <w:rPr>
          <w:rFonts w:ascii="Calibri" w:cs="Calibri" w:eastAsia="Calibri" w:hAnsi="Calibri"/>
          <w:sz w:val="20"/>
          <w:szCs w:val="20"/>
          <w:color w:val="auto"/>
        </w:rPr>
        <w:t>the shareholders of the Company approve, and the consummaton of a reorganizaton, merger, or consolidaton has occurred, in each case, with respect to which persons who were the shareholders of the Company immediately prior to such reorganizaton, merger or consolidaton do not, immediately thereafer, own outstanding Votng Securites</w:t>
      </w:r>
    </w:p>
    <w:p>
      <w:pPr>
        <w:spacing w:after="0" w:line="19" w:lineRule="exact"/>
        <w:rPr>
          <w:rFonts w:ascii="Calibri" w:cs="Calibri" w:eastAsia="Calibri" w:hAnsi="Calibri"/>
          <w:sz w:val="20"/>
          <w:szCs w:val="20"/>
          <w:color w:val="auto"/>
        </w:rPr>
      </w:pPr>
    </w:p>
    <w:p>
      <w:pPr>
        <w:jc w:val="both"/>
        <w:ind w:left="860" w:right="239"/>
        <w:spacing w:after="0"/>
        <w:rPr>
          <w:rFonts w:ascii="Calibri" w:cs="Calibri" w:eastAsia="Calibri" w:hAnsi="Calibri"/>
          <w:sz w:val="20"/>
          <w:szCs w:val="20"/>
          <w:color w:val="auto"/>
        </w:rPr>
      </w:pPr>
      <w:r>
        <w:rPr>
          <w:rFonts w:ascii="Calibri" w:cs="Calibri" w:eastAsia="Calibri" w:hAnsi="Calibri"/>
          <w:sz w:val="20"/>
          <w:szCs w:val="20"/>
          <w:color w:val="auto"/>
        </w:rPr>
        <w:t>representng at least ffy-one percent (51%) of the Votng Securites of the reorganized, merged or consolidated company and at such tme, or within twelve (12) months thereafer, members of the Incumbent Board cease to consttute a majority of the Board;</w:t>
      </w:r>
    </w:p>
    <w:p>
      <w:pPr>
        <w:spacing w:after="0" w:line="158" w:lineRule="exact"/>
        <w:rPr>
          <w:rFonts w:ascii="Calibri" w:cs="Calibri" w:eastAsia="Calibri" w:hAnsi="Calibri"/>
          <w:sz w:val="20"/>
          <w:szCs w:val="20"/>
          <w:color w:val="auto"/>
        </w:rPr>
      </w:pPr>
    </w:p>
    <w:p>
      <w:pPr>
        <w:ind w:left="860" w:right="239" w:firstLine="645"/>
        <w:spacing w:after="0" w:line="242" w:lineRule="auto"/>
        <w:tabs>
          <w:tab w:leader="none" w:pos="2156" w:val="left"/>
        </w:tabs>
        <w:numPr>
          <w:ilvl w:val="0"/>
          <w:numId w:val="13"/>
        </w:numPr>
        <w:rPr>
          <w:rFonts w:ascii="Calibri" w:cs="Calibri" w:eastAsia="Calibri" w:hAnsi="Calibri"/>
          <w:sz w:val="20"/>
          <w:szCs w:val="20"/>
          <w:color w:val="auto"/>
        </w:rPr>
      </w:pPr>
      <w:r>
        <w:rPr>
          <w:rFonts w:ascii="Calibri" w:cs="Calibri" w:eastAsia="Calibri" w:hAnsi="Calibri"/>
          <w:sz w:val="20"/>
          <w:szCs w:val="20"/>
          <w:color w:val="auto"/>
        </w:rPr>
        <w:t>the shareholders of the Company approve a liquidaton or dissoluton of the Company or a sale of all or substantally all of the stock or assets of the Company; or</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41" w:name="page42"/>
    <w:bookmarkEnd w:id="41"/>
    <w:p>
      <w:pPr>
        <w:ind w:left="2160" w:hanging="655"/>
        <w:spacing w:after="0"/>
        <w:tabs>
          <w:tab w:leader="none" w:pos="2160" w:val="left"/>
        </w:tabs>
        <w:numPr>
          <w:ilvl w:val="0"/>
          <w:numId w:val="14"/>
        </w:numPr>
        <w:rPr>
          <w:rFonts w:ascii="Calibri" w:cs="Calibri" w:eastAsia="Calibri" w:hAnsi="Calibri"/>
          <w:sz w:val="20"/>
          <w:szCs w:val="20"/>
          <w:color w:val="auto"/>
        </w:rPr>
      </w:pPr>
      <w:r>
        <w:rPr>
          <w:rFonts w:ascii="Calibri" w:cs="Calibri" w:eastAsia="Calibri" w:hAnsi="Calibri"/>
          <w:sz w:val="20"/>
          <w:szCs w:val="20"/>
          <w:color w:val="auto"/>
        </w:rPr>
        <w:t>any “person,” as that term is defned in Secton 3(a)(9) of the Exchange Act</w:t>
      </w:r>
    </w:p>
    <w:p>
      <w:pPr>
        <w:spacing w:after="0" w:line="22" w:lineRule="exact"/>
        <w:rPr>
          <w:rFonts w:ascii="Calibri" w:cs="Calibri" w:eastAsia="Calibri" w:hAnsi="Calibri"/>
          <w:sz w:val="20"/>
          <w:szCs w:val="20"/>
          <w:color w:val="auto"/>
        </w:rPr>
      </w:pPr>
    </w:p>
    <w:p>
      <w:pPr>
        <w:jc w:val="both"/>
        <w:ind w:left="86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(other than the Company, any of its subsidiaries, any employee beneft plan of the Company or any of its subsidiaries, or any entty organized, appointed or established by the Company for or pursuant to the terms of such a plan), together with all “afliates” and “associates” (as such terms are defned in Rule 12b-2 under the Exchange Act) of such person (as well as any “Person”</w:t>
      </w:r>
    </w:p>
    <w:p>
      <w:pPr>
        <w:spacing w:after="0" w:line="19" w:lineRule="exact"/>
        <w:rPr>
          <w:rFonts w:ascii="Calibri" w:cs="Calibri" w:eastAsia="Calibri" w:hAnsi="Calibri"/>
          <w:sz w:val="20"/>
          <w:szCs w:val="20"/>
          <w:color w:val="auto"/>
        </w:rPr>
      </w:pPr>
    </w:p>
    <w:p>
      <w:pPr>
        <w:jc w:val="both"/>
        <w:ind w:left="86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or “group” as those terms are used in Sectons 13(d) and 14(d) of the Exchange Act), shall become the “benefcial owner” or “benefcial owners” (as defned in Rules 13d-3 and 13d-5 under the Exchange Act), directly or indirectly, of securites of the Company representng in the aggregate forty percent (40%) or more of either the then outstanding shares Common Stock or</w:t>
      </w:r>
    </w:p>
    <w:p>
      <w:pPr>
        <w:spacing w:after="0" w:line="19" w:lineRule="exact"/>
        <w:rPr>
          <w:rFonts w:ascii="Calibri" w:cs="Calibri" w:eastAsia="Calibri" w:hAnsi="Calibri"/>
          <w:sz w:val="20"/>
          <w:szCs w:val="20"/>
          <w:color w:val="auto"/>
        </w:rPr>
      </w:pPr>
    </w:p>
    <w:p>
      <w:pPr>
        <w:jc w:val="both"/>
        <w:ind w:left="86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the Votng Securites of the Company, in either such case other than solely as a result of acquisitons of such securites directly from the Company. Without limitng the preceding, a person who, directly or indirectly, through any contract, arrangement, understanding, relatonship, or otherwise has or shares the power to vote, or to direct the votng of, or to</w:t>
      </w:r>
    </w:p>
    <w:p>
      <w:pPr>
        <w:spacing w:after="0" w:line="19" w:lineRule="exact"/>
        <w:rPr>
          <w:rFonts w:ascii="Calibri" w:cs="Calibri" w:eastAsia="Calibri" w:hAnsi="Calibri"/>
          <w:sz w:val="20"/>
          <w:szCs w:val="20"/>
          <w:color w:val="auto"/>
        </w:rPr>
      </w:pPr>
    </w:p>
    <w:p>
      <w:pPr>
        <w:ind w:left="860" w:right="23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dispose, or to direct the dispositon of, Common Stock or other Votng Securites of the Company shall be deemed the benefcial owner of such Common Stock or Votng Securites.</w:t>
      </w:r>
    </w:p>
    <w:p>
      <w:pPr>
        <w:spacing w:after="0" w:line="172"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 xml:space="preserve">Notwithstanding the foregoing, a “Change in Control” shall not be deemed to have occurred for purposes of paragraph (c) solely as the result of an acquisiton of securites by the Company which, by reducing the number of shares of Common Stock or other Votng Securites of the Company outstanding, increases (I) the proportonate number of shares of Common Stock benefcially owned by any person to forty percent (40%) or more of the shares of Common Stock then outstanding or (II) the proportonate votng power represented by the Votng Securites of the Company benefcially owned by any person to forty percent (40%) or more of the combined votng power of all then outstanding Votng Securites; </w:t>
      </w:r>
      <w:r>
        <w:rPr>
          <w:rFonts w:ascii="Calibri" w:cs="Calibri" w:eastAsia="Calibri" w:hAnsi="Calibri"/>
          <w:sz w:val="20"/>
          <w:szCs w:val="20"/>
          <w:i w:val="1"/>
          <w:iCs w:val="1"/>
          <w:color w:val="auto"/>
        </w:rPr>
        <w:t>provided, however</w:t>
      </w:r>
      <w:r>
        <w:rPr>
          <w:rFonts w:ascii="Calibri" w:cs="Calibri" w:eastAsia="Calibri" w:hAnsi="Calibri"/>
          <w:sz w:val="20"/>
          <w:szCs w:val="20"/>
          <w:color w:val="auto"/>
        </w:rPr>
        <w:t>, that if any person referred to in clause (I) or (II) of this sentence shall thereafer become the benefcial owner of any additonal shares of Common Stock or other Votng Securites of the Company (other than a result of a stock split, stock dividend or similar transacton), then a Change in Control of the Company shall be deemed to have occurred for purposes of paragraph (c).</w:t>
      </w:r>
    </w:p>
    <w:p>
      <w:pPr>
        <w:spacing w:after="0" w:line="200" w:lineRule="exact"/>
        <w:rPr>
          <w:sz w:val="20"/>
          <w:szCs w:val="20"/>
          <w:color w:val="auto"/>
        </w:rPr>
      </w:pPr>
    </w:p>
    <w:p>
      <w:pPr>
        <w:spacing w:after="0" w:line="290" w:lineRule="exact"/>
        <w:rPr>
          <w:sz w:val="20"/>
          <w:szCs w:val="20"/>
          <w:color w:val="auto"/>
        </w:rPr>
      </w:pPr>
    </w:p>
    <w:p>
      <w:pPr>
        <w:jc w:val="both"/>
        <w:ind w:left="200" w:right="239" w:firstLine="648"/>
        <w:spacing w:after="0" w:line="234" w:lineRule="auto"/>
        <w:rPr>
          <w:sz w:val="20"/>
          <w:szCs w:val="20"/>
          <w:color w:val="auto"/>
        </w:rPr>
      </w:pPr>
      <w:r>
        <w:rPr>
          <w:rFonts w:ascii="Calibri" w:cs="Calibri" w:eastAsia="Calibri" w:hAnsi="Calibri"/>
          <w:sz w:val="20"/>
          <w:szCs w:val="20"/>
          <w:b w:val="1"/>
          <w:bCs w:val="1"/>
          <w:color w:val="auto"/>
        </w:rPr>
        <w:t xml:space="preserve">“Change in Control Policy” </w:t>
      </w:r>
      <w:r>
        <w:rPr>
          <w:rFonts w:ascii="Calibri" w:cs="Calibri" w:eastAsia="Calibri" w:hAnsi="Calibri"/>
          <w:sz w:val="20"/>
          <w:szCs w:val="20"/>
          <w:color w:val="auto"/>
        </w:rPr>
        <w:t>means the Company’s Change in Control Severance Policy for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Employees, as in efect on the Efectve Date and as the same may be amended from tme to tme.</w:t>
      </w:r>
    </w:p>
    <w:p>
      <w:pPr>
        <w:spacing w:after="0" w:line="239" w:lineRule="exact"/>
        <w:rPr>
          <w:sz w:val="20"/>
          <w:szCs w:val="20"/>
          <w:color w:val="auto"/>
        </w:rPr>
      </w:pPr>
    </w:p>
    <w:p>
      <w:pPr>
        <w:jc w:val="both"/>
        <w:ind w:left="200" w:right="239" w:firstLine="648"/>
        <w:spacing w:after="0" w:line="247"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Code</w:t>
      </w:r>
      <w:r>
        <w:rPr>
          <w:rFonts w:ascii="Calibri" w:cs="Calibri" w:eastAsia="Calibri" w:hAnsi="Calibri"/>
          <w:sz w:val="20"/>
          <w:szCs w:val="20"/>
          <w:color w:val="auto"/>
        </w:rPr>
        <w:t>” means the Internal Revenue Code of 1986, as it may be amended from tme to tme. Any reference to a secton of the Code shall be deemed to include a reference to any regulatons promulgated thereunder.</w:t>
      </w:r>
    </w:p>
    <w:p>
      <w:pPr>
        <w:spacing w:after="0" w:line="218" w:lineRule="exact"/>
        <w:rPr>
          <w:sz w:val="20"/>
          <w:szCs w:val="20"/>
          <w:color w:val="auto"/>
        </w:rPr>
      </w:pPr>
    </w:p>
    <w:p>
      <w:pPr>
        <w:jc w:val="both"/>
        <w:ind w:left="200" w:right="239" w:firstLine="648"/>
        <w:spacing w:after="0" w:line="24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Commitee</w:t>
      </w:r>
      <w:r>
        <w:rPr>
          <w:rFonts w:ascii="Calibri" w:cs="Calibri" w:eastAsia="Calibri" w:hAnsi="Calibri"/>
          <w:sz w:val="20"/>
          <w:szCs w:val="20"/>
          <w:color w:val="auto"/>
        </w:rPr>
        <w:t xml:space="preserve">” means a commitee appointed by the Board to administer the Plan in accordance with </w:t>
      </w:r>
      <w:r>
        <w:rPr>
          <w:rFonts w:ascii="Calibri" w:cs="Calibri" w:eastAsia="Calibri" w:hAnsi="Calibri"/>
          <w:sz w:val="20"/>
          <w:szCs w:val="20"/>
          <w:b w:val="1"/>
          <w:bCs w:val="1"/>
          <w:color w:val="auto"/>
          <w:highlight w:val="lightGray"/>
        </w:rPr>
        <w:t>Secton 3</w:t>
      </w:r>
      <w:r>
        <w:rPr>
          <w:rFonts w:ascii="Calibri" w:cs="Calibri" w:eastAsia="Calibri" w:hAnsi="Calibri"/>
          <w:sz w:val="20"/>
          <w:szCs w:val="20"/>
          <w:color w:val="auto"/>
        </w:rPr>
        <w:t>.</w:t>
      </w:r>
    </w:p>
    <w:p>
      <w:pPr>
        <w:spacing w:after="0" w:line="237" w:lineRule="exact"/>
        <w:rPr>
          <w:sz w:val="20"/>
          <w:szCs w:val="20"/>
          <w:color w:val="auto"/>
        </w:rPr>
      </w:pPr>
    </w:p>
    <w:p>
      <w:pPr>
        <w:jc w:val="both"/>
        <w:ind w:left="200" w:right="219" w:firstLine="648"/>
        <w:spacing w:after="0" w:line="241"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Common Stock</w:t>
      </w:r>
      <w:r>
        <w:rPr>
          <w:rFonts w:ascii="Calibri" w:cs="Calibri" w:eastAsia="Calibri" w:hAnsi="Calibri"/>
          <w:sz w:val="20"/>
          <w:szCs w:val="20"/>
          <w:color w:val="auto"/>
        </w:rPr>
        <w:t>” means the common stock, $0.001 par value per share, of the Company or other securites of the Company as may be designated by the Commitee from tme to tme in substtuton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42" w:name="page43"/>
    <w:bookmarkEnd w:id="42"/>
    <w:p>
      <w:pPr>
        <w:jc w:val="both"/>
        <w:ind w:left="200" w:right="219" w:firstLine="648"/>
        <w:spacing w:after="0" w:line="24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Company</w:t>
      </w:r>
      <w:r>
        <w:rPr>
          <w:rFonts w:ascii="Calibri" w:cs="Calibri" w:eastAsia="Calibri" w:hAnsi="Calibri"/>
          <w:sz w:val="20"/>
          <w:szCs w:val="20"/>
          <w:color w:val="auto"/>
        </w:rPr>
        <w:t>” means Evoluton Petroleum Corporaton, a Nevada corporaton, and any successor thereto.</w:t>
      </w:r>
    </w:p>
    <w:p>
      <w:pPr>
        <w:spacing w:after="0" w:line="223" w:lineRule="exact"/>
        <w:rPr>
          <w:sz w:val="20"/>
          <w:szCs w:val="20"/>
          <w:color w:val="auto"/>
        </w:rPr>
      </w:pPr>
    </w:p>
    <w:p>
      <w:pPr>
        <w:jc w:val="both"/>
        <w:ind w:left="200" w:right="239" w:firstLine="648"/>
        <w:spacing w:after="0" w:line="24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Consultant</w:t>
      </w:r>
      <w:r>
        <w:rPr>
          <w:rFonts w:ascii="Calibri" w:cs="Calibri" w:eastAsia="Calibri" w:hAnsi="Calibri"/>
          <w:sz w:val="20"/>
          <w:szCs w:val="20"/>
          <w:color w:val="auto"/>
        </w:rPr>
        <w:t>” means any individual engaged by the Company or an Afliate to render consultng or advisory services and is not an Employee or Director.</w:t>
      </w:r>
    </w:p>
    <w:p>
      <w:pPr>
        <w:spacing w:after="0" w:line="237" w:lineRule="exact"/>
        <w:rPr>
          <w:sz w:val="20"/>
          <w:szCs w:val="20"/>
          <w:color w:val="auto"/>
        </w:rPr>
      </w:pPr>
    </w:p>
    <w:p>
      <w:pPr>
        <w:jc w:val="both"/>
        <w:ind w:left="200" w:right="219" w:firstLine="648"/>
        <w:spacing w:after="0" w:line="24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Contnuous Service</w:t>
      </w:r>
      <w:r>
        <w:rPr>
          <w:rFonts w:ascii="Calibri" w:cs="Calibri" w:eastAsia="Calibri" w:hAnsi="Calibri"/>
          <w:sz w:val="20"/>
          <w:szCs w:val="20"/>
          <w:color w:val="auto"/>
        </w:rPr>
        <w:t xml:space="preserve">” means that the Partcipant’s service with the Company or an Afliate, whether as an Employee, Consultant, or Director, is not interrupted or terminated. The Partcipant’s Contnuous Service shall not be deemed to have terminated merely because of a change in the capacity in which the Partcipant renders service to the Company or an Afliate as an Employee, Consultant, or Director or a change in the entty for which the Partcipant renders such service, </w:t>
      </w:r>
      <w:r>
        <w:rPr>
          <w:rFonts w:ascii="Calibri" w:cs="Calibri" w:eastAsia="Calibri" w:hAnsi="Calibri"/>
          <w:sz w:val="20"/>
          <w:szCs w:val="20"/>
          <w:i w:val="1"/>
          <w:iCs w:val="1"/>
          <w:color w:val="auto"/>
        </w:rPr>
        <w:t>provided</w:t>
      </w:r>
      <w:r>
        <w:rPr>
          <w:rFonts w:ascii="Calibri" w:cs="Calibri" w:eastAsia="Calibri" w:hAnsi="Calibri"/>
          <w:sz w:val="20"/>
          <w:szCs w:val="20"/>
          <w:color w:val="auto"/>
        </w:rPr>
        <w:t xml:space="preserve"> that there is no interrupton or terminaton of the Partcipant’s Contnuous Service; </w:t>
      </w:r>
      <w:r>
        <w:rPr>
          <w:rFonts w:ascii="Calibri" w:cs="Calibri" w:eastAsia="Calibri" w:hAnsi="Calibri"/>
          <w:sz w:val="20"/>
          <w:szCs w:val="20"/>
          <w:i w:val="1"/>
          <w:iCs w:val="1"/>
          <w:color w:val="auto"/>
        </w:rPr>
        <w:t>provided further</w:t>
      </w:r>
      <w:r>
        <w:rPr>
          <w:rFonts w:ascii="Calibri" w:cs="Calibri" w:eastAsia="Calibri" w:hAnsi="Calibri"/>
          <w:sz w:val="20"/>
          <w:szCs w:val="20"/>
          <w:color w:val="auto"/>
        </w:rPr>
        <w:t xml:space="preserve"> that if any Award is subject to Secton 409A, this sentence shall only be given efect to the extent consistent with Secton 409A. Without limitng the generality of the preceding, for purposes of the Plan, no cessaton or interrupton of Contnuous Service by an Employee shall be deemed to result from either (a) a transfer of employment to the Company from an Afliate or from the Company to an Afliate, or from one Afliate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Commitee otherwise so provides in writng, in either case, except to the extent inconsistent with Secton 409A if the applicable Award is subject thereto. In additon, a change in status from an Employee of the Company to a Director of an Afliate will not consttute a cessaton or interrupton of Contnuous Service.</w:t>
      </w:r>
    </w:p>
    <w:p>
      <w:pPr>
        <w:spacing w:after="0" w:line="200" w:lineRule="exact"/>
        <w:rPr>
          <w:sz w:val="20"/>
          <w:szCs w:val="20"/>
          <w:color w:val="auto"/>
        </w:rPr>
      </w:pPr>
    </w:p>
    <w:p>
      <w:pPr>
        <w:spacing w:after="0" w:line="276"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 xml:space="preserve">“Covered Terminaton” </w:t>
      </w:r>
      <w:r>
        <w:rPr>
          <w:rFonts w:ascii="Calibri" w:cs="Calibri" w:eastAsia="Calibri" w:hAnsi="Calibri"/>
          <w:sz w:val="20"/>
          <w:szCs w:val="20"/>
          <w:color w:val="auto"/>
        </w:rPr>
        <w:t>has the meaning ascribed to that term in the Change in Control Policy.</w:t>
      </w:r>
    </w:p>
    <w:p>
      <w:pPr>
        <w:spacing w:after="0" w:line="215" w:lineRule="exact"/>
        <w:rPr>
          <w:sz w:val="20"/>
          <w:szCs w:val="20"/>
          <w:color w:val="auto"/>
        </w:rPr>
      </w:pPr>
    </w:p>
    <w:p>
      <w:pPr>
        <w:ind w:left="8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Director</w:t>
      </w:r>
      <w:r>
        <w:rPr>
          <w:rFonts w:ascii="Calibri" w:cs="Calibri" w:eastAsia="Calibri" w:hAnsi="Calibri"/>
          <w:sz w:val="20"/>
          <w:szCs w:val="20"/>
          <w:color w:val="auto"/>
        </w:rPr>
        <w:t>” means a non-Employee member of the Board.</w:t>
      </w:r>
    </w:p>
    <w:p>
      <w:pPr>
        <w:spacing w:after="0" w:line="238"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Disability</w:t>
      </w:r>
      <w:r>
        <w:rPr>
          <w:rFonts w:ascii="Calibri" w:cs="Calibri" w:eastAsia="Calibri" w:hAnsi="Calibri"/>
          <w:sz w:val="20"/>
          <w:szCs w:val="20"/>
          <w:color w:val="auto"/>
        </w:rPr>
        <w:t xml:space="preserve">” means that the Partcipant is determined disabled by the Social Security Administraton or under any long-term disability plan maintained by the Company or any Afliate in which a Partcipant partcipates, </w:t>
      </w:r>
      <w:r>
        <w:rPr>
          <w:rFonts w:ascii="Calibri" w:cs="Calibri" w:eastAsia="Calibri" w:hAnsi="Calibri"/>
          <w:sz w:val="20"/>
          <w:szCs w:val="20"/>
          <w:i w:val="1"/>
          <w:iCs w:val="1"/>
          <w:color w:val="auto"/>
        </w:rPr>
        <w:t>provided that</w:t>
      </w:r>
      <w:r>
        <w:rPr>
          <w:rFonts w:ascii="Calibri" w:cs="Calibri" w:eastAsia="Calibri" w:hAnsi="Calibri"/>
          <w:sz w:val="20"/>
          <w:szCs w:val="20"/>
          <w:color w:val="auto"/>
        </w:rPr>
        <w:t xml:space="preserve"> the long-term disability plan determines a Partcipant disabled if the Partcipant is unable to engage in any substantal gainful actvity by reason of any medically determinable physical or mental impairment that can be expected result in death or can be expected to last for not less than twelve (12) months; </w:t>
      </w:r>
      <w:r>
        <w:rPr>
          <w:rFonts w:ascii="Calibri" w:cs="Calibri" w:eastAsia="Calibri" w:hAnsi="Calibri"/>
          <w:sz w:val="20"/>
          <w:szCs w:val="20"/>
          <w:i w:val="1"/>
          <w:iCs w:val="1"/>
          <w:color w:val="auto"/>
        </w:rPr>
        <w:t>provided, however, that</w:t>
      </w:r>
      <w:r>
        <w:rPr>
          <w:rFonts w:ascii="Calibri" w:cs="Calibri" w:eastAsia="Calibri" w:hAnsi="Calibri"/>
          <w:sz w:val="20"/>
          <w:szCs w:val="20"/>
          <w:color w:val="auto"/>
        </w:rPr>
        <w:t xml:space="preserve"> for purposes of determining the expiraton of an Incentve Stock Opton under </w:t>
      </w:r>
      <w:r>
        <w:rPr>
          <w:rFonts w:ascii="Calibri" w:cs="Calibri" w:eastAsia="Calibri" w:hAnsi="Calibri"/>
          <w:sz w:val="20"/>
          <w:szCs w:val="20"/>
          <w:b w:val="1"/>
          <w:bCs w:val="1"/>
          <w:color w:val="auto"/>
          <w:highlight w:val="lightGray"/>
        </w:rPr>
        <w:t>Secton 5.6</w:t>
      </w:r>
      <w:r>
        <w:rPr>
          <w:rFonts w:ascii="Calibri" w:cs="Calibri" w:eastAsia="Calibri" w:hAnsi="Calibri"/>
          <w:sz w:val="20"/>
          <w:szCs w:val="20"/>
          <w:color w:val="auto"/>
        </w:rPr>
        <w:t xml:space="preserve"> hereof, the term Disability shall have the meaning ascribed to it under Secton 22(e)(3) of the Code. Whether an individual has a Disability shall be determined under procedures established by the Commitee.</w:t>
      </w:r>
    </w:p>
    <w:p>
      <w:pPr>
        <w:spacing w:after="0" w:line="227" w:lineRule="exact"/>
        <w:rPr>
          <w:sz w:val="20"/>
          <w:szCs w:val="20"/>
          <w:color w:val="auto"/>
        </w:rPr>
      </w:pPr>
    </w:p>
    <w:p>
      <w:pPr>
        <w:ind w:left="8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Disqualifying Dispositon</w:t>
      </w:r>
      <w:r>
        <w:rPr>
          <w:rFonts w:ascii="Calibri" w:cs="Calibri" w:eastAsia="Calibri" w:hAnsi="Calibri"/>
          <w:sz w:val="20"/>
          <w:szCs w:val="20"/>
          <w:color w:val="auto"/>
        </w:rPr>
        <w:t xml:space="preserve">” has the meaning outlined in </w:t>
      </w:r>
      <w:r>
        <w:rPr>
          <w:rFonts w:ascii="Calibri" w:cs="Calibri" w:eastAsia="Calibri" w:hAnsi="Calibri"/>
          <w:sz w:val="20"/>
          <w:szCs w:val="20"/>
          <w:b w:val="1"/>
          <w:bCs w:val="1"/>
          <w:u w:val="single" w:color="auto"/>
          <w:color w:val="0000EE"/>
          <w:highlight w:val="lightGray"/>
        </w:rPr>
        <w:t>Secton 5.9</w:t>
      </w:r>
      <w:r>
        <w:rPr>
          <w:rFonts w:ascii="Calibri" w:cs="Calibri" w:eastAsia="Calibri" w:hAnsi="Calibri"/>
          <w:sz w:val="20"/>
          <w:szCs w:val="20"/>
          <w:color w:val="auto"/>
        </w:rPr>
        <w:t>.</w:t>
      </w:r>
    </w:p>
    <w:p>
      <w:pPr>
        <w:spacing w:after="0" w:line="228"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 xml:space="preserve">“Dividend Equivalents” </w:t>
      </w:r>
      <w:r>
        <w:rPr>
          <w:rFonts w:ascii="Calibri" w:cs="Calibri" w:eastAsia="Calibri" w:hAnsi="Calibri"/>
          <w:sz w:val="20"/>
          <w:szCs w:val="20"/>
          <w:color w:val="auto"/>
        </w:rPr>
        <w:t>has the meaning outlined in</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color w:val="auto"/>
          <w:highlight w:val="lightGray"/>
        </w:rPr>
        <w:t>Secton 6.2(b)(ii)</w:t>
      </w:r>
      <w:r>
        <w:rPr>
          <w:rFonts w:ascii="Calibri" w:cs="Calibri" w:eastAsia="Calibri" w:hAnsi="Calibri"/>
          <w:sz w:val="20"/>
          <w:szCs w:val="20"/>
          <w:color w:val="auto"/>
        </w:rPr>
        <w:t>.</w:t>
      </w:r>
    </w:p>
    <w:p>
      <w:pPr>
        <w:spacing w:after="0" w:line="215" w:lineRule="exact"/>
        <w:rPr>
          <w:sz w:val="20"/>
          <w:szCs w:val="20"/>
          <w:color w:val="auto"/>
        </w:rPr>
      </w:pPr>
    </w:p>
    <w:p>
      <w:pPr>
        <w:ind w:left="8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Efectve Date</w:t>
      </w:r>
      <w:r>
        <w:rPr>
          <w:rFonts w:ascii="Calibri" w:cs="Calibri" w:eastAsia="Calibri" w:hAnsi="Calibri"/>
          <w:sz w:val="20"/>
          <w:szCs w:val="20"/>
          <w:color w:val="auto"/>
        </w:rPr>
        <w:t>” means the date this Plan is approved by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3" w:name="page44"/>
    <w:bookmarkEnd w:id="43"/>
    <w:p>
      <w:pPr>
        <w:jc w:val="both"/>
        <w:ind w:left="200" w:right="219" w:firstLine="648"/>
        <w:spacing w:after="0" w:line="247"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Employee</w:t>
      </w:r>
      <w:r>
        <w:rPr>
          <w:rFonts w:ascii="Calibri" w:cs="Calibri" w:eastAsia="Calibri" w:hAnsi="Calibri"/>
          <w:sz w:val="20"/>
          <w:szCs w:val="20"/>
          <w:color w:val="auto"/>
        </w:rPr>
        <w:t xml:space="preserve">” means any person, including an Ofcer or member of the Board, employed by the Company or an Afliate, </w:t>
      </w:r>
      <w:r>
        <w:rPr>
          <w:rFonts w:ascii="Calibri" w:cs="Calibri" w:eastAsia="Calibri" w:hAnsi="Calibri"/>
          <w:sz w:val="20"/>
          <w:szCs w:val="20"/>
          <w:i w:val="1"/>
          <w:iCs w:val="1"/>
          <w:color w:val="auto"/>
        </w:rPr>
        <w:t>provided that,</w:t>
      </w:r>
      <w:r>
        <w:rPr>
          <w:rFonts w:ascii="Calibri" w:cs="Calibri" w:eastAsia="Calibri" w:hAnsi="Calibri"/>
          <w:sz w:val="20"/>
          <w:szCs w:val="20"/>
          <w:color w:val="auto"/>
        </w:rPr>
        <w:t xml:space="preserve"> for purposes of determining eligibility to receive an award of Incentve Stock Optons, an Employee shall mean an employee of the Company or a parent or subsidiary corporaton within the meaning of Secton 424 of the Code. Mere service as a Director or payment of a director’s fee by the Company or an Afliate shall not be sufcient to consttute “employment” by the Company or an Afliate.</w:t>
      </w:r>
    </w:p>
    <w:p>
      <w:pPr>
        <w:spacing w:after="0" w:line="211" w:lineRule="exact"/>
        <w:rPr>
          <w:sz w:val="20"/>
          <w:szCs w:val="20"/>
          <w:color w:val="auto"/>
        </w:rPr>
      </w:pPr>
    </w:p>
    <w:p>
      <w:pPr>
        <w:ind w:left="8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Exchange Act</w:t>
      </w:r>
      <w:r>
        <w:rPr>
          <w:rFonts w:ascii="Calibri" w:cs="Calibri" w:eastAsia="Calibri" w:hAnsi="Calibri"/>
          <w:sz w:val="20"/>
          <w:szCs w:val="20"/>
          <w:color w:val="auto"/>
        </w:rPr>
        <w:t>” means the Securites Exchange Act of 1934, as amended.</w:t>
      </w:r>
    </w:p>
    <w:p>
      <w:pPr>
        <w:spacing w:after="0" w:line="238" w:lineRule="exact"/>
        <w:rPr>
          <w:sz w:val="20"/>
          <w:szCs w:val="20"/>
          <w:color w:val="auto"/>
        </w:rPr>
      </w:pPr>
    </w:p>
    <w:p>
      <w:pPr>
        <w:jc w:val="both"/>
        <w:ind w:left="200" w:right="219" w:firstLine="648"/>
        <w:spacing w:after="0" w:line="24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Exercise Price</w:t>
      </w:r>
      <w:r>
        <w:rPr>
          <w:rFonts w:ascii="Calibri" w:cs="Calibri" w:eastAsia="Calibri" w:hAnsi="Calibri"/>
          <w:sz w:val="20"/>
          <w:szCs w:val="20"/>
          <w:color w:val="auto"/>
        </w:rPr>
        <w:t xml:space="preserve">” means, in the case of an Opton, the price at which a share of Common Stock may be purchased upon the exercise of an Opton and, in the case of a Stock Appreciaton Right, the price set as the Exercise Price at the tme of grant of the Stock Appreciaton Right. In no event shall the Exercise Price of an Opton or a Stock Appreciaton Right be less than the Fair Market Value of a share of Common Stock on the Grant Date of the applicable Award (or, in the case of the grant of an Incentve Stock Opton to a Ten Percent Shareholder, 110% of the Fair Market Value of a share of Common Stock at the Grant Date); </w:t>
      </w:r>
      <w:r>
        <w:rPr>
          <w:rFonts w:ascii="Calibri" w:cs="Calibri" w:eastAsia="Calibri" w:hAnsi="Calibri"/>
          <w:sz w:val="20"/>
          <w:szCs w:val="20"/>
          <w:i w:val="1"/>
          <w:iCs w:val="1"/>
          <w:color w:val="auto"/>
        </w:rPr>
        <w:t>provided, however</w:t>
      </w:r>
      <w:r>
        <w:rPr>
          <w:rFonts w:ascii="Calibri" w:cs="Calibri" w:eastAsia="Calibri" w:hAnsi="Calibri"/>
          <w:sz w:val="20"/>
          <w:szCs w:val="20"/>
          <w:color w:val="auto"/>
        </w:rPr>
        <w:t>, that the Exercise Price of an Opton or Stock Appreciaton Right may be granted with an Exercise Price lower than Fair Market Value (or 110% of the Fair Market Value, if applicable) on the Grant Date if such Opton or Stock Appreciaton Right is granted pursuant to an assumpton or substtuton for another corresponding award in a manner satsfying the provisions of Secton 409A and Secton 424 of the Code. A Related Right granted simultaneously with or subsequent to the grant of an Opton and in conjuncton therewith or in the alternatve thereto shall have the same Exercise Price as the related Opton (but in no event less than the Fair Market Value of a share of Common Stock as of the Grant Date of the Related Right).</w:t>
      </w:r>
    </w:p>
    <w:p>
      <w:pPr>
        <w:spacing w:after="0" w:line="235"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Fair Market Value</w:t>
      </w:r>
      <w:r>
        <w:rPr>
          <w:rFonts w:ascii="Calibri" w:cs="Calibri" w:eastAsia="Calibri" w:hAnsi="Calibri"/>
          <w:sz w:val="20"/>
          <w:szCs w:val="20"/>
          <w:color w:val="auto"/>
        </w:rPr>
        <w:t>” means, as of any date, the value of the Common Stock as determined below. If the Common Stock is listed on any established stock exchange or a natonal market system, including, without limitaton, the New York Stock Exchange ("NYSE") or the NASDAQ Stock Market, the Fair Market Value shall be the closing price of a share of Common Stock (or if no sales were reported the closing price on the date immediately preceding such date) as quoted on such exchange or system on the day of determinaton, as reported by such exchange or in any reliable fnancial reportng service. In the absence of an established market for the Common Stock, the Fair Market Value shall be determined in good faith by the Commitee, and such determinaton shall be conclusive and binding on all persons.</w:t>
      </w:r>
    </w:p>
    <w:p>
      <w:pPr>
        <w:spacing w:after="0" w:line="221"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 xml:space="preserve">“Good Reason” </w:t>
      </w:r>
      <w:r>
        <w:rPr>
          <w:rFonts w:ascii="Calibri" w:cs="Calibri" w:eastAsia="Calibri" w:hAnsi="Calibri"/>
          <w:sz w:val="20"/>
          <w:szCs w:val="20"/>
          <w:color w:val="auto"/>
        </w:rPr>
        <w:t>means:</w:t>
      </w:r>
    </w:p>
    <w:p>
      <w:pPr>
        <w:spacing w:after="0" w:line="225" w:lineRule="exact"/>
        <w:rPr>
          <w:sz w:val="20"/>
          <w:szCs w:val="20"/>
          <w:color w:val="auto"/>
        </w:rPr>
      </w:pPr>
    </w:p>
    <w:p>
      <w:pPr>
        <w:jc w:val="both"/>
        <w:ind w:left="860" w:right="219" w:firstLine="645"/>
        <w:spacing w:after="0" w:line="247" w:lineRule="auto"/>
        <w:tabs>
          <w:tab w:leader="none" w:pos="2156" w:val="left"/>
        </w:tabs>
        <w:numPr>
          <w:ilvl w:val="0"/>
          <w:numId w:val="15"/>
        </w:numPr>
        <w:rPr>
          <w:rFonts w:ascii="Calibri" w:cs="Calibri" w:eastAsia="Calibri" w:hAnsi="Calibri"/>
          <w:sz w:val="20"/>
          <w:szCs w:val="20"/>
          <w:color w:val="auto"/>
        </w:rPr>
      </w:pPr>
      <w:r>
        <w:rPr>
          <w:rFonts w:ascii="Calibri" w:cs="Calibri" w:eastAsia="Calibri" w:hAnsi="Calibri"/>
          <w:sz w:val="20"/>
          <w:szCs w:val="20"/>
          <w:color w:val="auto"/>
        </w:rPr>
        <w:t>If an Employee or Consultant is a party to an employment or service agreement with the Company or its Afliates and such agreement provides for a defniton of Good Reason, the defniton contained therein; or</w:t>
      </w:r>
    </w:p>
    <w:p>
      <w:pPr>
        <w:spacing w:after="0" w:line="150" w:lineRule="exact"/>
        <w:rPr>
          <w:rFonts w:ascii="Calibri" w:cs="Calibri" w:eastAsia="Calibri" w:hAnsi="Calibri"/>
          <w:sz w:val="20"/>
          <w:szCs w:val="20"/>
          <w:color w:val="auto"/>
        </w:rPr>
      </w:pPr>
    </w:p>
    <w:p>
      <w:pPr>
        <w:jc w:val="both"/>
        <w:ind w:left="860" w:right="239" w:firstLine="645"/>
        <w:spacing w:after="0" w:line="242" w:lineRule="auto"/>
        <w:tabs>
          <w:tab w:leader="none" w:pos="2156" w:val="left"/>
        </w:tabs>
        <w:numPr>
          <w:ilvl w:val="0"/>
          <w:numId w:val="15"/>
        </w:numPr>
        <w:rPr>
          <w:rFonts w:ascii="Calibri" w:cs="Calibri" w:eastAsia="Calibri" w:hAnsi="Calibri"/>
          <w:sz w:val="20"/>
          <w:szCs w:val="20"/>
          <w:color w:val="auto"/>
        </w:rPr>
      </w:pPr>
      <w:r>
        <w:rPr>
          <w:rFonts w:ascii="Calibri" w:cs="Calibri" w:eastAsia="Calibri" w:hAnsi="Calibri"/>
          <w:sz w:val="20"/>
          <w:szCs w:val="20"/>
          <w:color w:val="auto"/>
        </w:rPr>
        <w:t>If no such agreement exists or if such agreement does not defne Good Reason, the occurrence of one or more of the following without the Partcipant’s express writen</w:t>
      </w:r>
    </w:p>
    <w:p>
      <w:pPr>
        <w:spacing w:after="0" w:line="20" w:lineRule="exact"/>
        <w:rPr>
          <w:rFonts w:ascii="Calibri" w:cs="Calibri" w:eastAsia="Calibri" w:hAnsi="Calibri"/>
          <w:sz w:val="20"/>
          <w:szCs w:val="20"/>
          <w:color w:val="auto"/>
        </w:rPr>
      </w:pPr>
    </w:p>
    <w:p>
      <w:pPr>
        <w:jc w:val="both"/>
        <w:ind w:left="86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consent, which circumstances are not remedied by the Company within thirty (30) days of its receipt of a writen notce from the Partcipant describing the applicable circumstances (which notce must be provided by the Partcipant within ninety (90) days of the Partcipant’s knowledge of the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4" w:name="page45"/>
    <w:bookmarkEnd w:id="44"/>
    <w:p>
      <w:pPr>
        <w:jc w:val="both"/>
        <w:ind w:left="860" w:right="219"/>
        <w:spacing w:after="0" w:line="246" w:lineRule="auto"/>
        <w:rPr>
          <w:sz w:val="20"/>
          <w:szCs w:val="20"/>
          <w:color w:val="auto"/>
        </w:rPr>
      </w:pPr>
      <w:r>
        <w:rPr>
          <w:rFonts w:ascii="Calibri" w:cs="Calibri" w:eastAsia="Calibri" w:hAnsi="Calibri"/>
          <w:sz w:val="20"/>
          <w:szCs w:val="20"/>
          <w:color w:val="auto"/>
        </w:rPr>
        <w:t>applicable circumstances): (i) any material, adverse change in the Partcipant’s dutes, responsibilites, authority, ttle, status or reportng structure; (ii) a material reducton in the Partcipant’s base salary or bonus opportunity; or (iii) a geographical relocaton of the Partcipant’s principal ofce locaton by more than ffy (50) miles from the Partcipant’s residence.</w:t>
      </w:r>
    </w:p>
    <w:p>
      <w:pPr>
        <w:spacing w:after="0" w:line="200" w:lineRule="exact"/>
        <w:rPr>
          <w:sz w:val="20"/>
          <w:szCs w:val="20"/>
          <w:color w:val="auto"/>
        </w:rPr>
      </w:pPr>
    </w:p>
    <w:p>
      <w:pPr>
        <w:spacing w:after="0" w:line="203" w:lineRule="exact"/>
        <w:rPr>
          <w:sz w:val="20"/>
          <w:szCs w:val="20"/>
          <w:color w:val="auto"/>
        </w:rPr>
      </w:pPr>
    </w:p>
    <w:p>
      <w:pPr>
        <w:jc w:val="both"/>
        <w:ind w:left="200" w:right="239" w:firstLine="648"/>
        <w:spacing w:after="0" w:line="24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Grant Date</w:t>
      </w:r>
      <w:r>
        <w:rPr>
          <w:rFonts w:ascii="Calibri" w:cs="Calibri" w:eastAsia="Calibri" w:hAnsi="Calibri"/>
          <w:sz w:val="20"/>
          <w:szCs w:val="20"/>
          <w:color w:val="auto"/>
        </w:rPr>
        <w:t>” means the date on which the Commitee adopts a resoluton or takes other appropriate acton, expressly grantng an Award to a Partcipant that specifes the key terms and conditons of the Award or, if a later date is set forth in such resoluton, then such date as is set forth in such resoluton or other acton.˙</w:t>
      </w:r>
    </w:p>
    <w:p>
      <w:pPr>
        <w:spacing w:after="0" w:line="236" w:lineRule="exact"/>
        <w:rPr>
          <w:sz w:val="20"/>
          <w:szCs w:val="20"/>
          <w:color w:val="auto"/>
        </w:rPr>
      </w:pPr>
    </w:p>
    <w:p>
      <w:pPr>
        <w:jc w:val="both"/>
        <w:ind w:left="200" w:right="239" w:firstLine="648"/>
        <w:spacing w:after="0" w:line="24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Incentve Stock Opton</w:t>
      </w:r>
      <w:r>
        <w:rPr>
          <w:rFonts w:ascii="Calibri" w:cs="Calibri" w:eastAsia="Calibri" w:hAnsi="Calibri"/>
          <w:sz w:val="20"/>
          <w:szCs w:val="20"/>
          <w:color w:val="auto"/>
        </w:rPr>
        <w:t>” means an Opton intended to qualify as an incentve stock opton within the meaning of Secton 422 of the Code.</w:t>
      </w:r>
    </w:p>
    <w:p>
      <w:pPr>
        <w:spacing w:after="0" w:line="237"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Incumbent Board</w:t>
      </w:r>
      <w:r>
        <w:rPr>
          <w:rFonts w:ascii="Calibri" w:cs="Calibri" w:eastAsia="Calibri" w:hAnsi="Calibri"/>
          <w:sz w:val="20"/>
          <w:szCs w:val="20"/>
          <w:color w:val="auto"/>
        </w:rPr>
        <w:t>” means (a) the members of the Board on the Efectve Date, to the extent that they contnue to serve as members of the Board, and (b) any individual who becomes a member of the Board afer the Efectve Date, (i) upon the death or disability or retrement of, and as the successor to or replacement for, a member of the Board or (ii) if his or her electon or nominaton for electon as a Director is approved by a vote of at least a majority of the then Incumbent Board, except that a Director whose inital assumpton of ofce is in connecton with an actual or threatened electon contest, including but not limited to a consent solicitaton, relatng to the electon of Directors of the Company shall not be considered a member of the Incumbent Board for purposes of this paragraph (ii).</w:t>
      </w:r>
    </w:p>
    <w:p>
      <w:pPr>
        <w:spacing w:after="0" w:line="231" w:lineRule="exact"/>
        <w:rPr>
          <w:sz w:val="20"/>
          <w:szCs w:val="20"/>
          <w:color w:val="auto"/>
        </w:rPr>
      </w:pPr>
    </w:p>
    <w:p>
      <w:pPr>
        <w:jc w:val="both"/>
        <w:ind w:left="200" w:right="219"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Non-Employee Director</w:t>
      </w:r>
      <w:r>
        <w:rPr>
          <w:rFonts w:ascii="Calibri" w:cs="Calibri" w:eastAsia="Calibri" w:hAnsi="Calibri"/>
          <w:sz w:val="20"/>
          <w:szCs w:val="20"/>
          <w:color w:val="auto"/>
        </w:rPr>
        <w:t>” means a Director who is a “non-employee director” within the meaning of Rule 16b-3.</w:t>
      </w:r>
    </w:p>
    <w:p>
      <w:pPr>
        <w:spacing w:after="0" w:line="239" w:lineRule="exact"/>
        <w:rPr>
          <w:sz w:val="20"/>
          <w:szCs w:val="20"/>
          <w:color w:val="auto"/>
        </w:rPr>
      </w:pPr>
    </w:p>
    <w:p>
      <w:pPr>
        <w:jc w:val="both"/>
        <w:ind w:left="200" w:right="219" w:firstLine="648"/>
        <w:spacing w:after="0" w:line="24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Non-qualifed Stock Opton</w:t>
      </w:r>
      <w:r>
        <w:rPr>
          <w:rFonts w:ascii="Calibri" w:cs="Calibri" w:eastAsia="Calibri" w:hAnsi="Calibri"/>
          <w:sz w:val="20"/>
          <w:szCs w:val="20"/>
          <w:color w:val="auto"/>
        </w:rPr>
        <w:t>” means an Opton that, by its terms, does not qualify or is not intended to qualify as an Incentve Stock Opton.</w:t>
      </w:r>
    </w:p>
    <w:p>
      <w:pPr>
        <w:spacing w:after="0" w:line="237" w:lineRule="exact"/>
        <w:rPr>
          <w:sz w:val="20"/>
          <w:szCs w:val="20"/>
          <w:color w:val="auto"/>
        </w:rPr>
      </w:pPr>
    </w:p>
    <w:p>
      <w:pPr>
        <w:jc w:val="both"/>
        <w:ind w:left="200" w:right="239"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Ofcer</w:t>
      </w:r>
      <w:r>
        <w:rPr>
          <w:rFonts w:ascii="Calibri" w:cs="Calibri" w:eastAsia="Calibri" w:hAnsi="Calibri"/>
          <w:sz w:val="20"/>
          <w:szCs w:val="20"/>
          <w:color w:val="auto"/>
        </w:rPr>
        <w:t>” means a person who is an ofcer of the Company within the meaning of Secton 16 of the Exchange Act and the rules and regulatons promulgated thereunder.</w:t>
      </w:r>
    </w:p>
    <w:p>
      <w:pPr>
        <w:spacing w:after="0" w:line="239"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Opton</w:t>
      </w:r>
      <w:r>
        <w:rPr>
          <w:rFonts w:ascii="Calibri" w:cs="Calibri" w:eastAsia="Calibri" w:hAnsi="Calibri"/>
          <w:sz w:val="20"/>
          <w:szCs w:val="20"/>
          <w:color w:val="auto"/>
        </w:rPr>
        <w:t>” means an Incentve Stock Opton or a Non-qualifed Stock Opton granted pursuant to the Plan. Any Opton granted under the Plan may be either an Incentve Stock Opton or a Non-qualifed Stock Opton as determined at the discreton of the Commitee. Notwithstanding the preceding, an Opton will be deemed a Non-qualifed Stock Opton unless the Commitee specifcally designates it as an Incentve Stock Opton to the extent that it does not otherwise satsfy the requirements for an Incentve Stock Opton.</w:t>
      </w:r>
    </w:p>
    <w:p>
      <w:pPr>
        <w:spacing w:after="0" w:line="200" w:lineRule="exact"/>
        <w:rPr>
          <w:sz w:val="20"/>
          <w:szCs w:val="20"/>
          <w:color w:val="auto"/>
        </w:rPr>
      </w:pPr>
    </w:p>
    <w:p>
      <w:pPr>
        <w:spacing w:after="0" w:line="285" w:lineRule="exact"/>
        <w:rPr>
          <w:sz w:val="20"/>
          <w:szCs w:val="20"/>
          <w:color w:val="auto"/>
        </w:rPr>
      </w:pPr>
    </w:p>
    <w:p>
      <w:pPr>
        <w:jc w:val="both"/>
        <w:ind w:left="200" w:right="219"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Optonholder</w:t>
      </w:r>
      <w:r>
        <w:rPr>
          <w:rFonts w:ascii="Calibri" w:cs="Calibri" w:eastAsia="Calibri" w:hAnsi="Calibri"/>
          <w:sz w:val="20"/>
          <w:szCs w:val="20"/>
          <w:color w:val="auto"/>
        </w:rPr>
        <w:t>” means a person to whom an Opton is granted pursuant to the Plan or, if applicable, such other person who holds an outstanding Opton.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5" w:name="page46"/>
    <w:bookmarkEnd w:id="45"/>
    <w:p>
      <w:pPr>
        <w:jc w:val="both"/>
        <w:ind w:left="200" w:right="219" w:firstLine="648"/>
        <w:spacing w:after="0" w:line="24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Partcipant</w:t>
      </w:r>
      <w:r>
        <w:rPr>
          <w:rFonts w:ascii="Calibri" w:cs="Calibri" w:eastAsia="Calibri" w:hAnsi="Calibri"/>
          <w:sz w:val="20"/>
          <w:szCs w:val="20"/>
          <w:color w:val="auto"/>
        </w:rPr>
        <w:t>” means an eligible person to whom an Award is granted pursuant to the Plan or, if applicable, such other person who holds an outstanding Award.</w:t>
      </w:r>
    </w:p>
    <w:p>
      <w:pPr>
        <w:spacing w:after="0" w:line="213" w:lineRule="exact"/>
        <w:rPr>
          <w:sz w:val="20"/>
          <w:szCs w:val="20"/>
          <w:color w:val="auto"/>
        </w:rPr>
      </w:pPr>
    </w:p>
    <w:p>
      <w:pPr>
        <w:ind w:left="8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Performance Share Award</w:t>
      </w:r>
      <w:r>
        <w:rPr>
          <w:rFonts w:ascii="Calibri" w:cs="Calibri" w:eastAsia="Calibri" w:hAnsi="Calibri"/>
          <w:sz w:val="20"/>
          <w:szCs w:val="20"/>
          <w:color w:val="auto"/>
        </w:rPr>
        <w:t xml:space="preserve">” means any Award granted pursuant to </w:t>
      </w:r>
      <w:r>
        <w:rPr>
          <w:rFonts w:ascii="Calibri" w:cs="Calibri" w:eastAsia="Calibri" w:hAnsi="Calibri"/>
          <w:sz w:val="20"/>
          <w:szCs w:val="20"/>
          <w:b w:val="1"/>
          <w:bCs w:val="1"/>
          <w:u w:val="single" w:color="auto"/>
          <w:color w:val="0000EE"/>
          <w:highlight w:val="lightGray"/>
        </w:rPr>
        <w:t>Secton 6.3</w:t>
      </w:r>
      <w:r>
        <w:rPr>
          <w:rFonts w:ascii="Calibri" w:cs="Calibri" w:eastAsia="Calibri" w:hAnsi="Calibri"/>
          <w:sz w:val="20"/>
          <w:szCs w:val="20"/>
          <w:color w:val="auto"/>
        </w:rPr>
        <w:t>.</w:t>
      </w:r>
    </w:p>
    <w:p>
      <w:pPr>
        <w:spacing w:after="0" w:line="238" w:lineRule="exact"/>
        <w:rPr>
          <w:sz w:val="20"/>
          <w:szCs w:val="20"/>
          <w:color w:val="auto"/>
        </w:rPr>
      </w:pPr>
    </w:p>
    <w:p>
      <w:pPr>
        <w:jc w:val="both"/>
        <w:ind w:left="200" w:right="239" w:firstLine="648"/>
        <w:spacing w:after="0" w:line="24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Plan</w:t>
      </w:r>
      <w:r>
        <w:rPr>
          <w:rFonts w:ascii="Calibri" w:cs="Calibri" w:eastAsia="Calibri" w:hAnsi="Calibri"/>
          <w:sz w:val="20"/>
          <w:szCs w:val="20"/>
          <w:color w:val="auto"/>
        </w:rPr>
        <w:t>” means this Evoluton Petroleum Corporaton Amended and Restated 2016 Equity Incentve Plan, as amended and restated from tme to tme.</w:t>
      </w:r>
    </w:p>
    <w:p>
      <w:pPr>
        <w:spacing w:after="0" w:line="227" w:lineRule="exact"/>
        <w:rPr>
          <w:sz w:val="20"/>
          <w:szCs w:val="20"/>
          <w:color w:val="auto"/>
        </w:rPr>
      </w:pPr>
    </w:p>
    <w:p>
      <w:pPr>
        <w:ind w:left="8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Related Rights</w:t>
      </w:r>
      <w:r>
        <w:rPr>
          <w:rFonts w:ascii="Calibri" w:cs="Calibri" w:eastAsia="Calibri" w:hAnsi="Calibri"/>
          <w:sz w:val="20"/>
          <w:szCs w:val="20"/>
          <w:color w:val="auto"/>
        </w:rPr>
        <w:t xml:space="preserve">” has the meaning outlined in </w:t>
      </w:r>
      <w:r>
        <w:rPr>
          <w:rFonts w:ascii="Calibri" w:cs="Calibri" w:eastAsia="Calibri" w:hAnsi="Calibri"/>
          <w:sz w:val="20"/>
          <w:szCs w:val="20"/>
          <w:b w:val="1"/>
          <w:bCs w:val="1"/>
          <w:u w:val="single" w:color="auto"/>
          <w:color w:val="0000EE"/>
          <w:highlight w:val="lightGray"/>
        </w:rPr>
        <w:t>Secton 6.1(a)</w:t>
      </w:r>
      <w:r>
        <w:rPr>
          <w:rFonts w:ascii="Calibri" w:cs="Calibri" w:eastAsia="Calibri" w:hAnsi="Calibri"/>
          <w:sz w:val="20"/>
          <w:szCs w:val="20"/>
          <w:color w:val="auto"/>
        </w:rPr>
        <w:t>.</w:t>
      </w:r>
    </w:p>
    <w:p>
      <w:pPr>
        <w:spacing w:after="0" w:line="215" w:lineRule="exact"/>
        <w:rPr>
          <w:sz w:val="20"/>
          <w:szCs w:val="20"/>
          <w:color w:val="auto"/>
        </w:rPr>
      </w:pPr>
    </w:p>
    <w:p>
      <w:pPr>
        <w:ind w:left="8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Restricted Award</w:t>
      </w:r>
      <w:r>
        <w:rPr>
          <w:rFonts w:ascii="Calibri" w:cs="Calibri" w:eastAsia="Calibri" w:hAnsi="Calibri"/>
          <w:sz w:val="20"/>
          <w:szCs w:val="20"/>
          <w:color w:val="auto"/>
        </w:rPr>
        <w:t xml:space="preserve">” means any Award granted under </w:t>
      </w:r>
      <w:r>
        <w:rPr>
          <w:rFonts w:ascii="Calibri" w:cs="Calibri" w:eastAsia="Calibri" w:hAnsi="Calibri"/>
          <w:sz w:val="20"/>
          <w:szCs w:val="20"/>
          <w:b w:val="1"/>
          <w:bCs w:val="1"/>
          <w:u w:val="single" w:color="auto"/>
          <w:color w:val="0000EE"/>
          <w:highlight w:val="lightGray"/>
        </w:rPr>
        <w:t>Secton 6.2(a)</w:t>
      </w:r>
      <w:r>
        <w:rPr>
          <w:rFonts w:ascii="Calibri" w:cs="Calibri" w:eastAsia="Calibri" w:hAnsi="Calibri"/>
          <w:sz w:val="20"/>
          <w:szCs w:val="20"/>
          <w:color w:val="auto"/>
        </w:rPr>
        <w:t>.</w:t>
      </w:r>
    </w:p>
    <w:p>
      <w:pPr>
        <w:spacing w:after="0" w:line="238" w:lineRule="exact"/>
        <w:rPr>
          <w:sz w:val="20"/>
          <w:szCs w:val="20"/>
          <w:color w:val="auto"/>
        </w:rPr>
      </w:pPr>
    </w:p>
    <w:p>
      <w:pPr>
        <w:jc w:val="both"/>
        <w:ind w:left="200" w:right="239" w:firstLine="648"/>
        <w:spacing w:after="0" w:line="24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Restricton Period</w:t>
      </w:r>
      <w:r>
        <w:rPr>
          <w:rFonts w:ascii="Calibri" w:cs="Calibri" w:eastAsia="Calibri" w:hAnsi="Calibri"/>
          <w:sz w:val="20"/>
          <w:szCs w:val="20"/>
          <w:color w:val="auto"/>
        </w:rPr>
        <w:t xml:space="preserve">” means the period that a Restricted Award or a Performance Share Award is subject to conditons on vestng, performance, and transfer, as applicable, as set forth in the applicable Award Agreement or </w:t>
      </w:r>
      <w:r>
        <w:rPr>
          <w:rFonts w:ascii="Calibri" w:cs="Calibri" w:eastAsia="Calibri" w:hAnsi="Calibri"/>
          <w:sz w:val="20"/>
          <w:szCs w:val="20"/>
          <w:b w:val="1"/>
          <w:bCs w:val="1"/>
          <w:color w:val="auto"/>
          <w:highlight w:val="lightGray"/>
        </w:rPr>
        <w:t>Secton 6.2(c)</w:t>
      </w:r>
      <w:r>
        <w:rPr>
          <w:rFonts w:ascii="Calibri" w:cs="Calibri" w:eastAsia="Calibri" w:hAnsi="Calibri"/>
          <w:sz w:val="20"/>
          <w:szCs w:val="20"/>
          <w:color w:val="auto"/>
        </w:rPr>
        <w:t xml:space="preserve"> (with respect to Restricted Awards) and </w:t>
      </w:r>
      <w:r>
        <w:rPr>
          <w:rFonts w:ascii="Calibri" w:cs="Calibri" w:eastAsia="Calibri" w:hAnsi="Calibri"/>
          <w:sz w:val="20"/>
          <w:szCs w:val="20"/>
          <w:b w:val="1"/>
          <w:bCs w:val="1"/>
          <w:color w:val="auto"/>
          <w:highlight w:val="lightGray"/>
        </w:rPr>
        <w:t>Secton 6.3(a)</w:t>
      </w:r>
      <w:r>
        <w:rPr>
          <w:rFonts w:ascii="Calibri" w:cs="Calibri" w:eastAsia="Calibri" w:hAnsi="Calibri"/>
          <w:sz w:val="20"/>
          <w:szCs w:val="20"/>
          <w:color w:val="auto"/>
        </w:rPr>
        <w:t xml:space="preserve"> (with respect to Performance Awards).</w:t>
      </w:r>
    </w:p>
    <w:p>
      <w:pPr>
        <w:spacing w:after="0" w:line="226"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 xml:space="preserve">“Restricted Stock” </w:t>
      </w:r>
      <w:r>
        <w:rPr>
          <w:rFonts w:ascii="Calibri" w:cs="Calibri" w:eastAsia="Calibri" w:hAnsi="Calibri"/>
          <w:sz w:val="20"/>
          <w:szCs w:val="20"/>
          <w:color w:val="auto"/>
        </w:rPr>
        <w:t>has the meaning outlined in</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color w:val="auto"/>
          <w:highlight w:val="lightGray"/>
        </w:rPr>
        <w:t>Secton 6.2(a)</w:t>
      </w:r>
      <w:r>
        <w:rPr>
          <w:rFonts w:ascii="Calibri" w:cs="Calibri" w:eastAsia="Calibri" w:hAnsi="Calibri"/>
          <w:sz w:val="20"/>
          <w:szCs w:val="20"/>
          <w:color w:val="auto"/>
        </w:rPr>
        <w:t>.</w:t>
      </w:r>
    </w:p>
    <w:p>
      <w:pPr>
        <w:spacing w:after="0" w:line="228"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 xml:space="preserve">“Restricted Stock Unit” </w:t>
      </w:r>
      <w:r>
        <w:rPr>
          <w:rFonts w:ascii="Calibri" w:cs="Calibri" w:eastAsia="Calibri" w:hAnsi="Calibri"/>
          <w:sz w:val="20"/>
          <w:szCs w:val="20"/>
          <w:color w:val="auto"/>
        </w:rPr>
        <w:t>has the meaning outlined in</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color w:val="auto"/>
          <w:highlight w:val="lightGray"/>
        </w:rPr>
        <w:t>Secton 6.2(a)</w:t>
      </w:r>
      <w:r>
        <w:rPr>
          <w:rFonts w:ascii="Calibri" w:cs="Calibri" w:eastAsia="Calibri" w:hAnsi="Calibri"/>
          <w:sz w:val="20"/>
          <w:szCs w:val="20"/>
          <w:color w:val="auto"/>
        </w:rPr>
        <w:t>.</w:t>
      </w:r>
    </w:p>
    <w:p>
      <w:pPr>
        <w:spacing w:after="0" w:line="238" w:lineRule="exact"/>
        <w:rPr>
          <w:sz w:val="20"/>
          <w:szCs w:val="20"/>
          <w:color w:val="auto"/>
        </w:rPr>
      </w:pPr>
    </w:p>
    <w:p>
      <w:pPr>
        <w:jc w:val="both"/>
        <w:ind w:left="200" w:right="219"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Rule 16b-3</w:t>
      </w:r>
      <w:r>
        <w:rPr>
          <w:rFonts w:ascii="Calibri" w:cs="Calibri" w:eastAsia="Calibri" w:hAnsi="Calibri"/>
          <w:sz w:val="20"/>
          <w:szCs w:val="20"/>
          <w:color w:val="auto"/>
        </w:rPr>
        <w:t>” means Rule 16b-3 promulgated under the Exchange Act or any successor to Rule 16b-3, as in efect from tme to tme.</w:t>
      </w:r>
    </w:p>
    <w:p>
      <w:pPr>
        <w:spacing w:after="0" w:line="239" w:lineRule="exact"/>
        <w:rPr>
          <w:sz w:val="20"/>
          <w:szCs w:val="20"/>
          <w:color w:val="auto"/>
        </w:rPr>
      </w:pPr>
    </w:p>
    <w:p>
      <w:pPr>
        <w:jc w:val="both"/>
        <w:ind w:left="200" w:right="219" w:firstLine="648"/>
        <w:spacing w:after="0" w:line="242" w:lineRule="auto"/>
        <w:rPr>
          <w:sz w:val="20"/>
          <w:szCs w:val="20"/>
          <w:color w:val="auto"/>
        </w:rPr>
      </w:pPr>
      <w:r>
        <w:rPr>
          <w:rFonts w:ascii="Calibri" w:cs="Calibri" w:eastAsia="Calibri" w:hAnsi="Calibri"/>
          <w:sz w:val="20"/>
          <w:szCs w:val="20"/>
          <w:b w:val="1"/>
          <w:bCs w:val="1"/>
          <w:color w:val="auto"/>
        </w:rPr>
        <w:t xml:space="preserve">“Secton 409A” </w:t>
      </w:r>
      <w:r>
        <w:rPr>
          <w:rFonts w:ascii="Calibri" w:cs="Calibri" w:eastAsia="Calibri" w:hAnsi="Calibri"/>
          <w:sz w:val="20"/>
          <w:szCs w:val="20"/>
          <w:color w:val="auto"/>
        </w:rPr>
        <w:t>means Secton 409A of the Code (relatng to nonqualifed deferred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compensaton requirements).</w:t>
      </w:r>
    </w:p>
    <w:p>
      <w:pPr>
        <w:spacing w:after="0" w:line="227" w:lineRule="exact"/>
        <w:rPr>
          <w:sz w:val="20"/>
          <w:szCs w:val="20"/>
          <w:color w:val="auto"/>
        </w:rPr>
      </w:pPr>
    </w:p>
    <w:p>
      <w:pPr>
        <w:ind w:left="86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Securites Act</w:t>
      </w:r>
      <w:r>
        <w:rPr>
          <w:rFonts w:ascii="Calibri" w:cs="Calibri" w:eastAsia="Calibri" w:hAnsi="Calibri"/>
          <w:sz w:val="20"/>
          <w:szCs w:val="20"/>
          <w:color w:val="auto"/>
        </w:rPr>
        <w:t>” means the Securites Act of 1933, as amended.</w:t>
      </w:r>
    </w:p>
    <w:p>
      <w:pPr>
        <w:spacing w:after="0" w:line="215"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 xml:space="preserve">“Separaton from Service” </w:t>
      </w:r>
      <w:r>
        <w:rPr>
          <w:rFonts w:ascii="Calibri" w:cs="Calibri" w:eastAsia="Calibri" w:hAnsi="Calibri"/>
          <w:sz w:val="20"/>
          <w:szCs w:val="20"/>
          <w:color w:val="auto"/>
        </w:rPr>
        <w:t>has the meaning ascribed to such a term in the Change in Control</w:t>
      </w:r>
    </w:p>
    <w:p>
      <w:pPr>
        <w:spacing w:after="0" w:line="12"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Policy.</w:t>
      </w:r>
    </w:p>
    <w:p>
      <w:pPr>
        <w:spacing w:after="0" w:line="238" w:lineRule="exact"/>
        <w:rPr>
          <w:sz w:val="20"/>
          <w:szCs w:val="20"/>
          <w:color w:val="auto"/>
        </w:rPr>
      </w:pPr>
    </w:p>
    <w:p>
      <w:pPr>
        <w:jc w:val="both"/>
        <w:ind w:left="200" w:right="219" w:firstLine="648"/>
        <w:spacing w:after="0" w:line="246"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Stock Appreciaton Right</w:t>
      </w:r>
      <w:r>
        <w:rPr>
          <w:rFonts w:ascii="Calibri" w:cs="Calibri" w:eastAsia="Calibri" w:hAnsi="Calibri"/>
          <w:sz w:val="20"/>
          <w:szCs w:val="20"/>
          <w:color w:val="auto"/>
        </w:rPr>
        <w:t xml:space="preserve">” means the right pursuant to an Award granted under </w:t>
      </w:r>
      <w:r>
        <w:rPr>
          <w:rFonts w:ascii="Calibri" w:cs="Calibri" w:eastAsia="Calibri" w:hAnsi="Calibri"/>
          <w:sz w:val="20"/>
          <w:szCs w:val="20"/>
          <w:b w:val="1"/>
          <w:bCs w:val="1"/>
          <w:u w:val="single" w:color="auto"/>
          <w:color w:val="0000EE"/>
          <w:highlight w:val="lightGray"/>
        </w:rPr>
        <w:t>Secton 6.1</w:t>
      </w:r>
      <w:r>
        <w:rPr>
          <w:rFonts w:ascii="Calibri" w:cs="Calibri" w:eastAsia="Calibri" w:hAnsi="Calibri"/>
          <w:sz w:val="20"/>
          <w:szCs w:val="20"/>
          <w:color w:val="auto"/>
        </w:rPr>
        <w:t xml:space="preserve"> to receive, upon exercise, an amount payable in cash or shares equal to the number of shares subject to the Stock Appreciaton Right that is being exercised multplied by the excess of (a) the Fair Market Value of a share of Common Stock on the date the Award is exercised, over (b) the Exercise Price specifed in the applicable Award Agreement.</w:t>
      </w:r>
    </w:p>
    <w:p>
      <w:pPr>
        <w:spacing w:after="0" w:line="234" w:lineRule="exact"/>
        <w:rPr>
          <w:sz w:val="20"/>
          <w:szCs w:val="20"/>
          <w:color w:val="auto"/>
        </w:rPr>
      </w:pPr>
    </w:p>
    <w:p>
      <w:pPr>
        <w:jc w:val="both"/>
        <w:ind w:left="200" w:right="219" w:firstLine="648"/>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Ten Percent Stockholder</w:t>
      </w:r>
      <w:r>
        <w:rPr>
          <w:rFonts w:ascii="Calibri" w:cs="Calibri" w:eastAsia="Calibri" w:hAnsi="Calibri"/>
          <w:sz w:val="20"/>
          <w:szCs w:val="20"/>
          <w:color w:val="auto"/>
        </w:rPr>
        <w:t>” means a person who owns (or is deemed to own pursuant to Secton 424(d) of the Code) stock possessing more than 10% of the total combined votng power of all classes of stock of the Company or any of its Afliates.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6" w:name="page47"/>
    <w:bookmarkEnd w:id="46"/>
    <w:p>
      <w:pPr>
        <w:ind w:left="860"/>
        <w:spacing w:after="0"/>
        <w:rPr>
          <w:sz w:val="20"/>
          <w:szCs w:val="20"/>
          <w:color w:val="auto"/>
        </w:rPr>
      </w:pPr>
      <w:r>
        <w:rPr>
          <w:rFonts w:ascii="Calibri" w:cs="Calibri" w:eastAsia="Calibri" w:hAnsi="Calibri"/>
          <w:sz w:val="20"/>
          <w:szCs w:val="20"/>
          <w:b w:val="1"/>
          <w:bCs w:val="1"/>
          <w:color w:val="auto"/>
        </w:rPr>
        <w:t xml:space="preserve">“Vested Unit” </w:t>
      </w:r>
      <w:r>
        <w:rPr>
          <w:rFonts w:ascii="Calibri" w:cs="Calibri" w:eastAsia="Calibri" w:hAnsi="Calibri"/>
          <w:sz w:val="20"/>
          <w:szCs w:val="20"/>
          <w:color w:val="auto"/>
        </w:rPr>
        <w:t>has the meaning outlined in</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color w:val="auto"/>
          <w:highlight w:val="lightGray"/>
        </w:rPr>
        <w:t>Secton 6.2(d)</w:t>
      </w:r>
      <w:r>
        <w:rPr>
          <w:rFonts w:ascii="Calibri" w:cs="Calibri" w:eastAsia="Calibri" w:hAnsi="Calibri"/>
          <w:sz w:val="20"/>
          <w:szCs w:val="20"/>
          <w:color w:val="auto"/>
        </w:rPr>
        <w:t>.</w:t>
      </w:r>
    </w:p>
    <w:p>
      <w:pPr>
        <w:spacing w:after="0" w:line="238" w:lineRule="exact"/>
        <w:rPr>
          <w:sz w:val="20"/>
          <w:szCs w:val="20"/>
          <w:color w:val="auto"/>
        </w:rPr>
      </w:pPr>
    </w:p>
    <w:p>
      <w:pPr>
        <w:ind w:left="200" w:right="239" w:firstLine="648"/>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u w:val="single" w:color="auto"/>
          <w:color w:val="auto"/>
        </w:rPr>
        <w:t>Votng Securites</w:t>
      </w:r>
      <w:r>
        <w:rPr>
          <w:rFonts w:ascii="Calibri" w:cs="Calibri" w:eastAsia="Calibri" w:hAnsi="Calibri"/>
          <w:sz w:val="20"/>
          <w:szCs w:val="20"/>
          <w:color w:val="auto"/>
        </w:rPr>
        <w:t>” means combined votng power enttled to vote generally in the electon of Directors of the Company.</w:t>
      </w:r>
    </w:p>
    <w:p>
      <w:pPr>
        <w:spacing w:after="0" w:line="230" w:lineRule="exact"/>
        <w:rPr>
          <w:sz w:val="20"/>
          <w:szCs w:val="20"/>
          <w:color w:val="auto"/>
        </w:rPr>
      </w:pPr>
    </w:p>
    <w:p>
      <w:pPr>
        <w:ind w:left="1500" w:hanging="643"/>
        <w:spacing w:after="0"/>
        <w:tabs>
          <w:tab w:leader="none" w:pos="1500" w:val="left"/>
        </w:tabs>
        <w:numPr>
          <w:ilvl w:val="0"/>
          <w:numId w:val="16"/>
        </w:numPr>
        <w:rPr>
          <w:rFonts w:ascii="Calibri" w:cs="Calibri" w:eastAsia="Calibri" w:hAnsi="Calibri"/>
          <w:sz w:val="20"/>
          <w:szCs w:val="20"/>
          <w:color w:val="auto"/>
        </w:rPr>
      </w:pPr>
      <w:r>
        <w:rPr>
          <w:rFonts w:ascii="Calibri" w:cs="Calibri" w:eastAsia="Calibri" w:hAnsi="Calibri"/>
          <w:sz w:val="20"/>
          <w:szCs w:val="20"/>
          <w:u w:val="single" w:color="auto"/>
          <w:color w:val="auto"/>
        </w:rPr>
        <w:t>Administraton</w:t>
      </w:r>
      <w:r>
        <w:rPr>
          <w:rFonts w:ascii="Calibri" w:cs="Calibri" w:eastAsia="Calibri" w:hAnsi="Calibri"/>
          <w:sz w:val="20"/>
          <w:szCs w:val="20"/>
          <w:color w:val="auto"/>
        </w:rPr>
        <w:t>.</w:t>
      </w:r>
    </w:p>
    <w:p>
      <w:pPr>
        <w:spacing w:after="0" w:line="238" w:lineRule="exact"/>
        <w:rPr>
          <w:sz w:val="20"/>
          <w:szCs w:val="20"/>
          <w:color w:val="auto"/>
        </w:rPr>
      </w:pPr>
    </w:p>
    <w:p>
      <w:pPr>
        <w:jc w:val="both"/>
        <w:ind w:left="200" w:right="219" w:firstLine="648"/>
        <w:spacing w:after="0" w:line="242" w:lineRule="auto"/>
        <w:rPr>
          <w:sz w:val="20"/>
          <w:szCs w:val="20"/>
          <w:color w:val="auto"/>
        </w:rPr>
      </w:pPr>
      <w:r>
        <w:rPr>
          <w:rFonts w:ascii="Calibri" w:cs="Calibri" w:eastAsia="Calibri" w:hAnsi="Calibri"/>
          <w:sz w:val="20"/>
          <w:szCs w:val="20"/>
          <w:color w:val="auto"/>
        </w:rPr>
        <w:t xml:space="preserve">3.1 </w:t>
      </w:r>
      <w:r>
        <w:rPr>
          <w:rFonts w:ascii="Calibri" w:cs="Calibri" w:eastAsia="Calibri" w:hAnsi="Calibri"/>
          <w:sz w:val="20"/>
          <w:szCs w:val="20"/>
          <w:u w:val="single" w:color="auto"/>
          <w:color w:val="auto"/>
        </w:rPr>
        <w:t>Commitee Compositon</w:t>
      </w:r>
      <w:r>
        <w:rPr>
          <w:rFonts w:ascii="Calibri" w:cs="Calibri" w:eastAsia="Calibri" w:hAnsi="Calibri"/>
          <w:sz w:val="20"/>
          <w:szCs w:val="20"/>
          <w:color w:val="auto"/>
        </w:rPr>
        <w:t>. Except as otherwise determined by the Board, the Commitee shall consist solely of two or more Non-Employee Directors.</w:t>
      </w:r>
    </w:p>
    <w:p>
      <w:pPr>
        <w:spacing w:after="0" w:line="223" w:lineRule="exact"/>
        <w:rPr>
          <w:sz w:val="20"/>
          <w:szCs w:val="20"/>
          <w:color w:val="auto"/>
        </w:rPr>
      </w:pPr>
    </w:p>
    <w:p>
      <w:pPr>
        <w:jc w:val="both"/>
        <w:ind w:left="200" w:right="219" w:firstLine="648"/>
        <w:spacing w:after="0" w:line="248" w:lineRule="auto"/>
        <w:rPr>
          <w:sz w:val="20"/>
          <w:szCs w:val="20"/>
          <w:color w:val="auto"/>
        </w:rPr>
      </w:pPr>
      <w:r>
        <w:rPr>
          <w:rFonts w:ascii="Calibri" w:cs="Calibri" w:eastAsia="Calibri" w:hAnsi="Calibri"/>
          <w:sz w:val="20"/>
          <w:szCs w:val="20"/>
          <w:color w:val="auto"/>
        </w:rPr>
        <w:t xml:space="preserve">3.2 </w:t>
      </w:r>
      <w:r>
        <w:rPr>
          <w:rFonts w:ascii="Calibri" w:cs="Calibri" w:eastAsia="Calibri" w:hAnsi="Calibri"/>
          <w:sz w:val="20"/>
          <w:szCs w:val="20"/>
          <w:u w:val="single" w:color="auto"/>
          <w:color w:val="auto"/>
        </w:rPr>
        <w:t>Authority of Commitee</w:t>
      </w:r>
      <w:r>
        <w:rPr>
          <w:rFonts w:ascii="Calibri" w:cs="Calibri" w:eastAsia="Calibri" w:hAnsi="Calibri"/>
          <w:sz w:val="20"/>
          <w:szCs w:val="20"/>
          <w:color w:val="auto"/>
        </w:rPr>
        <w:t>. The Plan shall be administered by the Commitee or, at the Board’s sole discreton, by the Board. Subject to the terms of the Plan, the Commitee’s charter and Applicable Laws, and in additon to other express powers and authorizaton conferred by the Plan, the Commitee shall have the authority and discreton:</w:t>
      </w:r>
    </w:p>
    <w:p>
      <w:pPr>
        <w:spacing w:after="0" w:line="219" w:lineRule="exact"/>
        <w:rPr>
          <w:sz w:val="20"/>
          <w:szCs w:val="20"/>
          <w:color w:val="auto"/>
        </w:rPr>
      </w:pPr>
    </w:p>
    <w:p>
      <w:pPr>
        <w:jc w:val="both"/>
        <w:ind w:left="860" w:right="219" w:firstLine="645"/>
        <w:spacing w:after="0" w:line="247" w:lineRule="auto"/>
        <w:tabs>
          <w:tab w:leader="none" w:pos="2156"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to select from among the eligible Employees, Consultants, and Directors those persons who will receive Awards, to determine the tme or tmes of receipt of Awards, to determine the types of Awards and the number of shares of Common Stock or other amounts</w:t>
      </w:r>
    </w:p>
    <w:p>
      <w:pPr>
        <w:spacing w:after="0" w:line="15" w:lineRule="exact"/>
        <w:rPr>
          <w:rFonts w:ascii="Calibri" w:cs="Calibri" w:eastAsia="Calibri" w:hAnsi="Calibri"/>
          <w:sz w:val="20"/>
          <w:szCs w:val="20"/>
          <w:color w:val="auto"/>
        </w:rPr>
      </w:pPr>
    </w:p>
    <w:p>
      <w:pPr>
        <w:jc w:val="both"/>
        <w:ind w:left="860" w:right="239"/>
        <w:spacing w:after="0" w:line="245" w:lineRule="auto"/>
        <w:rPr>
          <w:rFonts w:ascii="Calibri" w:cs="Calibri" w:eastAsia="Calibri" w:hAnsi="Calibri"/>
          <w:sz w:val="20"/>
          <w:szCs w:val="20"/>
          <w:color w:val="auto"/>
        </w:rPr>
      </w:pPr>
      <w:r>
        <w:rPr>
          <w:rFonts w:ascii="Calibri" w:cs="Calibri" w:eastAsia="Calibri" w:hAnsi="Calibri"/>
          <w:sz w:val="20"/>
          <w:szCs w:val="20"/>
          <w:color w:val="auto"/>
        </w:rPr>
        <w:t>covered by the Awards, to establish the terms, conditons (including performance conditons) and other restrictons and other provisions of such Awards, to cancel or suspend Awards, modify the terms of, reissue or repurchase Awards, and accelerate the exercisability or vestng of any Award;</w:t>
      </w:r>
    </w:p>
    <w:p>
      <w:pPr>
        <w:spacing w:after="0" w:line="200" w:lineRule="exact"/>
        <w:rPr>
          <w:rFonts w:ascii="Calibri" w:cs="Calibri" w:eastAsia="Calibri" w:hAnsi="Calibri"/>
          <w:sz w:val="20"/>
          <w:szCs w:val="20"/>
          <w:color w:val="auto"/>
        </w:rPr>
      </w:pPr>
    </w:p>
    <w:p>
      <w:pPr>
        <w:spacing w:after="0" w:line="280" w:lineRule="exact"/>
        <w:rPr>
          <w:rFonts w:ascii="Calibri" w:cs="Calibri" w:eastAsia="Calibri" w:hAnsi="Calibri"/>
          <w:sz w:val="20"/>
          <w:szCs w:val="20"/>
          <w:color w:val="auto"/>
        </w:rPr>
      </w:pPr>
    </w:p>
    <w:p>
      <w:pPr>
        <w:jc w:val="both"/>
        <w:ind w:left="860" w:right="219" w:firstLine="645"/>
        <w:spacing w:after="0"/>
        <w:tabs>
          <w:tab w:leader="none" w:pos="2156"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to conclusively construe and interpret the Plan and apply its provisions; to establish, amend, and rescind any rules and regulatons relatng to the Plan; and to make all other determinatons that may be necessary or advisable for the administraton of the Plan;</w:t>
      </w:r>
    </w:p>
    <w:p>
      <w:pPr>
        <w:spacing w:after="0" w:line="239" w:lineRule="exact"/>
        <w:rPr>
          <w:rFonts w:ascii="Calibri" w:cs="Calibri" w:eastAsia="Calibri" w:hAnsi="Calibri"/>
          <w:sz w:val="20"/>
          <w:szCs w:val="20"/>
          <w:color w:val="auto"/>
        </w:rPr>
      </w:pPr>
    </w:p>
    <w:p>
      <w:pPr>
        <w:ind w:left="860" w:right="239" w:firstLine="645"/>
        <w:spacing w:after="0" w:line="242" w:lineRule="auto"/>
        <w:tabs>
          <w:tab w:leader="none" w:pos="2156"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to authorize any person to execute, on behalf of the Company, any instrument required to carry out the purposes of the Plan; and</w:t>
      </w:r>
    </w:p>
    <w:p>
      <w:pPr>
        <w:spacing w:after="0" w:line="223" w:lineRule="exact"/>
        <w:rPr>
          <w:rFonts w:ascii="Calibri" w:cs="Calibri" w:eastAsia="Calibri" w:hAnsi="Calibri"/>
          <w:sz w:val="20"/>
          <w:szCs w:val="20"/>
          <w:color w:val="auto"/>
        </w:rPr>
      </w:pPr>
    </w:p>
    <w:p>
      <w:pPr>
        <w:ind w:left="860" w:right="219" w:firstLine="645"/>
        <w:spacing w:after="0" w:line="242" w:lineRule="auto"/>
        <w:tabs>
          <w:tab w:leader="none" w:pos="2156"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to exercise discreton to make any other determinatons deemed necessary or advisable for the administraton of the Plan.</w:t>
      </w:r>
    </w:p>
    <w:p>
      <w:pPr>
        <w:spacing w:after="0" w:line="237" w:lineRule="exact"/>
        <w:rPr>
          <w:sz w:val="20"/>
          <w:szCs w:val="20"/>
          <w:color w:val="auto"/>
        </w:rPr>
      </w:pPr>
    </w:p>
    <w:p>
      <w:pPr>
        <w:jc w:val="both"/>
        <w:ind w:left="200" w:right="219" w:firstLine="648"/>
        <w:spacing w:after="0"/>
        <w:rPr>
          <w:sz w:val="20"/>
          <w:szCs w:val="20"/>
          <w:color w:val="auto"/>
        </w:rPr>
      </w:pPr>
      <w:r>
        <w:rPr>
          <w:rFonts w:ascii="Calibri" w:cs="Calibri" w:eastAsia="Calibri" w:hAnsi="Calibri"/>
          <w:sz w:val="20"/>
          <w:szCs w:val="20"/>
          <w:color w:val="auto"/>
        </w:rPr>
        <w:t xml:space="preserve">3.3 </w:t>
      </w:r>
      <w:r>
        <w:rPr>
          <w:rFonts w:ascii="Calibri" w:cs="Calibri" w:eastAsia="Calibri" w:hAnsi="Calibri"/>
          <w:sz w:val="20"/>
          <w:szCs w:val="20"/>
          <w:u w:val="single" w:color="auto"/>
          <w:color w:val="auto"/>
        </w:rPr>
        <w:t>Commitee Decisions Final</w:t>
      </w:r>
      <w:r>
        <w:rPr>
          <w:rFonts w:ascii="Calibri" w:cs="Calibri" w:eastAsia="Calibri" w:hAnsi="Calibri"/>
          <w:sz w:val="20"/>
          <w:szCs w:val="20"/>
          <w:color w:val="auto"/>
        </w:rPr>
        <w:t>. All decisions made by the Commitee pursuant to the provisions of the Plan shall be fnal and binding on the Company and the Partcipants unless such decisions are determined by a court having jurisdicton to be arbitrary and capricious.</w:t>
      </w:r>
    </w:p>
    <w:p>
      <w:pPr>
        <w:spacing w:after="0" w:line="240" w:lineRule="exact"/>
        <w:rPr>
          <w:sz w:val="20"/>
          <w:szCs w:val="20"/>
          <w:color w:val="auto"/>
        </w:rPr>
      </w:pPr>
    </w:p>
    <w:p>
      <w:pPr>
        <w:jc w:val="both"/>
        <w:ind w:left="200" w:right="239" w:firstLine="648"/>
        <w:spacing w:after="0" w:line="244" w:lineRule="auto"/>
        <w:rPr>
          <w:sz w:val="20"/>
          <w:szCs w:val="20"/>
          <w:color w:val="auto"/>
        </w:rPr>
      </w:pPr>
      <w:r>
        <w:rPr>
          <w:rFonts w:ascii="Calibri" w:cs="Calibri" w:eastAsia="Calibri" w:hAnsi="Calibri"/>
          <w:sz w:val="20"/>
          <w:szCs w:val="20"/>
          <w:color w:val="auto"/>
        </w:rPr>
        <w:t xml:space="preserve">3.4 </w:t>
      </w:r>
      <w:r>
        <w:rPr>
          <w:rFonts w:ascii="Calibri" w:cs="Calibri" w:eastAsia="Calibri" w:hAnsi="Calibri"/>
          <w:sz w:val="20"/>
          <w:szCs w:val="20"/>
          <w:u w:val="single" w:color="auto"/>
          <w:color w:val="auto"/>
        </w:rPr>
        <w:t>Delegaton by Commitee</w:t>
      </w:r>
      <w:r>
        <w:rPr>
          <w:rFonts w:ascii="Calibri" w:cs="Calibri" w:eastAsia="Calibri" w:hAnsi="Calibri"/>
          <w:sz w:val="20"/>
          <w:szCs w:val="20"/>
          <w:color w:val="auto"/>
        </w:rPr>
        <w:t>. Except to the extent prohibited by Applicable Laws, the Commitee may allocate all or any porton of its responsibilites and powers to any one or more of its members and may delegate all or any part of its responsibilites and powers to any person or persons selected by it. Any such allocaton or delegaton may be revoked by the Commitee at any tme.</w:t>
      </w:r>
    </w:p>
    <w:p>
      <w:pPr>
        <w:spacing w:after="0" w:line="236" w:lineRule="exact"/>
        <w:rPr>
          <w:sz w:val="20"/>
          <w:szCs w:val="20"/>
          <w:color w:val="auto"/>
        </w:rPr>
      </w:pPr>
    </w:p>
    <w:p>
      <w:pPr>
        <w:jc w:val="both"/>
        <w:ind w:left="200" w:right="219" w:firstLine="648"/>
        <w:spacing w:after="0" w:line="246" w:lineRule="auto"/>
        <w:rPr>
          <w:sz w:val="20"/>
          <w:szCs w:val="20"/>
          <w:color w:val="auto"/>
        </w:rPr>
      </w:pPr>
      <w:r>
        <w:rPr>
          <w:rFonts w:ascii="Calibri" w:cs="Calibri" w:eastAsia="Calibri" w:hAnsi="Calibri"/>
          <w:sz w:val="20"/>
          <w:szCs w:val="20"/>
          <w:color w:val="auto"/>
        </w:rPr>
        <w:t xml:space="preserve">3.5 </w:t>
      </w:r>
      <w:r>
        <w:rPr>
          <w:rFonts w:ascii="Calibri" w:cs="Calibri" w:eastAsia="Calibri" w:hAnsi="Calibri"/>
          <w:sz w:val="20"/>
          <w:szCs w:val="20"/>
          <w:u w:val="single" w:color="auto"/>
          <w:color w:val="auto"/>
        </w:rPr>
        <w:t>Indemnifcaton</w:t>
      </w:r>
      <w:r>
        <w:rPr>
          <w:rFonts w:ascii="Calibri" w:cs="Calibri" w:eastAsia="Calibri" w:hAnsi="Calibri"/>
          <w:sz w:val="20"/>
          <w:szCs w:val="20"/>
          <w:color w:val="auto"/>
        </w:rPr>
        <w:t>. In additon to such other rights of indemnifcaton as they may have as Directors or members of the Commitee, and to the extent allowed by Applicable Laws, the Commitee shall be indemnifed by the Company against the reasonable expenses, including atorney’s fees, actually incurred in connecton with any acton, suit or proceeding or in connecton with any appeal therein, to which the Commitee may be party by reason of any acton taken or failure to act under or in connecton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47" w:name="page48"/>
    <w:bookmarkEnd w:id="47"/>
    <w:p>
      <w:pPr>
        <w:jc w:val="both"/>
        <w:ind w:left="200" w:right="219"/>
        <w:spacing w:after="0" w:line="248" w:lineRule="auto"/>
        <w:rPr>
          <w:sz w:val="20"/>
          <w:szCs w:val="20"/>
          <w:color w:val="auto"/>
        </w:rPr>
      </w:pPr>
      <w:r>
        <w:rPr>
          <w:rFonts w:ascii="Calibri" w:cs="Calibri" w:eastAsia="Calibri" w:hAnsi="Calibri"/>
          <w:sz w:val="20"/>
          <w:szCs w:val="20"/>
          <w:color w:val="auto"/>
        </w:rPr>
        <w:t>with the Plan or any Award granted under the Plan, and against all amounts paid by the Commitee in setlement thereof (</w:t>
      </w:r>
      <w:r>
        <w:rPr>
          <w:rFonts w:ascii="Calibri" w:cs="Calibri" w:eastAsia="Calibri" w:hAnsi="Calibri"/>
          <w:sz w:val="20"/>
          <w:szCs w:val="20"/>
          <w:i w:val="1"/>
          <w:iCs w:val="1"/>
          <w:color w:val="auto"/>
        </w:rPr>
        <w:t>provided, however</w:t>
      </w:r>
      <w:r>
        <w:rPr>
          <w:rFonts w:ascii="Calibri" w:cs="Calibri" w:eastAsia="Calibri" w:hAnsi="Calibri"/>
          <w:sz w:val="20"/>
          <w:szCs w:val="20"/>
          <w:color w:val="auto"/>
        </w:rPr>
        <w:t xml:space="preserve">, that the setlement has been approved by the Company, which approval shall not be unreasonably withheld) or paid by the Commitee in satsfacton of a judgment in any such acton, suit or proceeding, except in relaton to maters as to which it shall be adjudged in such acton, suit or proceeding that such Commitee did not act in good faith and in a manner which such person reasonably believed to be in the best interests of the Company, or in the case of a criminal proceeding, had no reason to believe that the conduct complained of was unlawful; </w:t>
      </w:r>
      <w:r>
        <w:rPr>
          <w:rFonts w:ascii="Calibri" w:cs="Calibri" w:eastAsia="Calibri" w:hAnsi="Calibri"/>
          <w:sz w:val="20"/>
          <w:szCs w:val="20"/>
          <w:i w:val="1"/>
          <w:iCs w:val="1"/>
          <w:color w:val="auto"/>
        </w:rPr>
        <w:t>provided, however,</w:t>
      </w:r>
      <w:r>
        <w:rPr>
          <w:rFonts w:ascii="Calibri" w:cs="Calibri" w:eastAsia="Calibri" w:hAnsi="Calibri"/>
          <w:sz w:val="20"/>
          <w:szCs w:val="20"/>
          <w:color w:val="auto"/>
        </w:rPr>
        <w:t xml:space="preserve"> that within sixty (60) days afer insttuton of any such acton, suit or proceeding, such Commitee shall, in writng, ofer the Company the opportunity at its own expense to handle and defend such acton, suit or proceeding.</w:t>
      </w:r>
    </w:p>
    <w:p>
      <w:pPr>
        <w:spacing w:after="0" w:line="200" w:lineRule="exact"/>
        <w:rPr>
          <w:sz w:val="20"/>
          <w:szCs w:val="20"/>
          <w:color w:val="auto"/>
        </w:rPr>
      </w:pPr>
    </w:p>
    <w:p>
      <w:pPr>
        <w:spacing w:after="0" w:line="270" w:lineRule="exact"/>
        <w:rPr>
          <w:sz w:val="20"/>
          <w:szCs w:val="20"/>
          <w:color w:val="auto"/>
        </w:rPr>
      </w:pPr>
    </w:p>
    <w:p>
      <w:pPr>
        <w:jc w:val="both"/>
        <w:ind w:left="200" w:right="219" w:firstLine="648"/>
        <w:spacing w:after="0" w:line="248" w:lineRule="auto"/>
        <w:rPr>
          <w:sz w:val="20"/>
          <w:szCs w:val="20"/>
          <w:color w:val="auto"/>
        </w:rPr>
      </w:pPr>
      <w:r>
        <w:rPr>
          <w:rFonts w:ascii="Calibri" w:cs="Calibri" w:eastAsia="Calibri" w:hAnsi="Calibri"/>
          <w:sz w:val="20"/>
          <w:szCs w:val="20"/>
          <w:color w:val="auto"/>
        </w:rPr>
        <w:t xml:space="preserve">3.6 </w:t>
      </w:r>
      <w:r>
        <w:rPr>
          <w:rFonts w:ascii="Calibri" w:cs="Calibri" w:eastAsia="Calibri" w:hAnsi="Calibri"/>
          <w:sz w:val="20"/>
          <w:szCs w:val="20"/>
          <w:u w:val="single" w:color="auto"/>
          <w:color w:val="auto"/>
        </w:rPr>
        <w:t>No Repricing</w:t>
      </w:r>
      <w:r>
        <w:rPr>
          <w:rFonts w:ascii="Calibri" w:cs="Calibri" w:eastAsia="Calibri" w:hAnsi="Calibri"/>
          <w:sz w:val="20"/>
          <w:szCs w:val="20"/>
          <w:color w:val="auto"/>
        </w:rPr>
        <w:t xml:space="preserve">. Except for either adjustments under </w:t>
      </w:r>
      <w:r>
        <w:rPr>
          <w:rFonts w:ascii="Calibri" w:cs="Calibri" w:eastAsia="Calibri" w:hAnsi="Calibri"/>
          <w:sz w:val="20"/>
          <w:szCs w:val="20"/>
          <w:b w:val="1"/>
          <w:bCs w:val="1"/>
          <w:color w:val="auto"/>
          <w:highlight w:val="lightGray"/>
        </w:rPr>
        <w:t>Secton 8</w:t>
      </w:r>
      <w:r>
        <w:rPr>
          <w:rFonts w:ascii="Calibri" w:cs="Calibri" w:eastAsia="Calibri" w:hAnsi="Calibri"/>
          <w:sz w:val="20"/>
          <w:szCs w:val="20"/>
          <w:color w:val="auto"/>
        </w:rPr>
        <w:t xml:space="preserve"> (relatng to the adjustment of shares) or reductons of the Exercise Price of an Opton or Stock Appreciaton Right approved by the Company’s shareholders, the Exercise Price for any outstanding Opton or Stock Appreciaton Right may not be decreased afer the Grant Date nor may an outstanding Opton or Stock Appreciaton Right granted under the Plan be surrendered to the Company as consideraton for the grant of a replacement Opton or Stock Appreciaton Right with a lower Exercise Price or a Restricted Award or Performance Share Award under the Plan. Except as approved by the Company’s shareholders, in no event will any Opton or Stock Appreciaton Right granted under the Plan be surrendered to the Company in consideraton for a cash payment if, at the tme of such surrender, the Exercise Price of the Opton or Stock Appreciaton Right is greater than the then current Fair Market Value of a share of Common Stock.</w:t>
      </w:r>
    </w:p>
    <w:p>
      <w:pPr>
        <w:spacing w:after="0" w:line="231" w:lineRule="exact"/>
        <w:rPr>
          <w:sz w:val="20"/>
          <w:szCs w:val="20"/>
          <w:color w:val="auto"/>
        </w:rPr>
      </w:pPr>
    </w:p>
    <w:p>
      <w:pPr>
        <w:jc w:val="both"/>
        <w:ind w:left="200" w:right="219" w:firstLine="648"/>
        <w:spacing w:after="0" w:line="246" w:lineRule="auto"/>
        <w:rPr>
          <w:sz w:val="20"/>
          <w:szCs w:val="20"/>
          <w:color w:val="auto"/>
        </w:rPr>
      </w:pPr>
      <w:r>
        <w:rPr>
          <w:rFonts w:ascii="Calibri" w:cs="Calibri" w:eastAsia="Calibri" w:hAnsi="Calibri"/>
          <w:sz w:val="20"/>
          <w:szCs w:val="20"/>
          <w:color w:val="auto"/>
        </w:rPr>
        <w:t xml:space="preserve">3.7 </w:t>
      </w:r>
      <w:r>
        <w:rPr>
          <w:rFonts w:ascii="Calibri" w:cs="Calibri" w:eastAsia="Calibri" w:hAnsi="Calibri"/>
          <w:sz w:val="20"/>
          <w:szCs w:val="20"/>
          <w:u w:val="single" w:color="auto"/>
          <w:color w:val="auto"/>
        </w:rPr>
        <w:t>Minimum Vestng.</w:t>
      </w:r>
      <w:r>
        <w:rPr>
          <w:rFonts w:ascii="Calibri" w:cs="Calibri" w:eastAsia="Calibri" w:hAnsi="Calibri"/>
          <w:sz w:val="20"/>
          <w:szCs w:val="20"/>
          <w:color w:val="auto"/>
        </w:rPr>
        <w:t xml:space="preserve"> Notwithstanding any other provision of the Plan to the contrary, Awards granted under the Plan shall vest or be paid out no earlier than the frst anniversary of the date on which the Award is granted, and the performance period for any Performance Share Awards shall not be less than one-(1) year; </w:t>
      </w:r>
      <w:r>
        <w:rPr>
          <w:rFonts w:ascii="Calibri" w:cs="Calibri" w:eastAsia="Calibri" w:hAnsi="Calibri"/>
          <w:sz w:val="20"/>
          <w:szCs w:val="20"/>
          <w:i w:val="1"/>
          <w:iCs w:val="1"/>
          <w:color w:val="auto"/>
        </w:rPr>
        <w:t>provided, however</w:t>
      </w:r>
      <w:r>
        <w:rPr>
          <w:rFonts w:ascii="Calibri" w:cs="Calibri" w:eastAsia="Calibri" w:hAnsi="Calibri"/>
          <w:sz w:val="20"/>
          <w:szCs w:val="20"/>
          <w:color w:val="auto"/>
        </w:rPr>
        <w:t>, that the following Awards shall not be subject to the foregoing minimum vestng requirement: any (a) shares delivered in lieu of fully vested cash obligatons,</w:t>
      </w:r>
    </w:p>
    <w:p>
      <w:pPr>
        <w:spacing w:after="0" w:line="18" w:lineRule="exact"/>
        <w:rPr>
          <w:sz w:val="20"/>
          <w:szCs w:val="20"/>
          <w:color w:val="auto"/>
        </w:rPr>
      </w:pPr>
    </w:p>
    <w:p>
      <w:pPr>
        <w:jc w:val="both"/>
        <w:ind w:left="200" w:right="219" w:firstLine="9"/>
        <w:spacing w:after="0" w:line="244" w:lineRule="auto"/>
        <w:tabs>
          <w:tab w:leader="none" w:pos="486"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 xml:space="preserve">additonal Awards the Board or the Commitee may grant, up to a maximum of fve percent (5%) of the available share reserve authorized for issuance under the Plan pursuant to </w:t>
      </w:r>
      <w:r>
        <w:rPr>
          <w:rFonts w:ascii="Calibri" w:cs="Calibri" w:eastAsia="Calibri" w:hAnsi="Calibri"/>
          <w:sz w:val="20"/>
          <w:szCs w:val="20"/>
          <w:b w:val="1"/>
          <w:bCs w:val="1"/>
          <w:color w:val="auto"/>
          <w:highlight w:val="lightGray"/>
        </w:rPr>
        <w:t>Secton 4.1</w:t>
      </w:r>
      <w:r>
        <w:rPr>
          <w:rFonts w:ascii="Calibri" w:cs="Calibri" w:eastAsia="Calibri" w:hAnsi="Calibri"/>
          <w:sz w:val="20"/>
          <w:szCs w:val="20"/>
          <w:color w:val="auto"/>
        </w:rPr>
        <w:t>; and (c) Awards to Non-Employee Directors which may vest on the earlier of the one (1)-year anniversary of the date of grant or the next annual meetng of shareholders (</w:t>
      </w:r>
      <w:r>
        <w:rPr>
          <w:rFonts w:ascii="Calibri" w:cs="Calibri" w:eastAsia="Calibri" w:hAnsi="Calibri"/>
          <w:sz w:val="20"/>
          <w:szCs w:val="20"/>
          <w:i w:val="1"/>
          <w:iCs w:val="1"/>
          <w:color w:val="auto"/>
        </w:rPr>
        <w:t>provided that</w:t>
      </w:r>
      <w:r>
        <w:rPr>
          <w:rFonts w:ascii="Calibri" w:cs="Calibri" w:eastAsia="Calibri" w:hAnsi="Calibri"/>
          <w:sz w:val="20"/>
          <w:szCs w:val="20"/>
          <w:color w:val="auto"/>
        </w:rPr>
        <w:t xml:space="preserve"> such vestng period may not be</w:t>
      </w:r>
    </w:p>
    <w:p>
      <w:pPr>
        <w:spacing w:after="0" w:line="19" w:lineRule="exact"/>
        <w:rPr>
          <w:rFonts w:ascii="Calibri" w:cs="Calibri" w:eastAsia="Calibri" w:hAnsi="Calibri"/>
          <w:sz w:val="20"/>
          <w:szCs w:val="20"/>
          <w:color w:val="auto"/>
        </w:rPr>
      </w:pPr>
    </w:p>
    <w:p>
      <w:pPr>
        <w:jc w:val="both"/>
        <w:ind w:left="20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 xml:space="preserve">less than 50 weeks afer the Grant Date); and, </w:t>
      </w:r>
      <w:r>
        <w:rPr>
          <w:rFonts w:ascii="Calibri" w:cs="Calibri" w:eastAsia="Calibri" w:hAnsi="Calibri"/>
          <w:sz w:val="20"/>
          <w:szCs w:val="20"/>
          <w:i w:val="1"/>
          <w:iCs w:val="1"/>
          <w:color w:val="auto"/>
        </w:rPr>
        <w:t>provided further,</w:t>
      </w:r>
      <w:r>
        <w:rPr>
          <w:rFonts w:ascii="Calibri" w:cs="Calibri" w:eastAsia="Calibri" w:hAnsi="Calibri"/>
          <w:sz w:val="20"/>
          <w:szCs w:val="20"/>
          <w:color w:val="auto"/>
        </w:rPr>
        <w:t xml:space="preserve"> that the foregoing restrictons do not apply to the Board’s or the Commitee’s discreton to provide for accelerated exercisability or vestng of any Award, including in cases of retrement, death, Disability, or terminaton of employment or upon a Change in Control pursuant to </w:t>
      </w:r>
      <w:r>
        <w:rPr>
          <w:rFonts w:ascii="Calibri" w:cs="Calibri" w:eastAsia="Calibri" w:hAnsi="Calibri"/>
          <w:sz w:val="20"/>
          <w:szCs w:val="20"/>
          <w:b w:val="1"/>
          <w:bCs w:val="1"/>
          <w:color w:val="auto"/>
          <w:highlight w:val="lightGray"/>
        </w:rPr>
        <w:t>Secton 9</w:t>
      </w:r>
      <w:r>
        <w:rPr>
          <w:rFonts w:ascii="Calibri" w:cs="Calibri" w:eastAsia="Calibri" w:hAnsi="Calibri"/>
          <w:sz w:val="20"/>
          <w:szCs w:val="20"/>
          <w:color w:val="auto"/>
        </w:rPr>
        <w:t>, under an Award Agreement or otherwise.</w:t>
      </w:r>
    </w:p>
    <w:p>
      <w:pPr>
        <w:spacing w:after="0" w:line="226" w:lineRule="exact"/>
        <w:rPr>
          <w:sz w:val="20"/>
          <w:szCs w:val="20"/>
          <w:color w:val="auto"/>
        </w:rPr>
      </w:pPr>
    </w:p>
    <w:p>
      <w:pPr>
        <w:ind w:left="1500" w:hanging="643"/>
        <w:spacing w:after="0"/>
        <w:tabs>
          <w:tab w:leader="none" w:pos="1500" w:val="left"/>
        </w:tabs>
        <w:numPr>
          <w:ilvl w:val="0"/>
          <w:numId w:val="19"/>
        </w:numPr>
        <w:rPr>
          <w:rFonts w:ascii="Calibri" w:cs="Calibri" w:eastAsia="Calibri" w:hAnsi="Calibri"/>
          <w:sz w:val="20"/>
          <w:szCs w:val="20"/>
          <w:color w:val="auto"/>
        </w:rPr>
      </w:pPr>
      <w:r>
        <w:rPr>
          <w:rFonts w:ascii="Calibri" w:cs="Calibri" w:eastAsia="Calibri" w:hAnsi="Calibri"/>
          <w:sz w:val="20"/>
          <w:szCs w:val="20"/>
          <w:u w:val="single" w:color="auto"/>
          <w:color w:val="auto"/>
        </w:rPr>
        <w:t>Shares Subject to the Plan</w:t>
      </w:r>
      <w:r>
        <w:rPr>
          <w:rFonts w:ascii="Calibri" w:cs="Calibri" w:eastAsia="Calibri" w:hAnsi="Calibri"/>
          <w:sz w:val="20"/>
          <w:szCs w:val="20"/>
          <w:color w:val="auto"/>
        </w:rPr>
        <w:t>.</w:t>
      </w:r>
    </w:p>
    <w:p>
      <w:pPr>
        <w:spacing w:after="0" w:line="225"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 xml:space="preserve">4.1 </w:t>
      </w:r>
      <w:r>
        <w:rPr>
          <w:rFonts w:ascii="Calibri" w:cs="Calibri" w:eastAsia="Calibri" w:hAnsi="Calibri"/>
          <w:sz w:val="20"/>
          <w:szCs w:val="20"/>
          <w:u w:val="single" w:color="auto"/>
          <w:color w:val="auto"/>
        </w:rPr>
        <w:t>Shares Authorized.</w:t>
      </w:r>
      <w:r>
        <w:rPr>
          <w:rFonts w:ascii="Calibri" w:cs="Calibri" w:eastAsia="Calibri" w:hAnsi="Calibri"/>
          <w:sz w:val="20"/>
          <w:szCs w:val="20"/>
          <w:color w:val="auto"/>
        </w:rPr>
        <w:t xml:space="preserve"> Subject to adjustment in accordance with </w:t>
      </w:r>
      <w:r>
        <w:rPr>
          <w:rFonts w:ascii="Calibri" w:cs="Calibri" w:eastAsia="Calibri" w:hAnsi="Calibri"/>
          <w:sz w:val="20"/>
          <w:szCs w:val="20"/>
          <w:b w:val="1"/>
          <w:bCs w:val="1"/>
          <w:u w:val="single" w:color="auto"/>
          <w:color w:val="0000EE"/>
        </w:rPr>
        <w:t>Secton 8</w:t>
      </w:r>
      <w:r>
        <w:rPr>
          <w:rFonts w:ascii="Calibri" w:cs="Calibri" w:eastAsia="Calibri" w:hAnsi="Calibri"/>
          <w:sz w:val="20"/>
          <w:szCs w:val="20"/>
          <w:color w:val="auto"/>
        </w:rPr>
        <w:t xml:space="preserve">, a total of 2,555,323 (two million, fve hundred and ffy-fve thousand, and three hundred and twenty-three) shares of Common Stock shall be available for the grant of Awards under the Plan, </w:t>
      </w:r>
      <w:r>
        <w:rPr>
          <w:rFonts w:ascii="Calibri" w:cs="Calibri" w:eastAsia="Calibri" w:hAnsi="Calibri"/>
          <w:sz w:val="20"/>
          <w:szCs w:val="20"/>
          <w:i w:val="1"/>
          <w:iCs w:val="1"/>
          <w:color w:val="auto"/>
        </w:rPr>
        <w:t>provided that</w:t>
      </w:r>
      <w:r>
        <w:rPr>
          <w:rFonts w:ascii="Calibri" w:cs="Calibri" w:eastAsia="Calibri" w:hAnsi="Calibri"/>
          <w:sz w:val="20"/>
          <w:szCs w:val="20"/>
          <w:color w:val="auto"/>
        </w:rPr>
        <w:t xml:space="preserve"> no more than 330,000 (three hundred thirty thousand) shares of Common Stock may be granted as Incentve Stock Optons. During the terms of the Awards, the Company shall keep available at all tmes the number of shares of Common Stock required to satsfy such Awards.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8" w:name="page49"/>
    <w:bookmarkEnd w:id="48"/>
    <w:p>
      <w:pPr>
        <w:jc w:val="both"/>
        <w:ind w:left="200" w:right="219" w:firstLine="648"/>
        <w:spacing w:after="0"/>
        <w:rPr>
          <w:sz w:val="20"/>
          <w:szCs w:val="20"/>
          <w:color w:val="auto"/>
        </w:rPr>
      </w:pPr>
      <w:r>
        <w:rPr>
          <w:rFonts w:ascii="Calibri" w:cs="Calibri" w:eastAsia="Calibri" w:hAnsi="Calibri"/>
          <w:sz w:val="20"/>
          <w:szCs w:val="20"/>
          <w:color w:val="auto"/>
        </w:rPr>
        <w:t xml:space="preserve">4.2 </w:t>
      </w:r>
      <w:r>
        <w:rPr>
          <w:rFonts w:ascii="Calibri" w:cs="Calibri" w:eastAsia="Calibri" w:hAnsi="Calibri"/>
          <w:sz w:val="20"/>
          <w:szCs w:val="20"/>
          <w:u w:val="single" w:color="auto"/>
          <w:color w:val="auto"/>
        </w:rPr>
        <w:t>Shares Distributed.</w:t>
      </w:r>
      <w:r>
        <w:rPr>
          <w:rFonts w:ascii="Calibri" w:cs="Calibri" w:eastAsia="Calibri" w:hAnsi="Calibri"/>
          <w:sz w:val="20"/>
          <w:szCs w:val="20"/>
          <w:color w:val="auto"/>
        </w:rPr>
        <w:t xml:space="preserve"> Shares of Common Stock available for distributon under the Plan may consist, in whole or in part, of authorized and unissued shares, treasury shares, or shares reacquired by the Company in any manner.</w:t>
      </w:r>
    </w:p>
    <w:p>
      <w:pPr>
        <w:spacing w:after="0" w:line="240"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 xml:space="preserve">4.3 </w:t>
      </w:r>
      <w:r>
        <w:rPr>
          <w:rFonts w:ascii="Calibri" w:cs="Calibri" w:eastAsia="Calibri" w:hAnsi="Calibri"/>
          <w:sz w:val="20"/>
          <w:szCs w:val="20"/>
          <w:u w:val="single" w:color="auto"/>
          <w:color w:val="auto"/>
        </w:rPr>
        <w:t>Shares Available for Subsequent Issuance.</w:t>
      </w:r>
      <w:r>
        <w:rPr>
          <w:rFonts w:ascii="Calibri" w:cs="Calibri" w:eastAsia="Calibri" w:hAnsi="Calibri"/>
          <w:sz w:val="20"/>
          <w:szCs w:val="20"/>
          <w:color w:val="auto"/>
        </w:rPr>
        <w:t xml:space="preserve"> Any shares of Common Stock subject to an Award that is canceled, forfeited, or expires prior to exercise or realizaton, either in full or in part, shall become available for issuance under the Plan. Notwithstanding anything to the contrary contained herein: shares subject to an Award under the Plan shall be made available for issuance or delivery under the Plan if such shares are (a) shares tendered in payment of an Opton, (b) shares delivered or withheld by the Company to satsfy any tax withholding obligaton, including shares covered by a Stock Appreciaton Right, (c) shares covered by a cash or stock-setled Stock Appreciaton Right or other Awards setled in cash or (d) any shares that were not issued upon the setlement of the Award.</w:t>
      </w:r>
    </w:p>
    <w:p>
      <w:pPr>
        <w:spacing w:after="0" w:line="231" w:lineRule="exact"/>
        <w:rPr>
          <w:sz w:val="20"/>
          <w:szCs w:val="20"/>
          <w:color w:val="auto"/>
        </w:rPr>
      </w:pPr>
    </w:p>
    <w:p>
      <w:pPr>
        <w:jc w:val="both"/>
        <w:ind w:left="200" w:right="239" w:firstLine="648"/>
        <w:spacing w:after="0" w:line="242" w:lineRule="auto"/>
        <w:rPr>
          <w:sz w:val="20"/>
          <w:szCs w:val="20"/>
          <w:color w:val="auto"/>
        </w:rPr>
      </w:pPr>
      <w:r>
        <w:rPr>
          <w:rFonts w:ascii="Calibri" w:cs="Calibri" w:eastAsia="Calibri" w:hAnsi="Calibri"/>
          <w:sz w:val="20"/>
          <w:szCs w:val="20"/>
          <w:color w:val="auto"/>
        </w:rPr>
        <w:t xml:space="preserve">4.4 </w:t>
      </w:r>
      <w:r>
        <w:rPr>
          <w:rFonts w:ascii="Calibri" w:cs="Calibri" w:eastAsia="Calibri" w:hAnsi="Calibri"/>
          <w:sz w:val="20"/>
          <w:szCs w:val="20"/>
          <w:u w:val="single" w:color="auto"/>
          <w:color w:val="auto"/>
        </w:rPr>
        <w:t>Form of Setlement</w:t>
      </w:r>
      <w:r>
        <w:rPr>
          <w:rFonts w:ascii="Calibri" w:cs="Calibri" w:eastAsia="Calibri" w:hAnsi="Calibri"/>
          <w:sz w:val="20"/>
          <w:szCs w:val="20"/>
          <w:color w:val="auto"/>
        </w:rPr>
        <w:t>. To the extent provided by the Commitee, any Award may be setled in cash rather than shares of Stock or vice versa.</w:t>
      </w:r>
    </w:p>
    <w:p>
      <w:pPr>
        <w:spacing w:after="0" w:line="227" w:lineRule="exact"/>
        <w:rPr>
          <w:sz w:val="20"/>
          <w:szCs w:val="20"/>
          <w:color w:val="auto"/>
        </w:rPr>
      </w:pPr>
    </w:p>
    <w:p>
      <w:pPr>
        <w:ind w:left="1500" w:hanging="643"/>
        <w:spacing w:after="0"/>
        <w:tabs>
          <w:tab w:leader="none" w:pos="1500" w:val="left"/>
        </w:tabs>
        <w:numPr>
          <w:ilvl w:val="0"/>
          <w:numId w:val="20"/>
        </w:numPr>
        <w:rPr>
          <w:rFonts w:ascii="Calibri" w:cs="Calibri" w:eastAsia="Calibri" w:hAnsi="Calibri"/>
          <w:sz w:val="20"/>
          <w:szCs w:val="20"/>
          <w:color w:val="auto"/>
        </w:rPr>
      </w:pPr>
      <w:r>
        <w:rPr>
          <w:rFonts w:ascii="Calibri" w:cs="Calibri" w:eastAsia="Calibri" w:hAnsi="Calibri"/>
          <w:sz w:val="20"/>
          <w:szCs w:val="20"/>
          <w:u w:val="single" w:color="auto"/>
          <w:color w:val="auto"/>
        </w:rPr>
        <w:t>Opton Provisions</w:t>
      </w:r>
      <w:r>
        <w:rPr>
          <w:rFonts w:ascii="Calibri" w:cs="Calibri" w:eastAsia="Calibri" w:hAnsi="Calibri"/>
          <w:sz w:val="20"/>
          <w:szCs w:val="20"/>
          <w:color w:val="auto"/>
        </w:rPr>
        <w:t>.</w:t>
      </w:r>
    </w:p>
    <w:p>
      <w:pPr>
        <w:spacing w:after="0" w:line="225" w:lineRule="exact"/>
        <w:rPr>
          <w:sz w:val="20"/>
          <w:szCs w:val="20"/>
          <w:color w:val="auto"/>
        </w:rPr>
      </w:pPr>
    </w:p>
    <w:p>
      <w:pPr>
        <w:jc w:val="both"/>
        <w:ind w:left="200" w:right="219" w:firstLine="648"/>
        <w:spacing w:after="0" w:line="248" w:lineRule="auto"/>
        <w:rPr>
          <w:sz w:val="20"/>
          <w:szCs w:val="20"/>
          <w:color w:val="auto"/>
        </w:rPr>
      </w:pPr>
      <w:r>
        <w:rPr>
          <w:rFonts w:ascii="Calibri" w:cs="Calibri" w:eastAsia="Calibri" w:hAnsi="Calibri"/>
          <w:sz w:val="20"/>
          <w:szCs w:val="20"/>
          <w:color w:val="auto"/>
        </w:rPr>
        <w:t xml:space="preserve">5.1 </w:t>
      </w:r>
      <w:r>
        <w:rPr>
          <w:rFonts w:ascii="Calibri" w:cs="Calibri" w:eastAsia="Calibri" w:hAnsi="Calibri"/>
          <w:sz w:val="20"/>
          <w:szCs w:val="20"/>
          <w:u w:val="single" w:color="auto"/>
          <w:color w:val="auto"/>
        </w:rPr>
        <w:t>Generally</w:t>
      </w:r>
      <w:r>
        <w:rPr>
          <w:rFonts w:ascii="Calibri" w:cs="Calibri" w:eastAsia="Calibri" w:hAnsi="Calibri"/>
          <w:sz w:val="20"/>
          <w:szCs w:val="20"/>
          <w:color w:val="auto"/>
        </w:rPr>
        <w:t xml:space="preserve">. Each Opton granted under the Plan shall be subject to the conditons outlined in this </w:t>
      </w:r>
      <w:r>
        <w:rPr>
          <w:rFonts w:ascii="Calibri" w:cs="Calibri" w:eastAsia="Calibri" w:hAnsi="Calibri"/>
          <w:sz w:val="20"/>
          <w:szCs w:val="20"/>
          <w:b w:val="1"/>
          <w:bCs w:val="1"/>
          <w:color w:val="auto"/>
          <w:shd w:val="clear" w:color="auto" w:fill="F2F2F2"/>
        </w:rPr>
        <w:t>Secton 5</w:t>
      </w:r>
      <w:r>
        <w:rPr>
          <w:rFonts w:ascii="Calibri" w:cs="Calibri" w:eastAsia="Calibri" w:hAnsi="Calibri"/>
          <w:sz w:val="20"/>
          <w:szCs w:val="20"/>
          <w:color w:val="auto"/>
        </w:rPr>
        <w:t xml:space="preserve"> and to other conditons consistent with the Plan as may be refected in the applicable Award Agreement. All Optons shall be separately designated Incentve Stock Optons or Non-qualifed Stock Optons at the tme of grant, and, if certfcates are issued, a separate certfcate or certfcates will be issued for shares of Common Stock purchased on exercise of each type of Opton. Notwithstanding the preceding, the Company shall have no liability to any Partcipant or any other person if an Opton designated as an Incentve Stock Opton fails to qualify as such at any tme. The provisions of separate Optons need not be identcal.</w:t>
      </w:r>
    </w:p>
    <w:p>
      <w:pPr>
        <w:spacing w:after="0" w:line="213" w:lineRule="exact"/>
        <w:rPr>
          <w:sz w:val="20"/>
          <w:szCs w:val="20"/>
          <w:color w:val="auto"/>
        </w:rPr>
      </w:pPr>
    </w:p>
    <w:p>
      <w:pPr>
        <w:ind w:left="860"/>
        <w:spacing w:after="0"/>
        <w:tabs>
          <w:tab w:leader="none" w:pos="1480" w:val="left"/>
        </w:tabs>
        <w:rPr>
          <w:sz w:val="20"/>
          <w:szCs w:val="20"/>
          <w:color w:val="auto"/>
        </w:rPr>
      </w:pPr>
      <w:r>
        <w:rPr>
          <w:rFonts w:ascii="Calibri" w:cs="Calibri" w:eastAsia="Calibri" w:hAnsi="Calibri"/>
          <w:sz w:val="20"/>
          <w:szCs w:val="20"/>
          <w:color w:val="auto"/>
        </w:rPr>
        <w:t>5.2</w:t>
      </w:r>
      <w:r>
        <w:rPr>
          <w:sz w:val="20"/>
          <w:szCs w:val="20"/>
          <w:color w:val="auto"/>
        </w:rPr>
        <w:tab/>
      </w:r>
      <w:r>
        <w:rPr>
          <w:rFonts w:ascii="Calibri" w:cs="Calibri" w:eastAsia="Calibri" w:hAnsi="Calibri"/>
          <w:sz w:val="20"/>
          <w:szCs w:val="20"/>
          <w:u w:val="single" w:color="auto"/>
          <w:color w:val="auto"/>
        </w:rPr>
        <w:t>Term</w:t>
      </w:r>
      <w:r>
        <w:rPr>
          <w:rFonts w:ascii="Calibri" w:cs="Calibri" w:eastAsia="Calibri" w:hAnsi="Calibri"/>
          <w:sz w:val="20"/>
          <w:szCs w:val="20"/>
          <w:b w:val="1"/>
          <w:bCs w:val="1"/>
          <w:color w:val="auto"/>
        </w:rPr>
        <w:t>.</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No Opton shall be exercisable more than ten (10) years from the Grant Date (fve</w:t>
      </w:r>
    </w:p>
    <w:p>
      <w:pPr>
        <w:spacing w:after="0" w:line="22" w:lineRule="exact"/>
        <w:rPr>
          <w:sz w:val="20"/>
          <w:szCs w:val="20"/>
          <w:color w:val="auto"/>
        </w:rPr>
      </w:pPr>
    </w:p>
    <w:p>
      <w:pPr>
        <w:ind w:left="200" w:right="219" w:firstLine="9"/>
        <w:spacing w:after="0" w:line="242" w:lineRule="auto"/>
        <w:tabs>
          <w:tab w:leader="none" w:pos="480"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years in the case of an Incentve Stock Opton granted to a Ten Percent Stockholder) or such shorter period required by Applicable Laws.</w:t>
      </w:r>
    </w:p>
    <w:p>
      <w:pPr>
        <w:spacing w:after="0" w:line="237"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 xml:space="preserve">5.3 </w:t>
      </w:r>
      <w:r>
        <w:rPr>
          <w:rFonts w:ascii="Calibri" w:cs="Calibri" w:eastAsia="Calibri" w:hAnsi="Calibri"/>
          <w:sz w:val="20"/>
          <w:szCs w:val="20"/>
          <w:u w:val="single" w:color="auto"/>
          <w:color w:val="auto"/>
        </w:rPr>
        <w:t>Consideraton</w:t>
      </w:r>
      <w:r>
        <w:rPr>
          <w:rFonts w:ascii="Calibri" w:cs="Calibri" w:eastAsia="Calibri" w:hAnsi="Calibri"/>
          <w:sz w:val="20"/>
          <w:szCs w:val="20"/>
          <w:color w:val="auto"/>
        </w:rPr>
        <w:t>. The Exercise Price of Common Stock acquired pursuant to an Opton shall be paid, to the extent permited by applicable statutes and regulatons, either (a) in cash or by certfed or bank check at the tme the Opton is exercised or (b) in the discreton of the Commitee, upon such terms as the Commitee shall approve, the Exercise Price may be paid: (i) by delivery to the Company of other Common Stock with a Fair Market Value on the date of delivery equal to the Exercise Price (or porton thereof) due for the number of shares being acquired, or by means of atestaton whereby the Partcipant identfes for delivery specifc shares of Common Stock that have an aggregate Fair Market Value on the date of atestaton equal to the Exercise Price (or porton thereof) and receives a number of shares of Common Stock equal to the diference between the number of shares thereby purchased and the number of identfed atestaton shares of Common Stock; (ii) a “cashless” exercise program established with a broker; (iii) by reducton in the number of shares of Common Stock otherwise deliverable upon exercise of such Opton with a Fair Market Value equal to the aggregate Exercise Price at the tme of exercise; (iv) any combinaton of the foregoing methods; or (v) in any other form of legal consideraton that may be acceptable to the Commitee. Unless otherwise specifcally provided in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9" w:name="page50"/>
    <w:bookmarkEnd w:id="49"/>
    <w:p>
      <w:pPr>
        <w:jc w:val="both"/>
        <w:ind w:left="200" w:right="239"/>
        <w:spacing w:after="0"/>
        <w:rPr>
          <w:sz w:val="20"/>
          <w:szCs w:val="20"/>
          <w:color w:val="auto"/>
        </w:rPr>
      </w:pPr>
      <w:r>
        <w:rPr>
          <w:rFonts w:ascii="Calibri" w:cs="Calibri" w:eastAsia="Calibri" w:hAnsi="Calibri"/>
          <w:sz w:val="20"/>
          <w:szCs w:val="20"/>
          <w:color w:val="auto"/>
        </w:rPr>
        <w:t>Opton, the Exercise Price of Common Stock acquired pursuant to an Opton that is paid by delivery (or atestaton) to the Company of other Common Stock acquired, directly or indirectly from the Company, shall be paid only by shares of the Common Stock of the Company that have been held for more than six</w:t>
      </w:r>
    </w:p>
    <w:p>
      <w:pPr>
        <w:spacing w:after="0" w:line="24" w:lineRule="exact"/>
        <w:rPr>
          <w:sz w:val="20"/>
          <w:szCs w:val="20"/>
          <w:color w:val="auto"/>
        </w:rPr>
      </w:pPr>
    </w:p>
    <w:p>
      <w:pPr>
        <w:jc w:val="both"/>
        <w:ind w:left="200" w:right="239" w:firstLine="9"/>
        <w:spacing w:after="0" w:line="242" w:lineRule="auto"/>
        <w:tabs>
          <w:tab w:leader="none" w:pos="519"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months (or such longer or shorter period required to avoid a charge to earnings for fnancial accountng purposes). Notwithstanding the previous, during any period for which the Common Stock is</w:t>
      </w:r>
    </w:p>
    <w:p>
      <w:pPr>
        <w:spacing w:after="0" w:line="20" w:lineRule="exact"/>
        <w:rPr>
          <w:rFonts w:ascii="Calibri" w:cs="Calibri" w:eastAsia="Calibri" w:hAnsi="Calibri"/>
          <w:sz w:val="20"/>
          <w:szCs w:val="20"/>
          <w:color w:val="auto"/>
        </w:rPr>
      </w:pPr>
    </w:p>
    <w:p>
      <w:pPr>
        <w:jc w:val="both"/>
        <w:ind w:left="200" w:right="219"/>
        <w:spacing w:after="0" w:line="246" w:lineRule="auto"/>
        <w:rPr>
          <w:rFonts w:ascii="Calibri" w:cs="Calibri" w:eastAsia="Calibri" w:hAnsi="Calibri"/>
          <w:sz w:val="20"/>
          <w:szCs w:val="20"/>
          <w:color w:val="auto"/>
        </w:rPr>
      </w:pPr>
      <w:r>
        <w:rPr>
          <w:rFonts w:ascii="Calibri" w:cs="Calibri" w:eastAsia="Calibri" w:hAnsi="Calibri"/>
          <w:sz w:val="20"/>
          <w:szCs w:val="20"/>
          <w:color w:val="auto"/>
        </w:rPr>
        <w:t>publicly traded (i.e., the Common Stock is listed on any established stock exchange or a natonal market system), an exercise by a Director or Ofcer that involves or may involve a direct or indirect extension of credit or arrangement of an extension of credit by the Company, directly or indirectly, in violaton of Secton 402(a) of the Sarbanes-Oxley Act of 2002 shall be prohibited with respect to any Award under this Plan.</w:t>
      </w:r>
    </w:p>
    <w:p>
      <w:pPr>
        <w:spacing w:after="0" w:line="220"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 xml:space="preserve">5.4 </w:t>
      </w:r>
      <w:r>
        <w:rPr>
          <w:rFonts w:ascii="Calibri" w:cs="Calibri" w:eastAsia="Calibri" w:hAnsi="Calibri"/>
          <w:sz w:val="20"/>
          <w:szCs w:val="20"/>
          <w:u w:val="single" w:color="auto"/>
          <w:color w:val="auto"/>
        </w:rPr>
        <w:t>Terminaton of Contnuous Service</w:t>
      </w:r>
      <w:r>
        <w:rPr>
          <w:rFonts w:ascii="Calibri" w:cs="Calibri" w:eastAsia="Calibri" w:hAnsi="Calibri"/>
          <w:sz w:val="20"/>
          <w:szCs w:val="20"/>
          <w:color w:val="auto"/>
        </w:rPr>
        <w:t>. Unless otherwise provided in an Award Agreement or an employment agreement, in the event an Optonholder’s Contnuous Service terminates (other than upon the Optonholder’s death or Disability), the Optonholder may exercise his or her Opton (to the extent that the Optonholder was enttled to exercise such Opton as of the date of terminaton) but only within such period ending on the earlier of (a) the date three (3) months following the terminaton of the Optonholder’s Contnuous Service (ninety (90) days in the case of an Incentve Stock Opton) or</w:t>
      </w:r>
    </w:p>
    <w:p>
      <w:pPr>
        <w:spacing w:after="0" w:line="8" w:lineRule="exact"/>
        <w:rPr>
          <w:sz w:val="20"/>
          <w:szCs w:val="20"/>
          <w:color w:val="auto"/>
        </w:rPr>
      </w:pPr>
    </w:p>
    <w:p>
      <w:pPr>
        <w:ind w:left="500" w:hanging="291"/>
        <w:spacing w:after="0"/>
        <w:tabs>
          <w:tab w:leader="none" w:pos="500"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 xml:space="preserve">the expiraton of the term of the Opton as set forth in the Award Agreement; </w:t>
      </w:r>
      <w:r>
        <w:rPr>
          <w:rFonts w:ascii="Calibri" w:cs="Calibri" w:eastAsia="Calibri" w:hAnsi="Calibri"/>
          <w:sz w:val="20"/>
          <w:szCs w:val="20"/>
          <w:i w:val="1"/>
          <w:iCs w:val="1"/>
          <w:color w:val="auto"/>
        </w:rPr>
        <w:t>provided that</w:t>
      </w:r>
      <w:r>
        <w:rPr>
          <w:rFonts w:ascii="Calibri" w:cs="Calibri" w:eastAsia="Calibri" w:hAnsi="Calibri"/>
          <w:sz w:val="20"/>
          <w:szCs w:val="20"/>
          <w:color w:val="auto"/>
        </w:rPr>
        <w:t>, if the</w:t>
      </w:r>
    </w:p>
    <w:p>
      <w:pPr>
        <w:spacing w:after="0" w:line="22" w:lineRule="exact"/>
        <w:rPr>
          <w:rFonts w:ascii="Calibri" w:cs="Calibri" w:eastAsia="Calibri" w:hAnsi="Calibri"/>
          <w:sz w:val="20"/>
          <w:szCs w:val="20"/>
          <w:color w:val="auto"/>
        </w:rPr>
      </w:pPr>
    </w:p>
    <w:p>
      <w:pPr>
        <w:jc w:val="both"/>
        <w:ind w:left="200" w:right="219"/>
        <w:spacing w:after="0" w:line="246" w:lineRule="auto"/>
        <w:rPr>
          <w:rFonts w:ascii="Calibri" w:cs="Calibri" w:eastAsia="Calibri" w:hAnsi="Calibri"/>
          <w:sz w:val="20"/>
          <w:szCs w:val="20"/>
          <w:color w:val="auto"/>
        </w:rPr>
      </w:pPr>
      <w:r>
        <w:rPr>
          <w:rFonts w:ascii="Calibri" w:cs="Calibri" w:eastAsia="Calibri" w:hAnsi="Calibri"/>
          <w:sz w:val="20"/>
          <w:szCs w:val="20"/>
          <w:color w:val="auto"/>
        </w:rPr>
        <w:t xml:space="preserve">terminaton of Contnuous Service is by the Company for Cause, all outstanding Optons (whether or not vested) shall immediately terminate and cease to be exercisable. If, afer terminaton, the Optonholder does not exercise his or her Opton within the tme specifed in the Award Agreement (but in no event later than the expiraton of the term of the Opton in accordance with </w:t>
      </w:r>
      <w:r>
        <w:rPr>
          <w:rFonts w:ascii="Calibri" w:cs="Calibri" w:eastAsia="Calibri" w:hAnsi="Calibri"/>
          <w:sz w:val="20"/>
          <w:szCs w:val="20"/>
          <w:b w:val="1"/>
          <w:bCs w:val="1"/>
          <w:color w:val="auto"/>
          <w:shd w:val="clear" w:color="auto" w:fill="F2F2F2"/>
        </w:rPr>
        <w:t>Secton 5.2</w:t>
      </w:r>
      <w:r>
        <w:rPr>
          <w:rFonts w:ascii="Calibri" w:cs="Calibri" w:eastAsia="Calibri" w:hAnsi="Calibri"/>
          <w:sz w:val="20"/>
          <w:szCs w:val="20"/>
          <w:color w:val="auto"/>
        </w:rPr>
        <w:t>)t, the Opton shall terminate.</w:t>
      </w:r>
    </w:p>
    <w:p>
      <w:pPr>
        <w:spacing w:after="0" w:line="200" w:lineRule="exact"/>
        <w:rPr>
          <w:sz w:val="20"/>
          <w:szCs w:val="20"/>
          <w:color w:val="auto"/>
        </w:rPr>
      </w:pPr>
    </w:p>
    <w:p>
      <w:pPr>
        <w:spacing w:after="0" w:line="271"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 xml:space="preserve">5.5 </w:t>
      </w:r>
      <w:r>
        <w:rPr>
          <w:rFonts w:ascii="Calibri" w:cs="Calibri" w:eastAsia="Calibri" w:hAnsi="Calibri"/>
          <w:sz w:val="20"/>
          <w:szCs w:val="20"/>
          <w:u w:val="single" w:color="auto"/>
          <w:color w:val="auto"/>
        </w:rPr>
        <w:t>Extension of Terminaton Date</w:t>
      </w:r>
      <w:r>
        <w:rPr>
          <w:rFonts w:ascii="Calibri" w:cs="Calibri" w:eastAsia="Calibri" w:hAnsi="Calibri"/>
          <w:sz w:val="20"/>
          <w:szCs w:val="20"/>
          <w:color w:val="auto"/>
        </w:rPr>
        <w:t xml:space="preserve">. An Optonholder’s Award Agreement may provide that if the exercise of the Opton following the terminaton of the Optonholder’s Contnuous Service for any reason would be prohibited at any tme because the issuance of shares of Common Stock would violate the registraton requirements under the Securites Act or any other state or federal securites law or the rules of any securites exchange or interdealer quotaton system, then the Opton shall terminate on the earlier of (a) the expiraton of the term of the Opton in accordance with </w:t>
      </w:r>
      <w:r>
        <w:rPr>
          <w:rFonts w:ascii="Calibri" w:cs="Calibri" w:eastAsia="Calibri" w:hAnsi="Calibri"/>
          <w:sz w:val="20"/>
          <w:szCs w:val="20"/>
          <w:b w:val="1"/>
          <w:bCs w:val="1"/>
          <w:u w:val="single" w:color="auto"/>
          <w:color w:val="0000EE"/>
          <w:shd w:val="clear" w:color="auto" w:fill="F2F2F2"/>
        </w:rPr>
        <w:t>Secton 5.2</w:t>
      </w:r>
      <w:r>
        <w:rPr>
          <w:rFonts w:ascii="Calibri" w:cs="Calibri" w:eastAsia="Calibri" w:hAnsi="Calibri"/>
          <w:sz w:val="20"/>
          <w:szCs w:val="20"/>
          <w:color w:val="auto"/>
        </w:rPr>
        <w:t xml:space="preserve"> or (b) the expiraton of a period afer terminaton of the Partcipant’s Contnuous Service that is three (3) months afer the end of the period during which the exercise of the Opton would violate such registraton or other securites law requirements.</w:t>
      </w:r>
    </w:p>
    <w:p>
      <w:pPr>
        <w:spacing w:after="0" w:line="236" w:lineRule="exact"/>
        <w:rPr>
          <w:sz w:val="20"/>
          <w:szCs w:val="20"/>
          <w:color w:val="auto"/>
        </w:rPr>
      </w:pPr>
    </w:p>
    <w:p>
      <w:pPr>
        <w:jc w:val="both"/>
        <w:ind w:left="200" w:right="219" w:firstLine="648"/>
        <w:spacing w:after="0" w:line="244" w:lineRule="auto"/>
        <w:rPr>
          <w:sz w:val="20"/>
          <w:szCs w:val="20"/>
          <w:color w:val="auto"/>
        </w:rPr>
      </w:pPr>
      <w:r>
        <w:rPr>
          <w:rFonts w:ascii="Calibri" w:cs="Calibri" w:eastAsia="Calibri" w:hAnsi="Calibri"/>
          <w:sz w:val="20"/>
          <w:szCs w:val="20"/>
          <w:color w:val="auto"/>
        </w:rPr>
        <w:t xml:space="preserve">5.6 </w:t>
      </w:r>
      <w:r>
        <w:rPr>
          <w:rFonts w:ascii="Calibri" w:cs="Calibri" w:eastAsia="Calibri" w:hAnsi="Calibri"/>
          <w:sz w:val="20"/>
          <w:szCs w:val="20"/>
          <w:u w:val="single" w:color="auto"/>
          <w:color w:val="auto"/>
        </w:rPr>
        <w:t>Disability of Optonholder</w:t>
      </w:r>
      <w:r>
        <w:rPr>
          <w:rFonts w:ascii="Calibri" w:cs="Calibri" w:eastAsia="Calibri" w:hAnsi="Calibri"/>
          <w:sz w:val="20"/>
          <w:szCs w:val="20"/>
          <w:color w:val="auto"/>
        </w:rPr>
        <w:t>. Unless otherwise provided in an Award Agreement, in the event that an Optonholder’s Contnuous Service terminates as a result of the Optonholder’s Disability, the Optonholder may exercise his or her Opton (to the extent that the Optonholder was enttled to exercise such Opton as of the date of terminaton), but only within such period ending on the earlier of</w:t>
      </w:r>
    </w:p>
    <w:p>
      <w:pPr>
        <w:spacing w:after="0" w:line="20" w:lineRule="exact"/>
        <w:rPr>
          <w:sz w:val="20"/>
          <w:szCs w:val="20"/>
          <w:color w:val="auto"/>
        </w:rPr>
      </w:pPr>
    </w:p>
    <w:p>
      <w:pPr>
        <w:jc w:val="both"/>
        <w:ind w:left="200" w:right="219" w:firstLine="9"/>
        <w:spacing w:after="0" w:line="242" w:lineRule="auto"/>
        <w:tabs>
          <w:tab w:leader="none" w:pos="497"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the date twelve (12) months following such terminaton or (b) the expiraton of the term of the Opton as set forth in the Award Agreement (but in no event later than the expiraton of the term of the</w:t>
      </w:r>
    </w:p>
    <w:p>
      <w:pPr>
        <w:spacing w:after="0" w:line="20" w:lineRule="exact"/>
        <w:rPr>
          <w:rFonts w:ascii="Calibri" w:cs="Calibri" w:eastAsia="Calibri" w:hAnsi="Calibri"/>
          <w:sz w:val="20"/>
          <w:szCs w:val="20"/>
          <w:color w:val="auto"/>
        </w:rPr>
      </w:pPr>
    </w:p>
    <w:p>
      <w:pPr>
        <w:ind w:left="200" w:right="23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 xml:space="preserve">Opton in accordance with </w:t>
      </w:r>
      <w:r>
        <w:rPr>
          <w:rFonts w:ascii="Calibri" w:cs="Calibri" w:eastAsia="Calibri" w:hAnsi="Calibri"/>
          <w:sz w:val="20"/>
          <w:szCs w:val="20"/>
          <w:b w:val="1"/>
          <w:bCs w:val="1"/>
          <w:color w:val="auto"/>
          <w:highlight w:val="lightGray"/>
        </w:rPr>
        <w:t>Secton 5.2</w:t>
      </w:r>
      <w:r>
        <w:rPr>
          <w:rFonts w:ascii="Calibri" w:cs="Calibri" w:eastAsia="Calibri" w:hAnsi="Calibri"/>
          <w:sz w:val="20"/>
          <w:szCs w:val="20"/>
          <w:color w:val="auto"/>
        </w:rPr>
        <w:t>). If, afer terminaton, the Optonholder does not exercise their Opton within the tme specifed herein or in the Award Agreement, the Opton shall terminate.</w:t>
      </w:r>
    </w:p>
    <w:p>
      <w:pPr>
        <w:spacing w:after="0" w:line="239" w:lineRule="exact"/>
        <w:rPr>
          <w:sz w:val="20"/>
          <w:szCs w:val="20"/>
          <w:color w:val="auto"/>
        </w:rPr>
      </w:pPr>
    </w:p>
    <w:p>
      <w:pPr>
        <w:jc w:val="both"/>
        <w:ind w:left="200" w:right="219" w:firstLine="648"/>
        <w:spacing w:after="0" w:line="246" w:lineRule="auto"/>
        <w:rPr>
          <w:sz w:val="20"/>
          <w:szCs w:val="20"/>
          <w:color w:val="auto"/>
        </w:rPr>
      </w:pPr>
      <w:r>
        <w:rPr>
          <w:rFonts w:ascii="Calibri" w:cs="Calibri" w:eastAsia="Calibri" w:hAnsi="Calibri"/>
          <w:sz w:val="20"/>
          <w:szCs w:val="20"/>
          <w:color w:val="auto"/>
        </w:rPr>
        <w:t xml:space="preserve">5.7 </w:t>
      </w:r>
      <w:r>
        <w:rPr>
          <w:rFonts w:ascii="Calibri" w:cs="Calibri" w:eastAsia="Calibri" w:hAnsi="Calibri"/>
          <w:sz w:val="20"/>
          <w:szCs w:val="20"/>
          <w:u w:val="single" w:color="auto"/>
          <w:color w:val="auto"/>
        </w:rPr>
        <w:t>Death of Optonholder</w:t>
      </w:r>
      <w:r>
        <w:rPr>
          <w:rFonts w:ascii="Calibri" w:cs="Calibri" w:eastAsia="Calibri" w:hAnsi="Calibri"/>
          <w:sz w:val="20"/>
          <w:szCs w:val="20"/>
          <w:color w:val="auto"/>
        </w:rPr>
        <w:t>. Unless otherwise provided in an Award Agreement, in the event an Optonholder’s Contnuous Service terminates as a result of the Optonholder’s death, then the Opton may be exercised (to the extent the Optonholder was enttled to exercise such Opton as of the date of death) by the Optonholder’s estate, by a person who acquired the right to exercise the Opton by bequest</w:t>
      </w:r>
    </w:p>
    <w:p>
      <w:pPr>
        <w:sectPr>
          <w:pgSz w:w="11900" w:h="16838" w:orient="portrait"/>
          <w:cols w:equalWidth="0" w:num="1">
            <w:col w:w="9019"/>
          </w:cols>
          <w:pgMar w:left="1440" w:top="1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374015</wp:posOffset>
            </wp:positionV>
            <wp:extent cx="545211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type w:val="continuous"/>
        </w:sectPr>
      </w:pPr>
    </w:p>
    <w:bookmarkStart w:id="50" w:name="page51"/>
    <w:bookmarkEnd w:id="50"/>
    <w:p>
      <w:pPr>
        <w:ind w:left="200" w:right="219"/>
        <w:spacing w:after="0" w:line="242" w:lineRule="auto"/>
        <w:rPr>
          <w:sz w:val="20"/>
          <w:szCs w:val="20"/>
          <w:color w:val="auto"/>
        </w:rPr>
      </w:pPr>
      <w:r>
        <w:rPr>
          <w:rFonts w:ascii="Calibri" w:cs="Calibri" w:eastAsia="Calibri" w:hAnsi="Calibri"/>
          <w:sz w:val="20"/>
          <w:szCs w:val="20"/>
          <w:color w:val="auto"/>
        </w:rPr>
        <w:t>or inheritance or by a person designated to exercise the Opton upon the Optonholder’s death, but only within the period ending on the earlier of (a) the date twelve (12) months following the date of death or</w:t>
      </w:r>
    </w:p>
    <w:p>
      <w:pPr>
        <w:spacing w:after="0" w:line="7" w:lineRule="exact"/>
        <w:rPr>
          <w:sz w:val="20"/>
          <w:szCs w:val="20"/>
          <w:color w:val="auto"/>
        </w:rPr>
      </w:pPr>
    </w:p>
    <w:p>
      <w:pPr>
        <w:jc w:val="both"/>
        <w:ind w:left="200" w:right="239" w:firstLine="9"/>
        <w:spacing w:after="0" w:line="248" w:lineRule="auto"/>
        <w:tabs>
          <w:tab w:leader="none" w:pos="481" w:val="left"/>
        </w:tabs>
        <w:numPr>
          <w:ilvl w:val="0"/>
          <w:numId w:val="25"/>
        </w:numPr>
        <w:rPr>
          <w:rFonts w:ascii="Calibri" w:cs="Calibri" w:eastAsia="Calibri" w:hAnsi="Calibri"/>
          <w:sz w:val="20"/>
          <w:szCs w:val="20"/>
          <w:color w:val="auto"/>
        </w:rPr>
      </w:pPr>
      <w:r>
        <w:rPr>
          <w:rFonts w:ascii="Calibri" w:cs="Calibri" w:eastAsia="Calibri" w:hAnsi="Calibri"/>
          <w:sz w:val="20"/>
          <w:szCs w:val="20"/>
          <w:color w:val="auto"/>
        </w:rPr>
        <w:t xml:space="preserve">the expiraton of the term of such Opton as set forth in the Award Agreement (but in no event later than the expiraton of the term of the Opton in accordance with </w:t>
      </w:r>
      <w:r>
        <w:rPr>
          <w:rFonts w:ascii="Calibri" w:cs="Calibri" w:eastAsia="Calibri" w:hAnsi="Calibri"/>
          <w:sz w:val="20"/>
          <w:szCs w:val="20"/>
          <w:b w:val="1"/>
          <w:bCs w:val="1"/>
          <w:color w:val="auto"/>
          <w:highlight w:val="lightGray"/>
        </w:rPr>
        <w:t>Secton 5.2</w:t>
      </w:r>
      <w:r>
        <w:rPr>
          <w:rFonts w:ascii="Calibri" w:cs="Calibri" w:eastAsia="Calibri" w:hAnsi="Calibri"/>
          <w:sz w:val="20"/>
          <w:szCs w:val="20"/>
          <w:color w:val="auto"/>
        </w:rPr>
        <w:t>). If, afer the Optonholder’s death, the Opton is not exercised within the tme specifed herein or in the Award Agreement, the Opton shall terminate.</w:t>
      </w:r>
    </w:p>
    <w:p>
      <w:pPr>
        <w:spacing w:after="0" w:line="219" w:lineRule="exact"/>
        <w:rPr>
          <w:sz w:val="20"/>
          <w:szCs w:val="20"/>
          <w:color w:val="auto"/>
        </w:rPr>
      </w:pPr>
    </w:p>
    <w:p>
      <w:pPr>
        <w:jc w:val="both"/>
        <w:ind w:left="200" w:right="219" w:firstLine="648"/>
        <w:spacing w:after="0" w:line="246" w:lineRule="auto"/>
        <w:rPr>
          <w:sz w:val="20"/>
          <w:szCs w:val="20"/>
          <w:color w:val="auto"/>
        </w:rPr>
      </w:pPr>
      <w:r>
        <w:rPr>
          <w:rFonts w:ascii="Calibri" w:cs="Calibri" w:eastAsia="Calibri" w:hAnsi="Calibri"/>
          <w:sz w:val="20"/>
          <w:szCs w:val="20"/>
          <w:color w:val="auto"/>
        </w:rPr>
        <w:t xml:space="preserve">5.8 </w:t>
      </w:r>
      <w:r>
        <w:rPr>
          <w:rFonts w:ascii="Calibri" w:cs="Calibri" w:eastAsia="Calibri" w:hAnsi="Calibri"/>
          <w:sz w:val="20"/>
          <w:szCs w:val="20"/>
          <w:u w:val="single" w:color="auto"/>
          <w:color w:val="auto"/>
        </w:rPr>
        <w:t>Incentve Stock Opton $100,000 Limitaton</w:t>
      </w:r>
      <w:r>
        <w:rPr>
          <w:rFonts w:ascii="Calibri" w:cs="Calibri" w:eastAsia="Calibri" w:hAnsi="Calibri"/>
          <w:sz w:val="20"/>
          <w:szCs w:val="20"/>
          <w:color w:val="auto"/>
        </w:rPr>
        <w:t>. To the extent that the aggregate Fair Market Value (determined at the tme of grant) of Common Stock with respect to which Incentve Stock Optons are exercisable for the frst tme by any Optonholder during any calendar year (under all plans of the Company and its Afliates) exceeds $100,000, the Optons or portons thereof which exceed such limit (according to the order in which they were granted) shall be treated as Non-qualifed Stock Optons.</w:t>
      </w:r>
    </w:p>
    <w:p>
      <w:pPr>
        <w:spacing w:after="0" w:line="234" w:lineRule="exact"/>
        <w:rPr>
          <w:sz w:val="20"/>
          <w:szCs w:val="20"/>
          <w:color w:val="auto"/>
        </w:rPr>
      </w:pPr>
    </w:p>
    <w:p>
      <w:pPr>
        <w:jc w:val="both"/>
        <w:ind w:left="200" w:right="219" w:firstLine="648"/>
        <w:spacing w:after="0" w:line="248" w:lineRule="auto"/>
        <w:rPr>
          <w:sz w:val="20"/>
          <w:szCs w:val="20"/>
          <w:color w:val="auto"/>
        </w:rPr>
      </w:pPr>
      <w:r>
        <w:rPr>
          <w:rFonts w:ascii="Calibri" w:cs="Calibri" w:eastAsia="Calibri" w:hAnsi="Calibri"/>
          <w:sz w:val="20"/>
          <w:szCs w:val="20"/>
          <w:color w:val="auto"/>
        </w:rPr>
        <w:t xml:space="preserve">5.9 </w:t>
      </w:r>
      <w:r>
        <w:rPr>
          <w:rFonts w:ascii="Calibri" w:cs="Calibri" w:eastAsia="Calibri" w:hAnsi="Calibri"/>
          <w:sz w:val="20"/>
          <w:szCs w:val="20"/>
          <w:u w:val="single" w:color="auto"/>
          <w:color w:val="auto"/>
        </w:rPr>
        <w:t>Disqualifying Dispositons</w:t>
      </w:r>
      <w:r>
        <w:rPr>
          <w:rFonts w:ascii="Calibri" w:cs="Calibri" w:eastAsia="Calibri" w:hAnsi="Calibri"/>
          <w:sz w:val="20"/>
          <w:szCs w:val="20"/>
          <w:color w:val="auto"/>
        </w:rPr>
        <w:t>. Any Partcipant who shall make a “dispositon” (as defned in Secton 424 of the Code) of all or any porton of shares of Common Stock acquired upon exercise of an Incentve Stock Opton within two (2) years from the Grant Date of such Incentve Stock Opton or within one (1) year afer the issuance of the shares of Common Stock acquired upon exercise of such Incentve Stock Opton (a “Disqualifying Dispositon”) shall be required to immediately advise the Company in writng as to the occurrence of the sale and the price realized upon the sale of such shares of Common Stock.</w:t>
      </w:r>
    </w:p>
    <w:p>
      <w:pPr>
        <w:spacing w:after="0" w:line="200" w:lineRule="exact"/>
        <w:rPr>
          <w:sz w:val="20"/>
          <w:szCs w:val="20"/>
          <w:color w:val="auto"/>
        </w:rPr>
      </w:pPr>
    </w:p>
    <w:p>
      <w:pPr>
        <w:spacing w:after="0" w:line="261" w:lineRule="exact"/>
        <w:rPr>
          <w:sz w:val="20"/>
          <w:szCs w:val="20"/>
          <w:color w:val="auto"/>
        </w:rPr>
      </w:pPr>
    </w:p>
    <w:p>
      <w:pPr>
        <w:ind w:left="1500" w:hanging="643"/>
        <w:spacing w:after="0"/>
        <w:tabs>
          <w:tab w:leader="none" w:pos="1500" w:val="left"/>
        </w:tabs>
        <w:numPr>
          <w:ilvl w:val="0"/>
          <w:numId w:val="26"/>
        </w:numPr>
        <w:rPr>
          <w:rFonts w:ascii="Calibri" w:cs="Calibri" w:eastAsia="Calibri" w:hAnsi="Calibri"/>
          <w:sz w:val="20"/>
          <w:szCs w:val="20"/>
          <w:color w:val="auto"/>
        </w:rPr>
      </w:pPr>
      <w:r>
        <w:rPr>
          <w:rFonts w:ascii="Calibri" w:cs="Calibri" w:eastAsia="Calibri" w:hAnsi="Calibri"/>
          <w:sz w:val="20"/>
          <w:szCs w:val="20"/>
          <w:u w:val="single" w:color="auto"/>
          <w:color w:val="auto"/>
        </w:rPr>
        <w:t>Provisions of Awards Other Than Optons.</w:t>
      </w:r>
    </w:p>
    <w:p>
      <w:pPr>
        <w:spacing w:after="0" w:line="228" w:lineRule="exact"/>
        <w:rPr>
          <w:rFonts w:ascii="Calibri" w:cs="Calibri" w:eastAsia="Calibri" w:hAnsi="Calibri"/>
          <w:sz w:val="20"/>
          <w:szCs w:val="20"/>
          <w:color w:val="auto"/>
        </w:rPr>
      </w:pPr>
    </w:p>
    <w:p>
      <w:pPr>
        <w:ind w:left="1020" w:hanging="163"/>
        <w:spacing w:after="0"/>
        <w:tabs>
          <w:tab w:leader="none" w:pos="1020" w:val="left"/>
        </w:tabs>
        <w:numPr>
          <w:ilvl w:val="0"/>
          <w:numId w:val="27"/>
        </w:numPr>
        <w:rPr>
          <w:rFonts w:ascii="Calibri" w:cs="Calibri" w:eastAsia="Calibri" w:hAnsi="Calibri"/>
          <w:sz w:val="20"/>
          <w:szCs w:val="20"/>
          <w:color w:val="auto"/>
        </w:rPr>
      </w:pPr>
      <w:r>
        <w:rPr>
          <w:rFonts w:ascii="Calibri" w:cs="Calibri" w:eastAsia="Calibri" w:hAnsi="Calibri"/>
          <w:sz w:val="20"/>
          <w:szCs w:val="20"/>
          <w:color w:val="auto"/>
        </w:rPr>
        <w:t>1</w:t>
      </w:r>
      <w:r>
        <w:rPr>
          <w:rFonts w:ascii="Calibri" w:cs="Calibri" w:eastAsia="Calibri" w:hAnsi="Calibri"/>
          <w:sz w:val="20"/>
          <w:szCs w:val="20"/>
          <w:u w:val="single" w:color="auto"/>
          <w:color w:val="auto"/>
        </w:rPr>
        <w:t>Stock Appreciaton Rights</w:t>
      </w:r>
      <w:r>
        <w:rPr>
          <w:rFonts w:ascii="Calibri" w:cs="Calibri" w:eastAsia="Calibri" w:hAnsi="Calibri"/>
          <w:sz w:val="20"/>
          <w:szCs w:val="20"/>
          <w:color w:val="auto"/>
        </w:rPr>
        <w:t>.</w:t>
      </w:r>
    </w:p>
    <w:p>
      <w:pPr>
        <w:spacing w:after="0" w:line="228" w:lineRule="exact"/>
        <w:rPr>
          <w:rFonts w:ascii="Calibri" w:cs="Calibri" w:eastAsia="Calibri" w:hAnsi="Calibri"/>
          <w:sz w:val="20"/>
          <w:szCs w:val="20"/>
          <w:color w:val="auto"/>
        </w:rPr>
      </w:pPr>
    </w:p>
    <w:p>
      <w:pPr>
        <w:ind w:left="2160" w:hanging="655"/>
        <w:spacing w:after="0"/>
        <w:tabs>
          <w:tab w:leader="none" w:pos="2160" w:val="left"/>
        </w:tabs>
        <w:numPr>
          <w:ilvl w:val="1"/>
          <w:numId w:val="27"/>
        </w:numPr>
        <w:rPr>
          <w:rFonts w:ascii="Calibri" w:cs="Calibri" w:eastAsia="Calibri" w:hAnsi="Calibri"/>
          <w:sz w:val="20"/>
          <w:szCs w:val="20"/>
          <w:color w:val="auto"/>
        </w:rPr>
      </w:pPr>
      <w:r>
        <w:rPr>
          <w:rFonts w:ascii="Calibri" w:cs="Calibri" w:eastAsia="Calibri" w:hAnsi="Calibri"/>
          <w:sz w:val="20"/>
          <w:szCs w:val="20"/>
          <w:i w:val="1"/>
          <w:iCs w:val="1"/>
          <w:color w:val="auto"/>
        </w:rPr>
        <w:t>General</w:t>
      </w:r>
      <w:r>
        <w:rPr>
          <w:rFonts w:ascii="Calibri" w:cs="Calibri" w:eastAsia="Calibri" w:hAnsi="Calibri"/>
          <w:sz w:val="20"/>
          <w:szCs w:val="20"/>
          <w:color w:val="auto"/>
        </w:rPr>
        <w:t>. Each Stock Appreciaton Right granted under the Plan shall be subject</w:t>
      </w:r>
    </w:p>
    <w:p>
      <w:pPr>
        <w:spacing w:after="0" w:line="22" w:lineRule="exact"/>
        <w:rPr>
          <w:rFonts w:ascii="Calibri" w:cs="Calibri" w:eastAsia="Calibri" w:hAnsi="Calibri"/>
          <w:sz w:val="20"/>
          <w:szCs w:val="20"/>
          <w:color w:val="auto"/>
        </w:rPr>
      </w:pPr>
    </w:p>
    <w:p>
      <w:pPr>
        <w:jc w:val="both"/>
        <w:ind w:left="860" w:right="219"/>
        <w:spacing w:after="0"/>
        <w:rPr>
          <w:rFonts w:ascii="Calibri" w:cs="Calibri" w:eastAsia="Calibri" w:hAnsi="Calibri"/>
          <w:sz w:val="20"/>
          <w:szCs w:val="20"/>
          <w:color w:val="auto"/>
        </w:rPr>
      </w:pPr>
      <w:r>
        <w:rPr>
          <w:rFonts w:ascii="Calibri" w:cs="Calibri" w:eastAsia="Calibri" w:hAnsi="Calibri"/>
          <w:sz w:val="20"/>
          <w:szCs w:val="20"/>
          <w:color w:val="auto"/>
        </w:rPr>
        <w:t xml:space="preserve">to the conditons set forth in this </w:t>
      </w:r>
      <w:r>
        <w:rPr>
          <w:rFonts w:ascii="Calibri" w:cs="Calibri" w:eastAsia="Calibri" w:hAnsi="Calibri"/>
          <w:sz w:val="20"/>
          <w:szCs w:val="20"/>
          <w:b w:val="1"/>
          <w:bCs w:val="1"/>
          <w:color w:val="auto"/>
          <w:shd w:val="clear" w:color="auto" w:fill="F2F2F2"/>
        </w:rPr>
        <w:t>Secton 6.1</w:t>
      </w:r>
      <w:r>
        <w:rPr>
          <w:rFonts w:ascii="Calibri" w:cs="Calibri" w:eastAsia="Calibri" w:hAnsi="Calibri"/>
          <w:sz w:val="20"/>
          <w:szCs w:val="20"/>
          <w:color w:val="auto"/>
        </w:rPr>
        <w:t xml:space="preserve"> and to such other conditons consistent with the Plan as may be refected in the applicable Award Agreement. Stock Appreciaton Rights may be granted in tandem with an Opton granted under the Plan (“</w:t>
      </w:r>
      <w:r>
        <w:rPr>
          <w:rFonts w:ascii="Calibri" w:cs="Calibri" w:eastAsia="Calibri" w:hAnsi="Calibri"/>
          <w:sz w:val="20"/>
          <w:szCs w:val="20"/>
          <w:b w:val="1"/>
          <w:bCs w:val="1"/>
          <w:color w:val="auto"/>
        </w:rPr>
        <w:t>Related Rights</w:t>
      </w:r>
      <w:r>
        <w:rPr>
          <w:rFonts w:ascii="Calibri" w:cs="Calibri" w:eastAsia="Calibri" w:hAnsi="Calibri"/>
          <w:sz w:val="20"/>
          <w:szCs w:val="20"/>
          <w:color w:val="auto"/>
        </w:rPr>
        <w:t>”) or alone.</w:t>
      </w:r>
    </w:p>
    <w:p>
      <w:pPr>
        <w:spacing w:after="0" w:line="229" w:lineRule="exact"/>
        <w:rPr>
          <w:rFonts w:ascii="Calibri" w:cs="Calibri" w:eastAsia="Calibri" w:hAnsi="Calibri"/>
          <w:sz w:val="20"/>
          <w:szCs w:val="20"/>
          <w:color w:val="auto"/>
        </w:rPr>
      </w:pPr>
    </w:p>
    <w:p>
      <w:pPr>
        <w:ind w:left="2160" w:hanging="655"/>
        <w:spacing w:after="0"/>
        <w:tabs>
          <w:tab w:leader="none" w:pos="2160" w:val="left"/>
        </w:tabs>
        <w:numPr>
          <w:ilvl w:val="1"/>
          <w:numId w:val="27"/>
        </w:numPr>
        <w:rPr>
          <w:rFonts w:ascii="Calibri" w:cs="Calibri" w:eastAsia="Calibri" w:hAnsi="Calibri"/>
          <w:sz w:val="20"/>
          <w:szCs w:val="20"/>
          <w:color w:val="auto"/>
        </w:rPr>
      </w:pPr>
      <w:r>
        <w:rPr>
          <w:rFonts w:ascii="Calibri" w:cs="Calibri" w:eastAsia="Calibri" w:hAnsi="Calibri"/>
          <w:sz w:val="20"/>
          <w:szCs w:val="20"/>
          <w:i w:val="1"/>
          <w:iCs w:val="1"/>
          <w:color w:val="auto"/>
        </w:rPr>
        <w:t>Related Rights</w:t>
      </w:r>
      <w:r>
        <w:rPr>
          <w:rFonts w:ascii="Calibri" w:cs="Calibri" w:eastAsia="Calibri" w:hAnsi="Calibri"/>
          <w:sz w:val="20"/>
          <w:szCs w:val="20"/>
          <w:color w:val="auto"/>
        </w:rPr>
        <w:t>. Any Related Right that relates to a Non-qualifed Stock Opton</w:t>
      </w:r>
    </w:p>
    <w:p>
      <w:pPr>
        <w:spacing w:after="0" w:line="22" w:lineRule="exact"/>
        <w:rPr>
          <w:rFonts w:ascii="Calibri" w:cs="Calibri" w:eastAsia="Calibri" w:hAnsi="Calibri"/>
          <w:sz w:val="20"/>
          <w:szCs w:val="20"/>
          <w:color w:val="auto"/>
        </w:rPr>
      </w:pPr>
    </w:p>
    <w:p>
      <w:pPr>
        <w:jc w:val="both"/>
        <w:ind w:left="86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may be granted at the same tme the Opton is granted or at any tme thereafer but before the exercise or expiraton of the Opton. Any Related Right that relates to an Incentve Stock Opton must be granted at the same tme the Incentve Stock Opton is granted. The exercise of a Related Right shall cancel the corresponding Opton, and the exercise of a corresponding Opton</w:t>
      </w:r>
    </w:p>
    <w:p>
      <w:pPr>
        <w:spacing w:after="0" w:line="19" w:lineRule="exact"/>
        <w:rPr>
          <w:rFonts w:ascii="Calibri" w:cs="Calibri" w:eastAsia="Calibri" w:hAnsi="Calibri"/>
          <w:sz w:val="20"/>
          <w:szCs w:val="20"/>
          <w:color w:val="auto"/>
        </w:rPr>
      </w:pPr>
    </w:p>
    <w:p>
      <w:pPr>
        <w:jc w:val="both"/>
        <w:ind w:left="86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shall cancel the Related Right, in any case, with respect to the shares of Common Stock so exercised. Any Related Rights shall be subject to the same terms and conditons relatng to transferability and exercise as apply to the related Opton (and shall be exercisable only to the same extent as the related Opton).</w:t>
      </w:r>
    </w:p>
    <w:p>
      <w:pPr>
        <w:spacing w:after="0" w:line="235" w:lineRule="exact"/>
        <w:rPr>
          <w:rFonts w:ascii="Calibri" w:cs="Calibri" w:eastAsia="Calibri" w:hAnsi="Calibri"/>
          <w:sz w:val="20"/>
          <w:szCs w:val="20"/>
          <w:color w:val="auto"/>
        </w:rPr>
      </w:pPr>
    </w:p>
    <w:p>
      <w:pPr>
        <w:jc w:val="both"/>
        <w:ind w:left="860" w:right="219" w:firstLine="645"/>
        <w:spacing w:after="0"/>
        <w:tabs>
          <w:tab w:leader="none" w:pos="2156" w:val="left"/>
        </w:tabs>
        <w:numPr>
          <w:ilvl w:val="1"/>
          <w:numId w:val="27"/>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Term of Stock Appreciaton Rights. </w:t>
      </w:r>
      <w:r>
        <w:rPr>
          <w:rFonts w:ascii="Calibri" w:cs="Calibri" w:eastAsia="Calibri" w:hAnsi="Calibri"/>
          <w:sz w:val="20"/>
          <w:szCs w:val="20"/>
          <w:color w:val="auto"/>
        </w:rPr>
        <w:t>The term of a Stock Appreciaton Right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granted under the Plan shall be determined by the Commitee; provided, however, no Stock Appreciaton Right shall be exercisable more than ten (10) years from the Grant Date</w:t>
      </w:r>
    </w:p>
    <w:p>
      <w:pPr>
        <w:spacing w:after="0" w:line="239" w:lineRule="exact"/>
        <w:rPr>
          <w:rFonts w:ascii="Calibri" w:cs="Calibri" w:eastAsia="Calibri" w:hAnsi="Calibri"/>
          <w:sz w:val="20"/>
          <w:szCs w:val="20"/>
          <w:color w:val="auto"/>
        </w:rPr>
      </w:pPr>
    </w:p>
    <w:p>
      <w:pPr>
        <w:ind w:left="940" w:right="219" w:firstLine="565"/>
        <w:spacing w:after="0" w:line="242" w:lineRule="auto"/>
        <w:tabs>
          <w:tab w:leader="none" w:pos="2155" w:val="left"/>
        </w:tabs>
        <w:numPr>
          <w:ilvl w:val="1"/>
          <w:numId w:val="27"/>
        </w:numPr>
        <w:rPr>
          <w:rFonts w:ascii="Calibri" w:cs="Calibri" w:eastAsia="Calibri" w:hAnsi="Calibri"/>
          <w:sz w:val="20"/>
          <w:szCs w:val="20"/>
          <w:color w:val="auto"/>
        </w:rPr>
      </w:pPr>
      <w:r>
        <w:rPr>
          <w:rFonts w:ascii="Calibri" w:cs="Calibri" w:eastAsia="Calibri" w:hAnsi="Calibri"/>
          <w:sz w:val="20"/>
          <w:szCs w:val="20"/>
          <w:i w:val="1"/>
          <w:iCs w:val="1"/>
          <w:color w:val="auto"/>
        </w:rPr>
        <w:t>Exercise of Stock Appreciaton Rights</w:t>
      </w:r>
      <w:r>
        <w:rPr>
          <w:rFonts w:ascii="Calibri" w:cs="Calibri" w:eastAsia="Calibri" w:hAnsi="Calibri"/>
          <w:sz w:val="20"/>
          <w:szCs w:val="20"/>
          <w:color w:val="auto"/>
        </w:rPr>
        <w:t>. A Stock Appreciaton Right, by its terms,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shall be exercisable only when the Fair Market Value per share of Common Stock subject to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51" w:name="page52"/>
    <w:bookmarkEnd w:id="51"/>
    <w:p>
      <w:pPr>
        <w:jc w:val="both"/>
        <w:ind w:left="940" w:right="219"/>
        <w:spacing w:after="0" w:line="245" w:lineRule="auto"/>
        <w:rPr>
          <w:sz w:val="20"/>
          <w:szCs w:val="20"/>
          <w:color w:val="auto"/>
        </w:rPr>
      </w:pPr>
      <w:r>
        <w:rPr>
          <w:rFonts w:ascii="Calibri" w:cs="Calibri" w:eastAsia="Calibri" w:hAnsi="Calibri"/>
          <w:sz w:val="20"/>
          <w:szCs w:val="20"/>
          <w:color w:val="auto"/>
        </w:rPr>
        <w:t>Stock Appreciaton Right (and related Opton, if applicable) exceeds the Exercise Price per share thereof. No Stock Appreciaton Rights may be granted in tandem with an Opton unless the Commitee determines that the requirements of the Plan relatng to Related Rights are satsfed.</w:t>
      </w:r>
    </w:p>
    <w:p>
      <w:pPr>
        <w:spacing w:after="0" w:line="200" w:lineRule="exact"/>
        <w:rPr>
          <w:sz w:val="20"/>
          <w:szCs w:val="20"/>
          <w:color w:val="auto"/>
        </w:rPr>
      </w:pPr>
    </w:p>
    <w:p>
      <w:pPr>
        <w:spacing w:after="0" w:line="271" w:lineRule="exact"/>
        <w:rPr>
          <w:sz w:val="20"/>
          <w:szCs w:val="20"/>
          <w:color w:val="auto"/>
        </w:rPr>
      </w:pPr>
    </w:p>
    <w:p>
      <w:pPr>
        <w:ind w:left="2160" w:hanging="655"/>
        <w:spacing w:after="0"/>
        <w:tabs>
          <w:tab w:leader="none" w:pos="2160" w:val="left"/>
        </w:tabs>
        <w:numPr>
          <w:ilvl w:val="0"/>
          <w:numId w:val="28"/>
        </w:numPr>
        <w:rPr>
          <w:rFonts w:ascii="Calibri" w:cs="Calibri" w:eastAsia="Calibri" w:hAnsi="Calibri"/>
          <w:sz w:val="20"/>
          <w:szCs w:val="20"/>
          <w:color w:val="auto"/>
        </w:rPr>
      </w:pPr>
      <w:r>
        <w:rPr>
          <w:rFonts w:ascii="Calibri" w:cs="Calibri" w:eastAsia="Calibri" w:hAnsi="Calibri"/>
          <w:sz w:val="20"/>
          <w:szCs w:val="20"/>
          <w:i w:val="1"/>
          <w:iCs w:val="1"/>
          <w:color w:val="auto"/>
        </w:rPr>
        <w:t>Exercise and Payment</w:t>
      </w:r>
      <w:r>
        <w:rPr>
          <w:rFonts w:ascii="Calibri" w:cs="Calibri" w:eastAsia="Calibri" w:hAnsi="Calibri"/>
          <w:sz w:val="20"/>
          <w:szCs w:val="20"/>
          <w:color w:val="auto"/>
        </w:rPr>
        <w:t>. Upon exercise of a Stock Appreciaton Right, the holder</w:t>
      </w:r>
    </w:p>
    <w:p>
      <w:pPr>
        <w:spacing w:after="0" w:line="22" w:lineRule="exact"/>
        <w:rPr>
          <w:rFonts w:ascii="Calibri" w:cs="Calibri" w:eastAsia="Calibri" w:hAnsi="Calibri"/>
          <w:sz w:val="20"/>
          <w:szCs w:val="20"/>
          <w:color w:val="auto"/>
        </w:rPr>
      </w:pPr>
    </w:p>
    <w:p>
      <w:pPr>
        <w:jc w:val="both"/>
        <w:ind w:left="86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shall be enttled to receive from the Company an amount equal to the number of shares of Common Stock subject to the Stock Appreciaton Right that is being exercised multplied by the excess of (i) the Fair Market Value of a share of Common Stock on the date the Award is exercised, over (ii) the Exercise Price specifed in the Stock Appreciaton Right or related Opton.</w:t>
      </w:r>
    </w:p>
    <w:p>
      <w:pPr>
        <w:spacing w:after="0" w:line="19" w:lineRule="exact"/>
        <w:rPr>
          <w:rFonts w:ascii="Calibri" w:cs="Calibri" w:eastAsia="Calibri" w:hAnsi="Calibri"/>
          <w:sz w:val="20"/>
          <w:szCs w:val="20"/>
          <w:color w:val="auto"/>
        </w:rPr>
      </w:pPr>
    </w:p>
    <w:p>
      <w:pPr>
        <w:jc w:val="both"/>
        <w:ind w:left="860" w:right="219"/>
        <w:spacing w:after="0" w:line="246" w:lineRule="auto"/>
        <w:rPr>
          <w:rFonts w:ascii="Calibri" w:cs="Calibri" w:eastAsia="Calibri" w:hAnsi="Calibri"/>
          <w:sz w:val="20"/>
          <w:szCs w:val="20"/>
          <w:color w:val="auto"/>
        </w:rPr>
      </w:pPr>
      <w:r>
        <w:rPr>
          <w:rFonts w:ascii="Calibri" w:cs="Calibri" w:eastAsia="Calibri" w:hAnsi="Calibri"/>
          <w:sz w:val="20"/>
          <w:szCs w:val="20"/>
          <w:color w:val="auto"/>
        </w:rPr>
        <w:t>Payment with respect to the exercise of a Stock Appreciaton Right shall be made on the date of exercise. Payment shall be made in the form of shares of Common Stock (with or without restrictons as to the substantal risk of forfeiture and transferability, as determined by the Commitee in its sole discreton), cash, or a combinaton thereof, as determined by the Commitee.</w:t>
      </w:r>
    </w:p>
    <w:p>
      <w:pPr>
        <w:spacing w:after="0" w:line="200" w:lineRule="exact"/>
        <w:rPr>
          <w:sz w:val="20"/>
          <w:szCs w:val="20"/>
          <w:color w:val="auto"/>
        </w:rPr>
      </w:pPr>
    </w:p>
    <w:p>
      <w:pPr>
        <w:spacing w:after="0" w:line="261" w:lineRule="exact"/>
        <w:rPr>
          <w:sz w:val="20"/>
          <w:szCs w:val="20"/>
          <w:color w:val="auto"/>
        </w:rPr>
      </w:pPr>
    </w:p>
    <w:p>
      <w:pPr>
        <w:ind w:left="860"/>
        <w:spacing w:after="0"/>
        <w:tabs>
          <w:tab w:leader="none" w:pos="1480" w:val="left"/>
        </w:tabs>
        <w:rPr>
          <w:sz w:val="20"/>
          <w:szCs w:val="20"/>
          <w:color w:val="auto"/>
        </w:rPr>
      </w:pPr>
      <w:r>
        <w:rPr>
          <w:rFonts w:ascii="Calibri" w:cs="Calibri" w:eastAsia="Calibri" w:hAnsi="Calibri"/>
          <w:sz w:val="20"/>
          <w:szCs w:val="20"/>
          <w:color w:val="auto"/>
        </w:rPr>
        <w:t>6.2</w:t>
      </w:r>
      <w:r>
        <w:rPr>
          <w:sz w:val="20"/>
          <w:szCs w:val="20"/>
          <w:color w:val="auto"/>
        </w:rPr>
        <w:tab/>
      </w:r>
      <w:r>
        <w:rPr>
          <w:rFonts w:ascii="Calibri" w:cs="Calibri" w:eastAsia="Calibri" w:hAnsi="Calibri"/>
          <w:sz w:val="20"/>
          <w:szCs w:val="20"/>
          <w:u w:val="single" w:color="auto"/>
          <w:color w:val="auto"/>
        </w:rPr>
        <w:t>Restricted Awards.</w:t>
      </w:r>
    </w:p>
    <w:p>
      <w:pPr>
        <w:spacing w:after="0" w:line="238" w:lineRule="exact"/>
        <w:rPr>
          <w:sz w:val="20"/>
          <w:szCs w:val="20"/>
          <w:color w:val="auto"/>
        </w:rPr>
      </w:pPr>
    </w:p>
    <w:p>
      <w:pPr>
        <w:jc w:val="both"/>
        <w:ind w:left="860" w:right="219" w:firstLine="645"/>
        <w:spacing w:after="0" w:line="242" w:lineRule="auto"/>
        <w:tabs>
          <w:tab w:leader="none" w:pos="2156" w:val="left"/>
        </w:tabs>
        <w:numPr>
          <w:ilvl w:val="0"/>
          <w:numId w:val="29"/>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General. </w:t>
      </w:r>
      <w:r>
        <w:rPr>
          <w:rFonts w:ascii="Calibri" w:cs="Calibri" w:eastAsia="Calibri" w:hAnsi="Calibri"/>
          <w:sz w:val="20"/>
          <w:szCs w:val="20"/>
          <w:color w:val="auto"/>
        </w:rPr>
        <w:t>A</w:t>
      </w:r>
      <w:r>
        <w:rPr>
          <w:rFonts w:ascii="Calibri" w:cs="Calibri" w:eastAsia="Calibri" w:hAnsi="Calibri"/>
          <w:sz w:val="20"/>
          <w:szCs w:val="20"/>
          <w:i w:val="1"/>
          <w:iCs w:val="1"/>
          <w:color w:val="auto"/>
        </w:rPr>
        <w:t xml:space="preserve"> </w:t>
      </w:r>
      <w:r>
        <w:rPr>
          <w:rFonts w:ascii="Calibri" w:cs="Calibri" w:eastAsia="Calibri" w:hAnsi="Calibri"/>
          <w:sz w:val="20"/>
          <w:szCs w:val="20"/>
          <w:b w:val="1"/>
          <w:bCs w:val="1"/>
          <w:color w:val="auto"/>
        </w:rPr>
        <w:t>“Restricted Award”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is an Award of actual shares of Common Stock</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w:t>
      </w:r>
      <w:r>
        <w:rPr>
          <w:rFonts w:ascii="Calibri" w:cs="Calibri" w:eastAsia="Calibri" w:hAnsi="Calibri"/>
          <w:sz w:val="20"/>
          <w:szCs w:val="20"/>
          <w:b w:val="1"/>
          <w:bCs w:val="1"/>
          <w:color w:val="auto"/>
        </w:rPr>
        <w:t>Restricted Stock</w:t>
      </w:r>
      <w:r>
        <w:rPr>
          <w:rFonts w:ascii="Calibri" w:cs="Calibri" w:eastAsia="Calibri" w:hAnsi="Calibri"/>
          <w:sz w:val="20"/>
          <w:szCs w:val="20"/>
          <w:color w:val="auto"/>
        </w:rPr>
        <w:t>”) or hypothetcal Common Stock units (“</w:t>
      </w:r>
      <w:r>
        <w:rPr>
          <w:rFonts w:ascii="Calibri" w:cs="Calibri" w:eastAsia="Calibri" w:hAnsi="Calibri"/>
          <w:sz w:val="20"/>
          <w:szCs w:val="20"/>
          <w:b w:val="1"/>
          <w:bCs w:val="1"/>
          <w:color w:val="auto"/>
        </w:rPr>
        <w:t>Restricted Stock Units</w:t>
      </w:r>
      <w:r>
        <w:rPr>
          <w:rFonts w:ascii="Calibri" w:cs="Calibri" w:eastAsia="Calibri" w:hAnsi="Calibri"/>
          <w:sz w:val="20"/>
          <w:szCs w:val="20"/>
          <w:color w:val="auto"/>
        </w:rPr>
        <w:t>”) having a</w:t>
      </w:r>
    </w:p>
    <w:p>
      <w:pPr>
        <w:spacing w:after="0" w:line="20" w:lineRule="exact"/>
        <w:rPr>
          <w:rFonts w:ascii="Calibri" w:cs="Calibri" w:eastAsia="Calibri" w:hAnsi="Calibri"/>
          <w:sz w:val="20"/>
          <w:szCs w:val="20"/>
          <w:color w:val="auto"/>
        </w:rPr>
      </w:pPr>
    </w:p>
    <w:p>
      <w:pPr>
        <w:ind w:left="860" w:right="21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value equal to the Fair Market Value of an identcal number of shares of Common Stock. as the Commitee shall determine.</w:t>
      </w:r>
    </w:p>
    <w:p>
      <w:pPr>
        <w:spacing w:after="0" w:line="229" w:lineRule="exact"/>
        <w:rPr>
          <w:rFonts w:ascii="Calibri" w:cs="Calibri" w:eastAsia="Calibri" w:hAnsi="Calibri"/>
          <w:sz w:val="20"/>
          <w:szCs w:val="20"/>
          <w:color w:val="auto"/>
        </w:rPr>
      </w:pPr>
    </w:p>
    <w:p>
      <w:pPr>
        <w:ind w:left="2160" w:hanging="655"/>
        <w:spacing w:after="0"/>
        <w:tabs>
          <w:tab w:leader="none" w:pos="2160" w:val="left"/>
        </w:tabs>
        <w:numPr>
          <w:ilvl w:val="0"/>
          <w:numId w:val="29"/>
        </w:numPr>
        <w:rPr>
          <w:rFonts w:ascii="Calibri" w:cs="Calibri" w:eastAsia="Calibri" w:hAnsi="Calibri"/>
          <w:sz w:val="20"/>
          <w:szCs w:val="20"/>
          <w:color w:val="auto"/>
        </w:rPr>
      </w:pPr>
      <w:r>
        <w:rPr>
          <w:rFonts w:ascii="Calibri" w:cs="Calibri" w:eastAsia="Calibri" w:hAnsi="Calibri"/>
          <w:sz w:val="20"/>
          <w:szCs w:val="20"/>
          <w:i w:val="1"/>
          <w:iCs w:val="1"/>
          <w:color w:val="auto"/>
        </w:rPr>
        <w:t>Grants of Restricted Awards</w:t>
      </w:r>
      <w:r>
        <w:rPr>
          <w:rFonts w:ascii="Calibri" w:cs="Calibri" w:eastAsia="Calibri" w:hAnsi="Calibri"/>
          <w:sz w:val="20"/>
          <w:szCs w:val="20"/>
          <w:color w:val="auto"/>
        </w:rPr>
        <w:t>.</w:t>
      </w:r>
    </w:p>
    <w:p>
      <w:pPr>
        <w:spacing w:after="0" w:line="228" w:lineRule="exact"/>
        <w:rPr>
          <w:rFonts w:ascii="Calibri" w:cs="Calibri" w:eastAsia="Calibri" w:hAnsi="Calibri"/>
          <w:sz w:val="20"/>
          <w:szCs w:val="20"/>
          <w:color w:val="auto"/>
        </w:rPr>
      </w:pPr>
    </w:p>
    <w:p>
      <w:pPr>
        <w:ind w:left="2800" w:hanging="647"/>
        <w:spacing w:after="0"/>
        <w:tabs>
          <w:tab w:leader="none" w:pos="2800" w:val="left"/>
        </w:tabs>
        <w:numPr>
          <w:ilvl w:val="1"/>
          <w:numId w:val="29"/>
        </w:numPr>
        <w:rPr>
          <w:rFonts w:ascii="Calibri" w:cs="Calibri" w:eastAsia="Calibri" w:hAnsi="Calibri"/>
          <w:sz w:val="20"/>
          <w:szCs w:val="20"/>
          <w:color w:val="auto"/>
        </w:rPr>
      </w:pPr>
      <w:r>
        <w:rPr>
          <w:rFonts w:ascii="Calibri" w:cs="Calibri" w:eastAsia="Calibri" w:hAnsi="Calibri"/>
          <w:sz w:val="20"/>
          <w:szCs w:val="20"/>
          <w:color w:val="auto"/>
        </w:rPr>
        <w:t>Each Award of Restricted Stock granted under the Plan shall be subject</w:t>
      </w:r>
    </w:p>
    <w:p>
      <w:pPr>
        <w:spacing w:after="0" w:line="22" w:lineRule="exact"/>
        <w:rPr>
          <w:rFonts w:ascii="Calibri" w:cs="Calibri" w:eastAsia="Calibri" w:hAnsi="Calibri"/>
          <w:sz w:val="20"/>
          <w:szCs w:val="20"/>
          <w:color w:val="auto"/>
        </w:rPr>
      </w:pPr>
    </w:p>
    <w:p>
      <w:pPr>
        <w:jc w:val="both"/>
        <w:ind w:left="150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 xml:space="preserve">to the conditons set forth in this </w:t>
      </w:r>
      <w:r>
        <w:rPr>
          <w:rFonts w:ascii="Calibri" w:cs="Calibri" w:eastAsia="Calibri" w:hAnsi="Calibri"/>
          <w:sz w:val="20"/>
          <w:szCs w:val="20"/>
          <w:b w:val="1"/>
          <w:bCs w:val="1"/>
          <w:color w:val="auto"/>
          <w:highlight w:val="lightGray"/>
        </w:rPr>
        <w:t>Secton 6.2(b)</w:t>
      </w:r>
      <w:r>
        <w:rPr>
          <w:rFonts w:ascii="Calibri" w:cs="Calibri" w:eastAsia="Calibri" w:hAnsi="Calibri"/>
          <w:sz w:val="20"/>
          <w:szCs w:val="20"/>
          <w:color w:val="auto"/>
        </w:rPr>
        <w:t xml:space="preserve"> and to such other conditons consistent with the Plan as may be refected in the applicable Award Agreement. If the Commitee determines that the Restricted Stock shall be held by the Company or in escrow rather than delivered to the Partcipant pending the release of the applicable restrictons, the</w:t>
      </w:r>
    </w:p>
    <w:p>
      <w:pPr>
        <w:spacing w:after="0" w:line="19" w:lineRule="exact"/>
        <w:rPr>
          <w:rFonts w:ascii="Calibri" w:cs="Calibri" w:eastAsia="Calibri" w:hAnsi="Calibri"/>
          <w:sz w:val="20"/>
          <w:szCs w:val="20"/>
          <w:color w:val="auto"/>
        </w:rPr>
      </w:pPr>
    </w:p>
    <w:p>
      <w:pPr>
        <w:jc w:val="both"/>
        <w:ind w:left="150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Commitee may require the Partcipant to additonally execute and deliver to the Company (A) an escrow agreement satsfactory to the Commitee, if applicable and (B) the appropriate blank stock power with respect to the Restricted Stock covered by such agreement. If a Partcipant fails to execute an agreement evidencing an Award of</w:t>
      </w:r>
    </w:p>
    <w:p>
      <w:pPr>
        <w:spacing w:after="0" w:line="19" w:lineRule="exact"/>
        <w:rPr>
          <w:rFonts w:ascii="Calibri" w:cs="Calibri" w:eastAsia="Calibri" w:hAnsi="Calibri"/>
          <w:sz w:val="20"/>
          <w:szCs w:val="20"/>
          <w:color w:val="auto"/>
        </w:rPr>
      </w:pPr>
    </w:p>
    <w:p>
      <w:pPr>
        <w:jc w:val="both"/>
        <w:ind w:left="1500" w:right="219"/>
        <w:spacing w:after="0" w:line="246" w:lineRule="auto"/>
        <w:rPr>
          <w:rFonts w:ascii="Calibri" w:cs="Calibri" w:eastAsia="Calibri" w:hAnsi="Calibri"/>
          <w:sz w:val="20"/>
          <w:szCs w:val="20"/>
          <w:color w:val="auto"/>
        </w:rPr>
      </w:pPr>
      <w:r>
        <w:rPr>
          <w:rFonts w:ascii="Calibri" w:cs="Calibri" w:eastAsia="Calibri" w:hAnsi="Calibri"/>
          <w:sz w:val="20"/>
          <w:szCs w:val="20"/>
          <w:color w:val="auto"/>
        </w:rPr>
        <w:t>Restricted Stock and, if applicable, an escrow agreement and stock power, the Award shall be null and void unless otherwise waived by the Commitee. Subject to the restrictons set forth in the Award, the Partcipant generally shall have the rights and privileges of a shareholder as to such Restricted Stock, including the right to vote such Restricted Stock and the right to receive dividends.</w:t>
      </w:r>
    </w:p>
    <w:p>
      <w:pPr>
        <w:spacing w:after="0" w:line="220" w:lineRule="exact"/>
        <w:rPr>
          <w:rFonts w:ascii="Calibri" w:cs="Calibri" w:eastAsia="Calibri" w:hAnsi="Calibri"/>
          <w:sz w:val="20"/>
          <w:szCs w:val="20"/>
          <w:color w:val="auto"/>
        </w:rPr>
      </w:pPr>
    </w:p>
    <w:p>
      <w:pPr>
        <w:jc w:val="both"/>
        <w:ind w:left="1500" w:right="219" w:firstLine="653"/>
        <w:spacing w:after="0" w:line="247" w:lineRule="auto"/>
        <w:tabs>
          <w:tab w:leader="none" w:pos="2796" w:val="left"/>
        </w:tabs>
        <w:numPr>
          <w:ilvl w:val="1"/>
          <w:numId w:val="29"/>
        </w:numPr>
        <w:rPr>
          <w:rFonts w:ascii="Calibri" w:cs="Calibri" w:eastAsia="Calibri" w:hAnsi="Calibri"/>
          <w:sz w:val="20"/>
          <w:szCs w:val="20"/>
          <w:color w:val="auto"/>
        </w:rPr>
      </w:pPr>
      <w:r>
        <w:rPr>
          <w:rFonts w:ascii="Calibri" w:cs="Calibri" w:eastAsia="Calibri" w:hAnsi="Calibri"/>
          <w:sz w:val="20"/>
          <w:szCs w:val="20"/>
          <w:color w:val="auto"/>
        </w:rPr>
        <w:t xml:space="preserve">Each Award of Restricted Stock Units granted under the Plan shall be subject to the conditons set forth in this </w:t>
      </w:r>
      <w:r>
        <w:rPr>
          <w:rFonts w:ascii="Calibri" w:cs="Calibri" w:eastAsia="Calibri" w:hAnsi="Calibri"/>
          <w:sz w:val="20"/>
          <w:szCs w:val="20"/>
          <w:b w:val="1"/>
          <w:bCs w:val="1"/>
          <w:color w:val="auto"/>
          <w:highlight w:val="lightGray"/>
        </w:rPr>
        <w:t>Secton 6.2(b)</w:t>
      </w:r>
      <w:r>
        <w:rPr>
          <w:rFonts w:ascii="Calibri" w:cs="Calibri" w:eastAsia="Calibri" w:hAnsi="Calibri"/>
          <w:sz w:val="20"/>
          <w:szCs w:val="20"/>
          <w:color w:val="auto"/>
        </w:rPr>
        <w:t xml:space="preserve"> and to such other conditons consistent with the Plan as may be refected in the applicable Award Agreement. No</w:t>
      </w:r>
    </w:p>
    <w:p>
      <w:pPr>
        <w:spacing w:after="0" w:line="15" w:lineRule="exact"/>
        <w:rPr>
          <w:rFonts w:ascii="Calibri" w:cs="Calibri" w:eastAsia="Calibri" w:hAnsi="Calibri"/>
          <w:sz w:val="20"/>
          <w:szCs w:val="20"/>
          <w:color w:val="auto"/>
        </w:rPr>
      </w:pPr>
    </w:p>
    <w:p>
      <w:pPr>
        <w:jc w:val="both"/>
        <w:ind w:left="1500" w:right="219"/>
        <w:spacing w:after="0" w:line="246" w:lineRule="auto"/>
        <w:rPr>
          <w:rFonts w:ascii="Calibri" w:cs="Calibri" w:eastAsia="Calibri" w:hAnsi="Calibri"/>
          <w:sz w:val="20"/>
          <w:szCs w:val="20"/>
          <w:color w:val="auto"/>
        </w:rPr>
      </w:pPr>
      <w:r>
        <w:rPr>
          <w:rFonts w:ascii="Calibri" w:cs="Calibri" w:eastAsia="Calibri" w:hAnsi="Calibri"/>
          <w:sz w:val="20"/>
          <w:szCs w:val="20"/>
          <w:color w:val="auto"/>
        </w:rPr>
        <w:t>shares of Common Stock shall be issued at the tme a Restricted Stock Unit is granted, and the Company will not be required to set aside a fund for the payment of any such Award. A Partcipant shall have no votng rights with respect to any Restricted Stock Units granted hereunder. At the discreton of the Commitee, each Restricted Stock Unit (with each unit</w:t>
      </w:r>
    </w:p>
    <w:p>
      <w:pPr>
        <w:sectPr>
          <w:pgSz w:w="11900" w:h="16838" w:orient="portrait"/>
          <w:cols w:equalWidth="0" w:num="1">
            <w:col w:w="9019"/>
          </w:cols>
          <w:pgMar w:left="1440" w:top="1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374015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type w:val="continuous"/>
        </w:sectPr>
      </w:pPr>
    </w:p>
    <w:bookmarkStart w:id="52" w:name="page53"/>
    <w:bookmarkEnd w:id="52"/>
    <w:p>
      <w:pPr>
        <w:jc w:val="both"/>
        <w:ind w:left="1500" w:right="219"/>
        <w:spacing w:after="0" w:line="247" w:lineRule="auto"/>
        <w:rPr>
          <w:sz w:val="20"/>
          <w:szCs w:val="20"/>
          <w:color w:val="auto"/>
        </w:rPr>
      </w:pPr>
      <w:r>
        <w:rPr>
          <w:rFonts w:ascii="Calibri" w:cs="Calibri" w:eastAsia="Calibri" w:hAnsi="Calibri"/>
          <w:sz w:val="20"/>
          <w:szCs w:val="20"/>
          <w:color w:val="auto"/>
        </w:rPr>
        <w:t>representng one (1) share of Common Stock) may be credited with cash and stock dividends paid by the Company in respect of one share of Common Stock (“</w:t>
      </w:r>
      <w:r>
        <w:rPr>
          <w:rFonts w:ascii="Calibri" w:cs="Calibri" w:eastAsia="Calibri" w:hAnsi="Calibri"/>
          <w:sz w:val="20"/>
          <w:szCs w:val="20"/>
          <w:b w:val="1"/>
          <w:bCs w:val="1"/>
          <w:color w:val="auto"/>
        </w:rPr>
        <w:t>Dividend</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Equivalents</w:t>
      </w:r>
      <w:r>
        <w:rPr>
          <w:rFonts w:ascii="Calibri" w:cs="Calibri" w:eastAsia="Calibri" w:hAnsi="Calibri"/>
          <w:sz w:val="20"/>
          <w:szCs w:val="20"/>
          <w:color w:val="auto"/>
        </w:rPr>
        <w:t>”). Unless the Commitee determines otherwise, Dividend Equivalents shall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be paid currently (and in no case later than the end of the fscal year in which the dividend is paid to the holders of the Common Stock or, if later, the short-term deferral deadline determined under Secton 409A).</w:t>
      </w:r>
    </w:p>
    <w:p>
      <w:pPr>
        <w:spacing w:after="0" w:line="211" w:lineRule="exact"/>
        <w:rPr>
          <w:sz w:val="20"/>
          <w:szCs w:val="20"/>
          <w:color w:val="auto"/>
        </w:rPr>
      </w:pPr>
    </w:p>
    <w:p>
      <w:pPr>
        <w:ind w:left="2160" w:hanging="655"/>
        <w:spacing w:after="0"/>
        <w:tabs>
          <w:tab w:leader="none" w:pos="2160" w:val="left"/>
        </w:tabs>
        <w:numPr>
          <w:ilvl w:val="0"/>
          <w:numId w:val="30"/>
        </w:numPr>
        <w:rPr>
          <w:rFonts w:ascii="Calibri" w:cs="Calibri" w:eastAsia="Calibri" w:hAnsi="Calibri"/>
          <w:sz w:val="20"/>
          <w:szCs w:val="20"/>
          <w:color w:val="auto"/>
        </w:rPr>
      </w:pPr>
      <w:r>
        <w:rPr>
          <w:rFonts w:ascii="Calibri" w:cs="Calibri" w:eastAsia="Calibri" w:hAnsi="Calibri"/>
          <w:sz w:val="20"/>
          <w:szCs w:val="20"/>
          <w:i w:val="1"/>
          <w:iCs w:val="1"/>
          <w:color w:val="auto"/>
        </w:rPr>
        <w:t>Restrictons</w:t>
      </w:r>
    </w:p>
    <w:p>
      <w:pPr>
        <w:spacing w:after="0" w:line="238" w:lineRule="exact"/>
        <w:rPr>
          <w:rFonts w:ascii="Calibri" w:cs="Calibri" w:eastAsia="Calibri" w:hAnsi="Calibri"/>
          <w:sz w:val="20"/>
          <w:szCs w:val="20"/>
          <w:color w:val="auto"/>
        </w:rPr>
      </w:pPr>
    </w:p>
    <w:p>
      <w:pPr>
        <w:jc w:val="both"/>
        <w:ind w:left="1500" w:right="219" w:firstLine="653"/>
        <w:spacing w:after="0" w:line="242" w:lineRule="auto"/>
        <w:tabs>
          <w:tab w:leader="none" w:pos="2796" w:val="left"/>
        </w:tabs>
        <w:numPr>
          <w:ilvl w:val="1"/>
          <w:numId w:val="30"/>
        </w:numPr>
        <w:rPr>
          <w:rFonts w:ascii="Calibri" w:cs="Calibri" w:eastAsia="Calibri" w:hAnsi="Calibri"/>
          <w:sz w:val="20"/>
          <w:szCs w:val="20"/>
          <w:color w:val="auto"/>
        </w:rPr>
      </w:pPr>
      <w:r>
        <w:rPr>
          <w:rFonts w:ascii="Calibri" w:cs="Calibri" w:eastAsia="Calibri" w:hAnsi="Calibri"/>
          <w:sz w:val="20"/>
          <w:szCs w:val="20"/>
          <w:color w:val="auto"/>
        </w:rPr>
        <w:t>Restricted Stock awarded to a Partcipant shall be subject to the following restrictons untl the expiraton of the Restricted Period and to such other</w:t>
      </w:r>
    </w:p>
    <w:p>
      <w:pPr>
        <w:spacing w:after="0" w:line="20" w:lineRule="exact"/>
        <w:rPr>
          <w:rFonts w:ascii="Calibri" w:cs="Calibri" w:eastAsia="Calibri" w:hAnsi="Calibri"/>
          <w:sz w:val="20"/>
          <w:szCs w:val="20"/>
          <w:color w:val="auto"/>
        </w:rPr>
      </w:pPr>
    </w:p>
    <w:p>
      <w:pPr>
        <w:jc w:val="both"/>
        <w:ind w:left="150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terms and conditons as may be set forth in the applicable Award Agreement: (A) if an escrow arrangement is used, the Partcipant shall not be enttled to delivery of the stock certfcate; (B) the shares shall be subject to the restrictons on transferability set forth in the Award Agreement; (C) the shares shall be subject to forfeiture to the extent and</w:t>
      </w:r>
    </w:p>
    <w:p>
      <w:pPr>
        <w:spacing w:after="0" w:line="9" w:lineRule="exact"/>
        <w:rPr>
          <w:rFonts w:ascii="Calibri" w:cs="Calibri" w:eastAsia="Calibri" w:hAnsi="Calibri"/>
          <w:sz w:val="20"/>
          <w:szCs w:val="20"/>
          <w:color w:val="auto"/>
        </w:rPr>
      </w:pPr>
    </w:p>
    <w:p>
      <w:pPr>
        <w:ind w:left="1500"/>
        <w:spacing w:after="0"/>
        <w:rPr>
          <w:rFonts w:ascii="Calibri" w:cs="Calibri" w:eastAsia="Calibri" w:hAnsi="Calibri"/>
          <w:sz w:val="20"/>
          <w:szCs w:val="20"/>
          <w:color w:val="auto"/>
        </w:rPr>
      </w:pPr>
      <w:r>
        <w:rPr>
          <w:rFonts w:ascii="Calibri" w:cs="Calibri" w:eastAsia="Calibri" w:hAnsi="Calibri"/>
          <w:sz w:val="20"/>
          <w:szCs w:val="20"/>
          <w:color w:val="auto"/>
        </w:rPr>
        <w:t>subject to such terms and conditons provided in the applicable Award Agreement; and</w:t>
      </w:r>
    </w:p>
    <w:p>
      <w:pPr>
        <w:spacing w:after="0" w:line="8" w:lineRule="exact"/>
        <w:rPr>
          <w:rFonts w:ascii="Calibri" w:cs="Calibri" w:eastAsia="Calibri" w:hAnsi="Calibri"/>
          <w:sz w:val="20"/>
          <w:szCs w:val="20"/>
          <w:color w:val="auto"/>
        </w:rPr>
      </w:pPr>
    </w:p>
    <w:p>
      <w:pPr>
        <w:jc w:val="both"/>
        <w:ind w:left="1500" w:right="219"/>
        <w:spacing w:after="0" w:line="247" w:lineRule="auto"/>
        <w:rPr>
          <w:rFonts w:ascii="Calibri" w:cs="Calibri" w:eastAsia="Calibri" w:hAnsi="Calibri"/>
          <w:sz w:val="20"/>
          <w:szCs w:val="20"/>
          <w:color w:val="auto"/>
        </w:rPr>
      </w:pPr>
      <w:r>
        <w:rPr>
          <w:rFonts w:ascii="Calibri" w:cs="Calibri" w:eastAsia="Calibri" w:hAnsi="Calibri"/>
          <w:sz w:val="20"/>
          <w:szCs w:val="20"/>
          <w:color w:val="auto"/>
        </w:rPr>
        <w:t>(D) to the extent such shares are forfeited, the stock certfcates shall be returned to the Company, and all rights of the Partcipant to such shares and as a shareholder with respect to such shares shall terminate without further obligaton on the part of the</w:t>
      </w:r>
    </w:p>
    <w:p>
      <w:pPr>
        <w:spacing w:after="0" w:line="15" w:lineRule="exact"/>
        <w:rPr>
          <w:rFonts w:ascii="Calibri" w:cs="Calibri" w:eastAsia="Calibri" w:hAnsi="Calibri"/>
          <w:sz w:val="20"/>
          <w:szCs w:val="20"/>
          <w:color w:val="auto"/>
        </w:rPr>
      </w:pPr>
    </w:p>
    <w:p>
      <w:pPr>
        <w:ind w:left="1500" w:right="21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Company. Each certfcate representng Restricted Stock awarded under the Plan shall bear a legend in such form as the Company deems appropriate.</w:t>
      </w:r>
    </w:p>
    <w:p>
      <w:pPr>
        <w:spacing w:after="0" w:line="239" w:lineRule="exact"/>
        <w:rPr>
          <w:rFonts w:ascii="Calibri" w:cs="Calibri" w:eastAsia="Calibri" w:hAnsi="Calibri"/>
          <w:sz w:val="20"/>
          <w:szCs w:val="20"/>
          <w:color w:val="auto"/>
        </w:rPr>
      </w:pPr>
    </w:p>
    <w:p>
      <w:pPr>
        <w:jc w:val="both"/>
        <w:ind w:left="1500" w:right="219" w:firstLine="653"/>
        <w:spacing w:after="0" w:line="242" w:lineRule="auto"/>
        <w:tabs>
          <w:tab w:leader="none" w:pos="2796" w:val="left"/>
        </w:tabs>
        <w:numPr>
          <w:ilvl w:val="1"/>
          <w:numId w:val="30"/>
        </w:numPr>
        <w:rPr>
          <w:rFonts w:ascii="Calibri" w:cs="Calibri" w:eastAsia="Calibri" w:hAnsi="Calibri"/>
          <w:sz w:val="20"/>
          <w:szCs w:val="20"/>
          <w:color w:val="auto"/>
        </w:rPr>
      </w:pPr>
      <w:r>
        <w:rPr>
          <w:rFonts w:ascii="Calibri" w:cs="Calibri" w:eastAsia="Calibri" w:hAnsi="Calibri"/>
          <w:sz w:val="20"/>
          <w:szCs w:val="20"/>
          <w:color w:val="auto"/>
        </w:rPr>
        <w:t>Restricted Stock Units awarded to any Partcipant shall be subject to forfeiture during the Restricton Period to the extent and subject to such terms and</w:t>
      </w:r>
    </w:p>
    <w:p>
      <w:pPr>
        <w:spacing w:after="0" w:line="20" w:lineRule="exact"/>
        <w:rPr>
          <w:rFonts w:ascii="Calibri" w:cs="Calibri" w:eastAsia="Calibri" w:hAnsi="Calibri"/>
          <w:sz w:val="20"/>
          <w:szCs w:val="20"/>
          <w:color w:val="auto"/>
        </w:rPr>
      </w:pPr>
    </w:p>
    <w:p>
      <w:pPr>
        <w:jc w:val="both"/>
        <w:ind w:left="1500" w:right="219"/>
        <w:spacing w:after="0"/>
        <w:rPr>
          <w:rFonts w:ascii="Calibri" w:cs="Calibri" w:eastAsia="Calibri" w:hAnsi="Calibri"/>
          <w:sz w:val="20"/>
          <w:szCs w:val="20"/>
          <w:color w:val="auto"/>
        </w:rPr>
      </w:pPr>
      <w:r>
        <w:rPr>
          <w:rFonts w:ascii="Calibri" w:cs="Calibri" w:eastAsia="Calibri" w:hAnsi="Calibri"/>
          <w:sz w:val="20"/>
          <w:szCs w:val="20"/>
          <w:color w:val="auto"/>
        </w:rPr>
        <w:t>conditons provided in the applicable Award Agreement and to the extent such Restricted Stock Units are forfeited, all rights of the Partcipant to such Restricted Stock Units shall terminate without further obligaton on the part of the Company.</w:t>
      </w:r>
    </w:p>
    <w:p>
      <w:pPr>
        <w:spacing w:after="0" w:line="229" w:lineRule="exact"/>
        <w:rPr>
          <w:rFonts w:ascii="Calibri" w:cs="Calibri" w:eastAsia="Calibri" w:hAnsi="Calibri"/>
          <w:sz w:val="20"/>
          <w:szCs w:val="20"/>
          <w:color w:val="auto"/>
        </w:rPr>
      </w:pPr>
    </w:p>
    <w:p>
      <w:pPr>
        <w:ind w:left="2800" w:hanging="647"/>
        <w:spacing w:after="0"/>
        <w:tabs>
          <w:tab w:leader="none" w:pos="2800" w:val="left"/>
        </w:tabs>
        <w:numPr>
          <w:ilvl w:val="1"/>
          <w:numId w:val="30"/>
        </w:numPr>
        <w:rPr>
          <w:rFonts w:ascii="Calibri" w:cs="Calibri" w:eastAsia="Calibri" w:hAnsi="Calibri"/>
          <w:sz w:val="20"/>
          <w:szCs w:val="20"/>
          <w:color w:val="auto"/>
        </w:rPr>
      </w:pPr>
      <w:r>
        <w:rPr>
          <w:rFonts w:ascii="Calibri" w:cs="Calibri" w:eastAsia="Calibri" w:hAnsi="Calibri"/>
          <w:sz w:val="20"/>
          <w:szCs w:val="20"/>
          <w:color w:val="auto"/>
        </w:rPr>
        <w:t>The Commitee shall have the authority to remove any or all of the</w:t>
      </w:r>
    </w:p>
    <w:p>
      <w:pPr>
        <w:spacing w:after="0" w:line="22" w:lineRule="exact"/>
        <w:rPr>
          <w:rFonts w:ascii="Calibri" w:cs="Calibri" w:eastAsia="Calibri" w:hAnsi="Calibri"/>
          <w:sz w:val="20"/>
          <w:szCs w:val="20"/>
          <w:color w:val="auto"/>
        </w:rPr>
      </w:pPr>
    </w:p>
    <w:p>
      <w:pPr>
        <w:jc w:val="both"/>
        <w:ind w:left="150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restrictons on the Restricted Stock and Restricted Stock Units whenever it may determine that such acton is appropriate or desirable, whether by reason of changes in Applicable Laws or other changes in circumstances arising afer the date which the Restricted Stock or Restricted Stock Units are granted.</w:t>
      </w:r>
    </w:p>
    <w:p>
      <w:pPr>
        <w:spacing w:after="0" w:line="225" w:lineRule="exact"/>
        <w:rPr>
          <w:rFonts w:ascii="Calibri" w:cs="Calibri" w:eastAsia="Calibri" w:hAnsi="Calibri"/>
          <w:sz w:val="20"/>
          <w:szCs w:val="20"/>
          <w:color w:val="auto"/>
        </w:rPr>
      </w:pPr>
    </w:p>
    <w:p>
      <w:pPr>
        <w:ind w:left="2160" w:hanging="655"/>
        <w:spacing w:after="0"/>
        <w:tabs>
          <w:tab w:leader="none" w:pos="2160" w:val="left"/>
        </w:tabs>
        <w:numPr>
          <w:ilvl w:val="0"/>
          <w:numId w:val="30"/>
        </w:numPr>
        <w:rPr>
          <w:rFonts w:ascii="Calibri" w:cs="Calibri" w:eastAsia="Calibri" w:hAnsi="Calibri"/>
          <w:sz w:val="20"/>
          <w:szCs w:val="20"/>
          <w:color w:val="auto"/>
        </w:rPr>
      </w:pPr>
      <w:r>
        <w:rPr>
          <w:rFonts w:ascii="Calibri" w:cs="Calibri" w:eastAsia="Calibri" w:hAnsi="Calibri"/>
          <w:sz w:val="20"/>
          <w:szCs w:val="20"/>
          <w:i w:val="1"/>
          <w:iCs w:val="1"/>
          <w:color w:val="auto"/>
        </w:rPr>
        <w:t>Delivery of Restricted Stock and Setlement of Restricted Stock Units</w:t>
      </w:r>
      <w:r>
        <w:rPr>
          <w:rFonts w:ascii="Calibri" w:cs="Calibri" w:eastAsia="Calibri" w:hAnsi="Calibri"/>
          <w:sz w:val="20"/>
          <w:szCs w:val="20"/>
          <w:color w:val="auto"/>
        </w:rPr>
        <w:t>.</w:t>
      </w:r>
    </w:p>
    <w:p>
      <w:pPr>
        <w:spacing w:after="0" w:line="224" w:lineRule="exact"/>
        <w:rPr>
          <w:rFonts w:ascii="Calibri" w:cs="Calibri" w:eastAsia="Calibri" w:hAnsi="Calibri"/>
          <w:sz w:val="20"/>
          <w:szCs w:val="20"/>
          <w:color w:val="auto"/>
        </w:rPr>
      </w:pPr>
    </w:p>
    <w:p>
      <w:pPr>
        <w:jc w:val="both"/>
        <w:ind w:left="1580" w:right="219" w:firstLine="573"/>
        <w:spacing w:after="0" w:line="247" w:lineRule="auto"/>
        <w:tabs>
          <w:tab w:leader="none" w:pos="2795" w:val="left"/>
        </w:tabs>
        <w:numPr>
          <w:ilvl w:val="1"/>
          <w:numId w:val="30"/>
        </w:numPr>
        <w:rPr>
          <w:rFonts w:ascii="Calibri" w:cs="Calibri" w:eastAsia="Calibri" w:hAnsi="Calibri"/>
          <w:sz w:val="20"/>
          <w:szCs w:val="20"/>
          <w:color w:val="auto"/>
        </w:rPr>
      </w:pPr>
      <w:r>
        <w:rPr>
          <w:rFonts w:ascii="Calibri" w:cs="Calibri" w:eastAsia="Calibri" w:hAnsi="Calibri"/>
          <w:sz w:val="20"/>
          <w:szCs w:val="20"/>
          <w:color w:val="auto"/>
        </w:rPr>
        <w:t xml:space="preserve">Upon the expiraton of the Restricted Period with respect to any shares of Restricted Stock, the restrictons set forth in </w:t>
      </w:r>
      <w:r>
        <w:rPr>
          <w:rFonts w:ascii="Calibri" w:cs="Calibri" w:eastAsia="Calibri" w:hAnsi="Calibri"/>
          <w:sz w:val="20"/>
          <w:szCs w:val="20"/>
          <w:b w:val="1"/>
          <w:bCs w:val="1"/>
          <w:u w:val="single" w:color="auto"/>
          <w:color w:val="0000EE"/>
          <w:highlight w:val="lightGray"/>
        </w:rPr>
        <w:t>Secton 6.2(c)</w:t>
      </w:r>
      <w:r>
        <w:rPr>
          <w:rFonts w:ascii="Calibri" w:cs="Calibri" w:eastAsia="Calibri" w:hAnsi="Calibri"/>
          <w:sz w:val="20"/>
          <w:szCs w:val="20"/>
          <w:color w:val="auto"/>
        </w:rPr>
        <w:t xml:space="preserve"> and the applicable Award Agreement shall be of no further force or efect with respect to such shares, except as</w:t>
      </w:r>
    </w:p>
    <w:p>
      <w:pPr>
        <w:spacing w:after="0" w:line="15" w:lineRule="exact"/>
        <w:rPr>
          <w:rFonts w:ascii="Calibri" w:cs="Calibri" w:eastAsia="Calibri" w:hAnsi="Calibri"/>
          <w:sz w:val="20"/>
          <w:szCs w:val="20"/>
          <w:color w:val="auto"/>
        </w:rPr>
      </w:pPr>
    </w:p>
    <w:p>
      <w:pPr>
        <w:jc w:val="both"/>
        <w:ind w:left="1580" w:right="219"/>
        <w:spacing w:after="0" w:line="246" w:lineRule="auto"/>
        <w:rPr>
          <w:rFonts w:ascii="Calibri" w:cs="Calibri" w:eastAsia="Calibri" w:hAnsi="Calibri"/>
          <w:sz w:val="20"/>
          <w:szCs w:val="20"/>
          <w:color w:val="auto"/>
        </w:rPr>
      </w:pPr>
      <w:r>
        <w:rPr>
          <w:rFonts w:ascii="Calibri" w:cs="Calibri" w:eastAsia="Calibri" w:hAnsi="Calibri"/>
          <w:sz w:val="20"/>
          <w:szCs w:val="20"/>
          <w:color w:val="auto"/>
        </w:rPr>
        <w:t>set forth in the applicable Award Agreement. If an escrow arrangement is used, upon such expiraton, the Company shall deliver to the Partcipant, or his or her benefciary, without charge, the stock certfcate (or such other evidence of transfer, including book entry) evidencing the shares of Restricted Stock which have not then been forfeited and with respect to which the Restricted Period has expired (to the nearest full share)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-1095375</wp:posOffset>
            </wp:positionV>
            <wp:extent cx="2540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53" w:name="page54"/>
    <w:bookmarkEnd w:id="53"/>
    <w:p>
      <w:pPr>
        <w:ind w:left="1580" w:right="219"/>
        <w:spacing w:after="0" w:line="242" w:lineRule="auto"/>
        <w:rPr>
          <w:sz w:val="20"/>
          <w:szCs w:val="20"/>
          <w:color w:val="auto"/>
        </w:rPr>
      </w:pPr>
      <w:r>
        <w:rPr>
          <w:rFonts w:ascii="Calibri" w:cs="Calibri" w:eastAsia="Calibri" w:hAnsi="Calibri"/>
          <w:sz w:val="20"/>
          <w:szCs w:val="20"/>
          <w:color w:val="auto"/>
        </w:rPr>
        <w:t>any cash dividends or stock dividends credited to the Partcipant’s account with respect to such Restricted Stock and the interest thereon, if any.</w:t>
      </w:r>
    </w:p>
    <w:p>
      <w:pPr>
        <w:spacing w:after="0" w:line="223" w:lineRule="exact"/>
        <w:rPr>
          <w:sz w:val="20"/>
          <w:szCs w:val="20"/>
          <w:color w:val="auto"/>
        </w:rPr>
      </w:pPr>
    </w:p>
    <w:p>
      <w:pPr>
        <w:jc w:val="both"/>
        <w:ind w:left="1580" w:right="219" w:firstLine="573"/>
        <w:spacing w:after="0" w:line="247" w:lineRule="auto"/>
        <w:tabs>
          <w:tab w:leader="none" w:pos="2795" w:val="left"/>
        </w:tabs>
        <w:numPr>
          <w:ilvl w:val="0"/>
          <w:numId w:val="31"/>
        </w:numPr>
        <w:rPr>
          <w:rFonts w:ascii="Calibri" w:cs="Calibri" w:eastAsia="Calibri" w:hAnsi="Calibri"/>
          <w:sz w:val="20"/>
          <w:szCs w:val="20"/>
          <w:color w:val="auto"/>
        </w:rPr>
      </w:pPr>
      <w:r>
        <w:rPr>
          <w:rFonts w:ascii="Calibri" w:cs="Calibri" w:eastAsia="Calibri" w:hAnsi="Calibri"/>
          <w:sz w:val="20"/>
          <w:szCs w:val="20"/>
          <w:color w:val="auto"/>
        </w:rPr>
        <w:t>Upon the expiraton of the Restricted Period with respect to any outstanding Restricted Stock Units, the Company shall deliver to the Partcipant, or his or her benefciary, without charge, one share of Common Stock for each such</w:t>
      </w:r>
    </w:p>
    <w:p>
      <w:pPr>
        <w:spacing w:after="0" w:line="15" w:lineRule="exact"/>
        <w:rPr>
          <w:rFonts w:ascii="Calibri" w:cs="Calibri" w:eastAsia="Calibri" w:hAnsi="Calibri"/>
          <w:sz w:val="20"/>
          <w:szCs w:val="20"/>
          <w:color w:val="auto"/>
        </w:rPr>
      </w:pPr>
    </w:p>
    <w:p>
      <w:pPr>
        <w:jc w:val="both"/>
        <w:ind w:left="158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outstanding vested Restricted Stock Unit (“</w:t>
      </w:r>
      <w:r>
        <w:rPr>
          <w:rFonts w:ascii="Calibri" w:cs="Calibri" w:eastAsia="Calibri" w:hAnsi="Calibri"/>
          <w:sz w:val="20"/>
          <w:szCs w:val="20"/>
          <w:b w:val="1"/>
          <w:bCs w:val="1"/>
          <w:color w:val="auto"/>
        </w:rPr>
        <w:t>Vested Unit</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provided, however,</w:t>
      </w:r>
      <w:r>
        <w:rPr>
          <w:rFonts w:ascii="Calibri" w:cs="Calibri" w:eastAsia="Calibri" w:hAnsi="Calibri"/>
          <w:sz w:val="20"/>
          <w:szCs w:val="20"/>
          <w:color w:val="auto"/>
        </w:rPr>
        <w:t xml:space="preserve"> that, if otherwise provided in the applicable Award Agreement or otherwise determined by the Commitee, the Commitee may, in its sole discreton, elect to pay cash or part cash and part Common Stock in lieu of delivering only shares of Common Stock for Vested Units.</w:t>
      </w:r>
    </w:p>
    <w:p>
      <w:pPr>
        <w:spacing w:after="0" w:line="19" w:lineRule="exact"/>
        <w:rPr>
          <w:rFonts w:ascii="Calibri" w:cs="Calibri" w:eastAsia="Calibri" w:hAnsi="Calibri"/>
          <w:sz w:val="20"/>
          <w:szCs w:val="20"/>
          <w:color w:val="auto"/>
        </w:rPr>
      </w:pPr>
    </w:p>
    <w:p>
      <w:pPr>
        <w:jc w:val="both"/>
        <w:ind w:left="158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If a cash payment is made in lieu of delivering shares of Common Stock, the amount of such payment shall be equal to the Fair Market Value of the Common Stock as of the date on which the Restricted Period lapsed in the case of Restricted Stock Units with respect to each Vested Unit.</w:t>
      </w:r>
    </w:p>
    <w:p>
      <w:pPr>
        <w:spacing w:after="0" w:line="226" w:lineRule="exact"/>
        <w:rPr>
          <w:sz w:val="20"/>
          <w:szCs w:val="20"/>
          <w:color w:val="auto"/>
        </w:rPr>
      </w:pPr>
    </w:p>
    <w:p>
      <w:pPr>
        <w:ind w:left="860"/>
        <w:spacing w:after="0"/>
        <w:tabs>
          <w:tab w:leader="none" w:pos="1480" w:val="left"/>
        </w:tabs>
        <w:rPr>
          <w:sz w:val="20"/>
          <w:szCs w:val="20"/>
          <w:color w:val="auto"/>
        </w:rPr>
      </w:pPr>
      <w:r>
        <w:rPr>
          <w:rFonts w:ascii="Calibri" w:cs="Calibri" w:eastAsia="Calibri" w:hAnsi="Calibri"/>
          <w:sz w:val="20"/>
          <w:szCs w:val="20"/>
          <w:color w:val="auto"/>
        </w:rPr>
        <w:t>6.3</w:t>
      </w:r>
      <w:r>
        <w:rPr>
          <w:sz w:val="20"/>
          <w:szCs w:val="20"/>
          <w:color w:val="auto"/>
        </w:rPr>
        <w:tab/>
      </w:r>
      <w:r>
        <w:rPr>
          <w:rFonts w:ascii="Calibri" w:cs="Calibri" w:eastAsia="Calibri" w:hAnsi="Calibri"/>
          <w:sz w:val="20"/>
          <w:szCs w:val="20"/>
          <w:u w:val="single" w:color="auto"/>
          <w:color w:val="auto"/>
        </w:rPr>
        <w:t>Performance Share Awards.</w:t>
      </w:r>
    </w:p>
    <w:p>
      <w:pPr>
        <w:spacing w:after="0" w:line="225" w:lineRule="exact"/>
        <w:rPr>
          <w:sz w:val="20"/>
          <w:szCs w:val="20"/>
          <w:color w:val="auto"/>
        </w:rPr>
      </w:pPr>
    </w:p>
    <w:p>
      <w:pPr>
        <w:jc w:val="both"/>
        <w:ind w:left="860" w:right="219" w:firstLine="645"/>
        <w:spacing w:after="0" w:line="247" w:lineRule="auto"/>
        <w:tabs>
          <w:tab w:leader="none" w:pos="2156" w:val="left"/>
        </w:tabs>
        <w:numPr>
          <w:ilvl w:val="1"/>
          <w:numId w:val="32"/>
        </w:numPr>
        <w:rPr>
          <w:rFonts w:ascii="Calibri" w:cs="Calibri" w:eastAsia="Calibri" w:hAnsi="Calibri"/>
          <w:sz w:val="20"/>
          <w:szCs w:val="20"/>
          <w:color w:val="auto"/>
        </w:rPr>
      </w:pPr>
      <w:r>
        <w:rPr>
          <w:rFonts w:ascii="Calibri" w:cs="Calibri" w:eastAsia="Calibri" w:hAnsi="Calibri"/>
          <w:sz w:val="20"/>
          <w:szCs w:val="20"/>
          <w:i w:val="1"/>
          <w:iCs w:val="1"/>
          <w:color w:val="auto"/>
        </w:rPr>
        <w:t xml:space="preserve">Grant of Performance Share Awards. </w:t>
      </w:r>
      <w:r>
        <w:rPr>
          <w:rFonts w:ascii="Calibri" w:cs="Calibri" w:eastAsia="Calibri" w:hAnsi="Calibri"/>
          <w:sz w:val="20"/>
          <w:szCs w:val="20"/>
          <w:color w:val="auto"/>
        </w:rPr>
        <w:t>The grant of a Restricted Award that is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conditoned, whether in whole or in part, on satsfacton of performance conditons (other than solely based on contnuing service) shall be a “</w:t>
      </w:r>
      <w:r>
        <w:rPr>
          <w:rFonts w:ascii="Calibri" w:cs="Calibri" w:eastAsia="Calibri" w:hAnsi="Calibri"/>
          <w:sz w:val="20"/>
          <w:szCs w:val="20"/>
          <w:b w:val="1"/>
          <w:bCs w:val="1"/>
          <w:color w:val="auto"/>
        </w:rPr>
        <w:t>Performance Share Award”</w:t>
      </w:r>
      <w:r>
        <w:rPr>
          <w:rFonts w:ascii="Calibri" w:cs="Calibri" w:eastAsia="Calibri" w:hAnsi="Calibri"/>
          <w:sz w:val="20"/>
          <w:szCs w:val="20"/>
          <w:color w:val="auto"/>
        </w:rPr>
        <w:t xml:space="preserve"> for purposes of the</w:t>
      </w:r>
    </w:p>
    <w:p>
      <w:pPr>
        <w:spacing w:after="0" w:line="15" w:lineRule="exact"/>
        <w:rPr>
          <w:rFonts w:ascii="Calibri" w:cs="Calibri" w:eastAsia="Calibri" w:hAnsi="Calibri"/>
          <w:sz w:val="20"/>
          <w:szCs w:val="20"/>
          <w:color w:val="auto"/>
        </w:rPr>
      </w:pPr>
    </w:p>
    <w:p>
      <w:pPr>
        <w:jc w:val="both"/>
        <w:ind w:left="86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 xml:space="preserve">Plan. Each Performance Share Award granted under the Plan shall be subject to the conditons set forth in this </w:t>
      </w:r>
      <w:r>
        <w:rPr>
          <w:rFonts w:ascii="Calibri" w:cs="Calibri" w:eastAsia="Calibri" w:hAnsi="Calibri"/>
          <w:sz w:val="20"/>
          <w:szCs w:val="20"/>
          <w:b w:val="1"/>
          <w:bCs w:val="1"/>
          <w:color w:val="auto"/>
          <w:highlight w:val="lightGray"/>
        </w:rPr>
        <w:t>Secton 6.3</w:t>
      </w:r>
      <w:r>
        <w:rPr>
          <w:rFonts w:ascii="Calibri" w:cs="Calibri" w:eastAsia="Calibri" w:hAnsi="Calibri"/>
          <w:sz w:val="20"/>
          <w:szCs w:val="20"/>
          <w:color w:val="auto"/>
        </w:rPr>
        <w:t xml:space="preserve"> and to such other conditons consistent with the Plan as may be refected in the applicable Award Agreement. The Commitee shall have the discreton to determine: (i) the number of shares of Common Stock or Common Stock denominated units</w:t>
      </w:r>
    </w:p>
    <w:p>
      <w:pPr>
        <w:spacing w:after="0" w:line="19" w:lineRule="exact"/>
        <w:rPr>
          <w:rFonts w:ascii="Calibri" w:cs="Calibri" w:eastAsia="Calibri" w:hAnsi="Calibri"/>
          <w:sz w:val="20"/>
          <w:szCs w:val="20"/>
          <w:color w:val="auto"/>
        </w:rPr>
      </w:pPr>
    </w:p>
    <w:p>
      <w:pPr>
        <w:jc w:val="both"/>
        <w:ind w:left="86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subject to a Performance Share Award granted to any Partcipant; (ii) the Restricton Period applicable to any Performance Share Award; (iii) the performance conditons and other conditons that must be satsfed for a Partcipant to earn an Award; and (iv) the other terms, conditons, and restrictons of the Award.</w:t>
      </w:r>
    </w:p>
    <w:p>
      <w:pPr>
        <w:spacing w:after="0" w:line="235" w:lineRule="exact"/>
        <w:rPr>
          <w:rFonts w:ascii="Calibri" w:cs="Calibri" w:eastAsia="Calibri" w:hAnsi="Calibri"/>
          <w:sz w:val="20"/>
          <w:szCs w:val="20"/>
          <w:color w:val="auto"/>
        </w:rPr>
      </w:pPr>
    </w:p>
    <w:p>
      <w:pPr>
        <w:jc w:val="both"/>
        <w:ind w:left="860" w:right="219" w:firstLine="645"/>
        <w:spacing w:after="0"/>
        <w:tabs>
          <w:tab w:leader="none" w:pos="2156" w:val="left"/>
        </w:tabs>
        <w:numPr>
          <w:ilvl w:val="1"/>
          <w:numId w:val="32"/>
        </w:numPr>
        <w:rPr>
          <w:rFonts w:ascii="Calibri" w:cs="Calibri" w:eastAsia="Calibri" w:hAnsi="Calibri"/>
          <w:sz w:val="20"/>
          <w:szCs w:val="20"/>
          <w:color w:val="auto"/>
        </w:rPr>
      </w:pPr>
      <w:r>
        <w:rPr>
          <w:rFonts w:ascii="Calibri" w:cs="Calibri" w:eastAsia="Calibri" w:hAnsi="Calibri"/>
          <w:sz w:val="20"/>
          <w:szCs w:val="20"/>
          <w:i w:val="1"/>
          <w:iCs w:val="1"/>
          <w:color w:val="auto"/>
        </w:rPr>
        <w:t>Earning Performance Share Awards</w:t>
      </w:r>
      <w:r>
        <w:rPr>
          <w:rFonts w:ascii="Calibri" w:cs="Calibri" w:eastAsia="Calibri" w:hAnsi="Calibri"/>
          <w:sz w:val="20"/>
          <w:szCs w:val="20"/>
          <w:color w:val="auto"/>
        </w:rPr>
        <w:t>. The number of Performance Shares earned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by a Partcipant will depend on the extent to which the performance conditons established by the Commitee are satsfed, as determined by the Commitee.</w:t>
      </w:r>
    </w:p>
    <w:p>
      <w:pPr>
        <w:spacing w:after="0" w:line="229" w:lineRule="exact"/>
        <w:rPr>
          <w:rFonts w:ascii="Calibri" w:cs="Calibri" w:eastAsia="Calibri" w:hAnsi="Calibri"/>
          <w:sz w:val="20"/>
          <w:szCs w:val="20"/>
          <w:color w:val="auto"/>
        </w:rPr>
      </w:pPr>
    </w:p>
    <w:p>
      <w:pPr>
        <w:ind w:left="2160" w:hanging="655"/>
        <w:spacing w:after="0"/>
        <w:tabs>
          <w:tab w:leader="none" w:pos="2160" w:val="left"/>
        </w:tabs>
        <w:numPr>
          <w:ilvl w:val="1"/>
          <w:numId w:val="32"/>
        </w:numPr>
        <w:rPr>
          <w:rFonts w:ascii="Calibri" w:cs="Calibri" w:eastAsia="Calibri" w:hAnsi="Calibri"/>
          <w:sz w:val="20"/>
          <w:szCs w:val="20"/>
          <w:color w:val="auto"/>
        </w:rPr>
      </w:pPr>
      <w:r>
        <w:rPr>
          <w:rFonts w:ascii="Calibri" w:cs="Calibri" w:eastAsia="Calibri" w:hAnsi="Calibri"/>
          <w:sz w:val="20"/>
          <w:szCs w:val="20"/>
          <w:i w:val="1"/>
          <w:iCs w:val="1"/>
          <w:color w:val="auto"/>
        </w:rPr>
        <w:t>Grantng of Shares of Common Stock</w:t>
      </w:r>
      <w:r>
        <w:rPr>
          <w:rFonts w:ascii="Calibri" w:cs="Calibri" w:eastAsia="Calibri" w:hAnsi="Calibri"/>
          <w:sz w:val="20"/>
          <w:szCs w:val="20"/>
          <w:color w:val="auto"/>
        </w:rPr>
        <w:t>. To the extent that any Performance Share</w:t>
      </w:r>
    </w:p>
    <w:p>
      <w:pPr>
        <w:spacing w:after="0" w:line="22" w:lineRule="exact"/>
        <w:rPr>
          <w:rFonts w:ascii="Calibri" w:cs="Calibri" w:eastAsia="Calibri" w:hAnsi="Calibri"/>
          <w:sz w:val="20"/>
          <w:szCs w:val="20"/>
          <w:color w:val="auto"/>
        </w:rPr>
      </w:pPr>
    </w:p>
    <w:p>
      <w:pPr>
        <w:jc w:val="both"/>
        <w:ind w:left="860" w:right="239"/>
        <w:spacing w:after="0"/>
        <w:rPr>
          <w:rFonts w:ascii="Calibri" w:cs="Calibri" w:eastAsia="Calibri" w:hAnsi="Calibri"/>
          <w:sz w:val="20"/>
          <w:szCs w:val="20"/>
          <w:color w:val="auto"/>
        </w:rPr>
      </w:pPr>
      <w:r>
        <w:rPr>
          <w:rFonts w:ascii="Calibri" w:cs="Calibri" w:eastAsia="Calibri" w:hAnsi="Calibri"/>
          <w:sz w:val="20"/>
          <w:szCs w:val="20"/>
          <w:color w:val="auto"/>
        </w:rPr>
        <w:t xml:space="preserve">Award is granted in the form of shares of Common Stock, such award shall also be treated as an award of Restricted Stock, and the relevant provisions of </w:t>
      </w:r>
      <w:r>
        <w:rPr>
          <w:rFonts w:ascii="Calibri" w:cs="Calibri" w:eastAsia="Calibri" w:hAnsi="Calibri"/>
          <w:sz w:val="20"/>
          <w:szCs w:val="20"/>
          <w:b w:val="1"/>
          <w:bCs w:val="1"/>
          <w:color w:val="auto"/>
          <w:highlight w:val="lightGray"/>
        </w:rPr>
        <w:t>Secton 6.2</w:t>
      </w:r>
      <w:r>
        <w:rPr>
          <w:rFonts w:ascii="Calibri" w:cs="Calibri" w:eastAsia="Calibri" w:hAnsi="Calibri"/>
          <w:sz w:val="20"/>
          <w:szCs w:val="20"/>
          <w:color w:val="auto"/>
        </w:rPr>
        <w:t xml:space="preserve"> shall apply to the issuance and holding of such shares during the Restricton Period.</w:t>
      </w:r>
    </w:p>
    <w:p>
      <w:pPr>
        <w:spacing w:after="0" w:line="229" w:lineRule="exact"/>
        <w:rPr>
          <w:rFonts w:ascii="Calibri" w:cs="Calibri" w:eastAsia="Calibri" w:hAnsi="Calibri"/>
          <w:sz w:val="20"/>
          <w:szCs w:val="20"/>
          <w:color w:val="auto"/>
        </w:rPr>
      </w:pPr>
    </w:p>
    <w:p>
      <w:pPr>
        <w:ind w:left="1500" w:hanging="643"/>
        <w:spacing w:after="0"/>
        <w:tabs>
          <w:tab w:leader="none" w:pos="1500" w:val="left"/>
        </w:tabs>
        <w:numPr>
          <w:ilvl w:val="0"/>
          <w:numId w:val="33"/>
        </w:numPr>
        <w:rPr>
          <w:rFonts w:ascii="Calibri" w:cs="Calibri" w:eastAsia="Calibri" w:hAnsi="Calibri"/>
          <w:sz w:val="20"/>
          <w:szCs w:val="20"/>
          <w:color w:val="auto"/>
        </w:rPr>
      </w:pPr>
      <w:r>
        <w:rPr>
          <w:rFonts w:ascii="Calibri" w:cs="Calibri" w:eastAsia="Calibri" w:hAnsi="Calibri"/>
          <w:sz w:val="20"/>
          <w:szCs w:val="20"/>
          <w:u w:val="single" w:color="auto"/>
          <w:color w:val="auto"/>
        </w:rPr>
        <w:t>Securites Law Compliance</w:t>
      </w:r>
      <w:r>
        <w:rPr>
          <w:rFonts w:ascii="Calibri" w:cs="Calibri" w:eastAsia="Calibri" w:hAnsi="Calibri"/>
          <w:sz w:val="20"/>
          <w:szCs w:val="20"/>
          <w:color w:val="auto"/>
        </w:rPr>
        <w:t>. No shares of Common Stock shall be purchased or sold</w:t>
      </w:r>
    </w:p>
    <w:p>
      <w:pPr>
        <w:spacing w:after="0" w:line="22" w:lineRule="exact"/>
        <w:rPr>
          <w:rFonts w:ascii="Calibri" w:cs="Calibri" w:eastAsia="Calibri" w:hAnsi="Calibri"/>
          <w:sz w:val="20"/>
          <w:szCs w:val="20"/>
          <w:color w:val="auto"/>
        </w:rPr>
      </w:pPr>
    </w:p>
    <w:p>
      <w:pPr>
        <w:jc w:val="both"/>
        <w:ind w:left="20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pursuant to any Award Agreement unless and untl (a) any then applicable requirements of state or federal laws and regulatory agencies have been fully complied with to the satsfacton of the Company and its counsel and (b) if required to do so by the Company, the Partcipant has executed and delivered to the Company a leter of investment intent in such form and containing such provisions as the</w:t>
      </w:r>
    </w:p>
    <w:p>
      <w:pPr>
        <w:spacing w:after="0" w:line="19" w:lineRule="exact"/>
        <w:rPr>
          <w:rFonts w:ascii="Calibri" w:cs="Calibri" w:eastAsia="Calibri" w:hAnsi="Calibri"/>
          <w:sz w:val="20"/>
          <w:szCs w:val="20"/>
          <w:color w:val="auto"/>
        </w:rPr>
      </w:pPr>
    </w:p>
    <w:p>
      <w:pPr>
        <w:jc w:val="both"/>
        <w:ind w:left="200" w:right="239"/>
        <w:spacing w:after="0"/>
        <w:rPr>
          <w:rFonts w:ascii="Calibri" w:cs="Calibri" w:eastAsia="Calibri" w:hAnsi="Calibri"/>
          <w:sz w:val="20"/>
          <w:szCs w:val="20"/>
          <w:color w:val="auto"/>
        </w:rPr>
      </w:pPr>
      <w:r>
        <w:rPr>
          <w:rFonts w:ascii="Calibri" w:cs="Calibri" w:eastAsia="Calibri" w:hAnsi="Calibri"/>
          <w:sz w:val="20"/>
          <w:szCs w:val="20"/>
          <w:color w:val="auto"/>
        </w:rPr>
        <w:t>Commitee may require. The Company shall use reasonable eforts to seek to obtain from each regulatory commission or agency having jurisdicton over the Plan such authority as may be required to grant Awards and to issue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54" w:name="page55"/>
    <w:bookmarkEnd w:id="54"/>
    <w:p>
      <w:pPr>
        <w:jc w:val="both"/>
        <w:ind w:left="200" w:right="219"/>
        <w:spacing w:after="0" w:line="246" w:lineRule="auto"/>
        <w:rPr>
          <w:sz w:val="20"/>
          <w:szCs w:val="20"/>
          <w:color w:val="auto"/>
        </w:rPr>
      </w:pPr>
      <w:r>
        <w:rPr>
          <w:rFonts w:ascii="Calibri" w:cs="Calibri" w:eastAsia="Calibri" w:hAnsi="Calibri"/>
          <w:sz w:val="20"/>
          <w:szCs w:val="20"/>
          <w:color w:val="auto"/>
        </w:rPr>
        <w:t xml:space="preserve">and sell shares of Common Stock upon exercise of the Awards; </w:t>
      </w:r>
      <w:r>
        <w:rPr>
          <w:rFonts w:ascii="Calibri" w:cs="Calibri" w:eastAsia="Calibri" w:hAnsi="Calibri"/>
          <w:sz w:val="20"/>
          <w:szCs w:val="20"/>
          <w:i w:val="1"/>
          <w:iCs w:val="1"/>
          <w:color w:val="auto"/>
        </w:rPr>
        <w:t>provided, however</w:t>
      </w:r>
      <w:r>
        <w:rPr>
          <w:rFonts w:ascii="Calibri" w:cs="Calibri" w:eastAsia="Calibri" w:hAnsi="Calibri"/>
          <w:sz w:val="20"/>
          <w:szCs w:val="20"/>
          <w:color w:val="auto"/>
        </w:rPr>
        <w:t>, that this undertaking shall not require the Company to register under the Securites Act the Plan, any Award or any Common Stock issued or issuable pursuant to any such Award. If, afer reasonable eforts,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untl such authority is obtained.</w:t>
      </w:r>
    </w:p>
    <w:p>
      <w:pPr>
        <w:spacing w:after="0" w:line="233" w:lineRule="exact"/>
        <w:rPr>
          <w:sz w:val="20"/>
          <w:szCs w:val="20"/>
          <w:color w:val="auto"/>
        </w:rPr>
      </w:pPr>
    </w:p>
    <w:p>
      <w:pPr>
        <w:jc w:val="both"/>
        <w:ind w:left="200" w:right="239" w:firstLine="657"/>
        <w:spacing w:after="0" w:line="242" w:lineRule="auto"/>
        <w:tabs>
          <w:tab w:leader="none" w:pos="1496" w:val="left"/>
        </w:tabs>
        <w:numPr>
          <w:ilvl w:val="0"/>
          <w:numId w:val="34"/>
        </w:numPr>
        <w:rPr>
          <w:rFonts w:ascii="Calibri" w:cs="Calibri" w:eastAsia="Calibri" w:hAnsi="Calibri"/>
          <w:sz w:val="20"/>
          <w:szCs w:val="20"/>
          <w:color w:val="auto"/>
        </w:rPr>
      </w:pPr>
      <w:r>
        <w:rPr>
          <w:rFonts w:ascii="Calibri" w:cs="Calibri" w:eastAsia="Calibri" w:hAnsi="Calibri"/>
          <w:sz w:val="20"/>
          <w:szCs w:val="20"/>
          <w:u w:val="single" w:color="auto"/>
          <w:color w:val="auto"/>
        </w:rPr>
        <w:t>Adjustments Upon Changes in Stock</w:t>
      </w:r>
      <w:r>
        <w:rPr>
          <w:rFonts w:ascii="Calibri" w:cs="Calibri" w:eastAsia="Calibri" w:hAnsi="Calibri"/>
          <w:sz w:val="20"/>
          <w:szCs w:val="20"/>
          <w:color w:val="auto"/>
        </w:rPr>
        <w:t>. In the event of changes in the outstanding Common Stock or the capital structure of the Company by reason of any stock or extraordinary cash</w:t>
      </w:r>
    </w:p>
    <w:p>
      <w:pPr>
        <w:spacing w:after="0" w:line="20" w:lineRule="exact"/>
        <w:rPr>
          <w:rFonts w:ascii="Calibri" w:cs="Calibri" w:eastAsia="Calibri" w:hAnsi="Calibri"/>
          <w:sz w:val="20"/>
          <w:szCs w:val="20"/>
          <w:color w:val="auto"/>
        </w:rPr>
      </w:pPr>
    </w:p>
    <w:p>
      <w:pPr>
        <w:jc w:val="both"/>
        <w:ind w:left="20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dividend, stock split, reverse stock split, an extraordinary corporate transacton such as any recapitalizaton, reorganizaton, merger, consolidaton, combinaton, exchange, or other relevant change in capitalizaton occurring afer the Grant Date of any Award, Awards granted under the Plan and any Award Agreements, the Exercise Price of Optons and Stock Appreciaton Rights, the maximum number</w:t>
      </w:r>
    </w:p>
    <w:p>
      <w:pPr>
        <w:spacing w:after="0" w:line="19" w:lineRule="exact"/>
        <w:rPr>
          <w:rFonts w:ascii="Calibri" w:cs="Calibri" w:eastAsia="Calibri" w:hAnsi="Calibri"/>
          <w:sz w:val="20"/>
          <w:szCs w:val="20"/>
          <w:color w:val="auto"/>
        </w:rPr>
      </w:pPr>
    </w:p>
    <w:p>
      <w:pPr>
        <w:jc w:val="both"/>
        <w:ind w:left="20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 xml:space="preserve">of shares of Common Stock subject to all Awards and available for issuance under the Plan will be equitably adjusted or substtuted, as to the number, price or kind of a share of Common Stock or other consideraton subject to such Awards to the extent necessary to preserve the economic intent of such Award. In the case of adjustments made pursuant to this </w:t>
      </w:r>
      <w:r>
        <w:rPr>
          <w:rFonts w:ascii="Calibri" w:cs="Calibri" w:eastAsia="Calibri" w:hAnsi="Calibri"/>
          <w:sz w:val="20"/>
          <w:szCs w:val="20"/>
          <w:b w:val="1"/>
          <w:bCs w:val="1"/>
          <w:color w:val="auto"/>
          <w:highlight w:val="lightGray"/>
        </w:rPr>
        <w:t>Secton 8</w:t>
      </w:r>
      <w:r>
        <w:rPr>
          <w:rFonts w:ascii="Calibri" w:cs="Calibri" w:eastAsia="Calibri" w:hAnsi="Calibri"/>
          <w:sz w:val="20"/>
          <w:szCs w:val="20"/>
          <w:color w:val="auto"/>
        </w:rPr>
        <w:t>, unless the Commitee specifcally</w:t>
      </w:r>
    </w:p>
    <w:p>
      <w:pPr>
        <w:spacing w:after="0" w:line="19" w:lineRule="exact"/>
        <w:rPr>
          <w:rFonts w:ascii="Calibri" w:cs="Calibri" w:eastAsia="Calibri" w:hAnsi="Calibri"/>
          <w:sz w:val="20"/>
          <w:szCs w:val="20"/>
          <w:color w:val="auto"/>
        </w:rPr>
      </w:pPr>
    </w:p>
    <w:p>
      <w:pPr>
        <w:jc w:val="both"/>
        <w:ind w:left="20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 xml:space="preserve">determines that such adjustment is in the best interests of the Company or its Afliates, the Commitee shall, in the case of Incentve Stock Optons, ensure that any adjustments under this </w:t>
      </w:r>
      <w:r>
        <w:rPr>
          <w:rFonts w:ascii="Calibri" w:cs="Calibri" w:eastAsia="Calibri" w:hAnsi="Calibri"/>
          <w:sz w:val="20"/>
          <w:szCs w:val="20"/>
          <w:b w:val="1"/>
          <w:bCs w:val="1"/>
          <w:u w:val="single" w:color="auto"/>
          <w:color w:val="0000EE"/>
          <w:highlight w:val="lightGray"/>
        </w:rPr>
        <w:t>Secton 8</w:t>
      </w:r>
      <w:r>
        <w:rPr>
          <w:rFonts w:ascii="Calibri" w:cs="Calibri" w:eastAsia="Calibri" w:hAnsi="Calibri"/>
          <w:sz w:val="20"/>
          <w:szCs w:val="20"/>
          <w:color w:val="auto"/>
        </w:rPr>
        <w:t xml:space="preserve"> will not consttute a modifcaton, extension or renewal of the Incentve Stock Optons within the meaning of Secton 424(h)(3) of the Code and, in the case of any Opton or Stock Appreciaton Right, ensure that any</w:t>
      </w:r>
    </w:p>
    <w:p>
      <w:pPr>
        <w:spacing w:after="0" w:line="19" w:lineRule="exact"/>
        <w:rPr>
          <w:rFonts w:ascii="Calibri" w:cs="Calibri" w:eastAsia="Calibri" w:hAnsi="Calibri"/>
          <w:sz w:val="20"/>
          <w:szCs w:val="20"/>
          <w:color w:val="auto"/>
        </w:rPr>
      </w:pPr>
    </w:p>
    <w:p>
      <w:pPr>
        <w:jc w:val="both"/>
        <w:ind w:left="200" w:right="219"/>
        <w:spacing w:after="0" w:line="246" w:lineRule="auto"/>
        <w:rPr>
          <w:rFonts w:ascii="Calibri" w:cs="Calibri" w:eastAsia="Calibri" w:hAnsi="Calibri"/>
          <w:sz w:val="20"/>
          <w:szCs w:val="20"/>
          <w:color w:val="auto"/>
        </w:rPr>
      </w:pPr>
      <w:r>
        <w:rPr>
          <w:rFonts w:ascii="Calibri" w:cs="Calibri" w:eastAsia="Calibri" w:hAnsi="Calibri"/>
          <w:sz w:val="20"/>
          <w:szCs w:val="20"/>
          <w:color w:val="auto"/>
        </w:rPr>
        <w:t xml:space="preserve">adjustments under this </w:t>
      </w:r>
      <w:r>
        <w:rPr>
          <w:rFonts w:ascii="Calibri" w:cs="Calibri" w:eastAsia="Calibri" w:hAnsi="Calibri"/>
          <w:sz w:val="20"/>
          <w:szCs w:val="20"/>
          <w:b w:val="1"/>
          <w:bCs w:val="1"/>
          <w:u w:val="single" w:color="auto"/>
          <w:color w:val="0000EE"/>
          <w:highlight w:val="lightGray"/>
        </w:rPr>
        <w:t>Secton 8</w:t>
      </w:r>
      <w:r>
        <w:rPr>
          <w:rFonts w:ascii="Calibri" w:cs="Calibri" w:eastAsia="Calibri" w:hAnsi="Calibri"/>
          <w:sz w:val="20"/>
          <w:szCs w:val="20"/>
          <w:color w:val="auto"/>
        </w:rPr>
        <w:t xml:space="preserve"> will not consttute a modifcaton of such Awards within the meaning of Secton 409A. Any adjustments made under this </w:t>
      </w:r>
      <w:r>
        <w:rPr>
          <w:rFonts w:ascii="Calibri" w:cs="Calibri" w:eastAsia="Calibri" w:hAnsi="Calibri"/>
          <w:sz w:val="20"/>
          <w:szCs w:val="20"/>
          <w:b w:val="1"/>
          <w:bCs w:val="1"/>
          <w:u w:val="single" w:color="auto"/>
          <w:color w:val="0000EE"/>
          <w:highlight w:val="lightGray"/>
        </w:rPr>
        <w:t>Secton 8</w:t>
      </w:r>
      <w:r>
        <w:rPr>
          <w:rFonts w:ascii="Calibri" w:cs="Calibri" w:eastAsia="Calibri" w:hAnsi="Calibri"/>
          <w:sz w:val="20"/>
          <w:szCs w:val="20"/>
          <w:color w:val="auto"/>
        </w:rPr>
        <w:t xml:space="preserve"> shall be made in a manner that does not adversely afect the exempton provided pursuant to Rule 16b-3 under the Exchange Act. The Company shall give each Partcipant notce of an adjustment hereunder, and upon notce, such adjustment shall be conclusive and binding for all purposes.</w:t>
      </w:r>
    </w:p>
    <w:p>
      <w:pPr>
        <w:spacing w:after="0" w:line="210" w:lineRule="exact"/>
        <w:rPr>
          <w:rFonts w:ascii="Calibri" w:cs="Calibri" w:eastAsia="Calibri" w:hAnsi="Calibri"/>
          <w:sz w:val="20"/>
          <w:szCs w:val="20"/>
          <w:color w:val="auto"/>
        </w:rPr>
      </w:pPr>
    </w:p>
    <w:p>
      <w:pPr>
        <w:ind w:left="1500" w:hanging="643"/>
        <w:spacing w:after="0"/>
        <w:tabs>
          <w:tab w:leader="none" w:pos="1500" w:val="left"/>
        </w:tabs>
        <w:numPr>
          <w:ilvl w:val="0"/>
          <w:numId w:val="34"/>
        </w:numPr>
        <w:rPr>
          <w:rFonts w:ascii="Calibri" w:cs="Calibri" w:eastAsia="Calibri" w:hAnsi="Calibri"/>
          <w:sz w:val="20"/>
          <w:szCs w:val="20"/>
          <w:color w:val="auto"/>
        </w:rPr>
      </w:pPr>
      <w:r>
        <w:rPr>
          <w:rFonts w:ascii="Calibri" w:cs="Calibri" w:eastAsia="Calibri" w:hAnsi="Calibri"/>
          <w:sz w:val="20"/>
          <w:szCs w:val="20"/>
          <w:u w:val="single" w:color="auto"/>
          <w:color w:val="auto"/>
        </w:rPr>
        <w:t>Efect of Change in Control</w:t>
      </w:r>
      <w:r>
        <w:rPr>
          <w:rFonts w:ascii="Calibri" w:cs="Calibri" w:eastAsia="Calibri" w:hAnsi="Calibri"/>
          <w:sz w:val="20"/>
          <w:szCs w:val="20"/>
          <w:color w:val="auto"/>
        </w:rPr>
        <w:t>.</w:t>
      </w:r>
    </w:p>
    <w:p>
      <w:pPr>
        <w:spacing w:after="0" w:line="238" w:lineRule="exact"/>
        <w:rPr>
          <w:sz w:val="20"/>
          <w:szCs w:val="20"/>
          <w:color w:val="auto"/>
        </w:rPr>
      </w:pPr>
    </w:p>
    <w:p>
      <w:pPr>
        <w:jc w:val="both"/>
        <w:ind w:left="200" w:right="219" w:firstLine="648"/>
        <w:spacing w:after="0" w:line="248" w:lineRule="auto"/>
        <w:rPr>
          <w:sz w:val="20"/>
          <w:szCs w:val="20"/>
          <w:color w:val="auto"/>
        </w:rPr>
      </w:pPr>
      <w:r>
        <w:rPr>
          <w:rFonts w:ascii="Calibri" w:cs="Calibri" w:eastAsia="Calibri" w:hAnsi="Calibri"/>
          <w:sz w:val="20"/>
          <w:szCs w:val="20"/>
          <w:color w:val="auto"/>
        </w:rPr>
        <w:t xml:space="preserve">9.1 </w:t>
      </w:r>
      <w:r>
        <w:rPr>
          <w:rFonts w:ascii="Calibri" w:cs="Calibri" w:eastAsia="Calibri" w:hAnsi="Calibri"/>
          <w:sz w:val="20"/>
          <w:szCs w:val="20"/>
          <w:u w:val="single" w:color="auto"/>
          <w:color w:val="auto"/>
        </w:rPr>
        <w:t>Awards Not Assumed</w:t>
      </w:r>
      <w:r>
        <w:rPr>
          <w:rFonts w:ascii="Calibri" w:cs="Calibri" w:eastAsia="Calibri" w:hAnsi="Calibri"/>
          <w:sz w:val="20"/>
          <w:szCs w:val="20"/>
          <w:color w:val="auto"/>
        </w:rPr>
        <w:t xml:space="preserve">. Upon a Change in Control event, if not assumed by the successor entty, all outstanding Awards will immediately vest and the holders will receive, in cash or stock, or any combinaton thereof, the value of such Awards based upon the price per share of Common Stock received or to be received by other shareholders of the Company in the event; </w:t>
      </w:r>
      <w:r>
        <w:rPr>
          <w:rFonts w:ascii="Calibri" w:cs="Calibri" w:eastAsia="Calibri" w:hAnsi="Calibri"/>
          <w:sz w:val="20"/>
          <w:szCs w:val="20"/>
          <w:i w:val="1"/>
          <w:iCs w:val="1"/>
          <w:color w:val="auto"/>
        </w:rPr>
        <w:t>provided that</w:t>
      </w:r>
      <w:r>
        <w:rPr>
          <w:rFonts w:ascii="Calibri" w:cs="Calibri" w:eastAsia="Calibri" w:hAnsi="Calibri"/>
          <w:sz w:val="20"/>
          <w:szCs w:val="20"/>
          <w:color w:val="auto"/>
        </w:rPr>
        <w:t xml:space="preserve"> in the case of an Opton or Stock Appreciaton Right , the amount of such payment may be the excess of value of the shares of Common Stock subject to the Opton or Stock Appreciaton Right at the tme of the event over the Exercise Price), and performance-based Awards (i.e., any Awards that become earned or vested based on satsfacton of performance conditons), shall be paid out on a pro rata basis determined as of the level of achievement of performance conditons determined as of the date of the Change in Control, irrespectve of whether the applicable performance period has yet to be satsfed as of such date or Separaton from Service occurs at such tme or subsequently, which payments with respect to any Awards, if any, shall be made as of the payment date determined under the Change in Control Policy or, if later, the date required by Secton 409A. In the case of any Opton or Stock Appreciaton Right with an Exercise Price that equals or exceeds the price paid for a share of Common Stock in connecton with the Change in Control,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55" w:name="page56"/>
    <w:bookmarkEnd w:id="55"/>
    <w:p>
      <w:pPr>
        <w:jc w:val="both"/>
        <w:ind w:left="200" w:right="239"/>
        <w:spacing w:after="0" w:line="242" w:lineRule="auto"/>
        <w:rPr>
          <w:sz w:val="20"/>
          <w:szCs w:val="20"/>
          <w:color w:val="auto"/>
        </w:rPr>
      </w:pPr>
      <w:r>
        <w:rPr>
          <w:rFonts w:ascii="Calibri" w:cs="Calibri" w:eastAsia="Calibri" w:hAnsi="Calibri"/>
          <w:sz w:val="20"/>
          <w:szCs w:val="20"/>
          <w:color w:val="auto"/>
        </w:rPr>
        <w:t>Commitee may cancel the Opton or Stock Appreciaton Right without the payment of consideraton, therefore.</w:t>
      </w:r>
    </w:p>
    <w:p>
      <w:pPr>
        <w:spacing w:after="0" w:line="223" w:lineRule="exact"/>
        <w:rPr>
          <w:sz w:val="20"/>
          <w:szCs w:val="20"/>
          <w:color w:val="auto"/>
        </w:rPr>
      </w:pPr>
    </w:p>
    <w:p>
      <w:pPr>
        <w:jc w:val="both"/>
        <w:ind w:left="200" w:right="219" w:firstLine="648"/>
        <w:spacing w:after="0" w:line="248" w:lineRule="auto"/>
        <w:rPr>
          <w:sz w:val="20"/>
          <w:szCs w:val="20"/>
          <w:color w:val="auto"/>
        </w:rPr>
      </w:pPr>
      <w:r>
        <w:rPr>
          <w:rFonts w:ascii="Calibri" w:cs="Calibri" w:eastAsia="Calibri" w:hAnsi="Calibri"/>
          <w:sz w:val="20"/>
          <w:szCs w:val="20"/>
          <w:color w:val="auto"/>
        </w:rPr>
        <w:t xml:space="preserve">9.2 </w:t>
      </w:r>
      <w:r>
        <w:rPr>
          <w:rFonts w:ascii="Calibri" w:cs="Calibri" w:eastAsia="Calibri" w:hAnsi="Calibri"/>
          <w:sz w:val="20"/>
          <w:szCs w:val="20"/>
          <w:u w:val="single" w:color="auto"/>
          <w:color w:val="auto"/>
        </w:rPr>
        <w:t>Vestng on Separaton from Service</w:t>
      </w:r>
      <w:r>
        <w:rPr>
          <w:rFonts w:ascii="Calibri" w:cs="Calibri" w:eastAsia="Calibri" w:hAnsi="Calibri"/>
          <w:sz w:val="20"/>
          <w:szCs w:val="20"/>
          <w:color w:val="auto"/>
        </w:rPr>
        <w:t xml:space="preserve">. If a Change in Control event occurs and if a Partcipant’s Separaton from Service occurs as a result of a Covered Terminaton, all Awards that are held by the Partcipant and that are outstanding as of the date of the Partcipant’s Covered Terminaton will become fully vested, including any restricted stock awards and restricted stock unit awards, and any Optons and Stock Appreciaton Rights held by the Partcipant will become fully exercisable; </w:t>
      </w:r>
      <w:r>
        <w:rPr>
          <w:rFonts w:ascii="Calibri" w:cs="Calibri" w:eastAsia="Calibri" w:hAnsi="Calibri"/>
          <w:sz w:val="20"/>
          <w:szCs w:val="20"/>
          <w:i w:val="1"/>
          <w:iCs w:val="1"/>
          <w:color w:val="auto"/>
        </w:rPr>
        <w:t>provided</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 xml:space="preserve">that </w:t>
      </w:r>
      <w:r>
        <w:rPr>
          <w:rFonts w:ascii="Calibri" w:cs="Calibri" w:eastAsia="Calibri" w:hAnsi="Calibri"/>
          <w:sz w:val="20"/>
          <w:szCs w:val="20"/>
          <w:color w:val="auto"/>
        </w:rPr>
        <w:t>any performance-based Awards (i.e., any Awards that become earned or vested based on</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satsfacton of performance conditons) shall be paid out on a pro rata basis determined as of the level of achievement of performance conditons determined as of the date of the Change in Control, irrespectve of whether the applicable performance period has yet to be satsfed as of such date or Separaton from Service occurs at such tme or subsequently, which payments with respect to any Awards, if any, shall be made as of the payment date determined under the Change in Control Policy or, if later, the date required by Secton 409A. The preceding provisions shall apply without regard to any contrary provisions in any Award Agreement.</w:t>
      </w:r>
    </w:p>
    <w:p>
      <w:pPr>
        <w:spacing w:after="0" w:line="230" w:lineRule="exact"/>
        <w:rPr>
          <w:sz w:val="20"/>
          <w:szCs w:val="20"/>
          <w:color w:val="auto"/>
        </w:rPr>
      </w:pPr>
    </w:p>
    <w:p>
      <w:pPr>
        <w:jc w:val="both"/>
        <w:ind w:left="200" w:right="219" w:firstLine="657"/>
        <w:spacing w:after="0" w:line="242" w:lineRule="auto"/>
        <w:tabs>
          <w:tab w:leader="none" w:pos="1496" w:val="left"/>
        </w:tabs>
        <w:numPr>
          <w:ilvl w:val="0"/>
          <w:numId w:val="35"/>
        </w:numPr>
        <w:rPr>
          <w:rFonts w:ascii="Calibri" w:cs="Calibri" w:eastAsia="Calibri" w:hAnsi="Calibri"/>
          <w:sz w:val="20"/>
          <w:szCs w:val="20"/>
          <w:color w:val="auto"/>
        </w:rPr>
      </w:pPr>
      <w:r>
        <w:rPr>
          <w:rFonts w:ascii="Calibri" w:cs="Calibri" w:eastAsia="Calibri" w:hAnsi="Calibri"/>
          <w:sz w:val="20"/>
          <w:szCs w:val="20"/>
          <w:u w:val="single" w:color="auto"/>
          <w:color w:val="auto"/>
        </w:rPr>
        <w:t>Amendment and Terminaton</w:t>
      </w:r>
      <w:r>
        <w:rPr>
          <w:rFonts w:ascii="Calibri" w:cs="Calibri" w:eastAsia="Calibri" w:hAnsi="Calibri"/>
          <w:sz w:val="20"/>
          <w:szCs w:val="20"/>
          <w:color w:val="auto"/>
        </w:rPr>
        <w:t xml:space="preserve">. The Board may, at any tme, amend or terminate the Plan. The Board or the Commitee may amend any Award Agreement, </w:t>
      </w:r>
      <w:r>
        <w:rPr>
          <w:rFonts w:ascii="Calibri" w:cs="Calibri" w:eastAsia="Calibri" w:hAnsi="Calibri"/>
          <w:sz w:val="20"/>
          <w:szCs w:val="20"/>
          <w:i w:val="1"/>
          <w:iCs w:val="1"/>
          <w:color w:val="auto"/>
        </w:rPr>
        <w:t>provided that</w:t>
      </w:r>
      <w:r>
        <w:rPr>
          <w:rFonts w:ascii="Calibri" w:cs="Calibri" w:eastAsia="Calibri" w:hAnsi="Calibri"/>
          <w:sz w:val="20"/>
          <w:szCs w:val="20"/>
          <w:color w:val="auto"/>
        </w:rPr>
        <w:t xml:space="preserve"> no amendment or</w:t>
      </w:r>
    </w:p>
    <w:p>
      <w:pPr>
        <w:spacing w:after="0" w:line="20" w:lineRule="exact"/>
        <w:rPr>
          <w:rFonts w:ascii="Calibri" w:cs="Calibri" w:eastAsia="Calibri" w:hAnsi="Calibri"/>
          <w:sz w:val="20"/>
          <w:szCs w:val="20"/>
          <w:color w:val="auto"/>
        </w:rPr>
      </w:pPr>
    </w:p>
    <w:p>
      <w:pPr>
        <w:jc w:val="both"/>
        <w:ind w:left="20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 xml:space="preserve">terminaton may, in the absence of writen consent to the change by the afected Partcipant, adversely afect the rights of any Partcipant or Benefciary under any Award granted under the Plan prior to the date such efectve date of such amendment or terminaton; and provided further that, adjustments pursuant to </w:t>
      </w:r>
      <w:r>
        <w:rPr>
          <w:rFonts w:ascii="Calibri" w:cs="Calibri" w:eastAsia="Calibri" w:hAnsi="Calibri"/>
          <w:sz w:val="20"/>
          <w:szCs w:val="20"/>
          <w:b w:val="1"/>
          <w:bCs w:val="1"/>
          <w:u w:val="single" w:color="auto"/>
          <w:color w:val="0000EE"/>
          <w:highlight w:val="lightGray"/>
        </w:rPr>
        <w:t>Secton 8</w:t>
      </w:r>
      <w:r>
        <w:rPr>
          <w:rFonts w:ascii="Calibri" w:cs="Calibri" w:eastAsia="Calibri" w:hAnsi="Calibri"/>
          <w:sz w:val="20"/>
          <w:szCs w:val="20"/>
          <w:color w:val="auto"/>
        </w:rPr>
        <w:t xml:space="preserve"> (relatng to adjustments in connecton with changes in Common Stock) shall not</w:t>
      </w:r>
    </w:p>
    <w:p>
      <w:pPr>
        <w:spacing w:after="0" w:line="19" w:lineRule="exact"/>
        <w:rPr>
          <w:rFonts w:ascii="Calibri" w:cs="Calibri" w:eastAsia="Calibri" w:hAnsi="Calibri"/>
          <w:sz w:val="20"/>
          <w:szCs w:val="20"/>
          <w:color w:val="auto"/>
        </w:rPr>
      </w:pPr>
    </w:p>
    <w:p>
      <w:pPr>
        <w:jc w:val="both"/>
        <w:ind w:left="20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be subject to the preceding provisions. Notwithstanding the foregoing, no amendment of the Plan or any Award shall be efectve unless approved by the shareholders of the Company to the extent shareholder approval is necessary to satsfy any Applicable Laws or the rules of any stock exchange on which the Common Stock is listed and, at the tme of any such amendment, the Board or the</w:t>
      </w:r>
    </w:p>
    <w:p>
      <w:pPr>
        <w:spacing w:after="0" w:line="19" w:lineRule="exact"/>
        <w:rPr>
          <w:rFonts w:ascii="Calibri" w:cs="Calibri" w:eastAsia="Calibri" w:hAnsi="Calibri"/>
          <w:sz w:val="20"/>
          <w:szCs w:val="20"/>
          <w:color w:val="auto"/>
        </w:rPr>
      </w:pPr>
    </w:p>
    <w:p>
      <w:pPr>
        <w:jc w:val="both"/>
        <w:ind w:left="200" w:right="219"/>
        <w:spacing w:after="0" w:line="244" w:lineRule="auto"/>
        <w:rPr>
          <w:rFonts w:ascii="Calibri" w:cs="Calibri" w:eastAsia="Calibri" w:hAnsi="Calibri"/>
          <w:sz w:val="20"/>
          <w:szCs w:val="20"/>
          <w:color w:val="auto"/>
        </w:rPr>
      </w:pPr>
      <w:r>
        <w:rPr>
          <w:rFonts w:ascii="Calibri" w:cs="Calibri" w:eastAsia="Calibri" w:hAnsi="Calibri"/>
          <w:sz w:val="20"/>
          <w:szCs w:val="20"/>
          <w:color w:val="auto"/>
        </w:rPr>
        <w:t>Commitee, as applicable, shall determine, upon advice from counsel, whether such amendment will be contngent on shareholder approval. It is the intenton of the Company that, to the extent that any provisions of this Plan or any Awards granted hereunder are subject to Secton 409A of the Code, the Plan and the Awards comply with the requirements of Secton 409A of the Code and that the Board and</w:t>
      </w:r>
    </w:p>
    <w:p>
      <w:pPr>
        <w:spacing w:after="0" w:line="19" w:lineRule="exact"/>
        <w:rPr>
          <w:rFonts w:ascii="Calibri" w:cs="Calibri" w:eastAsia="Calibri" w:hAnsi="Calibri"/>
          <w:sz w:val="20"/>
          <w:szCs w:val="20"/>
          <w:color w:val="auto"/>
        </w:rPr>
      </w:pPr>
    </w:p>
    <w:p>
      <w:pPr>
        <w:ind w:left="200" w:right="23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the Commitee, as applicable, shall have the authority (but not the obligaton) to amend the Plan as it deems necessary to conform to Secton 409A (without regard to the consent of any other person).</w:t>
      </w:r>
    </w:p>
    <w:p>
      <w:pPr>
        <w:spacing w:after="0" w:line="229" w:lineRule="exact"/>
        <w:rPr>
          <w:rFonts w:ascii="Calibri" w:cs="Calibri" w:eastAsia="Calibri" w:hAnsi="Calibri"/>
          <w:sz w:val="20"/>
          <w:szCs w:val="20"/>
          <w:color w:val="auto"/>
        </w:rPr>
      </w:pPr>
    </w:p>
    <w:p>
      <w:pPr>
        <w:ind w:left="1500" w:hanging="643"/>
        <w:spacing w:after="0"/>
        <w:tabs>
          <w:tab w:leader="none" w:pos="1500" w:val="left"/>
        </w:tabs>
        <w:numPr>
          <w:ilvl w:val="0"/>
          <w:numId w:val="35"/>
        </w:numPr>
        <w:rPr>
          <w:rFonts w:ascii="Calibri" w:cs="Calibri" w:eastAsia="Calibri" w:hAnsi="Calibri"/>
          <w:sz w:val="20"/>
          <w:szCs w:val="20"/>
          <w:color w:val="auto"/>
        </w:rPr>
      </w:pPr>
      <w:r>
        <w:rPr>
          <w:rFonts w:ascii="Calibri" w:cs="Calibri" w:eastAsia="Calibri" w:hAnsi="Calibri"/>
          <w:sz w:val="20"/>
          <w:szCs w:val="20"/>
          <w:u w:val="single" w:color="auto"/>
          <w:color w:val="auto"/>
        </w:rPr>
        <w:t>General Provisions</w:t>
      </w:r>
      <w:r>
        <w:rPr>
          <w:rFonts w:ascii="Calibri" w:cs="Calibri" w:eastAsia="Calibri" w:hAnsi="Calibri"/>
          <w:sz w:val="20"/>
          <w:szCs w:val="20"/>
          <w:color w:val="auto"/>
        </w:rPr>
        <w:t>.</w:t>
      </w:r>
    </w:p>
    <w:p>
      <w:pPr>
        <w:spacing w:after="0" w:line="238" w:lineRule="exact"/>
        <w:rPr>
          <w:sz w:val="20"/>
          <w:szCs w:val="20"/>
          <w:color w:val="auto"/>
        </w:rPr>
      </w:pPr>
    </w:p>
    <w:p>
      <w:pPr>
        <w:jc w:val="both"/>
        <w:ind w:left="200" w:right="219" w:firstLine="648"/>
        <w:spacing w:after="0" w:line="246" w:lineRule="auto"/>
        <w:rPr>
          <w:sz w:val="20"/>
          <w:szCs w:val="20"/>
          <w:color w:val="auto"/>
        </w:rPr>
      </w:pPr>
      <w:r>
        <w:rPr>
          <w:rFonts w:ascii="Calibri" w:cs="Calibri" w:eastAsia="Calibri" w:hAnsi="Calibri"/>
          <w:sz w:val="20"/>
          <w:szCs w:val="20"/>
          <w:color w:val="auto"/>
        </w:rPr>
        <w:t xml:space="preserve">11.1 </w:t>
      </w:r>
      <w:r>
        <w:rPr>
          <w:rFonts w:ascii="Calibri" w:cs="Calibri" w:eastAsia="Calibri" w:hAnsi="Calibri"/>
          <w:sz w:val="20"/>
          <w:szCs w:val="20"/>
          <w:u w:val="single" w:color="auto"/>
          <w:color w:val="auto"/>
        </w:rPr>
        <w:t>Stockholder Rights</w:t>
      </w:r>
      <w:r>
        <w:rPr>
          <w:rFonts w:ascii="Calibri" w:cs="Calibri" w:eastAsia="Calibri" w:hAnsi="Calibri"/>
          <w:sz w:val="20"/>
          <w:szCs w:val="20"/>
          <w:color w:val="auto"/>
        </w:rPr>
        <w:t xml:space="preserve">. Except as provided in the Plan or an Award Agreement, no Partcipant shall be deemed to be the holder of or to have any of the rights of a holder with respect to any shares of Common Stock subject to such Award unless and untl such Partcipant has satsfed all requirements for the exercise of the Award pursuant to its terms. No adjustment shall be made for dividends (ordinary or extraordinary, whether in cash, securites, or other property) or distributons of other rights for which the record date is prior to the date such Common Stock certfcate is issued, except as provided in </w:t>
      </w:r>
      <w:r>
        <w:rPr>
          <w:rFonts w:ascii="Calibri" w:cs="Calibri" w:eastAsia="Calibri" w:hAnsi="Calibri"/>
          <w:sz w:val="20"/>
          <w:szCs w:val="20"/>
          <w:b w:val="1"/>
          <w:bCs w:val="1"/>
          <w:u w:val="single" w:color="auto"/>
          <w:color w:val="0000EE"/>
          <w:highlight w:val="lightGray"/>
        </w:rPr>
        <w:t>Secton 8</w:t>
      </w:r>
      <w:r>
        <w:rPr>
          <w:rFonts w:ascii="Calibri" w:cs="Calibri" w:eastAsia="Calibri" w:hAnsi="Calibri"/>
          <w:sz w:val="20"/>
          <w:szCs w:val="20"/>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56" w:name="page57"/>
    <w:bookmarkEnd w:id="56"/>
    <w:p>
      <w:pPr>
        <w:jc w:val="both"/>
        <w:ind w:left="200" w:right="219" w:firstLine="648"/>
        <w:spacing w:after="0" w:line="246" w:lineRule="auto"/>
        <w:rPr>
          <w:sz w:val="20"/>
          <w:szCs w:val="20"/>
          <w:color w:val="auto"/>
        </w:rPr>
      </w:pPr>
      <w:r>
        <w:rPr>
          <w:rFonts w:ascii="Calibri" w:cs="Calibri" w:eastAsia="Calibri" w:hAnsi="Calibri"/>
          <w:sz w:val="20"/>
          <w:szCs w:val="20"/>
          <w:color w:val="auto"/>
        </w:rPr>
        <w:t xml:space="preserve">11.2 </w:t>
      </w:r>
      <w:r>
        <w:rPr>
          <w:rFonts w:ascii="Calibri" w:cs="Calibri" w:eastAsia="Calibri" w:hAnsi="Calibri"/>
          <w:sz w:val="20"/>
          <w:szCs w:val="20"/>
          <w:u w:val="single" w:color="auto"/>
          <w:color w:val="auto"/>
        </w:rPr>
        <w:t>No Employment or Other Service Rights</w:t>
      </w:r>
      <w:r>
        <w:rPr>
          <w:rFonts w:ascii="Calibri" w:cs="Calibri" w:eastAsia="Calibri" w:hAnsi="Calibri"/>
          <w:sz w:val="20"/>
          <w:szCs w:val="20"/>
          <w:color w:val="auto"/>
        </w:rPr>
        <w:t xml:space="preserve">. Nothing in the Plan or any instrument executed or Award granted pursuant thereto shall confer upon any Partcipant any right to contnue to serve the Company or an Afliate in the capacity </w:t>
      </w:r>
      <w:r>
        <w:rPr>
          <w:rFonts w:ascii="Calibri" w:cs="Calibri" w:eastAsia="Calibri" w:hAnsi="Calibri"/>
          <w:sz w:val="20"/>
          <w:szCs w:val="20"/>
          <w:u w:val="single" w:color="auto"/>
          <w:color w:val="auto"/>
        </w:rPr>
        <w:t>in</w:t>
      </w:r>
      <w:r>
        <w:rPr>
          <w:rFonts w:ascii="Calibri" w:cs="Calibri" w:eastAsia="Calibri" w:hAnsi="Calibri"/>
          <w:sz w:val="20"/>
          <w:szCs w:val="20"/>
          <w:color w:val="auto"/>
        </w:rPr>
        <w:t xml:space="preserve"> efect at the tme the Award was granted or shall afect the right of the Company or an Afliate to terminate (a) the employment of an Employee with or without notce and with or without Cause or (b) the service of a Director pursuant to the By-laws of the Company or an Afliate, and any applicable provisions of the corporate law of the state in which the Company or the Afliate is incorporated, as the case may be.</w:t>
      </w:r>
    </w:p>
    <w:p>
      <w:pPr>
        <w:spacing w:after="0" w:line="233" w:lineRule="exact"/>
        <w:rPr>
          <w:sz w:val="20"/>
          <w:szCs w:val="20"/>
          <w:color w:val="auto"/>
        </w:rPr>
      </w:pPr>
    </w:p>
    <w:p>
      <w:pPr>
        <w:jc w:val="both"/>
        <w:ind w:left="200" w:right="219" w:firstLine="648"/>
        <w:spacing w:after="0" w:line="248" w:lineRule="auto"/>
        <w:rPr>
          <w:sz w:val="20"/>
          <w:szCs w:val="20"/>
          <w:color w:val="auto"/>
        </w:rPr>
      </w:pPr>
      <w:r>
        <w:rPr>
          <w:rFonts w:ascii="Calibri" w:cs="Calibri" w:eastAsia="Calibri" w:hAnsi="Calibri"/>
          <w:sz w:val="20"/>
          <w:szCs w:val="20"/>
          <w:color w:val="auto"/>
        </w:rPr>
        <w:t xml:space="preserve">11.3 </w:t>
      </w:r>
      <w:r>
        <w:rPr>
          <w:rFonts w:ascii="Calibri" w:cs="Calibri" w:eastAsia="Calibri" w:hAnsi="Calibri"/>
          <w:sz w:val="20"/>
          <w:szCs w:val="20"/>
          <w:u w:val="single" w:color="auto"/>
          <w:color w:val="auto"/>
        </w:rPr>
        <w:t>Withholding Obligatons</w:t>
      </w:r>
      <w:r>
        <w:rPr>
          <w:rFonts w:ascii="Calibri" w:cs="Calibri" w:eastAsia="Calibri" w:hAnsi="Calibri"/>
          <w:sz w:val="20"/>
          <w:szCs w:val="20"/>
          <w:color w:val="auto"/>
        </w:rPr>
        <w:t xml:space="preserve">. To the extent provided by the terms of an Award Agreement and subject to the discreton of the Commitee, the Partcipant may satsfy any federal, state, or local tax withholding obligaton relatng to the exercise or acquisiton of Common Stock under an Award by any of the following means (in additon to the Company’s right to withhold from any compensaton paid to the Partcipant by the Company) or by a combinaton of such means: (a) tendering a cash payment; (b) authorizing the Company to withhold shares of Common Stock from the shares of Common Stock otherwise issuable to the Partcipant as a result of the exercise or acquisiton of Common Stock under the Award, </w:t>
      </w:r>
      <w:r>
        <w:rPr>
          <w:rFonts w:ascii="Calibri" w:cs="Calibri" w:eastAsia="Calibri" w:hAnsi="Calibri"/>
          <w:sz w:val="20"/>
          <w:szCs w:val="20"/>
          <w:i w:val="1"/>
          <w:iCs w:val="1"/>
          <w:color w:val="auto"/>
        </w:rPr>
        <w:t>provided, however</w:t>
      </w:r>
      <w:r>
        <w:rPr>
          <w:rFonts w:ascii="Calibri" w:cs="Calibri" w:eastAsia="Calibri" w:hAnsi="Calibri"/>
          <w:sz w:val="20"/>
          <w:szCs w:val="20"/>
          <w:color w:val="auto"/>
        </w:rPr>
        <w:t>, that no shares of Common Stock are withheld with a value exceeding the maximum marginal income tax rates, including federal, state and local, as applicable; or (c) delivering to the Company previously owned and unencumbered shares of Common Stock of the Company.</w:t>
      </w:r>
    </w:p>
    <w:p>
      <w:pPr>
        <w:spacing w:after="0" w:line="231"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 xml:space="preserve">11.4 </w:t>
      </w:r>
      <w:r>
        <w:rPr>
          <w:rFonts w:ascii="Calibri" w:cs="Calibri" w:eastAsia="Calibri" w:hAnsi="Calibri"/>
          <w:sz w:val="20"/>
          <w:szCs w:val="20"/>
          <w:u w:val="single" w:color="auto"/>
          <w:color w:val="auto"/>
        </w:rPr>
        <w:t>Transferability of Awards</w:t>
      </w:r>
      <w:r>
        <w:rPr>
          <w:rFonts w:ascii="Calibri" w:cs="Calibri" w:eastAsia="Calibri" w:hAnsi="Calibri"/>
          <w:sz w:val="20"/>
          <w:szCs w:val="20"/>
          <w:color w:val="auto"/>
        </w:rPr>
        <w:t xml:space="preserve"> Except as otherwise provided by the Commitee, Awards under the Plan are not transferable except as designated by the Partcipant by will or by the laws of descent and distributon and, in the case of an Opton, shall be exercisable during the lifetme of the Optonholder only by the Optonholder. Subject to the approval of the Commitee or a duly authorized ofcer, an Optonholder may, by delivering writen notce to the Company in a satsfactory form, designate a third party who, in the event of the death of the Optonholder, shall thereafer be enttled to exercise a Non-qualifed Stock Opton. Notwithstanding the foregoing or anything in the Plan or an Award Agreement to the contrary, no Opton may be transferred to any fnancial insttuton without prior shareholder approval.</w:t>
      </w:r>
    </w:p>
    <w:p>
      <w:pPr>
        <w:spacing w:after="0" w:line="200" w:lineRule="exact"/>
        <w:rPr>
          <w:sz w:val="20"/>
          <w:szCs w:val="20"/>
          <w:color w:val="auto"/>
        </w:rPr>
      </w:pPr>
    </w:p>
    <w:p>
      <w:pPr>
        <w:spacing w:after="0" w:line="274" w:lineRule="exact"/>
        <w:rPr>
          <w:sz w:val="20"/>
          <w:szCs w:val="20"/>
          <w:color w:val="auto"/>
        </w:rPr>
      </w:pPr>
    </w:p>
    <w:p>
      <w:pPr>
        <w:jc w:val="both"/>
        <w:ind w:left="200" w:right="219" w:firstLine="648"/>
        <w:spacing w:after="0" w:line="242" w:lineRule="auto"/>
        <w:rPr>
          <w:sz w:val="20"/>
          <w:szCs w:val="20"/>
          <w:color w:val="auto"/>
        </w:rPr>
      </w:pPr>
      <w:r>
        <w:rPr>
          <w:rFonts w:ascii="Calibri" w:cs="Calibri" w:eastAsia="Calibri" w:hAnsi="Calibri"/>
          <w:sz w:val="20"/>
          <w:szCs w:val="20"/>
          <w:color w:val="auto"/>
        </w:rPr>
        <w:t xml:space="preserve">11.5 </w:t>
      </w:r>
      <w:r>
        <w:rPr>
          <w:rFonts w:ascii="Calibri" w:cs="Calibri" w:eastAsia="Calibri" w:hAnsi="Calibri"/>
          <w:sz w:val="20"/>
          <w:szCs w:val="20"/>
          <w:u w:val="single" w:color="auto"/>
          <w:color w:val="auto"/>
        </w:rPr>
        <w:t>Use of Proceeds from Stock</w:t>
      </w:r>
      <w:r>
        <w:rPr>
          <w:rFonts w:ascii="Calibri" w:cs="Calibri" w:eastAsia="Calibri" w:hAnsi="Calibri"/>
          <w:sz w:val="20"/>
          <w:szCs w:val="20"/>
          <w:color w:val="auto"/>
        </w:rPr>
        <w:t>. Proceeds from the sale of Common Stock pursuant to Awards, or upon exercise thereof, shall consttute general funds of the Company.</w:t>
      </w:r>
    </w:p>
    <w:p>
      <w:pPr>
        <w:spacing w:after="0" w:line="237"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 xml:space="preserve">11.6 </w:t>
      </w:r>
      <w:r>
        <w:rPr>
          <w:rFonts w:ascii="Calibri" w:cs="Calibri" w:eastAsia="Calibri" w:hAnsi="Calibri"/>
          <w:sz w:val="20"/>
          <w:szCs w:val="20"/>
          <w:u w:val="single" w:color="auto"/>
          <w:color w:val="auto"/>
        </w:rPr>
        <w:t>Forfeiture Events</w:t>
      </w:r>
      <w:r>
        <w:rPr>
          <w:rFonts w:ascii="Calibri" w:cs="Calibri" w:eastAsia="Calibri" w:hAnsi="Calibri"/>
          <w:sz w:val="20"/>
          <w:szCs w:val="20"/>
          <w:color w:val="auto"/>
        </w:rPr>
        <w:t>. The Commitee may specify in an Award Agreement that the Partcipant’s rights, payments, and benefts with respect to an Award shall be subject to reducton, cancellaton, forfeiture, or recoupment upon the occurrence of certain events, in additon to applicable vestng conditons of an Award. Such events may include, without limitaton, a breach of non-competton, non-solicitaton, confdentality, or other restrictve covenants that are contained in the Award Agreement or otherwise applicable to the Partcipant, terminaton of the Partcipant’s Contnuous Service for Cause, or other conduct by the Partcipant that is detrimental to the business or reputaton of the Company, its Afliates, or both.</w:t>
      </w:r>
    </w:p>
    <w:p>
      <w:pPr>
        <w:spacing w:after="0" w:line="231" w:lineRule="exact"/>
        <w:rPr>
          <w:sz w:val="20"/>
          <w:szCs w:val="20"/>
          <w:color w:val="auto"/>
        </w:rPr>
      </w:pPr>
    </w:p>
    <w:p>
      <w:pPr>
        <w:jc w:val="both"/>
        <w:ind w:left="200" w:right="219" w:firstLine="648"/>
        <w:spacing w:after="0" w:line="246" w:lineRule="auto"/>
        <w:rPr>
          <w:sz w:val="20"/>
          <w:szCs w:val="20"/>
          <w:color w:val="auto"/>
        </w:rPr>
      </w:pPr>
      <w:r>
        <w:rPr>
          <w:rFonts w:ascii="Calibri" w:cs="Calibri" w:eastAsia="Calibri" w:hAnsi="Calibri"/>
          <w:sz w:val="20"/>
          <w:szCs w:val="20"/>
          <w:color w:val="auto"/>
        </w:rPr>
        <w:t xml:space="preserve">11.7 </w:t>
      </w:r>
      <w:r>
        <w:rPr>
          <w:rFonts w:ascii="Calibri" w:cs="Calibri" w:eastAsia="Calibri" w:hAnsi="Calibri"/>
          <w:sz w:val="20"/>
          <w:szCs w:val="20"/>
          <w:u w:val="single" w:color="auto"/>
          <w:color w:val="auto"/>
        </w:rPr>
        <w:t>Clawback</w:t>
      </w:r>
      <w:r>
        <w:rPr>
          <w:rFonts w:ascii="Calibri" w:cs="Calibri" w:eastAsia="Calibri" w:hAnsi="Calibri"/>
          <w:sz w:val="20"/>
          <w:szCs w:val="20"/>
          <w:color w:val="auto"/>
        </w:rPr>
        <w:t>. Notwithstanding any other provisions in this Plan, any Award that is subject to recovery under any law, government regulaton, or stock exchange listng requirement will be subject to such deductons and clawback as may be required to be made pursuant to such law, government regulaton or stock exchange listng requirement (or any policy adopted by the Company pursuant to any such law, government regulaton or stock exchange listng requirement).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57" w:name="page58"/>
    <w:bookmarkEnd w:id="57"/>
    <w:p>
      <w:pPr>
        <w:jc w:val="both"/>
        <w:ind w:left="200" w:right="219" w:firstLine="648"/>
        <w:spacing w:after="0" w:line="244" w:lineRule="auto"/>
        <w:rPr>
          <w:sz w:val="20"/>
          <w:szCs w:val="20"/>
          <w:color w:val="auto"/>
        </w:rPr>
      </w:pPr>
      <w:r>
        <w:rPr>
          <w:rFonts w:ascii="Calibri" w:cs="Calibri" w:eastAsia="Calibri" w:hAnsi="Calibri"/>
          <w:sz w:val="20"/>
          <w:szCs w:val="20"/>
          <w:color w:val="auto"/>
        </w:rPr>
        <w:t xml:space="preserve">11.8 </w:t>
      </w:r>
      <w:r>
        <w:rPr>
          <w:rFonts w:ascii="Calibri" w:cs="Calibri" w:eastAsia="Calibri" w:hAnsi="Calibri"/>
          <w:sz w:val="20"/>
          <w:szCs w:val="20"/>
          <w:u w:val="single" w:color="auto"/>
          <w:color w:val="auto"/>
        </w:rPr>
        <w:t>Other Compensaton Arrangements</w:t>
      </w:r>
      <w:r>
        <w:rPr>
          <w:rFonts w:ascii="Calibri" w:cs="Calibri" w:eastAsia="Calibri" w:hAnsi="Calibri"/>
          <w:sz w:val="20"/>
          <w:szCs w:val="20"/>
          <w:color w:val="auto"/>
        </w:rPr>
        <w:t>. Nothing contained in this Plan shall prevent the Board from adoptng other or additonal compensaton arrangements, subject to shareholder approval if such approval is required, and such arrangements may be either generally applicable or applicable only in specifc cases.</w:t>
      </w:r>
    </w:p>
    <w:p>
      <w:pPr>
        <w:spacing w:after="0" w:line="236" w:lineRule="exact"/>
        <w:rPr>
          <w:sz w:val="20"/>
          <w:szCs w:val="20"/>
          <w:color w:val="auto"/>
        </w:rPr>
      </w:pPr>
    </w:p>
    <w:p>
      <w:pPr>
        <w:jc w:val="both"/>
        <w:ind w:left="200" w:right="219" w:firstLine="648"/>
        <w:spacing w:after="0" w:line="247" w:lineRule="auto"/>
        <w:rPr>
          <w:sz w:val="20"/>
          <w:szCs w:val="20"/>
          <w:color w:val="auto"/>
        </w:rPr>
      </w:pPr>
      <w:r>
        <w:rPr>
          <w:rFonts w:ascii="Calibri" w:cs="Calibri" w:eastAsia="Calibri" w:hAnsi="Calibri"/>
          <w:sz w:val="20"/>
          <w:szCs w:val="20"/>
          <w:color w:val="auto"/>
        </w:rPr>
        <w:t xml:space="preserve">11.9 </w:t>
      </w:r>
      <w:r>
        <w:rPr>
          <w:rFonts w:ascii="Calibri" w:cs="Calibri" w:eastAsia="Calibri" w:hAnsi="Calibri"/>
          <w:sz w:val="20"/>
          <w:szCs w:val="20"/>
          <w:u w:val="single" w:color="auto"/>
          <w:color w:val="auto"/>
        </w:rPr>
        <w:t>Sub-plans</w:t>
      </w:r>
      <w:r>
        <w:rPr>
          <w:rFonts w:ascii="Calibri" w:cs="Calibri" w:eastAsia="Calibri" w:hAnsi="Calibri"/>
          <w:sz w:val="20"/>
          <w:szCs w:val="20"/>
          <w:color w:val="auto"/>
        </w:rPr>
        <w:t>. The Commitee may, from tme to tme, establish sub-plans under the Plan for purposes of satsfying blue sky, securites, tax, or other laws of various jurisdictons in which the Company intends to grant Awards. Any sub-plans shall contain such limitatons and other terms and conditons as the Commitee determines are necessary or desirable. All sub-plans shall be deemed a part of the Plan, but each sub-plan shall apply only to the Partcipants in the jurisdicton for which the sub-plan was designed.</w:t>
      </w:r>
    </w:p>
    <w:p>
      <w:pPr>
        <w:spacing w:after="0" w:line="220" w:lineRule="exact"/>
        <w:rPr>
          <w:sz w:val="20"/>
          <w:szCs w:val="20"/>
          <w:color w:val="auto"/>
        </w:rPr>
      </w:pPr>
    </w:p>
    <w:p>
      <w:pPr>
        <w:jc w:val="both"/>
        <w:ind w:left="200" w:right="239" w:firstLine="648"/>
        <w:spacing w:after="0" w:line="247" w:lineRule="auto"/>
        <w:rPr>
          <w:sz w:val="20"/>
          <w:szCs w:val="20"/>
          <w:color w:val="auto"/>
        </w:rPr>
      </w:pPr>
      <w:r>
        <w:rPr>
          <w:rFonts w:ascii="Calibri" w:cs="Calibri" w:eastAsia="Calibri" w:hAnsi="Calibri"/>
          <w:sz w:val="20"/>
          <w:szCs w:val="20"/>
          <w:color w:val="auto"/>
        </w:rPr>
        <w:t xml:space="preserve">11.10 </w:t>
      </w:r>
      <w:r>
        <w:rPr>
          <w:rFonts w:ascii="Calibri" w:cs="Calibri" w:eastAsia="Calibri" w:hAnsi="Calibri"/>
          <w:sz w:val="20"/>
          <w:szCs w:val="20"/>
          <w:u w:val="single" w:color="auto"/>
          <w:color w:val="auto"/>
        </w:rPr>
        <w:t>Unfunded Plan</w:t>
      </w:r>
      <w:r>
        <w:rPr>
          <w:rFonts w:ascii="Calibri" w:cs="Calibri" w:eastAsia="Calibri" w:hAnsi="Calibri"/>
          <w:sz w:val="20"/>
          <w:szCs w:val="20"/>
          <w:color w:val="auto"/>
        </w:rPr>
        <w:t>. The Plan shall be unfunded. Neither the Company, the Board, nor the Commitee shall be required to establish any special or separate fund or to segregate any assets to assure the performance of its obligatons under the Plan.</w:t>
      </w:r>
    </w:p>
    <w:p>
      <w:pPr>
        <w:spacing w:after="0" w:line="232" w:lineRule="exact"/>
        <w:rPr>
          <w:sz w:val="20"/>
          <w:szCs w:val="20"/>
          <w:color w:val="auto"/>
        </w:rPr>
      </w:pPr>
    </w:p>
    <w:p>
      <w:pPr>
        <w:jc w:val="both"/>
        <w:ind w:left="200" w:right="219" w:firstLine="648"/>
        <w:spacing w:after="0" w:line="244" w:lineRule="auto"/>
        <w:rPr>
          <w:sz w:val="20"/>
          <w:szCs w:val="20"/>
          <w:color w:val="auto"/>
        </w:rPr>
      </w:pPr>
      <w:r>
        <w:rPr>
          <w:rFonts w:ascii="Calibri" w:cs="Calibri" w:eastAsia="Calibri" w:hAnsi="Calibri"/>
          <w:sz w:val="20"/>
          <w:szCs w:val="20"/>
          <w:color w:val="auto"/>
        </w:rPr>
        <w:t xml:space="preserve">11.11 </w:t>
      </w:r>
      <w:r>
        <w:rPr>
          <w:rFonts w:ascii="Calibri" w:cs="Calibri" w:eastAsia="Calibri" w:hAnsi="Calibri"/>
          <w:sz w:val="20"/>
          <w:szCs w:val="20"/>
          <w:u w:val="single" w:color="auto"/>
          <w:color w:val="auto"/>
        </w:rPr>
        <w:t>Delivery</w:t>
      </w:r>
      <w:r>
        <w:rPr>
          <w:rFonts w:ascii="Calibri" w:cs="Calibri" w:eastAsia="Calibri" w:hAnsi="Calibri"/>
          <w:sz w:val="20"/>
          <w:szCs w:val="20"/>
          <w:color w:val="auto"/>
        </w:rPr>
        <w:t>. Upon exercise of a right granted under this Plan, the Company shall issue Common Stock or pay any amounts due within a reasonable period thereafer. Subject to any statutory or regulatory obligatons the Company may otherwise have, for purposes of this Plan, thirty (30) days shall be considered a reasonable period.</w:t>
      </w:r>
    </w:p>
    <w:p>
      <w:pPr>
        <w:spacing w:after="0" w:line="236" w:lineRule="exact"/>
        <w:rPr>
          <w:sz w:val="20"/>
          <w:szCs w:val="20"/>
          <w:color w:val="auto"/>
        </w:rPr>
      </w:pPr>
    </w:p>
    <w:p>
      <w:pPr>
        <w:jc w:val="both"/>
        <w:ind w:left="200" w:right="219" w:firstLine="648"/>
        <w:spacing w:after="0" w:line="244" w:lineRule="auto"/>
        <w:rPr>
          <w:sz w:val="20"/>
          <w:szCs w:val="20"/>
          <w:color w:val="auto"/>
        </w:rPr>
      </w:pPr>
      <w:r>
        <w:rPr>
          <w:rFonts w:ascii="Calibri" w:cs="Calibri" w:eastAsia="Calibri" w:hAnsi="Calibri"/>
          <w:sz w:val="20"/>
          <w:szCs w:val="20"/>
          <w:color w:val="auto"/>
        </w:rPr>
        <w:t xml:space="preserve">11.12 </w:t>
      </w:r>
      <w:r>
        <w:rPr>
          <w:rFonts w:ascii="Calibri" w:cs="Calibri" w:eastAsia="Calibri" w:hAnsi="Calibri"/>
          <w:sz w:val="20"/>
          <w:szCs w:val="20"/>
          <w:u w:val="single" w:color="auto"/>
          <w:color w:val="auto"/>
        </w:rPr>
        <w:t>No Fractonal Shares</w:t>
      </w:r>
      <w:r>
        <w:rPr>
          <w:rFonts w:ascii="Calibri" w:cs="Calibri" w:eastAsia="Calibri" w:hAnsi="Calibri"/>
          <w:sz w:val="20"/>
          <w:szCs w:val="20"/>
          <w:color w:val="auto"/>
        </w:rPr>
        <w:t>. No fractonal shares of Common Stock shall be issued or delivered pursuant to the Plan. The Commitee shall determine whether cash, additonal Awards, or other securites or property shall be issued or paid in lieu of fractonal shares of Common Stock or whether any fractonal shares should be rounded, forfeited, or otherwise eliminated.</w:t>
      </w:r>
    </w:p>
    <w:p>
      <w:pPr>
        <w:spacing w:after="0" w:line="236" w:lineRule="exact"/>
        <w:rPr>
          <w:sz w:val="20"/>
          <w:szCs w:val="20"/>
          <w:color w:val="auto"/>
        </w:rPr>
      </w:pPr>
    </w:p>
    <w:p>
      <w:pPr>
        <w:jc w:val="both"/>
        <w:ind w:left="200" w:right="219" w:firstLine="648"/>
        <w:spacing w:after="0" w:line="246" w:lineRule="auto"/>
        <w:rPr>
          <w:sz w:val="20"/>
          <w:szCs w:val="20"/>
          <w:color w:val="auto"/>
        </w:rPr>
      </w:pPr>
      <w:r>
        <w:rPr>
          <w:rFonts w:ascii="Calibri" w:cs="Calibri" w:eastAsia="Calibri" w:hAnsi="Calibri"/>
          <w:sz w:val="20"/>
          <w:szCs w:val="20"/>
          <w:color w:val="auto"/>
        </w:rPr>
        <w:t xml:space="preserve">11.13 </w:t>
      </w:r>
      <w:r>
        <w:rPr>
          <w:rFonts w:ascii="Calibri" w:cs="Calibri" w:eastAsia="Calibri" w:hAnsi="Calibri"/>
          <w:sz w:val="20"/>
          <w:szCs w:val="20"/>
          <w:u w:val="single" w:color="auto"/>
          <w:color w:val="auto"/>
        </w:rPr>
        <w:t>Binding on Successor</w:t>
      </w:r>
      <w:r>
        <w:rPr>
          <w:rFonts w:ascii="Calibri" w:cs="Calibri" w:eastAsia="Calibri" w:hAnsi="Calibri"/>
          <w:sz w:val="20"/>
          <w:szCs w:val="20"/>
          <w:color w:val="auto"/>
        </w:rPr>
        <w:t>. The obligatons of the Company under the Plan and any Awards shall be binding upon any successor corporaton or organizaton resultng from the merger, consolidaton, or other reorganizaton of the Company or upon any successor corporaton or organizaton succeeding to all or substantally all of the assets and business of the Company and its Afliates, taken as a whole.</w:t>
      </w:r>
    </w:p>
    <w:p>
      <w:pPr>
        <w:spacing w:after="0" w:line="200" w:lineRule="exact"/>
        <w:rPr>
          <w:sz w:val="20"/>
          <w:szCs w:val="20"/>
          <w:color w:val="auto"/>
        </w:rPr>
      </w:pPr>
    </w:p>
    <w:p>
      <w:pPr>
        <w:spacing w:after="0" w:line="271" w:lineRule="exact"/>
        <w:rPr>
          <w:sz w:val="20"/>
          <w:szCs w:val="20"/>
          <w:color w:val="auto"/>
        </w:rPr>
      </w:pPr>
    </w:p>
    <w:p>
      <w:pPr>
        <w:jc w:val="both"/>
        <w:ind w:left="200" w:right="219" w:firstLine="648"/>
        <w:spacing w:after="0" w:line="248" w:lineRule="auto"/>
        <w:rPr>
          <w:sz w:val="20"/>
          <w:szCs w:val="20"/>
          <w:color w:val="auto"/>
        </w:rPr>
      </w:pPr>
      <w:r>
        <w:rPr>
          <w:rFonts w:ascii="Calibri" w:cs="Calibri" w:eastAsia="Calibri" w:hAnsi="Calibri"/>
          <w:sz w:val="20"/>
          <w:szCs w:val="20"/>
          <w:color w:val="auto"/>
        </w:rPr>
        <w:t xml:space="preserve">11.14 </w:t>
      </w:r>
      <w:r>
        <w:rPr>
          <w:rFonts w:ascii="Calibri" w:cs="Calibri" w:eastAsia="Calibri" w:hAnsi="Calibri"/>
          <w:sz w:val="20"/>
          <w:szCs w:val="20"/>
          <w:u w:val="single" w:color="auto"/>
          <w:color w:val="auto"/>
        </w:rPr>
        <w:t>Secton 409A</w:t>
      </w:r>
      <w:r>
        <w:rPr>
          <w:rFonts w:ascii="Calibri" w:cs="Calibri" w:eastAsia="Calibri" w:hAnsi="Calibri"/>
          <w:sz w:val="20"/>
          <w:szCs w:val="20"/>
          <w:color w:val="auto"/>
        </w:rPr>
        <w:t>. The Plan and all Awards made under the Plan are intended to comply with Secton 409A to the extent subject thereto, and, accordingly, to the maximum extent permited, the Plan and each Award Agreement shall be interpreted and administered to comply therewith. Any payments described in the Plan or any Award Agreement that are due within the “short-term deferral period” as defned in Secton 409A shall not be treated as deferred compensaton unless Applicable Laws require otherwise. Notwithstanding anything to the contrary in the Plan, to the extent required to avoid accelerated taxaton and tax penaltes under Secton 409A, amounts that would otherwise be payable and benefts that would otherwise be provided pursuant to the Plan during the six (6) month period immediately following the Partcipant’s terminaton of Contnuous Service shall instead be paid on the frst payroll date afer the six (6)-month anniversary of the Partcipant’s separaton from service (or the Partcipant’s death, if earlier). Notwithstanding the preceding, neither the Company nor the Commitee shall have any obligaton to take any acton to prevent the assessment of any excise tax or penalty on any Partcipant under Secton 409A, and neither the Company nor the Commitee will have any liability to any Partcipant for such tax or penalty. Without limitng the generality of the preceding, none of the Company</w:t>
      </w:r>
    </w:p>
    <w:p>
      <w:pPr>
        <w:sectPr>
          <w:pgSz w:w="11900" w:h="16838" w:orient="portrait"/>
          <w:cols w:equalWidth="0" w:num="1">
            <w:col w:w="9019"/>
          </w:cols>
          <w:pgMar w:left="1440" w:top="1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374015</wp:posOffset>
            </wp:positionV>
            <wp:extent cx="54521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type w:val="continuous"/>
        </w:sectPr>
      </w:pPr>
    </w:p>
    <w:bookmarkStart w:id="58" w:name="page59"/>
    <w:bookmarkEnd w:id="58"/>
    <w:p>
      <w:pPr>
        <w:jc w:val="both"/>
        <w:ind w:left="200" w:right="219"/>
        <w:spacing w:after="0" w:line="246" w:lineRule="auto"/>
        <w:rPr>
          <w:sz w:val="20"/>
          <w:szCs w:val="20"/>
          <w:color w:val="auto"/>
        </w:rPr>
      </w:pPr>
      <w:r>
        <w:rPr>
          <w:rFonts w:ascii="Calibri" w:cs="Calibri" w:eastAsia="Calibri" w:hAnsi="Calibri"/>
          <w:sz w:val="20"/>
          <w:szCs w:val="20"/>
          <w:color w:val="auto"/>
        </w:rPr>
        <w:t>nor any of its Afliates, nor their respectve directors, ofcers, employees, or advisers will be liable to any Partcipant (or any other individual claiming a beneft through Partcipant) for any tax, interest, or penaltes Partcipant may owe as a result of partcipaton in the Plan. The Company and its Afliates will have no obligaton to indemnify or otherwise protect any Partcipant from the obligaton to pay any taxes pursuant to Secton 409A.</w:t>
      </w:r>
    </w:p>
    <w:p>
      <w:pPr>
        <w:spacing w:after="0" w:line="234" w:lineRule="exact"/>
        <w:rPr>
          <w:sz w:val="20"/>
          <w:szCs w:val="20"/>
          <w:color w:val="auto"/>
        </w:rPr>
      </w:pPr>
    </w:p>
    <w:p>
      <w:pPr>
        <w:jc w:val="both"/>
        <w:ind w:left="200" w:right="219" w:firstLine="648"/>
        <w:spacing w:after="0" w:line="246" w:lineRule="auto"/>
        <w:rPr>
          <w:sz w:val="20"/>
          <w:szCs w:val="20"/>
          <w:color w:val="auto"/>
        </w:rPr>
      </w:pPr>
      <w:r>
        <w:rPr>
          <w:rFonts w:ascii="Calibri" w:cs="Calibri" w:eastAsia="Calibri" w:hAnsi="Calibri"/>
          <w:sz w:val="20"/>
          <w:szCs w:val="20"/>
          <w:color w:val="auto"/>
        </w:rPr>
        <w:t xml:space="preserve">11.15 </w:t>
      </w:r>
      <w:r>
        <w:rPr>
          <w:rFonts w:ascii="Calibri" w:cs="Calibri" w:eastAsia="Calibri" w:hAnsi="Calibri"/>
          <w:sz w:val="20"/>
          <w:szCs w:val="20"/>
          <w:u w:val="single" w:color="auto"/>
          <w:color w:val="auto"/>
        </w:rPr>
        <w:t>Secton 16</w:t>
      </w:r>
      <w:r>
        <w:rPr>
          <w:rFonts w:ascii="Calibri" w:cs="Calibri" w:eastAsia="Calibri" w:hAnsi="Calibri"/>
          <w:sz w:val="20"/>
          <w:szCs w:val="20"/>
          <w:color w:val="auto"/>
        </w:rPr>
        <w:t xml:space="preserve">. It is the intent of the Company that the Plan satsfes, and be interpreted in a manner that satsfes, the applicable requirements of Rule 16b-3 as promulgated under Secton 16 of the Exchange Act so that Partcipants will be enttled to the beneft of Rule 16b-3, or any other rule promulgated under Secton 16 of the Exchange Act, and will not be subject to short-swing liability under Secton 16 of the Exchange Act. Accordingly, if the operaton of any provision of the Plan would confict with the intent expressed in this </w:t>
      </w:r>
      <w:r>
        <w:rPr>
          <w:rFonts w:ascii="Calibri" w:cs="Calibri" w:eastAsia="Calibri" w:hAnsi="Calibri"/>
          <w:sz w:val="20"/>
          <w:szCs w:val="20"/>
          <w:b w:val="1"/>
          <w:bCs w:val="1"/>
          <w:color w:val="auto"/>
          <w:highlight w:val="lightGray"/>
        </w:rPr>
        <w:t>Secton 11.15</w:t>
      </w:r>
      <w:r>
        <w:rPr>
          <w:rFonts w:ascii="Calibri" w:cs="Calibri" w:eastAsia="Calibri" w:hAnsi="Calibri"/>
          <w:sz w:val="20"/>
          <w:szCs w:val="20"/>
          <w:color w:val="auto"/>
        </w:rPr>
        <w:t>, such provision, to the extent possible, shall be interpreted and deemed amended so as to avoid such confict.</w:t>
      </w:r>
    </w:p>
    <w:p>
      <w:pPr>
        <w:spacing w:after="0" w:line="233" w:lineRule="exact"/>
        <w:rPr>
          <w:sz w:val="20"/>
          <w:szCs w:val="20"/>
          <w:color w:val="auto"/>
        </w:rPr>
      </w:pPr>
    </w:p>
    <w:p>
      <w:pPr>
        <w:jc w:val="both"/>
        <w:ind w:left="200" w:right="219" w:firstLine="648"/>
        <w:spacing w:after="0" w:line="246" w:lineRule="auto"/>
        <w:rPr>
          <w:sz w:val="20"/>
          <w:szCs w:val="20"/>
          <w:color w:val="auto"/>
        </w:rPr>
      </w:pPr>
      <w:r>
        <w:rPr>
          <w:rFonts w:ascii="Calibri" w:cs="Calibri" w:eastAsia="Calibri" w:hAnsi="Calibri"/>
          <w:sz w:val="20"/>
          <w:szCs w:val="20"/>
          <w:color w:val="auto"/>
        </w:rPr>
        <w:t xml:space="preserve">11.16 </w:t>
      </w:r>
      <w:r>
        <w:rPr>
          <w:rFonts w:ascii="Calibri" w:cs="Calibri" w:eastAsia="Calibri" w:hAnsi="Calibri"/>
          <w:sz w:val="20"/>
          <w:szCs w:val="20"/>
          <w:u w:val="single" w:color="auto"/>
          <w:color w:val="auto"/>
        </w:rPr>
        <w:t>Benefciary Designaton</w:t>
      </w:r>
      <w:r>
        <w:rPr>
          <w:rFonts w:ascii="Calibri" w:cs="Calibri" w:eastAsia="Calibri" w:hAnsi="Calibri"/>
          <w:sz w:val="20"/>
          <w:szCs w:val="20"/>
          <w:color w:val="auto"/>
        </w:rPr>
        <w:t>. Each Partcipant under the Plan may, from tme to tme, name any benefciary or benefciaries by whom any right under the Plan is to be exercised in case of such Partcipant’s death. Each designaton will revoke all prior designatons by the same Partcipant, shall be in a form reasonably prescribed by the Commitee, and shall be efectve only when fled by the Partcipant in writng with the Company during the Partcipant’s lifetme.</w:t>
      </w:r>
    </w:p>
    <w:p>
      <w:pPr>
        <w:spacing w:after="0" w:line="224" w:lineRule="exact"/>
        <w:rPr>
          <w:sz w:val="20"/>
          <w:szCs w:val="20"/>
          <w:color w:val="auto"/>
        </w:rPr>
      </w:pPr>
    </w:p>
    <w:p>
      <w:pPr>
        <w:ind w:left="860"/>
        <w:spacing w:after="0"/>
        <w:tabs>
          <w:tab w:leader="none" w:pos="1480" w:val="left"/>
        </w:tabs>
        <w:rPr>
          <w:sz w:val="20"/>
          <w:szCs w:val="20"/>
          <w:color w:val="auto"/>
        </w:rPr>
      </w:pPr>
      <w:r>
        <w:rPr>
          <w:rFonts w:ascii="Calibri" w:cs="Calibri" w:eastAsia="Calibri" w:hAnsi="Calibri"/>
          <w:sz w:val="20"/>
          <w:szCs w:val="20"/>
          <w:color w:val="auto"/>
        </w:rPr>
        <w:t>11.17</w:t>
      </w:r>
      <w:r>
        <w:rPr>
          <w:sz w:val="20"/>
          <w:szCs w:val="20"/>
          <w:color w:val="auto"/>
        </w:rPr>
        <w:tab/>
      </w:r>
      <w:r>
        <w:rPr>
          <w:rFonts w:ascii="Calibri" w:cs="Calibri" w:eastAsia="Calibri" w:hAnsi="Calibri"/>
          <w:sz w:val="20"/>
          <w:szCs w:val="20"/>
          <w:u w:val="single" w:color="auto"/>
          <w:color w:val="auto"/>
        </w:rPr>
        <w:t>Expenses</w:t>
      </w:r>
      <w:r>
        <w:rPr>
          <w:rFonts w:ascii="Calibri" w:cs="Calibri" w:eastAsia="Calibri" w:hAnsi="Calibri"/>
          <w:sz w:val="20"/>
          <w:szCs w:val="20"/>
          <w:color w:val="auto"/>
        </w:rPr>
        <w:t>. The Company shall pay the costs of administering the Plan.</w:t>
      </w:r>
    </w:p>
    <w:p>
      <w:pPr>
        <w:spacing w:after="0" w:line="225" w:lineRule="exact"/>
        <w:rPr>
          <w:sz w:val="20"/>
          <w:szCs w:val="20"/>
          <w:color w:val="auto"/>
        </w:rPr>
      </w:pPr>
    </w:p>
    <w:p>
      <w:pPr>
        <w:jc w:val="both"/>
        <w:ind w:left="200" w:right="219" w:firstLine="648"/>
        <w:spacing w:after="0" w:line="248" w:lineRule="auto"/>
        <w:rPr>
          <w:sz w:val="20"/>
          <w:szCs w:val="20"/>
          <w:color w:val="auto"/>
        </w:rPr>
      </w:pPr>
      <w:r>
        <w:rPr>
          <w:rFonts w:ascii="Calibri" w:cs="Calibri" w:eastAsia="Calibri" w:hAnsi="Calibri"/>
          <w:sz w:val="20"/>
          <w:szCs w:val="20"/>
          <w:color w:val="auto"/>
        </w:rPr>
        <w:t xml:space="preserve">11.18 </w:t>
      </w:r>
      <w:r>
        <w:rPr>
          <w:rFonts w:ascii="Calibri" w:cs="Calibri" w:eastAsia="Calibri" w:hAnsi="Calibri"/>
          <w:sz w:val="20"/>
          <w:szCs w:val="20"/>
          <w:u w:val="single" w:color="auto"/>
          <w:color w:val="auto"/>
        </w:rPr>
        <w:t>Severability</w:t>
      </w:r>
      <w:r>
        <w:rPr>
          <w:rFonts w:ascii="Calibri" w:cs="Calibri" w:eastAsia="Calibri" w:hAnsi="Calibri"/>
          <w:sz w:val="20"/>
          <w:szCs w:val="20"/>
          <w:color w:val="auto"/>
        </w:rPr>
        <w:t>. If any of the provisions of the Plan or any Award Agreement is held to be invalid, illegal, or unenforceable, whether in whole or in part, such provision shall be deemed modifed to the extent, but only to the extent, of such invalidity, illegality or unenforceability and the remaining provisions shall not be afected thereby.</w:t>
      </w:r>
    </w:p>
    <w:p>
      <w:pPr>
        <w:spacing w:after="0" w:line="219" w:lineRule="exact"/>
        <w:rPr>
          <w:sz w:val="20"/>
          <w:szCs w:val="20"/>
          <w:color w:val="auto"/>
        </w:rPr>
      </w:pPr>
    </w:p>
    <w:p>
      <w:pPr>
        <w:jc w:val="both"/>
        <w:ind w:left="200" w:right="239" w:firstLine="648"/>
        <w:spacing w:after="0" w:line="242" w:lineRule="auto"/>
        <w:rPr>
          <w:sz w:val="20"/>
          <w:szCs w:val="20"/>
          <w:color w:val="auto"/>
        </w:rPr>
      </w:pPr>
      <w:r>
        <w:rPr>
          <w:rFonts w:ascii="Calibri" w:cs="Calibri" w:eastAsia="Calibri" w:hAnsi="Calibri"/>
          <w:sz w:val="20"/>
          <w:szCs w:val="20"/>
          <w:color w:val="auto"/>
        </w:rPr>
        <w:t xml:space="preserve">11.19 </w:t>
      </w:r>
      <w:r>
        <w:rPr>
          <w:rFonts w:ascii="Calibri" w:cs="Calibri" w:eastAsia="Calibri" w:hAnsi="Calibri"/>
          <w:sz w:val="20"/>
          <w:szCs w:val="20"/>
          <w:u w:val="single" w:color="auto"/>
          <w:color w:val="auto"/>
        </w:rPr>
        <w:t>Plan Headings</w:t>
      </w:r>
      <w:r>
        <w:rPr>
          <w:rFonts w:ascii="Calibri" w:cs="Calibri" w:eastAsia="Calibri" w:hAnsi="Calibri"/>
          <w:sz w:val="20"/>
          <w:szCs w:val="20"/>
          <w:color w:val="auto"/>
        </w:rPr>
        <w:t>. The headings in the Plan are for purposes of convenience only and are not intended to defne or limit the constructon of the provisions hereof.</w:t>
      </w:r>
    </w:p>
    <w:p>
      <w:pPr>
        <w:spacing w:after="0" w:line="237" w:lineRule="exact"/>
        <w:rPr>
          <w:sz w:val="20"/>
          <w:szCs w:val="20"/>
          <w:color w:val="auto"/>
        </w:rPr>
      </w:pPr>
    </w:p>
    <w:p>
      <w:pPr>
        <w:jc w:val="both"/>
        <w:ind w:left="200" w:right="219" w:firstLine="648"/>
        <w:spacing w:after="0" w:line="246" w:lineRule="auto"/>
        <w:rPr>
          <w:sz w:val="20"/>
          <w:szCs w:val="20"/>
          <w:color w:val="auto"/>
        </w:rPr>
      </w:pPr>
      <w:r>
        <w:rPr>
          <w:rFonts w:ascii="Calibri" w:cs="Calibri" w:eastAsia="Calibri" w:hAnsi="Calibri"/>
          <w:sz w:val="20"/>
          <w:szCs w:val="20"/>
          <w:color w:val="auto"/>
        </w:rPr>
        <w:t xml:space="preserve">11.20 </w:t>
      </w:r>
      <w:r>
        <w:rPr>
          <w:rFonts w:ascii="Calibri" w:cs="Calibri" w:eastAsia="Calibri" w:hAnsi="Calibri"/>
          <w:sz w:val="20"/>
          <w:szCs w:val="20"/>
          <w:u w:val="single" w:color="auto"/>
          <w:color w:val="auto"/>
        </w:rPr>
        <w:t>Non-Uniform Treatment</w:t>
      </w:r>
      <w:r>
        <w:rPr>
          <w:rFonts w:ascii="Calibri" w:cs="Calibri" w:eastAsia="Calibri" w:hAnsi="Calibri"/>
          <w:sz w:val="20"/>
          <w:szCs w:val="20"/>
          <w:color w:val="auto"/>
        </w:rPr>
        <w:t>. The Commitee’s determinatons under the Plan need not be uniform and may be made selectvely among persons who are eligible to receive or actually receive Awards. Without limitng the generality of the previous, the Commitee shall be enttled to make non-uniform and selectve determinatons, amendments, and adjustments and to enter into non-uniform and selectve Award Agreements.</w:t>
      </w:r>
    </w:p>
    <w:p>
      <w:pPr>
        <w:spacing w:after="0" w:line="234" w:lineRule="exact"/>
        <w:rPr>
          <w:sz w:val="20"/>
          <w:szCs w:val="20"/>
          <w:color w:val="auto"/>
        </w:rPr>
      </w:pPr>
    </w:p>
    <w:p>
      <w:pPr>
        <w:jc w:val="both"/>
        <w:ind w:left="200" w:right="219" w:firstLine="657"/>
        <w:spacing w:after="0" w:line="244" w:lineRule="auto"/>
        <w:tabs>
          <w:tab w:leader="none" w:pos="1496" w:val="left"/>
        </w:tabs>
        <w:numPr>
          <w:ilvl w:val="0"/>
          <w:numId w:val="36"/>
        </w:numPr>
        <w:rPr>
          <w:rFonts w:ascii="Calibri" w:cs="Calibri" w:eastAsia="Calibri" w:hAnsi="Calibri"/>
          <w:sz w:val="20"/>
          <w:szCs w:val="20"/>
          <w:color w:val="auto"/>
        </w:rPr>
      </w:pPr>
      <w:r>
        <w:rPr>
          <w:rFonts w:ascii="Calibri" w:cs="Calibri" w:eastAsia="Calibri" w:hAnsi="Calibri"/>
          <w:sz w:val="20"/>
          <w:szCs w:val="20"/>
          <w:u w:val="single" w:color="auto"/>
          <w:color w:val="auto"/>
        </w:rPr>
        <w:t>History; Efectve Date of Plan</w:t>
      </w:r>
      <w:r>
        <w:rPr>
          <w:rFonts w:ascii="Calibri" w:cs="Calibri" w:eastAsia="Calibri" w:hAnsi="Calibri"/>
          <w:sz w:val="20"/>
          <w:szCs w:val="20"/>
          <w:color w:val="auto"/>
        </w:rPr>
        <w:t>. The Plan shall become efectve as of the Efectve Date. The Plan was frst adopted by the Board on December 1, 2016, and approved by shareholders on December 8, 2016; frst amended by the Board on October 22, 2020, and approved by shareholders on December 9, 2020. The Plan, as amended and restated as set forth herein, was adopted by the Board on</w:t>
      </w:r>
    </w:p>
    <w:p>
      <w:pPr>
        <w:spacing w:after="0" w:line="19" w:lineRule="exact"/>
        <w:rPr>
          <w:rFonts w:ascii="Calibri" w:cs="Calibri" w:eastAsia="Calibri" w:hAnsi="Calibri"/>
          <w:sz w:val="20"/>
          <w:szCs w:val="20"/>
          <w:color w:val="auto"/>
        </w:rPr>
      </w:pPr>
    </w:p>
    <w:p>
      <w:pPr>
        <w:jc w:val="both"/>
        <w:ind w:left="200" w:right="219"/>
        <w:spacing w:after="0" w:line="246" w:lineRule="auto"/>
        <w:rPr>
          <w:rFonts w:ascii="Calibri" w:cs="Calibri" w:eastAsia="Calibri" w:hAnsi="Calibri"/>
          <w:sz w:val="20"/>
          <w:szCs w:val="20"/>
          <w:color w:val="auto"/>
        </w:rPr>
      </w:pPr>
      <w:r>
        <w:rPr>
          <w:rFonts w:ascii="Calibri" w:cs="Calibri" w:eastAsia="Calibri" w:hAnsi="Calibri"/>
          <w:sz w:val="20"/>
          <w:szCs w:val="20"/>
          <w:color w:val="auto"/>
        </w:rPr>
        <w:t>October 18, 2024. The Plan shall be unlimited in duraton and, in the event of Plan terminaton, shall remain in efect as long as any Awards granted under it are outstanding and not fully vested or paid, as applicable; provided, however, that no new Awards shall be made under the Plan on or afer the tenth anniversary of the Efectve Date. Any Awards granted under the Plan prior to the Efectve Date shall contnue to be subject to the terms and conditons of the Plan as in efect immediately prior to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59" w:name="page60"/>
    <w:bookmarkEnd w:id="59"/>
    <w:p>
      <w:pPr>
        <w:ind w:left="200" w:right="219"/>
        <w:spacing w:after="0" w:line="242" w:lineRule="auto"/>
        <w:rPr>
          <w:sz w:val="20"/>
          <w:szCs w:val="20"/>
          <w:color w:val="auto"/>
        </w:rPr>
      </w:pPr>
      <w:r>
        <w:rPr>
          <w:rFonts w:ascii="Calibri" w:cs="Calibri" w:eastAsia="Calibri" w:hAnsi="Calibri"/>
          <w:sz w:val="20"/>
          <w:szCs w:val="20"/>
          <w:color w:val="auto"/>
        </w:rPr>
        <w:t>Efectve Date. If the Efectve Date does not occur, Awards may contnue to be made under the Plan as in efect prior to the Efectve Date.</w:t>
      </w:r>
    </w:p>
    <w:p>
      <w:pPr>
        <w:spacing w:after="0" w:line="223" w:lineRule="exact"/>
        <w:rPr>
          <w:sz w:val="20"/>
          <w:szCs w:val="20"/>
          <w:color w:val="auto"/>
        </w:rPr>
      </w:pPr>
    </w:p>
    <w:p>
      <w:pPr>
        <w:ind w:left="200" w:right="219" w:firstLine="657"/>
        <w:spacing w:after="0" w:line="242" w:lineRule="auto"/>
        <w:tabs>
          <w:tab w:leader="none" w:pos="1496" w:val="left"/>
        </w:tabs>
        <w:numPr>
          <w:ilvl w:val="0"/>
          <w:numId w:val="37"/>
        </w:numPr>
        <w:rPr>
          <w:rFonts w:ascii="Calibri" w:cs="Calibri" w:eastAsia="Calibri" w:hAnsi="Calibri"/>
          <w:sz w:val="20"/>
          <w:szCs w:val="20"/>
          <w:color w:val="auto"/>
        </w:rPr>
      </w:pPr>
      <w:r>
        <w:rPr>
          <w:rFonts w:ascii="Calibri" w:cs="Calibri" w:eastAsia="Calibri" w:hAnsi="Calibri"/>
          <w:sz w:val="20"/>
          <w:szCs w:val="20"/>
          <w:u w:val="single" w:color="auto"/>
          <w:color w:val="auto"/>
        </w:rPr>
        <w:t>Choice of Law</w:t>
      </w:r>
      <w:r>
        <w:rPr>
          <w:rFonts w:ascii="Calibri" w:cs="Calibri" w:eastAsia="Calibri" w:hAnsi="Calibri"/>
          <w:sz w:val="20"/>
          <w:szCs w:val="20"/>
          <w:color w:val="auto"/>
        </w:rPr>
        <w:t>. The law of the State of Nevada shall govern all questons concerning the constructon, validity, and interpretaton of this Plan without regard to such state’s confict of law rules.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60" w:name="page61"/>
    <w:bookmarkEnd w:id="6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19685</wp:posOffset>
            </wp:positionV>
            <wp:extent cx="2691765" cy="5575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6917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January 6, 2025</w:t>
      </w:r>
    </w:p>
    <w:p>
      <w:pPr>
        <w:spacing w:after="0" w:line="3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EVOLUTION PETROLEUM CORPORATION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EVOLUTION PETROLEUM OK, INC.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NGS TECHNOLOGIES, INC.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EVOLUTION ROYALTIES, INC.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EVOLUTION PETROLEUM WEST, INC.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1155 Dairy Ashford Rd. Suite 425</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Houston, Texas 77079</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Attention: Kelly Loyd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E-mail: kloyd@evolutionpetroleum.com</w:t>
      </w:r>
    </w:p>
    <w:p>
      <w:pPr>
        <w:spacing w:after="0" w:line="207" w:lineRule="exact"/>
        <w:rPr>
          <w:sz w:val="20"/>
          <w:szCs w:val="20"/>
          <w:color w:val="auto"/>
        </w:rPr>
      </w:pPr>
    </w:p>
    <w:p>
      <w:pPr>
        <w:jc w:val="both"/>
        <w:ind w:left="1500" w:right="219" w:hanging="639"/>
        <w:spacing w:after="0" w:line="254" w:lineRule="auto"/>
        <w:tabs>
          <w:tab w:leader="none" w:pos="14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Credit Agreement dated as of April 11, 2016, as amended, by and among EVOLUTION PETROLEUM CORPORATION, a Nevada corporation (“EPC”), EVOLUTION PETROLEUM OK, INC., a Texas corporation (“Evolution Texas”), NGS TECHNOLOGIES, INC., a Delaware corporation (“NGS”), EVOLUTION ROYALTIES, INC., a Delaware corporation (“Evolution Royalties”; EPC, Evolution Texas, NGS, and Evolution Royalties are collectively referred to herein as the “Original Borrowers”), EVOLUTION PETROLEUM WEST, INC., a Delaware corporation (“Evolution West”; Evolution West and the Original Borrowers are collectively referred to herein as the “Borrowers”) and MIDFIRST BANK, a federally chartered savings association (“MidFirst”):</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Dear Mr. Loyd:</w:t>
      </w:r>
    </w:p>
    <w:p>
      <w:pPr>
        <w:spacing w:after="0" w:line="225"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MidFirst is reducing the MFB Margined Collateral Value to $65,000,000 in connection with the fall of 2024 redetermination of the Borrowing Base referenced in the Credit Agreement. Accordingly, such a reduction in the MFB Margined Collateral Value necessitates an increase in the minimum required hedging from 25% to 50% pursuant to Section 7.18 of the Credit Agreement.</w:t>
      </w:r>
    </w:p>
    <w:p>
      <w:pPr>
        <w:spacing w:after="0" w:line="18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Borrower and MidFirst hereby agree that the Borrower may satisfy the requirements of Section 7.18 of the Credit Agreement by either (a) making one or more principal payments to MidFirst in aggregate amount such that the Utilization Percentage shall no longer exceed 50%, or (b) entering into (an thereafter maintaining in effect) one or more Swap Contracts to the extent necessary to cause the Borrower to be in compliance with Section 7.18, in either case, by no later than March 7, 2025 (the ”Compliance Alternatives”).</w:t>
      </w:r>
    </w:p>
    <w:p>
      <w:pPr>
        <w:spacing w:after="0" w:line="183"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The Compliance Alternatives shall not extend to any other changes to the MFB Margined Collateral Value (or any other component of the Required Hedging Percentage) triggering an increase to the hedging required by Section 7.18 of the Credit Agreement, and such Compliance Alternatives is granted without prejudice to, and does not constitute a waiver or release of, the Borrowers’ obligations pursuant to Section 7.18 of the Credit Agreement.</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Executed this 6th day of January, 2025.</w:t>
      </w: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MIDFIRST BANK, a federally chartered savings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26035</wp:posOffset>
            </wp:positionV>
            <wp:extent cx="298323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983230" cy="17145"/>
                    </a:xfrm>
                    <a:prstGeom prst="rect">
                      <a:avLst/>
                    </a:prstGeom>
                    <a:noFill/>
                  </pic:spPr>
                </pic:pic>
              </a:graphicData>
            </a:graphic>
          </wp:anchor>
        </w:drawing>
      </w:r>
    </w:p>
    <w:p>
      <w:pPr>
        <w:spacing w:after="0" w:line="354"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Chay Kramer</w:t>
      </w:r>
    </w:p>
    <w:p>
      <w:pPr>
        <w:spacing w:after="0" w:line="27"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0" w:lineRule="exact"/>
        <w:rPr>
          <w:sz w:val="20"/>
          <w:szCs w:val="20"/>
          <w:color w:val="auto"/>
        </w:rPr>
      </w:pPr>
    </w:p>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w:t>
      </w:r>
    </w:p>
    <w:p>
      <w:pPr>
        <w:ind w:left="200"/>
        <w:spacing w:after="0"/>
        <w:rPr>
          <w:sz w:val="20"/>
          <w:szCs w:val="20"/>
          <w:color w:val="auto"/>
        </w:rPr>
      </w:pPr>
      <w:r>
        <w:rPr>
          <w:rFonts w:ascii="Times New Roman" w:cs="Times New Roman" w:eastAsia="Times New Roman" w:hAnsi="Times New Roman"/>
          <w:sz w:val="14"/>
          <w:szCs w:val="14"/>
          <w:color w:val="auto"/>
        </w:rPr>
        <w:t>20678967.1:613505.02679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390525</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1" w:name="page62"/>
    <w:bookmarkEnd w:id="61"/>
    <w:p>
      <w:pPr>
        <w:ind w:left="200"/>
        <w:spacing w:after="0"/>
        <w:rPr>
          <w:sz w:val="20"/>
          <w:szCs w:val="20"/>
          <w:color w:val="auto"/>
        </w:rPr>
      </w:pPr>
      <w:r>
        <w:rPr>
          <w:rFonts w:ascii="Times New Roman" w:cs="Times New Roman" w:eastAsia="Times New Roman" w:hAnsi="Times New Roman"/>
          <w:sz w:val="18"/>
          <w:szCs w:val="18"/>
          <w:color w:val="auto"/>
        </w:rPr>
        <w:t>ACKNOWLEDGED, AGREED AND ACCEPTED, this  6</w:t>
      </w:r>
      <w:r>
        <w:rPr>
          <w:rFonts w:ascii="Times New Roman" w:cs="Times New Roman" w:eastAsia="Times New Roman" w:hAnsi="Times New Roman"/>
          <w:sz w:val="26"/>
          <w:szCs w:val="26"/>
          <w:u w:val="single" w:color="auto"/>
          <w:color w:val="auto"/>
          <w:vertAlign w:val="superscript"/>
        </w:rPr>
        <w:t>th</w:t>
      </w:r>
      <w:r>
        <w:rPr>
          <w:rFonts w:ascii="Times New Roman" w:cs="Times New Roman" w:eastAsia="Times New Roman" w:hAnsi="Times New Roman"/>
          <w:sz w:val="18"/>
          <w:szCs w:val="18"/>
          <w:color w:val="auto"/>
        </w:rPr>
        <w:t xml:space="preserve">  day of  January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-66040</wp:posOffset>
            </wp:positionV>
            <wp:extent cx="266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66700" cy="825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-66040</wp:posOffset>
            </wp:positionV>
            <wp:extent cx="4692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EVOLUTION PETROLEUM CORPORATION</w:t>
      </w:r>
      <w:r>
        <w:rPr>
          <w:rFonts w:ascii="Times New Roman" w:cs="Times New Roman" w:eastAsia="Times New Roman" w:hAnsi="Times New Roman"/>
          <w:sz w:val="17"/>
          <w:szCs w:val="17"/>
          <w:color w:val="auto"/>
        </w:rPr>
        <w:t>, a</w:t>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Nevada corporation</w:t>
      </w:r>
    </w:p>
    <w:p>
      <w:pPr>
        <w:spacing w:after="0" w:line="200" w:lineRule="exact"/>
        <w:rPr>
          <w:sz w:val="20"/>
          <w:szCs w:val="20"/>
          <w:color w:val="auto"/>
        </w:rPr>
      </w:pPr>
    </w:p>
    <w:p>
      <w:pPr>
        <w:spacing w:after="0" w:line="223" w:lineRule="exact"/>
        <w:rPr>
          <w:sz w:val="20"/>
          <w:szCs w:val="20"/>
          <w:color w:val="auto"/>
        </w:rPr>
      </w:pPr>
    </w:p>
    <w:tbl>
      <w:tblPr>
        <w:tblLayout w:type="fixed"/>
        <w:tblInd w:w="47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KELLY</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LOYD</w:t>
            </w:r>
          </w:p>
        </w:tc>
        <w:tc>
          <w:tcPr>
            <w:tcW w:w="0" w:type="dxa"/>
            <w:vAlign w:val="bottom"/>
          </w:tcPr>
          <w:p>
            <w:pPr>
              <w:spacing w:after="0"/>
              <w:rPr>
                <w:sz w:val="1"/>
                <w:szCs w:val="1"/>
                <w:color w:val="auto"/>
              </w:rPr>
            </w:pPr>
          </w:p>
        </w:tc>
      </w:tr>
      <w:tr>
        <w:trPr>
          <w:trHeight w:val="191"/>
        </w:trPr>
        <w:tc>
          <w:tcPr>
            <w:tcW w:w="580" w:type="dxa"/>
            <w:vAlign w:val="bottom"/>
            <w:vMerge w:val="continue"/>
          </w:tcPr>
          <w:p>
            <w:pPr>
              <w:spacing w:after="0"/>
              <w:rPr>
                <w:sz w:val="16"/>
                <w:szCs w:val="16"/>
                <w:color w:val="auto"/>
              </w:rPr>
            </w:pPr>
          </w:p>
        </w:tc>
        <w:tc>
          <w:tcPr>
            <w:tcW w:w="1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Kelly Loyd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EVOLUTION PETROLEUM OK, INC</w:t>
      </w:r>
      <w:r>
        <w:rPr>
          <w:rFonts w:ascii="Times New Roman" w:cs="Times New Roman" w:eastAsia="Times New Roman" w:hAnsi="Times New Roman"/>
          <w:sz w:val="18"/>
          <w:szCs w:val="18"/>
          <w:color w:val="auto"/>
        </w:rPr>
        <w:t>., a Texas</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corporation</w:t>
      </w:r>
    </w:p>
    <w:p>
      <w:pPr>
        <w:spacing w:after="0" w:line="200" w:lineRule="exact"/>
        <w:rPr>
          <w:sz w:val="20"/>
          <w:szCs w:val="20"/>
          <w:color w:val="auto"/>
        </w:rPr>
      </w:pPr>
    </w:p>
    <w:p>
      <w:pPr>
        <w:spacing w:after="0" w:line="223" w:lineRule="exact"/>
        <w:rPr>
          <w:sz w:val="20"/>
          <w:szCs w:val="20"/>
          <w:color w:val="auto"/>
        </w:rPr>
      </w:pPr>
    </w:p>
    <w:tbl>
      <w:tblPr>
        <w:tblLayout w:type="fixed"/>
        <w:tblInd w:w="47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KELLY</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LOYD</w:t>
            </w:r>
          </w:p>
        </w:tc>
        <w:tc>
          <w:tcPr>
            <w:tcW w:w="0" w:type="dxa"/>
            <w:vAlign w:val="bottom"/>
          </w:tcPr>
          <w:p>
            <w:pPr>
              <w:spacing w:after="0"/>
              <w:rPr>
                <w:sz w:val="1"/>
                <w:szCs w:val="1"/>
                <w:color w:val="auto"/>
              </w:rPr>
            </w:pPr>
          </w:p>
        </w:tc>
      </w:tr>
      <w:tr>
        <w:trPr>
          <w:trHeight w:val="191"/>
        </w:trPr>
        <w:tc>
          <w:tcPr>
            <w:tcW w:w="580" w:type="dxa"/>
            <w:vAlign w:val="bottom"/>
            <w:vMerge w:val="continue"/>
          </w:tcPr>
          <w:p>
            <w:pPr>
              <w:spacing w:after="0"/>
              <w:rPr>
                <w:sz w:val="16"/>
                <w:szCs w:val="16"/>
                <w:color w:val="auto"/>
              </w:rPr>
            </w:pPr>
          </w:p>
        </w:tc>
        <w:tc>
          <w:tcPr>
            <w:tcW w:w="1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Kelly Loyd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NGS TECHNOLOGIES, INC</w:t>
      </w:r>
      <w:r>
        <w:rPr>
          <w:rFonts w:ascii="Times New Roman" w:cs="Times New Roman" w:eastAsia="Times New Roman" w:hAnsi="Times New Roman"/>
          <w:sz w:val="18"/>
          <w:szCs w:val="18"/>
          <w:color w:val="auto"/>
        </w:rPr>
        <w:t>., a Delaware</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corporation</w:t>
      </w:r>
    </w:p>
    <w:p>
      <w:pPr>
        <w:spacing w:after="0" w:line="200" w:lineRule="exact"/>
        <w:rPr>
          <w:sz w:val="20"/>
          <w:szCs w:val="20"/>
          <w:color w:val="auto"/>
        </w:rPr>
      </w:pPr>
    </w:p>
    <w:p>
      <w:pPr>
        <w:spacing w:after="0" w:line="236" w:lineRule="exact"/>
        <w:rPr>
          <w:sz w:val="20"/>
          <w:szCs w:val="20"/>
          <w:color w:val="auto"/>
        </w:rPr>
      </w:pPr>
    </w:p>
    <w:tbl>
      <w:tblPr>
        <w:tblLayout w:type="fixed"/>
        <w:tblInd w:w="47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KELLY</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LOYD</w:t>
            </w:r>
          </w:p>
        </w:tc>
        <w:tc>
          <w:tcPr>
            <w:tcW w:w="0" w:type="dxa"/>
            <w:vAlign w:val="bottom"/>
          </w:tcPr>
          <w:p>
            <w:pPr>
              <w:spacing w:after="0"/>
              <w:rPr>
                <w:sz w:val="1"/>
                <w:szCs w:val="1"/>
                <w:color w:val="auto"/>
              </w:rPr>
            </w:pPr>
          </w:p>
        </w:tc>
      </w:tr>
      <w:tr>
        <w:trPr>
          <w:trHeight w:val="191"/>
        </w:trPr>
        <w:tc>
          <w:tcPr>
            <w:tcW w:w="580" w:type="dxa"/>
            <w:vAlign w:val="bottom"/>
            <w:vMerge w:val="continue"/>
          </w:tcPr>
          <w:p>
            <w:pPr>
              <w:spacing w:after="0"/>
              <w:rPr>
                <w:sz w:val="16"/>
                <w:szCs w:val="16"/>
                <w:color w:val="auto"/>
              </w:rPr>
            </w:pPr>
          </w:p>
        </w:tc>
        <w:tc>
          <w:tcPr>
            <w:tcW w:w="1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Kelly Loyd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EVOLUTION ROYALTIES, INC</w:t>
      </w:r>
      <w:r>
        <w:rPr>
          <w:rFonts w:ascii="Times New Roman" w:cs="Times New Roman" w:eastAsia="Times New Roman" w:hAnsi="Times New Roman"/>
          <w:sz w:val="18"/>
          <w:szCs w:val="18"/>
          <w:color w:val="auto"/>
        </w:rPr>
        <w:t>., a Delaware</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corporation</w:t>
      </w:r>
    </w:p>
    <w:p>
      <w:pPr>
        <w:spacing w:after="0" w:line="200" w:lineRule="exact"/>
        <w:rPr>
          <w:sz w:val="20"/>
          <w:szCs w:val="20"/>
          <w:color w:val="auto"/>
        </w:rPr>
      </w:pPr>
    </w:p>
    <w:p>
      <w:pPr>
        <w:spacing w:after="0" w:line="236" w:lineRule="exact"/>
        <w:rPr>
          <w:sz w:val="20"/>
          <w:szCs w:val="20"/>
          <w:color w:val="auto"/>
        </w:rPr>
      </w:pPr>
    </w:p>
    <w:tbl>
      <w:tblPr>
        <w:tblLayout w:type="fixed"/>
        <w:tblInd w:w="47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KELLY</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LOYD</w:t>
            </w:r>
          </w:p>
        </w:tc>
        <w:tc>
          <w:tcPr>
            <w:tcW w:w="0" w:type="dxa"/>
            <w:vAlign w:val="bottom"/>
          </w:tcPr>
          <w:p>
            <w:pPr>
              <w:spacing w:after="0"/>
              <w:rPr>
                <w:sz w:val="1"/>
                <w:szCs w:val="1"/>
                <w:color w:val="auto"/>
              </w:rPr>
            </w:pPr>
          </w:p>
        </w:tc>
      </w:tr>
      <w:tr>
        <w:trPr>
          <w:trHeight w:val="191"/>
        </w:trPr>
        <w:tc>
          <w:tcPr>
            <w:tcW w:w="580" w:type="dxa"/>
            <w:vAlign w:val="bottom"/>
            <w:vMerge w:val="continue"/>
          </w:tcPr>
          <w:p>
            <w:pPr>
              <w:spacing w:after="0"/>
              <w:rPr>
                <w:sz w:val="16"/>
                <w:szCs w:val="16"/>
                <w:color w:val="auto"/>
              </w:rPr>
            </w:pPr>
          </w:p>
        </w:tc>
        <w:tc>
          <w:tcPr>
            <w:tcW w:w="1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Kelly Loyd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EVOLUTION PETROLEUM WEST, INC</w:t>
      </w:r>
      <w:r>
        <w:rPr>
          <w:rFonts w:ascii="Times New Roman" w:cs="Times New Roman" w:eastAsia="Times New Roman" w:hAnsi="Times New Roman"/>
          <w:sz w:val="18"/>
          <w:szCs w:val="18"/>
          <w:color w:val="auto"/>
        </w:rPr>
        <w:t>., a</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220" w:lineRule="exact"/>
        <w:rPr>
          <w:sz w:val="20"/>
          <w:szCs w:val="20"/>
          <w:color w:val="auto"/>
        </w:rPr>
      </w:pPr>
    </w:p>
    <w:tbl>
      <w:tblPr>
        <w:tblLayout w:type="fixed"/>
        <w:tblInd w:w="47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KELLY</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LOYD</w:t>
            </w:r>
          </w:p>
        </w:tc>
        <w:tc>
          <w:tcPr>
            <w:tcW w:w="0" w:type="dxa"/>
            <w:vAlign w:val="bottom"/>
          </w:tcPr>
          <w:p>
            <w:pPr>
              <w:spacing w:after="0"/>
              <w:rPr>
                <w:sz w:val="1"/>
                <w:szCs w:val="1"/>
                <w:color w:val="auto"/>
              </w:rPr>
            </w:pPr>
          </w:p>
        </w:tc>
      </w:tr>
      <w:tr>
        <w:trPr>
          <w:trHeight w:val="191"/>
        </w:trPr>
        <w:tc>
          <w:tcPr>
            <w:tcW w:w="580" w:type="dxa"/>
            <w:vAlign w:val="bottom"/>
            <w:vMerge w:val="continue"/>
          </w:tcPr>
          <w:p>
            <w:pPr>
              <w:spacing w:after="0"/>
              <w:rPr>
                <w:sz w:val="16"/>
                <w:szCs w:val="16"/>
                <w:color w:val="auto"/>
              </w:rPr>
            </w:pPr>
          </w:p>
        </w:tc>
        <w:tc>
          <w:tcPr>
            <w:tcW w:w="1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Kelly Loyd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019"/>
          </w:cols>
          <w:pgMar w:left="1440" w:top="1147" w:right="1440" w:bottom="576" w:gutter="0" w:footer="0" w:header="0"/>
        </w:sectPr>
      </w:pPr>
    </w:p>
    <w:p>
      <w:pPr>
        <w:ind w:left="200"/>
        <w:spacing w:after="0"/>
        <w:rPr>
          <w:sz w:val="20"/>
          <w:szCs w:val="20"/>
          <w:color w:val="auto"/>
        </w:rPr>
      </w:pPr>
      <w:r>
        <w:rPr>
          <w:rFonts w:ascii="Times New Roman" w:cs="Times New Roman" w:eastAsia="Times New Roman" w:hAnsi="Times New Roman"/>
          <w:sz w:val="14"/>
          <w:szCs w:val="14"/>
          <w:color w:val="auto"/>
        </w:rPr>
        <w:t>20678967.1:613505.02679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390525</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7" w:right="1440" w:bottom="576" w:gutter="0" w:footer="0" w:header="0"/>
          <w:type w:val="continuous"/>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 Kelly W. Loyd, President and Chief Executive Officer (Principal Executive Officer) and Director, of Evolution Petroleum Corporation, certify that:</w:t>
      </w:r>
    </w:p>
    <w:p>
      <w:pPr>
        <w:spacing w:after="0" w:line="16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Evolution Petroleum Corporation;</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9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5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12, 2025</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W. LOYD</w:t>
            </w:r>
          </w:p>
        </w:tc>
      </w:tr>
      <w:tr>
        <w:trPr>
          <w:trHeight w:val="189"/>
        </w:trPr>
        <w:tc>
          <w:tcPr>
            <w:tcW w:w="4960" w:type="dxa"/>
            <w:vAlign w:val="bottom"/>
          </w:tcPr>
          <w:p>
            <w:pPr>
              <w:spacing w:after="0"/>
              <w:rPr>
                <w:sz w:val="16"/>
                <w:szCs w:val="16"/>
                <w:color w:val="auto"/>
              </w:rPr>
            </w:pPr>
          </w:p>
        </w:tc>
        <w:tc>
          <w:tcPr>
            <w:tcW w:w="4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Kelly W. Loyd</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 Executive Officer)</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 Director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 Ryan Stash, Senior Vice President, Chief Financial Officer (Principal Financial Officer) and Treasurer of Evolution Petroleum Corporation, certify that:</w:t>
      </w:r>
    </w:p>
    <w:p>
      <w:pPr>
        <w:spacing w:after="0" w:line="16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Evolution Petroleum Corporation;</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9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5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12, 2025</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STASH</w:t>
            </w:r>
          </w:p>
        </w:tc>
      </w:tr>
      <w:tr>
        <w:trPr>
          <w:trHeight w:val="189"/>
        </w:trPr>
        <w:tc>
          <w:tcPr>
            <w:tcW w:w="4960" w:type="dxa"/>
            <w:vAlign w:val="bottom"/>
          </w:tcPr>
          <w:p>
            <w:pPr>
              <w:spacing w:after="0"/>
              <w:rPr>
                <w:sz w:val="16"/>
                <w:szCs w:val="16"/>
                <w:color w:val="auto"/>
              </w:rPr>
            </w:pPr>
          </w:p>
        </w:tc>
        <w:tc>
          <w:tcPr>
            <w:tcW w:w="4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Ryan Stash</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 (Principal Financial</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and Treasurer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undersigned, Kelly W. Loyd, President and Chief Executive Officer (Principal Executive Officer) and Director of Evolution Petroleum Corporation (the “Company”), certifies in connection with the filing with the Securities and Exchange Commission of the Company’s Quarterly Report on Form 10-Q for the quarter ended December 31, 2024 (the “Report”) pursuant to 18 U.S.C. Section 1350, as adopted pursuant to Section 906 of the Sarbanes-Oxley Act of 2002, to his knowledge, that:</w:t>
      </w:r>
    </w:p>
    <w:p>
      <w:pPr>
        <w:spacing w:after="0" w:line="180"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February 12, 2025.</w:t>
      </w:r>
    </w:p>
    <w:p>
      <w:pPr>
        <w:spacing w:after="0" w:line="23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Kelly W. Loyd</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 Executive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i w:val="1"/>
          <w:iCs w:val="1"/>
          <w:color w:val="auto"/>
        </w:rPr>
        <w:t>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undersigned, Ryan Stash, Senior Vice President, Chief Financial Officer (Principal Financial Officer) and Treasurer of Evolution Petroleum Corporation (the “Company”), certifies in connection with the filing with the Securities and Exchange Commission of the Company’s Quarterly Report on Form 10-Q for the quarter ended December 31, 2024 (the “Report”) pursuant to 18 U.S.C. Section 1350, as adopted pursuant to Section 906 of the Sarbanes-Oxley Act of 2002, to his knowledge, that:</w:t>
      </w:r>
    </w:p>
    <w:p>
      <w:pPr>
        <w:spacing w:after="0" w:line="180"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February 12, 2025.</w:t>
      </w:r>
    </w:p>
    <w:p>
      <w:pPr>
        <w:spacing w:after="0" w:line="2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17145</wp:posOffset>
            </wp:positionV>
            <wp:extent cx="3180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Ryan Stash</w:t>
      </w:r>
    </w:p>
    <w:p>
      <w:pPr>
        <w:spacing w:after="0" w:line="23"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 (Principal Financial</w:t>
      </w:r>
    </w:p>
    <w:p>
      <w:pPr>
        <w:spacing w:after="0" w:line="9"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i w:val="1"/>
          <w:iCs w:val="1"/>
          <w:color w:val="auto"/>
        </w:rPr>
        <w:t>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2"/>
    </w:lvl>
  </w:abstractNum>
  <w:abstractNum w:abstractNumId="11">
    <w:nsid w:val="189A769B"/>
    <w:multiLevelType w:val="hybridMultilevel"/>
    <w:lvl w:ilvl="0">
      <w:lvlJc w:val="left"/>
      <w:lvlText w:val="(%1)"/>
      <w:numFmt w:val="lowerLetter"/>
      <w:start w:val="1"/>
    </w:lvl>
    <w:lvl w:ilvl="1">
      <w:lvlJc w:val="left"/>
      <w:lvlText w:val="(%2)"/>
      <w:numFmt w:val="lowerRoman"/>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3"/>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decimal"/>
      <w:start w:val="3"/>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2"/>
    </w:lvl>
  </w:abstractNum>
  <w:abstractNum w:abstractNumId="18">
    <w:nsid w:val="8138641"/>
    <w:multiLevelType w:val="hybridMultilevel"/>
    <w:lvl w:ilvl="0">
      <w:lvlJc w:val="left"/>
      <w:lvlText w:val="%1."/>
      <w:numFmt w:val="decimal"/>
      <w:start w:val="4"/>
    </w:lvl>
  </w:abstractNum>
  <w:abstractNum w:abstractNumId="19">
    <w:nsid w:val="1E7FF521"/>
    <w:multiLevelType w:val="hybridMultilevel"/>
    <w:lvl w:ilvl="0">
      <w:lvlJc w:val="left"/>
      <w:lvlText w:val="%1."/>
      <w:numFmt w:val="decimal"/>
      <w:start w:val="5"/>
    </w:lvl>
  </w:abstractNum>
  <w:abstractNum w:abstractNumId="20">
    <w:nsid w:val="7C3DBD3D"/>
    <w:multiLevelType w:val="hybridMultilevel"/>
    <w:lvl w:ilvl="0">
      <w:lvlJc w:val="left"/>
      <w:lvlText w:val="(%1)"/>
      <w:numFmt w:val="decimal"/>
      <w:start w:val="5"/>
    </w:lvl>
  </w:abstractNum>
  <w:abstractNum w:abstractNumId="21">
    <w:nsid w:val="737B8DDC"/>
    <w:multiLevelType w:val="hybridMultilevel"/>
    <w:lvl w:ilvl="0">
      <w:lvlJc w:val="left"/>
      <w:lvlText w:val="(%1)"/>
      <w:numFmt w:val="decimal"/>
      <w:start w:val="6"/>
    </w:lvl>
  </w:abstractNum>
  <w:abstractNum w:abstractNumId="22">
    <w:nsid w:val="6CEAF087"/>
    <w:multiLevelType w:val="hybridMultilevel"/>
    <w:lvl w:ilvl="0">
      <w:lvlJc w:val="left"/>
      <w:lvlText w:val="(%1)"/>
      <w:numFmt w:val="lowerLetter"/>
      <w:start w:val="2"/>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2"/>
    </w:lvl>
  </w:abstractNum>
  <w:abstractNum w:abstractNumId="25">
    <w:nsid w:val="3006C83E"/>
    <w:multiLevelType w:val="hybridMultilevel"/>
    <w:lvl w:ilvl="0">
      <w:lvlJc w:val="left"/>
      <w:lvlText w:val="%1."/>
      <w:numFmt w:val="decimal"/>
      <w:start w:val="6"/>
    </w:lvl>
    <w:lvl w:ilvl="1">
      <w:lvlJc w:val="left"/>
      <w:lvlText w:val="%2"/>
      <w:numFmt w:val="lowerLetter"/>
      <w:start w:val="1"/>
    </w:lvl>
  </w:abstractNum>
  <w:abstractNum w:abstractNumId="26">
    <w:nsid w:val="614FD4A1"/>
    <w:multiLevelType w:val="hybridMultilevel"/>
    <w:lvl w:ilvl="0">
      <w:lvlJc w:val="left"/>
      <w:lvlText w:val="%1."/>
      <w:numFmt w:val="decimal"/>
      <w:start w:val="6"/>
    </w:lvl>
    <w:lvl w:ilvl="1">
      <w:lvlJc w:val="left"/>
      <w:lvlText w:val="(%2)"/>
      <w:numFmt w:val="lowerLetter"/>
      <w:start w:val="1"/>
    </w:lvl>
  </w:abstractNum>
  <w:abstractNum w:abstractNumId="27">
    <w:nsid w:val="419AC241"/>
    <w:multiLevelType w:val="hybridMultilevel"/>
    <w:lvl w:ilvl="0">
      <w:lvlJc w:val="left"/>
      <w:lvlText w:val="(%1)"/>
      <w:numFmt w:val="lowerLetter"/>
      <w:start w:val="5"/>
    </w:lvl>
  </w:abstractNum>
  <w:abstractNum w:abstractNumId="28">
    <w:nsid w:val="5577F8E1"/>
    <w:multiLevelType w:val="hybridMultilevel"/>
    <w:lvl w:ilvl="0">
      <w:lvlJc w:val="left"/>
      <w:lvlText w:val="(%1)"/>
      <w:numFmt w:val="lowerLetter"/>
      <w:start w:val="1"/>
    </w:lvl>
    <w:lvl w:ilvl="1">
      <w:lvlJc w:val="left"/>
      <w:lvlText w:val="(%2)"/>
      <w:numFmt w:val="lowerRoman"/>
      <w:start w:val="1"/>
    </w:lvl>
  </w:abstractNum>
  <w:abstractNum w:abstractNumId="29">
    <w:nsid w:val="440BADFC"/>
    <w:multiLevelType w:val="hybridMultilevel"/>
    <w:lvl w:ilvl="0">
      <w:lvlJc w:val="left"/>
      <w:lvlText w:val="(%1)"/>
      <w:numFmt w:val="lowerLetter"/>
      <w:start w:val="3"/>
    </w:lvl>
    <w:lvl w:ilvl="1">
      <w:lvlJc w:val="left"/>
      <w:lvlText w:val="(%2)"/>
      <w:numFmt w:val="lowerRoman"/>
      <w:start w:val="1"/>
    </w:lvl>
  </w:abstractNum>
  <w:abstractNum w:abstractNumId="30">
    <w:nsid w:val="5072367"/>
    <w:multiLevelType w:val="hybridMultilevel"/>
    <w:lvl w:ilvl="0">
      <w:lvlJc w:val="left"/>
      <w:lvlText w:val="(%1)"/>
      <w:numFmt w:val="lowerRoman"/>
      <w:start w:val="2"/>
    </w:lvl>
  </w:abstractNum>
  <w:abstractNum w:abstractNumId="31">
    <w:nsid w:val="3804823E"/>
    <w:multiLevelType w:val="hybridMultilevel"/>
    <w:lvl w:ilvl="0">
      <w:lvlJc w:val="left"/>
      <w:lvlText w:val="%1"/>
      <w:numFmt w:val="decimal"/>
      <w:start w:val="1"/>
    </w:lvl>
    <w:lvl w:ilvl="1">
      <w:lvlJc w:val="left"/>
      <w:lvlText w:val="(%2)"/>
      <w:numFmt w:val="lowerLetter"/>
      <w:start w:val="1"/>
    </w:lvl>
  </w:abstractNum>
  <w:abstractNum w:abstractNumId="32">
    <w:nsid w:val="77465F01"/>
    <w:multiLevelType w:val="hybridMultilevel"/>
    <w:lvl w:ilvl="0">
      <w:lvlJc w:val="left"/>
      <w:lvlText w:val="%1."/>
      <w:numFmt w:val="decimal"/>
      <w:start w:val="7"/>
    </w:lvl>
    <w:lvl w:ilvl="1">
      <w:lvlJc w:val="left"/>
      <w:lvlText w:val="%2"/>
      <w:numFmt w:val="lowerLetter"/>
      <w:start w:val="1"/>
    </w:lvl>
  </w:abstractNum>
  <w:abstractNum w:abstractNumId="33">
    <w:nsid w:val="7724C67E"/>
    <w:multiLevelType w:val="hybridMultilevel"/>
    <w:lvl w:ilvl="0">
      <w:lvlJc w:val="left"/>
      <w:lvlText w:val="%1."/>
      <w:numFmt w:val="decimal"/>
      <w:start w:val="8"/>
    </w:lvl>
  </w:abstractNum>
  <w:abstractNum w:abstractNumId="34">
    <w:nsid w:val="5C482A97"/>
    <w:multiLevelType w:val="hybridMultilevel"/>
    <w:lvl w:ilvl="0">
      <w:lvlJc w:val="left"/>
      <w:lvlText w:val="%1."/>
      <w:numFmt w:val="decimal"/>
      <w:start w:val="10"/>
    </w:lvl>
  </w:abstractNum>
  <w:abstractNum w:abstractNumId="35">
    <w:nsid w:val="2463B9EA"/>
    <w:multiLevelType w:val="hybridMultilevel"/>
    <w:lvl w:ilvl="0">
      <w:lvlJc w:val="left"/>
      <w:lvlText w:val="%1."/>
      <w:numFmt w:val="decimal"/>
      <w:start w:val="12"/>
    </w:lvl>
  </w:abstractNum>
  <w:abstractNum w:abstractNumId="36">
    <w:nsid w:val="5E884ADC"/>
    <w:multiLevelType w:val="hybridMultilevel"/>
    <w:lvl w:ilvl="0">
      <w:lvlJc w:val="left"/>
      <w:lvlText w:val="%1."/>
      <w:numFmt w:val="decimal"/>
      <w:start w:val="13"/>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jpe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56" Type="http://schemas.openxmlformats.org/officeDocument/2006/relationships/hyperlink" Target="https://www.sec.gov/Archives/edgar/data/1006655/000155837023001024/epm-20221231xex3d1.htm" TargetMode="External"/><Relationship Id="rId57" Type="http://schemas.openxmlformats.org/officeDocument/2006/relationships/hyperlink" Target="https://www.sec.gov/Archives/edgar/data/1006655/000155837023015706/epm-20230630xex3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2025-02-12T15:41:15Z</dcterms:created>
  <dcterms:modified xsi:type="dcterms:W3CDTF">2025-02-12T15:41:15Z</dcterms:modified>
</cp:coreProperties>
</file>