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040906.xml.htm"/>
      <w:bookmarkStart w:id="1" w:name="ksform409212026_0409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Beatty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EVOLUTION PETROLEUM CORP</w:t>
              </w:r>
            </w:hyperlink>
            <w:r>
              <w:rPr/>
              <w:t xml:space="preserve"> [ </w:t>
            </w:r>
            <w:r>
              <w:rPr>
                <w:rFonts w:ascii="Times;serif" w:hAnsi="Times;serif"/>
                <w:color w:val="0000FF"/>
                <w:sz w:val="24"/>
                <w:shd w:fill="FFFFFF" w:val="clear"/>
              </w:rPr>
              <w:t>EPM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34,357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103,199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17,179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pursuant to Company's Amended and Restated 2016 Equity Incentive Plan, subject to vesting terms and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Company granted performance stock units ("PSUs") pursuant to the Company's Amended and Restated 2016 Equity Incentive Plan. Each PSU represents a contingent right to receive one share of Issuer's common stock, subject to the attainment of performance goals and other vesting criteria. Common shares of stock will not be issued until the performance goals and other vesting criteria have been achieved.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BEATTY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7952" TargetMode="External"/><Relationship Id="rId5" Type="http://schemas.openxmlformats.org/officeDocument/2006/relationships/hyperlink" Target="http://www.sec.gov/cgi-bin/browse-edgar?action=getcompany&amp;CIK=0001006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3614</Characters>
  <CharactersWithSpaces>4196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