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epm-20260630x10k.htm"/>
        <w:bookmarkStart w:id="1" w:name="ksepm20260630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r>
        <w:rPr/>
        <w:t>​</w:t>
      </w:r>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bookmarkStart w:id="2" w:name="_5bc5941a_1d4e_4c32_b248_00e98016a721"/>
      <w:bookmarkEnd w:id="2"/>
      <w:r>
        <w:rPr>
          <w:rFonts w:ascii="Times New Roman;Times;serif" w:hAnsi="Times New Roman;Times;serif"/>
          <w:b/>
          <w:sz w:val="18"/>
        </w:rPr>
        <w:t>UNITED STATES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 10-K</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XS1CPvD5KEmsTBFX3n4yzQ_1_1"/>
      <w:bookmarkStart w:id="4" w:name="_2fa85096_77a2_4581_823b_7944b3a01cd2"/>
      <w:bookmarkStart w:id="5" w:name="Tc_XS1CPvD5KEmsTBFX3n4yzQ_1_1"/>
      <w:bookmarkStart w:id="6" w:name="_2fa85096_77a2_4581_823b_7944b3a01cd2"/>
      <w:bookmarkEnd w:id="5"/>
      <w:bookmarkEnd w:id="6"/>
    </w:p>
    <w:tbl>
      <w:tblPr>
        <w:tblW w:w="9377" w:type="dxa"/>
        <w:jc w:val="left"/>
        <w:tblInd w:w="0" w:type="dxa"/>
        <w:tblLayout w:type="fixed"/>
        <w:tblCellMar>
          <w:top w:w="0" w:type="dxa"/>
          <w:left w:w="0" w:type="dxa"/>
          <w:bottom w:w="0" w:type="dxa"/>
          <w:right w:w="0" w:type="dxa"/>
        </w:tblCellMar>
      </w:tblPr>
      <w:tblGrid>
        <w:gridCol w:w="331"/>
        <w:gridCol w:w="9046"/>
      </w:tblGrid>
      <w:tr>
        <w:trPr/>
        <w:tc>
          <w:tcPr>
            <w:tcW w:w="331" w:type="dxa"/>
            <w:tcBorders/>
            <w:vAlign w:val="center"/>
          </w:tcPr>
          <w:p>
            <w:pPr>
              <w:pStyle w:val="TableContents"/>
              <w:bidi w:val="0"/>
              <w:spacing w:before="0" w:after="0"/>
              <w:ind w:left="0" w:right="0" w:hanging="0"/>
              <w:jc w:val="left"/>
              <w:rPr/>
            </w:pPr>
            <w:r>
              <w:rPr/>
              <w:t>​</w:t>
            </w:r>
          </w:p>
        </w:tc>
        <w:tc>
          <w:tcPr>
            <w:tcW w:w="904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04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ANNUAL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fiscal year ended June 30, 2026</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sQ787MxXmEKwfK5hu1pycg_1_1"/>
      <w:bookmarkStart w:id="8" w:name="_af930417_011f_4f11_9677_879e1df9540b"/>
      <w:bookmarkStart w:id="9" w:name="Tc_sQ787MxXmEKwfK5hu1pycg_1_1"/>
      <w:bookmarkStart w:id="10" w:name="_af930417_011f_4f11_9677_879e1df9540b"/>
      <w:bookmarkEnd w:id="9"/>
      <w:bookmarkEnd w:id="10"/>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40"/>
              <w:ind w:left="0" w:right="0" w:hanging="0"/>
              <w:jc w:val="center"/>
              <w:rPr/>
            </w:pPr>
            <w:r>
              <w:rPr/>
              <w:t>☐</w:t>
            </w:r>
          </w:p>
        </w:tc>
        <w:tc>
          <w:tcPr>
            <w:tcW w:w="9421" w:type="dxa"/>
            <w:tcBorders/>
            <w:vAlign w:val="center"/>
          </w:tcPr>
          <w:p>
            <w:pPr>
              <w:pStyle w:val="TableContents"/>
              <w:bidi w:val="0"/>
              <w:spacing w:before="0" w:after="40"/>
              <w:ind w:left="0" w:right="0" w:hanging="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For the transition period from                to</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Commission File Number 001-32942</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EVOLUTION PETROLEUM CORPORATION</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drawing>
          <wp:inline distT="0" distB="0" distL="0" distR="0">
            <wp:extent cx="207010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70100" cy="533400"/>
                    </a:xfrm>
                    <a:prstGeom prst="rect">
                      <a:avLst/>
                    </a:prstGeom>
                  </pic:spPr>
                </pic:pic>
              </a:graphicData>
            </a:graphic>
          </wp:inline>
        </w:drawing>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1" w:name="Tc_t3eWK9I-0UWs5Ex6qYzrCQ_2_2"/>
      <w:bookmarkStart w:id="12" w:name="Tc_o4tOpl6dr0yU9q0X2LBlIA_2_0"/>
      <w:bookmarkStart w:id="13" w:name="_fd1beca5_de47_40f7_9962_f379b5f73a9f"/>
      <w:bookmarkStart w:id="14" w:name="Tc_t3eWK9I-0UWs5Ex6qYzrCQ_2_2"/>
      <w:bookmarkStart w:id="15" w:name="Tc_o4tOpl6dr0yU9q0X2LBlIA_2_0"/>
      <w:bookmarkStart w:id="16" w:name="_fd1beca5_de47_40f7_9962_f379b5f73a9f"/>
      <w:bookmarkEnd w:id="14"/>
      <w:bookmarkEnd w:id="15"/>
      <w:bookmarkEnd w:id="16"/>
    </w:p>
    <w:tbl>
      <w:tblPr>
        <w:tblW w:w="4038" w:type="dxa"/>
        <w:jc w:val="left"/>
        <w:tblInd w:w="0" w:type="dxa"/>
        <w:tblLayout w:type="fixed"/>
        <w:tblCellMar>
          <w:top w:w="0" w:type="dxa"/>
          <w:left w:w="0" w:type="dxa"/>
          <w:bottom w:w="0" w:type="dxa"/>
          <w:right w:w="0" w:type="dxa"/>
        </w:tblCellMar>
      </w:tblPr>
      <w:tblGrid>
        <w:gridCol w:w="2236"/>
        <w:gridCol w:w="346"/>
        <w:gridCol w:w="1456"/>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419860" cy="175260"/>
                      <wp:effectExtent l="0" t="0" r="0" b="0"/>
                      <wp:wrapNone/>
                      <wp:docPr id="2" name="Frame1"/>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924560" cy="175260"/>
                      <wp:effectExtent l="0" t="0" r="0" b="0"/>
                      <wp:wrapNone/>
                      <wp:docPr id="3" name="Frame2"/>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Nevada</w:t>
            </w:r>
          </w:p>
        </w:tc>
        <w:tc>
          <w:tcPr>
            <w:tcW w:w="346" w:type="dxa"/>
            <w:tcBorders/>
            <w:vAlign w:val="center"/>
          </w:tcPr>
          <w:p>
            <w:pPr>
              <w:pStyle w:val="TableContents"/>
              <w:bidi w:val="0"/>
              <w:spacing w:before="0" w:after="0"/>
              <w:ind w:left="0" w:right="0" w:hanging="0"/>
              <w:jc w:val="left"/>
              <w:rPr/>
            </w:pPr>
            <w:r>
              <w:rPr/>
              <w:t>  ​ ​ ​</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41-1781991</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(State or other jurisdiction of </w:t>
              <w:br/>
              <w:t>incorporation or organization)</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(IRS Employer </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1155 Dairy Ashford Road, Suite 425, Houston, Texas</w:t>
      </w:r>
      <w:r>
        <w:rPr>
          <w:rFonts w:ascii="Times New Roman;Times;serif" w:hAnsi="Times New Roman;Times;serif"/>
          <w:sz w:val="20"/>
        </w:rPr>
        <w:t xml:space="preserve"> </w:t>
      </w:r>
      <w:r>
        <w:rPr>
          <w:rFonts w:ascii="Times New Roman;Times;serif" w:hAnsi="Times New Roman;Times;serif"/>
          <w:b/>
          <w:sz w:val="14"/>
        </w:rPr>
        <w:t>77079</w:t>
      </w:r>
    </w:p>
    <w:p>
      <w:pPr>
        <w:pStyle w:val="TextBody"/>
        <w:bidi w:val="0"/>
        <w:spacing w:before="0" w:after="80"/>
        <w:ind w:left="0" w:right="0" w:hanging="0"/>
        <w:jc w:val="center"/>
        <w:rPr>
          <w:rFonts w:ascii="Times New Roman;Times;serif" w:hAnsi="Times New Roman;Times;serif"/>
          <w:sz w:val="14"/>
        </w:rPr>
      </w:pPr>
      <w:r>
        <w:rPr>
          <w:rFonts w:ascii="Times New Roman;Times;serif" w:hAnsi="Times New Roman;Times;serif"/>
          <w:sz w:val="14"/>
        </w:rPr>
        <w:t>(Address of principal executive offices and zip code)</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(713) 935-0122</w:t>
      </w:r>
    </w:p>
    <w:p>
      <w:pPr>
        <w:pStyle w:val="TextBody"/>
        <w:bidi w:val="0"/>
        <w:spacing w:before="0" w:after="80"/>
        <w:ind w:left="0" w:right="0" w:hanging="0"/>
        <w:jc w:val="center"/>
        <w:rPr>
          <w:rFonts w:ascii="Times New Roman;Times;serif" w:hAnsi="Times New Roman;Times;serif"/>
          <w:sz w:val="14"/>
        </w:rPr>
      </w:pPr>
      <w:r>
        <w:rPr>
          <w:rFonts w:ascii="Times New Roman;Times;serif" w:hAnsi="Times New Roman;Times;serif"/>
          <w:sz w:val="14"/>
        </w:rPr>
        <w:t>(Registrant’s telephone number, including area code)</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Securities registered pursuant to Section 12(b) of the Act:</w:t>
      </w:r>
    </w:p>
    <w:p>
      <w:pPr>
        <w:pStyle w:val="Normal"/>
        <w:bidi w:val="0"/>
        <w:spacing w:before="0" w:after="0"/>
        <w:jc w:val="left"/>
        <w:rPr>
          <w:sz w:val="4"/>
          <w:szCs w:val="4"/>
        </w:rPr>
      </w:pPr>
      <w:r>
        <w:rPr>
          <w:sz w:val="4"/>
          <w:szCs w:val="4"/>
        </w:rPr>
      </w:r>
      <w:bookmarkStart w:id="17" w:name="Tc_GDPyEpvAyUqrfqQj5ktY6Q_1_4"/>
      <w:bookmarkStart w:id="18" w:name="Tc_sO-H08HySUKAOFW4F6W5Fg_1_2"/>
      <w:bookmarkStart w:id="19" w:name="Tc_PRib_Fs5uUmR_zqi1YOc8Q_1_0"/>
      <w:bookmarkStart w:id="20" w:name="_2ccd0b3c_0436_4571_b5e9_837a8404eef0"/>
      <w:bookmarkStart w:id="21" w:name="Tc_GDPyEpvAyUqrfqQj5ktY6Q_1_4"/>
      <w:bookmarkStart w:id="22" w:name="Tc_sO-H08HySUKAOFW4F6W5Fg_1_2"/>
      <w:bookmarkStart w:id="23" w:name="Tc_PRib_Fs5uUmR_zqi1YOc8Q_1_0"/>
      <w:bookmarkStart w:id="24" w:name="_2ccd0b3c_0436_4571_b5e9_837a8404eef0"/>
      <w:bookmarkEnd w:id="21"/>
      <w:bookmarkEnd w:id="22"/>
      <w:bookmarkEnd w:id="23"/>
      <w:bookmarkEnd w:id="24"/>
    </w:p>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8740" cy="1635760"/>
                      <wp:effectExtent l="0" t="0" r="0" b="0"/>
                      <wp:wrapNone/>
                      <wp:docPr id="4" name="Frame3"/>
                      <a:graphic xmlns:a="http://schemas.openxmlformats.org/drawingml/2006/main">
                        <a:graphicData uri="http://schemas.microsoft.com/office/word/2010/wordprocessingShape">
                          <wps:wsp>
                            <wps:cNvSpPr txBox="1"/>
                            <wps:spPr>
                              <a:xfrm>
                                <a:off x="0" y="0"/>
                                <a:ext cx="78740" cy="16357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Title of Each Class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28.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Title of Each Class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9215" cy="350520"/>
                      <wp:effectExtent l="0" t="0" r="0" b="0"/>
                      <wp:wrapNone/>
                      <wp:docPr id="5" name="Frame4"/>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 ​</w:t>
                            </w:r>
                          </w:p>
                        </w:txbxContent>
                      </v:textbox>
                      <w10:wrap type="none"/>
                    </v:rect>
                  </w:pict>
                </mc:Fallback>
              </mc:AlternateConten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9215" cy="1752600"/>
                      <wp:effectExtent l="0" t="0" r="0" b="0"/>
                      <wp:wrapNone/>
                      <wp:docPr id="6" name="Frame5"/>
                      <a:graphic xmlns:a="http://schemas.openxmlformats.org/drawingml/2006/main">
                        <a:graphicData uri="http://schemas.microsoft.com/office/word/2010/wordprocessingShape">
                          <wps:wsp>
                            <wps:cNvSpPr txBox="1"/>
                            <wps:spPr>
                              <a:xfrm>
                                <a:off x="0" y="0"/>
                                <a:ext cx="69215" cy="175260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Trading Symbol(s)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Trading Symbol(s)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9215" cy="350520"/>
                      <wp:effectExtent l="0" t="0" r="0" b="0"/>
                      <wp:wrapNone/>
                      <wp:docPr id="7" name="Frame6"/>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 ​</w:t>
                            </w:r>
                          </w:p>
                        </w:txbxContent>
                      </v:textbox>
                      <w10:wrap type="none"/>
                    </v:rect>
                  </w:pict>
                </mc:Fallback>
              </mc:AlternateContent>
            </w:r>
          </w:p>
        </w:tc>
        <w:tc>
          <w:tcPr>
            <w:tcW w:w="15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97790" cy="2849245"/>
                      <wp:effectExtent l="0" t="0" r="0" b="0"/>
                      <wp:wrapNone/>
                      <wp:docPr id="8" name="Frame7"/>
                      <a:graphic xmlns:a="http://schemas.openxmlformats.org/drawingml/2006/main">
                        <a:graphicData uri="http://schemas.microsoft.com/office/word/2010/wordprocessingShape">
                          <wps:wsp>
                            <wps:cNvSpPr txBox="1"/>
                            <wps:spPr>
                              <a:xfrm>
                                <a:off x="0" y="0"/>
                                <a:ext cx="97790" cy="284924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24.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xbxContent>
                      </v:textbox>
                      <w10:wrap type="none"/>
                    </v:rect>
                  </w:pict>
                </mc:Fallback>
              </mc:AlternateContent>
            </w:r>
          </w:p>
        </w:tc>
      </w:tr>
      <w:tr>
        <w:trPr/>
        <w:tc>
          <w:tcPr>
            <w:tcW w:w="124"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78740" cy="2146935"/>
                      <wp:effectExtent l="0" t="0" r="0" b="0"/>
                      <wp:wrapNone/>
                      <wp:docPr id="9" name="Frame8"/>
                      <a:graphic xmlns:a="http://schemas.openxmlformats.org/drawingml/2006/main">
                        <a:graphicData uri="http://schemas.microsoft.com/office/word/2010/wordprocessingShape">
                          <wps:wsp>
                            <wps:cNvSpPr txBox="1"/>
                            <wps:spPr>
                              <a:xfrm>
                                <a:off x="0" y="0"/>
                                <a:ext cx="78740" cy="214693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Common Stock, $0.001 par value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69.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Common Stock, $0.001 par value</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9215" cy="175260"/>
                      <wp:effectExtent l="0" t="0" r="0" b="0"/>
                      <wp:wrapNone/>
                      <wp:docPr id="10"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09"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9215" cy="306705"/>
                      <wp:effectExtent l="0" t="0" r="0" b="0"/>
                      <wp:wrapNone/>
                      <wp:docPr id="11" name="Frame10"/>
                      <a:graphic xmlns:a="http://schemas.openxmlformats.org/drawingml/2006/main">
                        <a:graphicData uri="http://schemas.microsoft.com/office/word/2010/wordprocessingShape">
                          <wps:wsp>
                            <wps:cNvSpPr txBox="1"/>
                            <wps:spPr>
                              <a:xfrm>
                                <a:off x="0" y="0"/>
                                <a:ext cx="69215" cy="30670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EPM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EPM</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9215" cy="175260"/>
                      <wp:effectExtent l="0" t="0" r="0" b="0"/>
                      <wp:wrapNone/>
                      <wp:docPr id="12" name="Frame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54" w:type="dxa"/>
            <w:tcBorders>
              <w:top w:val="single" w:sz="2"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97790" cy="920115"/>
                      <wp:effectExtent l="0" t="0" r="0" b="0"/>
                      <wp:wrapNone/>
                      <wp:docPr id="13" name="Frame12"/>
                      <a:graphic xmlns:a="http://schemas.openxmlformats.org/drawingml/2006/main">
                        <a:graphicData uri="http://schemas.microsoft.com/office/word/2010/wordprocessingShape">
                          <wps:wsp>
                            <wps:cNvSpPr txBox="1"/>
                            <wps:spPr>
                              <a:xfrm>
                                <a:off x="0" y="0"/>
                                <a:ext cx="97790" cy="92011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NYSE American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7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NYSE American</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 xml:space="preserve">Securities registered pursuant to Section 12(g) of the Act: </w:t>
      </w:r>
      <w:r>
        <w:rPr>
          <w:rFonts w:ascii="Times New Roman;Times;serif" w:hAnsi="Times New Roman;Times;serif"/>
          <w:b/>
          <w:sz w:val="14"/>
        </w:rPr>
        <w:t>None</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if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if the registrant is not required to file reports pursuant to Section 13 or Section 15(d) of the Act.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smaller reporting company, or an emerging growth company. See the definition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5" w:name="Tc_3LcgLs4to0WNgfYsaQTwUg_3_6"/>
      <w:bookmarkStart w:id="26" w:name="Tc_Jh3_ZAN2wkmSdgZB3H9X6A_2_6"/>
      <w:bookmarkStart w:id="27" w:name="Tc_tr67669XWEiOxck309aSXg_2_5"/>
      <w:bookmarkStart w:id="28" w:name="Tc_uu8RS_ovJkaRp9MxRT32mQ_2_3"/>
      <w:bookmarkStart w:id="29" w:name="Tc_J9zt-68w9Uul8qdFjJKaBQ_2_2"/>
      <w:bookmarkStart w:id="30" w:name="Tc_aQfuHe7Gt06k8A2eb2lyxA_2_1"/>
      <w:bookmarkStart w:id="31" w:name="Tc_SGhSZ_R4h0qcpYXTi6-Pzw_2_0"/>
      <w:bookmarkStart w:id="32" w:name="_0c033832_2356_4576_94cf_d4be85956822"/>
      <w:bookmarkStart w:id="33" w:name="Tc_3LcgLs4to0WNgfYsaQTwUg_3_6"/>
      <w:bookmarkStart w:id="34" w:name="Tc_Jh3_ZAN2wkmSdgZB3H9X6A_2_6"/>
      <w:bookmarkStart w:id="35" w:name="Tc_tr67669XWEiOxck309aSXg_2_5"/>
      <w:bookmarkStart w:id="36" w:name="Tc_uu8RS_ovJkaRp9MxRT32mQ_2_3"/>
      <w:bookmarkStart w:id="37" w:name="Tc_J9zt-68w9Uul8qdFjJKaBQ_2_2"/>
      <w:bookmarkStart w:id="38" w:name="Tc_aQfuHe7Gt06k8A2eb2lyxA_2_1"/>
      <w:bookmarkStart w:id="39" w:name="Tc_SGhSZ_R4h0qcpYXTi6-Pzw_2_0"/>
      <w:bookmarkStart w:id="40" w:name="_0c033832_2356_4576_94cf_d4be85956822"/>
      <w:bookmarkEnd w:id="33"/>
      <w:bookmarkEnd w:id="34"/>
      <w:bookmarkEnd w:id="35"/>
      <w:bookmarkEnd w:id="36"/>
      <w:bookmarkEnd w:id="37"/>
      <w:bookmarkEnd w:id="38"/>
      <w:bookmarkEnd w:id="39"/>
      <w:bookmarkEnd w:id="40"/>
    </w:p>
    <w:tbl>
      <w:tblPr>
        <w:tblW w:w="6758" w:type="dxa"/>
        <w:jc w:val="left"/>
        <w:tblInd w:w="0" w:type="dxa"/>
        <w:tblLayout w:type="fixed"/>
        <w:tblCellMar>
          <w:top w:w="0" w:type="dxa"/>
          <w:left w:w="0" w:type="dxa"/>
          <w:bottom w:w="0" w:type="dxa"/>
          <w:right w:w="0" w:type="dxa"/>
        </w:tblCellMar>
      </w:tblPr>
      <w:tblGrid>
        <w:gridCol w:w="1396"/>
        <w:gridCol w:w="316"/>
        <w:gridCol w:w="1036"/>
        <w:gridCol w:w="316"/>
        <w:gridCol w:w="1291"/>
        <w:gridCol w:w="316"/>
        <w:gridCol w:w="1726"/>
        <w:gridCol w:w="361"/>
      </w:tblGrid>
      <w:tr>
        <w:trPr/>
        <w:tc>
          <w:tcPr>
            <w:tcW w:w="139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Large accelerated filer </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Accelerated filer</w:t>
            </w:r>
          </w:p>
        </w:tc>
        <w:tc>
          <w:tcPr>
            <w:tcW w:w="316" w:type="dxa"/>
            <w:tcBorders/>
            <w:vAlign w:val="center"/>
          </w:tcPr>
          <w:p>
            <w:pPr>
              <w:pStyle w:val="TableContents"/>
              <w:bidi w:val="0"/>
              <w:spacing w:before="0" w:after="0"/>
              <w:ind w:left="0" w:right="0" w:hanging="0"/>
              <w:jc w:val="both"/>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Non-accelerated filer</w:t>
            </w:r>
          </w:p>
        </w:tc>
        <w:tc>
          <w:tcPr>
            <w:tcW w:w="31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Smaller reporting company  </w:t>
            </w:r>
          </w:p>
        </w:tc>
        <w:tc>
          <w:tcPr>
            <w:tcW w:w="361"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1036"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both"/>
              <w:rPr/>
            </w:pPr>
            <w:r>
              <w:rPr/>
              <w:t>​</w:t>
            </w:r>
          </w:p>
        </w:tc>
        <w:tc>
          <w:tcPr>
            <w:tcW w:w="129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 </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The aggregate market value of the voting and non-voting common equity held by non-affiliates on December 31, 2025, the last business day of the registrant’s most recently completed second fiscal quarter, based on the closing price on that date of $3.54 on the NYSE American was $110.7 million.</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The number of shares outstanding of the registrant’s common stock, par value $0.001, as of September 11, 2026, was 40,172,226.</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DOCUMENTS INCORPORATED BY REFERENCE</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Portions of the proxy statement related to the registrant’s 2026 Annual Meeting of Stockholders to be filed within 120 days of the end of the fiscal year covered by this report are incorporated by reference into Part III of this report.</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1" w:name="_45390e03_3cbe_449c_99bd_1a0950abc7b9"/>
      <w:bookmarkEnd w:id="41"/>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2026 ANNUAL REPORT ON FORM 10-K</w:t>
      </w:r>
    </w:p>
    <w:p>
      <w:pPr>
        <w:pStyle w:val="TextBody"/>
        <w:bidi w:val="0"/>
        <w:spacing w:before="0" w:after="240"/>
        <w:ind w:left="0" w:right="0" w:hanging="0"/>
        <w:jc w:val="center"/>
        <w:rPr>
          <w:rFonts w:ascii="Times New Roman;Times;serif" w:hAnsi="Times New Roman;Times;serif"/>
          <w:b/>
          <w:sz w:val="20"/>
        </w:rPr>
      </w:pPr>
      <w:bookmarkStart w:id="42" w:name="TOC"/>
      <w:bookmarkEnd w:id="4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08"/>
        <w:gridCol w:w="9035"/>
        <w:gridCol w:w="362"/>
      </w:tblGrid>
      <w:tr>
        <w:trPr/>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13080" cy="175260"/>
                      <wp:effectExtent l="0" t="0" r="0" b="0"/>
                      <wp:wrapNone/>
                      <wp:docPr id="14" name="Frame13"/>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737225" cy="175260"/>
                      <wp:effectExtent l="0" t="0" r="0" b="0"/>
                      <wp:wrapNone/>
                      <wp:docPr id="15" name="Frame14"/>
                      <a:graphic xmlns:a="http://schemas.openxmlformats.org/drawingml/2006/main">
                        <a:graphicData uri="http://schemas.microsoft.com/office/word/2010/wordprocessingShape">
                          <wps:wsp>
                            <wps:cNvSpPr txBox="1"/>
                            <wps:spPr>
                              <a:xfrm>
                                <a:off x="0" y="0"/>
                                <a:ext cx="5737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29870" cy="175260"/>
                      <wp:effectExtent l="0" t="0" r="0" b="0"/>
                      <wp:wrapNone/>
                      <wp:docPr id="16" name="Frame15"/>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843" w:type="dxa"/>
            <w:gridSpan w:val="2"/>
            <w:tcBorders/>
            <w:shd w:fill="CCEEFF" w:val="clear"/>
            <w:vAlign w:val="center"/>
          </w:tcPr>
          <w:p>
            <w:pPr>
              <w:pStyle w:val="TableContents"/>
              <w:bidi w:val="0"/>
              <w:spacing w:before="0" w:after="0"/>
              <w:ind w:left="0" w:right="0" w:hanging="0"/>
              <w:jc w:val="left"/>
              <w:rPr/>
            </w:pPr>
            <w:hyperlink w:anchor="FORWARDLOOKINGSTATEMENTS_262188">
              <w:r>
                <w:rPr>
                  <w:rStyle w:val="InternetLink"/>
                  <w:rFonts w:ascii="Times New Roman;Times;serif" w:hAnsi="Times New Roman;Times;serif"/>
                  <w:b/>
                  <w:i w:val="false"/>
                  <w:caps w:val="false"/>
                  <w:smallCaps w:val="false"/>
                  <w:sz w:val="20"/>
                </w:rPr>
                <w:t>Forward-Looking Statements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ii</w:t>
            </w:r>
          </w:p>
        </w:tc>
      </w:tr>
      <w:tr>
        <w:trPr/>
        <w:tc>
          <w:tcPr>
            <w:tcW w:w="9843" w:type="dxa"/>
            <w:gridSpan w:val="2"/>
            <w:tcBorders/>
            <w:vAlign w:val="center"/>
          </w:tcPr>
          <w:p>
            <w:pPr>
              <w:pStyle w:val="TableContents"/>
              <w:bidi w:val="0"/>
              <w:spacing w:before="0" w:after="0"/>
              <w:ind w:left="0" w:right="0" w:hanging="0"/>
              <w:jc w:val="left"/>
              <w:rPr/>
            </w:pPr>
            <w:hyperlink w:anchor="GLOSSARYOFSELECTEDPETROLEUMINDUSTRYTERMS">
              <w:r>
                <w:rPr>
                  <w:rStyle w:val="InternetLink"/>
                  <w:rFonts w:ascii="Times New Roman;Times;serif" w:hAnsi="Times New Roman;Times;serif"/>
                  <w:b/>
                  <w:i w:val="false"/>
                  <w:caps w:val="false"/>
                  <w:smallCaps w:val="false"/>
                  <w:sz w:val="20"/>
                </w:rPr>
                <w:t>Glossary of Selected Petroleum Industry Terms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iv</w:t>
            </w:r>
          </w:p>
        </w:tc>
      </w:tr>
      <w:tr>
        <w:trPr/>
        <w:tc>
          <w:tcPr>
            <w:tcW w:w="808" w:type="dxa"/>
            <w:tcBorders/>
            <w:shd w:fill="CCEEFF" w:val="clear"/>
            <w:vAlign w:val="center"/>
          </w:tcPr>
          <w:p>
            <w:pPr>
              <w:pStyle w:val="TableContents"/>
              <w:bidi w:val="0"/>
              <w:spacing w:before="0" w:after="0"/>
              <w:ind w:left="0" w:right="0" w:hanging="0"/>
              <w:jc w:val="left"/>
              <w:rPr/>
            </w:pPr>
            <w:hyperlink w:anchor="PARTI_26570">
              <w:r>
                <w:rPr>
                  <w:rStyle w:val="InternetLink"/>
                  <w:rFonts w:ascii="Times New Roman;Times;serif" w:hAnsi="Times New Roman;Times;serif"/>
                  <w:b/>
                  <w:i w:val="false"/>
                  <w:caps w:val="false"/>
                  <w:smallCaps w:val="false"/>
                  <w:sz w:val="20"/>
                </w:rPr>
                <w:t>PART I</w:t>
              </w:r>
            </w:hyperlink>
          </w:p>
        </w:tc>
        <w:tc>
          <w:tcPr>
            <w:tcW w:w="9035"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08" w:type="dxa"/>
            <w:tcBorders/>
            <w:vAlign w:val="center"/>
          </w:tcPr>
          <w:p>
            <w:pPr>
              <w:pStyle w:val="TableContents"/>
              <w:bidi w:val="0"/>
              <w:spacing w:before="0" w:after="0"/>
              <w:ind w:left="0" w:right="0" w:hanging="0"/>
              <w:jc w:val="left"/>
              <w:rPr/>
            </w:pPr>
            <w:hyperlink w:anchor="Item1Business_195690">
              <w:r>
                <w:rPr>
                  <w:rStyle w:val="InternetLink"/>
                  <w:rFonts w:ascii="Times New Roman;Times;serif" w:hAnsi="Times New Roman;Times;serif"/>
                  <w:b w:val="false"/>
                  <w:i w:val="false"/>
                  <w:caps w:val="false"/>
                  <w:smallCaps w:val="false"/>
                  <w:sz w:val="20"/>
                </w:rPr>
                <w:t>Item 1.</w:t>
              </w:r>
            </w:hyperlink>
          </w:p>
        </w:tc>
        <w:tc>
          <w:tcPr>
            <w:tcW w:w="9035" w:type="dxa"/>
            <w:tcBorders/>
            <w:vAlign w:val="center"/>
          </w:tcPr>
          <w:p>
            <w:pPr>
              <w:pStyle w:val="TableContents"/>
              <w:bidi w:val="0"/>
              <w:spacing w:before="0" w:after="0"/>
              <w:ind w:left="0" w:right="0" w:hanging="0"/>
              <w:jc w:val="left"/>
              <w:rPr/>
            </w:pPr>
            <w:hyperlink w:anchor="Item1Business_195690">
              <w:r>
                <w:rPr>
                  <w:rStyle w:val="InternetLink"/>
                  <w:rFonts w:ascii="Times New Roman;Times;serif" w:hAnsi="Times New Roman;Times;serif"/>
                  <w:b w:val="false"/>
                  <w:i w:val="false"/>
                  <w:caps w:val="false"/>
                  <w:smallCaps w:val="false"/>
                  <w:sz w:val="20"/>
                </w:rPr>
                <w:t>Business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08" w:type="dxa"/>
            <w:tcBorders/>
            <w:shd w:fill="CCEEFF" w:val="clear"/>
            <w:vAlign w:val="center"/>
          </w:tcPr>
          <w:p>
            <w:pPr>
              <w:pStyle w:val="TableContents"/>
              <w:bidi w:val="0"/>
              <w:spacing w:before="0" w:after="0"/>
              <w:ind w:left="0" w:right="0" w:hanging="0"/>
              <w:jc w:val="left"/>
              <w:rPr/>
            </w:pPr>
            <w:hyperlink w:anchor="Item1ARiskFactors_401633">
              <w:r>
                <w:rPr>
                  <w:rStyle w:val="InternetLink"/>
                  <w:rFonts w:ascii="Times New Roman;Times;serif" w:hAnsi="Times New Roman;Times;serif"/>
                  <w:b w:val="false"/>
                  <w:i w:val="false"/>
                  <w:caps w:val="false"/>
                  <w:smallCaps w:val="false"/>
                  <w:sz w:val="20"/>
                </w:rPr>
                <w:t>Item 1A.</w:t>
              </w:r>
            </w:hyperlink>
          </w:p>
        </w:tc>
        <w:tc>
          <w:tcPr>
            <w:tcW w:w="9035" w:type="dxa"/>
            <w:tcBorders/>
            <w:shd w:fill="CCEEFF" w:val="clear"/>
            <w:vAlign w:val="center"/>
          </w:tcPr>
          <w:p>
            <w:pPr>
              <w:pStyle w:val="TableContents"/>
              <w:bidi w:val="0"/>
              <w:spacing w:before="0" w:after="0"/>
              <w:ind w:left="0" w:right="0" w:hanging="0"/>
              <w:jc w:val="left"/>
              <w:rPr/>
            </w:pPr>
            <w:hyperlink w:anchor="Item1ARiskFactors_401633">
              <w:r>
                <w:rPr>
                  <w:rStyle w:val="InternetLink"/>
                  <w:rFonts w:ascii="Times New Roman;Times;serif" w:hAnsi="Times New Roman;Times;serif"/>
                  <w:b w:val="false"/>
                  <w:i w:val="false"/>
                  <w:caps w:val="false"/>
                  <w:smallCaps w:val="false"/>
                  <w:sz w:val="20"/>
                </w:rPr>
                <w:t>Risk Factors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808" w:type="dxa"/>
            <w:tcBorders/>
            <w:vAlign w:val="center"/>
          </w:tcPr>
          <w:p>
            <w:pPr>
              <w:pStyle w:val="TableContents"/>
              <w:bidi w:val="0"/>
              <w:spacing w:before="0" w:after="0"/>
              <w:ind w:left="0" w:right="0" w:hanging="0"/>
              <w:jc w:val="left"/>
              <w:rPr/>
            </w:pPr>
            <w:hyperlink w:anchor="Item1BUnresolvedStaffComments_826421">
              <w:r>
                <w:rPr>
                  <w:rStyle w:val="InternetLink"/>
                  <w:rFonts w:ascii="Times New Roman;Times;serif" w:hAnsi="Times New Roman;Times;serif"/>
                  <w:b w:val="false"/>
                  <w:i w:val="false"/>
                  <w:caps w:val="false"/>
                  <w:smallCaps w:val="false"/>
                  <w:sz w:val="20"/>
                </w:rPr>
                <w:t>Item 1B.</w:t>
              </w:r>
            </w:hyperlink>
          </w:p>
        </w:tc>
        <w:tc>
          <w:tcPr>
            <w:tcW w:w="9035" w:type="dxa"/>
            <w:tcBorders/>
            <w:vAlign w:val="center"/>
          </w:tcPr>
          <w:p>
            <w:pPr>
              <w:pStyle w:val="TableContents"/>
              <w:bidi w:val="0"/>
              <w:spacing w:before="0" w:after="0"/>
              <w:ind w:left="0" w:right="0" w:hanging="0"/>
              <w:jc w:val="left"/>
              <w:rPr/>
            </w:pPr>
            <w:hyperlink w:anchor="Item1BUnresolvedStaffComments_826421">
              <w:r>
                <w:rPr>
                  <w:rStyle w:val="InternetLink"/>
                  <w:rFonts w:ascii="Times New Roman;Times;serif" w:hAnsi="Times New Roman;Times;serif"/>
                  <w:b w:val="false"/>
                  <w:i w:val="false"/>
                  <w:caps w:val="false"/>
                  <w:smallCaps w:val="false"/>
                  <w:sz w:val="20"/>
                </w:rPr>
                <w:t>Unresolved Staff Comments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08" w:type="dxa"/>
            <w:tcBorders/>
            <w:shd w:fill="CCEEFF" w:val="clear"/>
            <w:vAlign w:val="center"/>
          </w:tcPr>
          <w:p>
            <w:pPr>
              <w:pStyle w:val="TableContents"/>
              <w:bidi w:val="0"/>
              <w:spacing w:before="0" w:after="0"/>
              <w:ind w:left="0" w:right="0" w:hanging="0"/>
              <w:jc w:val="left"/>
              <w:rPr/>
            </w:pPr>
            <w:hyperlink w:anchor="_Item_1C._Cybersecurity">
              <w:r>
                <w:rPr>
                  <w:rStyle w:val="InternetLink"/>
                  <w:rFonts w:ascii="Times New Roman;Times;serif" w:hAnsi="Times New Roman;Times;serif"/>
                  <w:b w:val="false"/>
                  <w:i w:val="false"/>
                  <w:caps w:val="false"/>
                  <w:smallCaps w:val="false"/>
                  <w:sz w:val="20"/>
                </w:rPr>
                <w:t>Item 1C.</w:t>
              </w:r>
            </w:hyperlink>
          </w:p>
        </w:tc>
        <w:tc>
          <w:tcPr>
            <w:tcW w:w="9035" w:type="dxa"/>
            <w:tcBorders/>
            <w:shd w:fill="CCEEFF" w:val="clear"/>
            <w:vAlign w:val="center"/>
          </w:tcPr>
          <w:p>
            <w:pPr>
              <w:pStyle w:val="TableContents"/>
              <w:bidi w:val="0"/>
              <w:spacing w:before="0" w:after="0"/>
              <w:ind w:left="0" w:right="0" w:hanging="0"/>
              <w:jc w:val="left"/>
              <w:rPr/>
            </w:pPr>
            <w:hyperlink w:anchor="_Item_1C._Cybersecurity">
              <w:r>
                <w:rPr>
                  <w:rStyle w:val="InternetLink"/>
                  <w:rFonts w:ascii="Times New Roman;Times;serif" w:hAnsi="Times New Roman;Times;serif"/>
                  <w:b w:val="false"/>
                  <w:i w:val="false"/>
                  <w:caps w:val="false"/>
                  <w:smallCaps w:val="false"/>
                  <w:sz w:val="20"/>
                </w:rPr>
                <w:t>Cybersecurity</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08" w:type="dxa"/>
            <w:tcBorders/>
            <w:vAlign w:val="center"/>
          </w:tcPr>
          <w:p>
            <w:pPr>
              <w:pStyle w:val="TableContents"/>
              <w:bidi w:val="0"/>
              <w:spacing w:before="0" w:after="0"/>
              <w:ind w:left="0" w:right="0" w:hanging="0"/>
              <w:jc w:val="left"/>
              <w:rPr/>
            </w:pPr>
            <w:hyperlink w:anchor="Item2Properties_213450">
              <w:r>
                <w:rPr>
                  <w:rStyle w:val="InternetLink"/>
                  <w:rFonts w:ascii="Times New Roman;Times;serif" w:hAnsi="Times New Roman;Times;serif"/>
                  <w:b w:val="false"/>
                  <w:i w:val="false"/>
                  <w:caps w:val="false"/>
                  <w:smallCaps w:val="false"/>
                  <w:sz w:val="20"/>
                </w:rPr>
                <w:t>Item 2.</w:t>
              </w:r>
            </w:hyperlink>
          </w:p>
        </w:tc>
        <w:tc>
          <w:tcPr>
            <w:tcW w:w="9035" w:type="dxa"/>
            <w:tcBorders/>
            <w:vAlign w:val="center"/>
          </w:tcPr>
          <w:p>
            <w:pPr>
              <w:pStyle w:val="TableContents"/>
              <w:bidi w:val="0"/>
              <w:spacing w:before="0" w:after="0"/>
              <w:ind w:left="0" w:right="0" w:hanging="0"/>
              <w:jc w:val="left"/>
              <w:rPr/>
            </w:pPr>
            <w:hyperlink w:anchor="Item2Properties_213450">
              <w:r>
                <w:rPr>
                  <w:rStyle w:val="InternetLink"/>
                  <w:rFonts w:ascii="Times New Roman;Times;serif" w:hAnsi="Times New Roman;Times;serif"/>
                  <w:b w:val="false"/>
                  <w:i w:val="false"/>
                  <w:caps w:val="false"/>
                  <w:smallCaps w:val="false"/>
                  <w:sz w:val="20"/>
                </w:rPr>
                <w:t>Properties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08" w:type="dxa"/>
            <w:tcBorders/>
            <w:shd w:fill="CCEEFF" w:val="clear"/>
            <w:vAlign w:val="center"/>
          </w:tcPr>
          <w:p>
            <w:pPr>
              <w:pStyle w:val="TableContents"/>
              <w:bidi w:val="0"/>
              <w:spacing w:before="0" w:after="0"/>
              <w:ind w:left="0" w:right="0" w:hanging="0"/>
              <w:jc w:val="left"/>
              <w:rPr/>
            </w:pPr>
            <w:hyperlink w:anchor="Item3LegalProceedings_524609">
              <w:r>
                <w:rPr>
                  <w:rStyle w:val="InternetLink"/>
                  <w:rFonts w:ascii="Times New Roman;Times;serif" w:hAnsi="Times New Roman;Times;serif"/>
                  <w:b w:val="false"/>
                  <w:i w:val="false"/>
                  <w:caps w:val="false"/>
                  <w:smallCaps w:val="false"/>
                  <w:sz w:val="20"/>
                </w:rPr>
                <w:t>Item 3.</w:t>
              </w:r>
            </w:hyperlink>
          </w:p>
        </w:tc>
        <w:tc>
          <w:tcPr>
            <w:tcW w:w="9035" w:type="dxa"/>
            <w:tcBorders/>
            <w:shd w:fill="CCEEFF" w:val="clear"/>
            <w:vAlign w:val="center"/>
          </w:tcPr>
          <w:p>
            <w:pPr>
              <w:pStyle w:val="TableContents"/>
              <w:bidi w:val="0"/>
              <w:spacing w:before="0" w:after="0"/>
              <w:ind w:left="0" w:right="0" w:hanging="0"/>
              <w:jc w:val="left"/>
              <w:rPr/>
            </w:pPr>
            <w:hyperlink w:anchor="Item3LegalProceedings_524609">
              <w:r>
                <w:rPr>
                  <w:rStyle w:val="InternetLink"/>
                  <w:rFonts w:ascii="Times New Roman;Times;serif" w:hAnsi="Times New Roman;Times;serif"/>
                  <w:b w:val="false"/>
                  <w:i w:val="false"/>
                  <w:caps w:val="false"/>
                  <w:smallCaps w:val="false"/>
                  <w:sz w:val="20"/>
                </w:rPr>
                <w:t>Legal Proceedings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08" w:type="dxa"/>
            <w:tcBorders/>
            <w:vAlign w:val="center"/>
          </w:tcPr>
          <w:p>
            <w:pPr>
              <w:pStyle w:val="TableContents"/>
              <w:bidi w:val="0"/>
              <w:spacing w:before="0" w:after="0"/>
              <w:ind w:left="0" w:right="0" w:hanging="0"/>
              <w:jc w:val="left"/>
              <w:rPr/>
            </w:pPr>
            <w:hyperlink w:anchor="Item4MineSafetyDisclosures_798178">
              <w:r>
                <w:rPr>
                  <w:rStyle w:val="InternetLink"/>
                  <w:rFonts w:ascii="Times New Roman;Times;serif" w:hAnsi="Times New Roman;Times;serif"/>
                  <w:b w:val="false"/>
                  <w:i w:val="false"/>
                  <w:caps w:val="false"/>
                  <w:smallCaps w:val="false"/>
                  <w:sz w:val="20"/>
                </w:rPr>
                <w:t>Item 4.</w:t>
              </w:r>
            </w:hyperlink>
          </w:p>
        </w:tc>
        <w:tc>
          <w:tcPr>
            <w:tcW w:w="9035" w:type="dxa"/>
            <w:tcBorders/>
            <w:vAlign w:val="center"/>
          </w:tcPr>
          <w:p>
            <w:pPr>
              <w:pStyle w:val="TableContents"/>
              <w:bidi w:val="0"/>
              <w:spacing w:before="0" w:after="0"/>
              <w:ind w:left="0" w:right="0" w:hanging="0"/>
              <w:jc w:val="left"/>
              <w:rPr/>
            </w:pPr>
            <w:hyperlink w:anchor="Item4MineSafetyDisclosures_798178">
              <w:r>
                <w:rPr>
                  <w:rStyle w:val="InternetLink"/>
                  <w:rFonts w:ascii="Times New Roman;Times;serif" w:hAnsi="Times New Roman;Times;serif"/>
                  <w:b w:val="false"/>
                  <w:i w:val="false"/>
                  <w:caps w:val="false"/>
                  <w:smallCaps w:val="false"/>
                  <w:sz w:val="20"/>
                </w:rPr>
                <w:t>Mine Safety Disclosures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843" w:type="dxa"/>
            <w:gridSpan w:val="2"/>
            <w:tcBorders/>
            <w:shd w:fill="CCEEFF" w:val="clear"/>
            <w:vAlign w:val="center"/>
          </w:tcPr>
          <w:p>
            <w:pPr>
              <w:pStyle w:val="TableContents"/>
              <w:bidi w:val="0"/>
              <w:spacing w:before="0" w:after="0"/>
              <w:ind w:left="0" w:right="0" w:hanging="0"/>
              <w:jc w:val="left"/>
              <w:rPr/>
            </w:pPr>
            <w:hyperlink w:anchor="PARTII_753913">
              <w:r>
                <w:rPr>
                  <w:rStyle w:val="InternetLink"/>
                  <w:rFonts w:ascii="Times New Roman;Times;serif" w:hAnsi="Times New Roman;Times;serif"/>
                  <w:b/>
                  <w:i w:val="false"/>
                  <w:caps w:val="false"/>
                  <w:smallCaps w:val="false"/>
                  <w:sz w:val="20"/>
                </w:rPr>
                <w:t>PART II</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08"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Item 5.</w:t>
              </w:r>
            </w:hyperlink>
          </w:p>
        </w:tc>
        <w:tc>
          <w:tcPr>
            <w:tcW w:w="9035"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08" w:type="dxa"/>
            <w:tcBorders/>
            <w:shd w:fill="CCEEFF" w:val="clear"/>
            <w:vAlign w:val="center"/>
          </w:tcPr>
          <w:p>
            <w:pPr>
              <w:pStyle w:val="TableContents"/>
              <w:bidi w:val="0"/>
              <w:spacing w:before="0" w:after="0"/>
              <w:ind w:left="0" w:right="0" w:hanging="0"/>
              <w:jc w:val="left"/>
              <w:rPr/>
            </w:pPr>
            <w:hyperlink w:anchor="Item6Reserved_942928">
              <w:r>
                <w:rPr>
                  <w:rStyle w:val="InternetLink"/>
                  <w:rFonts w:ascii="Times New Roman;Times;serif" w:hAnsi="Times New Roman;Times;serif"/>
                  <w:b w:val="false"/>
                  <w:i w:val="false"/>
                  <w:caps w:val="false"/>
                  <w:smallCaps w:val="false"/>
                  <w:sz w:val="20"/>
                </w:rPr>
                <w:t>Item 6.</w:t>
              </w:r>
            </w:hyperlink>
          </w:p>
        </w:tc>
        <w:tc>
          <w:tcPr>
            <w:tcW w:w="9035" w:type="dxa"/>
            <w:tcBorders/>
            <w:shd w:fill="CCEEFF" w:val="clear"/>
            <w:vAlign w:val="center"/>
          </w:tcPr>
          <w:p>
            <w:pPr>
              <w:pStyle w:val="TableContents"/>
              <w:bidi w:val="0"/>
              <w:spacing w:before="0" w:after="0"/>
              <w:ind w:left="0" w:right="0" w:hanging="0"/>
              <w:jc w:val="left"/>
              <w:rPr/>
            </w:pPr>
            <w:hyperlink w:anchor="Item6Reserved_942928">
              <w:r>
                <w:rPr>
                  <w:rStyle w:val="InternetLink"/>
                  <w:rFonts w:ascii="Times New Roman;Times;serif" w:hAnsi="Times New Roman;Times;serif"/>
                  <w:b w:val="false"/>
                  <w:i w:val="false"/>
                  <w:caps w:val="false"/>
                  <w:smallCaps w:val="false"/>
                  <w:sz w:val="20"/>
                </w:rPr>
                <w:t>Reserved</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08"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Item 7.</w:t>
              </w:r>
            </w:hyperlink>
          </w:p>
        </w:tc>
        <w:tc>
          <w:tcPr>
            <w:tcW w:w="9035"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08" w:type="dxa"/>
            <w:tcBorders/>
            <w:shd w:fill="CCEEFF" w:val="clear"/>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9035" w:type="dxa"/>
            <w:tcBorders/>
            <w:shd w:fill="CCEEFF" w:val="clear"/>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r>
              <w:rPr>
                <w:rFonts w:ascii="Times New Roman;Times;serif" w:hAnsi="Times New Roman;Times;serif"/>
                <w:sz w:val="20"/>
              </w:rPr>
              <w:t>s</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808" w:type="dxa"/>
            <w:tcBorders/>
            <w:vAlign w:val="center"/>
          </w:tcPr>
          <w:p>
            <w:pPr>
              <w:pStyle w:val="TableContents"/>
              <w:bidi w:val="0"/>
              <w:spacing w:before="0" w:after="0"/>
              <w:ind w:left="0" w:right="0" w:hanging="0"/>
              <w:jc w:val="left"/>
              <w:rPr/>
            </w:pPr>
            <w:hyperlink w:anchor="Item8ConsolidatedFinancialStatementsandS">
              <w:r>
                <w:rPr>
                  <w:rStyle w:val="InternetLink"/>
                  <w:rFonts w:ascii="Times New Roman;Times;serif" w:hAnsi="Times New Roman;Times;serif"/>
                  <w:b w:val="false"/>
                  <w:i w:val="false"/>
                  <w:caps w:val="false"/>
                  <w:smallCaps w:val="false"/>
                  <w:sz w:val="20"/>
                </w:rPr>
                <w:t>Item 8.</w:t>
              </w:r>
            </w:hyperlink>
          </w:p>
        </w:tc>
        <w:tc>
          <w:tcPr>
            <w:tcW w:w="9035" w:type="dxa"/>
            <w:tcBorders/>
            <w:vAlign w:val="center"/>
          </w:tcPr>
          <w:p>
            <w:pPr>
              <w:pStyle w:val="TableContents"/>
              <w:bidi w:val="0"/>
              <w:spacing w:before="0" w:after="0"/>
              <w:ind w:left="0" w:right="0" w:hanging="0"/>
              <w:jc w:val="left"/>
              <w:rPr/>
            </w:pPr>
            <w:hyperlink w:anchor="Item8ConsolidatedFinancialStatementsandS">
              <w:r>
                <w:rPr>
                  <w:rStyle w:val="InternetLink"/>
                  <w:rFonts w:ascii="Times New Roman;Times;serif" w:hAnsi="Times New Roman;Times;serif"/>
                  <w:b w:val="false"/>
                  <w:i w:val="false"/>
                  <w:caps w:val="false"/>
                  <w:smallCaps w:val="false"/>
                  <w:sz w:val="20"/>
                </w:rPr>
                <w:t>Consolidated Financial Statements and Supplementary Data</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808" w:type="dxa"/>
            <w:tcBorders/>
            <w:shd w:fill="CCEEFF" w:val="clear"/>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9035" w:type="dxa"/>
            <w:tcBorders/>
            <w:shd w:fill="CCEEFF" w:val="clear"/>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808" w:type="dxa"/>
            <w:tcBorders/>
            <w:vAlign w:val="center"/>
          </w:tcPr>
          <w:p>
            <w:pPr>
              <w:pStyle w:val="TableContents"/>
              <w:bidi w:val="0"/>
              <w:spacing w:before="0" w:after="0"/>
              <w:ind w:left="0" w:right="0" w:hanging="0"/>
              <w:jc w:val="left"/>
              <w:rPr/>
            </w:pPr>
            <w:hyperlink w:anchor="Item9AControlsandProcedures_787583">
              <w:r>
                <w:rPr>
                  <w:rStyle w:val="InternetLink"/>
                  <w:rFonts w:ascii="Times New Roman;Times;serif" w:hAnsi="Times New Roman;Times;serif"/>
                  <w:b w:val="false"/>
                  <w:i w:val="false"/>
                  <w:caps w:val="false"/>
                  <w:smallCaps w:val="false"/>
                  <w:sz w:val="20"/>
                </w:rPr>
                <w:t>Item 9A.</w:t>
              </w:r>
            </w:hyperlink>
          </w:p>
        </w:tc>
        <w:tc>
          <w:tcPr>
            <w:tcW w:w="9035" w:type="dxa"/>
            <w:tcBorders/>
            <w:vAlign w:val="center"/>
          </w:tcPr>
          <w:p>
            <w:pPr>
              <w:pStyle w:val="TableContents"/>
              <w:bidi w:val="0"/>
              <w:spacing w:before="0" w:after="0"/>
              <w:ind w:left="0" w:right="0" w:hanging="0"/>
              <w:jc w:val="left"/>
              <w:rPr/>
            </w:pPr>
            <w:hyperlink w:anchor="Item9AControlsandProcedures_787583">
              <w:r>
                <w:rPr>
                  <w:rStyle w:val="InternetLink"/>
                  <w:rFonts w:ascii="Times New Roman;Times;serif" w:hAnsi="Times New Roman;Times;serif"/>
                  <w:b w:val="false"/>
                  <w:i w:val="false"/>
                  <w:caps w:val="false"/>
                  <w:smallCaps w:val="false"/>
                  <w:sz w:val="20"/>
                </w:rPr>
                <w:t>Controls and Procedures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808" w:type="dxa"/>
            <w:tcBorders/>
            <w:shd w:fill="CCEEFF" w:val="clear"/>
            <w:vAlign w:val="center"/>
          </w:tcPr>
          <w:p>
            <w:pPr>
              <w:pStyle w:val="TableContents"/>
              <w:bidi w:val="0"/>
              <w:spacing w:before="0" w:after="0"/>
              <w:ind w:left="0" w:right="0" w:hanging="0"/>
              <w:jc w:val="left"/>
              <w:rPr/>
            </w:pPr>
            <w:hyperlink w:anchor="Item9BOtherInformation_888741">
              <w:r>
                <w:rPr>
                  <w:rStyle w:val="InternetLink"/>
                  <w:rFonts w:ascii="Times New Roman;Times;serif" w:hAnsi="Times New Roman;Times;serif"/>
                  <w:b w:val="false"/>
                  <w:i w:val="false"/>
                  <w:caps w:val="false"/>
                  <w:smallCaps w:val="false"/>
                  <w:sz w:val="20"/>
                </w:rPr>
                <w:t>Item 9B.</w:t>
              </w:r>
            </w:hyperlink>
          </w:p>
        </w:tc>
        <w:tc>
          <w:tcPr>
            <w:tcW w:w="9035" w:type="dxa"/>
            <w:tcBorders/>
            <w:shd w:fill="CCEEFF" w:val="clear"/>
            <w:vAlign w:val="center"/>
          </w:tcPr>
          <w:p>
            <w:pPr>
              <w:pStyle w:val="TableContents"/>
              <w:bidi w:val="0"/>
              <w:spacing w:before="0" w:after="0"/>
              <w:ind w:left="0" w:right="0" w:hanging="0"/>
              <w:jc w:val="left"/>
              <w:rPr/>
            </w:pPr>
            <w:hyperlink w:anchor="Item9BOtherInformation_888741">
              <w:r>
                <w:rPr>
                  <w:rStyle w:val="InternetLink"/>
                  <w:rFonts w:ascii="Times New Roman;Times;serif" w:hAnsi="Times New Roman;Times;serif"/>
                  <w:b w:val="false"/>
                  <w:i w:val="false"/>
                  <w:caps w:val="false"/>
                  <w:smallCaps w:val="false"/>
                  <w:sz w:val="20"/>
                </w:rPr>
                <w:t>Other Information</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808"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Item 9C.</w:t>
              </w:r>
            </w:hyperlink>
          </w:p>
        </w:tc>
        <w:tc>
          <w:tcPr>
            <w:tcW w:w="9035"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9843" w:type="dxa"/>
            <w:gridSpan w:val="2"/>
            <w:tcBorders/>
            <w:shd w:fill="CCEEFF" w:val="clear"/>
            <w:vAlign w:val="center"/>
          </w:tcPr>
          <w:p>
            <w:pPr>
              <w:pStyle w:val="TableContents"/>
              <w:bidi w:val="0"/>
              <w:spacing w:before="0" w:after="0"/>
              <w:ind w:left="0" w:right="0" w:hanging="0"/>
              <w:jc w:val="left"/>
              <w:rPr/>
            </w:pPr>
            <w:hyperlink w:anchor="PARTIII_994481">
              <w:r>
                <w:rPr>
                  <w:rStyle w:val="InternetLink"/>
                  <w:rFonts w:ascii="Times New Roman;Times;serif" w:hAnsi="Times New Roman;Times;serif"/>
                  <w:b/>
                  <w:i w:val="false"/>
                  <w:caps w:val="false"/>
                  <w:smallCaps w:val="false"/>
                  <w:sz w:val="20"/>
                </w:rPr>
                <w:t>PART III</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808"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Item 10.</w:t>
              </w:r>
            </w:hyperlink>
          </w:p>
        </w:tc>
        <w:tc>
          <w:tcPr>
            <w:tcW w:w="9035"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808" w:type="dxa"/>
            <w:tcBorders/>
            <w:shd w:fill="CCEEFF" w:val="clear"/>
            <w:vAlign w:val="center"/>
          </w:tcPr>
          <w:p>
            <w:pPr>
              <w:pStyle w:val="TableContents"/>
              <w:bidi w:val="0"/>
              <w:spacing w:before="0" w:after="0"/>
              <w:ind w:left="0" w:right="0" w:hanging="0"/>
              <w:jc w:val="left"/>
              <w:rPr/>
            </w:pPr>
            <w:hyperlink w:anchor="Item11ExecutiveCompensation_677557">
              <w:r>
                <w:rPr>
                  <w:rStyle w:val="InternetLink"/>
                  <w:rFonts w:ascii="Times New Roman;Times;serif" w:hAnsi="Times New Roman;Times;serif"/>
                  <w:b w:val="false"/>
                  <w:i w:val="false"/>
                  <w:caps w:val="false"/>
                  <w:smallCaps w:val="false"/>
                  <w:sz w:val="20"/>
                </w:rPr>
                <w:t>Item 11.</w:t>
              </w:r>
            </w:hyperlink>
          </w:p>
        </w:tc>
        <w:tc>
          <w:tcPr>
            <w:tcW w:w="9035" w:type="dxa"/>
            <w:tcBorders/>
            <w:shd w:fill="CCEEFF" w:val="clear"/>
            <w:vAlign w:val="center"/>
          </w:tcPr>
          <w:p>
            <w:pPr>
              <w:pStyle w:val="TableContents"/>
              <w:bidi w:val="0"/>
              <w:spacing w:before="0" w:after="0"/>
              <w:ind w:left="0" w:right="0" w:hanging="0"/>
              <w:jc w:val="left"/>
              <w:rPr/>
            </w:pPr>
            <w:hyperlink w:anchor="Item11ExecutiveCompensation_677557">
              <w:r>
                <w:rPr>
                  <w:rStyle w:val="InternetLink"/>
                  <w:rFonts w:ascii="Times New Roman;Times;serif" w:hAnsi="Times New Roman;Times;serif"/>
                  <w:b w:val="false"/>
                  <w:i w:val="false"/>
                  <w:caps w:val="false"/>
                  <w:smallCaps w:val="false"/>
                  <w:sz w:val="20"/>
                </w:rPr>
                <w:t>Executive Compensation</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808"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9035"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808" w:type="dxa"/>
            <w:tcBorders/>
            <w:shd w:fill="CCEEFF" w:val="clear"/>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Item 13.</w:t>
              </w:r>
            </w:hyperlink>
          </w:p>
        </w:tc>
        <w:tc>
          <w:tcPr>
            <w:tcW w:w="9035" w:type="dxa"/>
            <w:tcBorders/>
            <w:shd w:fill="CCEEFF" w:val="clear"/>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808" w:type="dxa"/>
            <w:tcBorders/>
            <w:vAlign w:val="center"/>
          </w:tcPr>
          <w:p>
            <w:pPr>
              <w:pStyle w:val="TableContents"/>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Item 14.</w:t>
              </w:r>
            </w:hyperlink>
          </w:p>
        </w:tc>
        <w:tc>
          <w:tcPr>
            <w:tcW w:w="9035" w:type="dxa"/>
            <w:tcBorders/>
            <w:vAlign w:val="center"/>
          </w:tcPr>
          <w:p>
            <w:pPr>
              <w:pStyle w:val="TableContents"/>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Principal Accounting Fees and Services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9843" w:type="dxa"/>
            <w:gridSpan w:val="2"/>
            <w:tcBorders/>
            <w:shd w:fill="CCEEFF" w:val="clear"/>
            <w:vAlign w:val="center"/>
          </w:tcPr>
          <w:p>
            <w:pPr>
              <w:pStyle w:val="TableContents"/>
              <w:bidi w:val="0"/>
              <w:spacing w:before="0" w:after="0"/>
              <w:ind w:left="0" w:right="0" w:hanging="0"/>
              <w:jc w:val="left"/>
              <w:rPr/>
            </w:pPr>
            <w:hyperlink w:anchor="PARTIV_159851">
              <w:r>
                <w:rPr>
                  <w:rStyle w:val="InternetLink"/>
                  <w:rFonts w:ascii="Times New Roman;Times;serif" w:hAnsi="Times New Roman;Times;serif"/>
                  <w:b/>
                  <w:i w:val="false"/>
                  <w:caps w:val="false"/>
                  <w:smallCaps w:val="false"/>
                  <w:sz w:val="20"/>
                </w:rPr>
                <w:t>PART IV</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808"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Item 15.</w:t>
              </w:r>
            </w:hyperlink>
          </w:p>
        </w:tc>
        <w:tc>
          <w:tcPr>
            <w:tcW w:w="9035"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Exhibits and Financial Statement Schedules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808" w:type="dxa"/>
            <w:tcBorders/>
            <w:shd w:fill="CCEEFF" w:val="clear"/>
            <w:vAlign w:val="center"/>
          </w:tcPr>
          <w:p>
            <w:pPr>
              <w:pStyle w:val="TableContents"/>
              <w:bidi w:val="0"/>
              <w:spacing w:before="0" w:after="0"/>
              <w:ind w:left="0" w:right="0" w:hanging="0"/>
              <w:jc w:val="left"/>
              <w:rPr/>
            </w:pPr>
            <w:hyperlink w:anchor="Item16Form10KSummary_395735">
              <w:r>
                <w:rPr>
                  <w:rStyle w:val="InternetLink"/>
                  <w:rFonts w:ascii="Times New Roman;Times;serif" w:hAnsi="Times New Roman;Times;serif"/>
                  <w:b w:val="false"/>
                  <w:i w:val="false"/>
                  <w:caps w:val="false"/>
                  <w:smallCaps w:val="false"/>
                  <w:sz w:val="20"/>
                </w:rPr>
                <w:t>Item 16.</w:t>
              </w:r>
            </w:hyperlink>
          </w:p>
        </w:tc>
        <w:tc>
          <w:tcPr>
            <w:tcW w:w="9035" w:type="dxa"/>
            <w:tcBorders/>
            <w:shd w:fill="CCEEFF" w:val="clear"/>
            <w:vAlign w:val="center"/>
          </w:tcPr>
          <w:p>
            <w:pPr>
              <w:pStyle w:val="TableContents"/>
              <w:bidi w:val="0"/>
              <w:spacing w:before="0" w:after="0"/>
              <w:ind w:left="0" w:right="0" w:hanging="0"/>
              <w:jc w:val="left"/>
              <w:rPr/>
            </w:pPr>
            <w:hyperlink w:anchor="Item16Form10KSummary_395735">
              <w:r>
                <w:rPr>
                  <w:rStyle w:val="InternetLink"/>
                  <w:rFonts w:ascii="Times New Roman;Times;serif" w:hAnsi="Times New Roman;Times;serif"/>
                  <w:b w:val="false"/>
                  <w:i w:val="false"/>
                  <w:caps w:val="false"/>
                  <w:smallCaps w:val="false"/>
                  <w:sz w:val="20"/>
                </w:rPr>
                <w:t>From 10-K Summary</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808" w:type="dxa"/>
            <w:tcBorders/>
            <w:vAlign w:val="center"/>
          </w:tcPr>
          <w:p>
            <w:pPr>
              <w:pStyle w:val="TableContents"/>
              <w:bidi w:val="0"/>
              <w:spacing w:before="0" w:after="0"/>
              <w:ind w:left="0" w:right="0" w:hanging="0"/>
              <w:jc w:val="left"/>
              <w:rPr/>
            </w:pPr>
            <w:r>
              <w:rPr/>
              <w:t>​</w:t>
            </w:r>
          </w:p>
        </w:tc>
        <w:tc>
          <w:tcPr>
            <w:tcW w:w="9035" w:type="dxa"/>
            <w:tcBorders/>
            <w:vAlign w:val="center"/>
          </w:tcPr>
          <w:p>
            <w:pPr>
              <w:pStyle w:val="TableContents"/>
              <w:bidi w:val="0"/>
              <w:spacing w:before="0" w:after="0"/>
              <w:ind w:left="0" w:right="0" w:hanging="0"/>
              <w:jc w:val="left"/>
              <w:rPr/>
            </w:pPr>
            <w:hyperlink w:anchor="EXHIBITINDEX_901472">
              <w:r>
                <w:rPr>
                  <w:rStyle w:val="InternetLink"/>
                  <w:rFonts w:ascii="Times New Roman;Times;serif" w:hAnsi="Times New Roman;Times;serif"/>
                  <w:b w:val="false"/>
                  <w:i w:val="false"/>
                  <w:caps w:val="false"/>
                  <w:smallCaps w:val="false"/>
                  <w:sz w:val="20"/>
                </w:rPr>
                <w:t>Exhibit Index</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808" w:type="dxa"/>
            <w:tcBorders/>
            <w:shd w:fill="CCEEFF" w:val="clear"/>
            <w:vAlign w:val="center"/>
          </w:tcPr>
          <w:p>
            <w:pPr>
              <w:pStyle w:val="TableContents"/>
              <w:bidi w:val="0"/>
              <w:spacing w:before="0" w:after="0"/>
              <w:ind w:left="0" w:right="0" w:hanging="0"/>
              <w:jc w:val="left"/>
              <w:rPr/>
            </w:pPr>
            <w:r>
              <w:rPr/>
              <w:t>​</w:t>
            </w:r>
          </w:p>
        </w:tc>
        <w:tc>
          <w:tcPr>
            <w:tcW w:w="9035" w:type="dxa"/>
            <w:tcBorders/>
            <w:shd w:fill="CCEEFF" w:val="clear"/>
            <w:vAlign w:val="center"/>
          </w:tcPr>
          <w:p>
            <w:pPr>
              <w:pStyle w:val="TableContents"/>
              <w:bidi w:val="0"/>
              <w:spacing w:before="0" w:after="0"/>
              <w:ind w:left="0" w:right="0" w:hanging="0"/>
              <w:jc w:val="left"/>
              <w:rPr/>
            </w:pPr>
            <w:hyperlink w:anchor="SIGNATURES_679961">
              <w:r>
                <w:rPr>
                  <w:rStyle w:val="InternetLink"/>
                  <w:rFonts w:ascii="Times New Roman;Times;serif" w:hAnsi="Times New Roman;Times;serif"/>
                  <w:b w:val="false"/>
                  <w:i w:val="false"/>
                  <w:caps w:val="false"/>
                  <w:smallCaps w:val="false"/>
                  <w:sz w:val="20"/>
                </w:rPr>
                <w:t>Signatures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We use the terms, </w:t>
      </w:r>
      <w:r>
        <w:rPr>
          <w:rFonts w:ascii="Times New Roman;Times;serif" w:hAnsi="Times New Roman;Times;serif"/>
          <w:sz w:val="20"/>
        </w:rPr>
        <w:t>“</w:t>
      </w:r>
      <w:r>
        <w:rPr>
          <w:rFonts w:ascii="Times New Roman;Times;serif" w:hAnsi="Times New Roman;Times;serif"/>
          <w:i/>
          <w:sz w:val="20"/>
        </w:rPr>
        <w:t>EPM,</w:t>
      </w:r>
      <w:r>
        <w:rPr>
          <w:rFonts w:ascii="Times New Roman;Times;serif" w:hAnsi="Times New Roman;Times;serif"/>
          <w:sz w:val="20"/>
        </w:rPr>
        <w:t>” “</w:t>
      </w:r>
      <w:r>
        <w:rPr>
          <w:rFonts w:ascii="Times New Roman;Times;serif" w:hAnsi="Times New Roman;Times;serif"/>
          <w:i/>
          <w:sz w:val="20"/>
        </w:rPr>
        <w:t>Company,</w:t>
      </w:r>
      <w:r>
        <w:rPr>
          <w:rFonts w:ascii="Times New Roman;Times;serif" w:hAnsi="Times New Roman;Times;serif"/>
          <w:sz w:val="20"/>
        </w:rPr>
        <w:t>” “</w:t>
      </w:r>
      <w:r>
        <w:rPr>
          <w:rFonts w:ascii="Times New Roman;Times;serif" w:hAnsi="Times New Roman;Times;serif"/>
          <w:i/>
          <w:sz w:val="20"/>
        </w:rPr>
        <w:t>we,</w:t>
      </w:r>
      <w:r>
        <w:rPr>
          <w:rFonts w:ascii="Times New Roman;Times;serif" w:hAnsi="Times New Roman;Times;serif"/>
          <w:sz w:val="20"/>
        </w:rPr>
        <w:t>” “</w:t>
      </w:r>
      <w:r>
        <w:rPr>
          <w:rFonts w:ascii="Times New Roman;Times;serif" w:hAnsi="Times New Roman;Times;serif"/>
          <w:i/>
          <w:sz w:val="20"/>
        </w:rPr>
        <w:t>us,</w:t>
      </w:r>
      <w:r>
        <w:rPr>
          <w:rFonts w:ascii="Times New Roman;Times;serif" w:hAnsi="Times New Roman;Times;serif"/>
          <w:sz w:val="20"/>
        </w:rPr>
        <w:t xml:space="preserve">” </w:t>
      </w:r>
      <w:r>
        <w:rPr>
          <w:rFonts w:ascii="Times New Roman;Times;serif" w:hAnsi="Times New Roman;Times;serif"/>
          <w:i/>
          <w:sz w:val="20"/>
        </w:rPr>
        <w:t xml:space="preserve">and </w:t>
      </w:r>
      <w:r>
        <w:rPr>
          <w:rFonts w:ascii="Times New Roman;Times;serif" w:hAnsi="Times New Roman;Times;serif"/>
          <w:sz w:val="20"/>
        </w:rPr>
        <w:t>“</w:t>
      </w:r>
      <w:r>
        <w:rPr>
          <w:rFonts w:ascii="Times New Roman;Times;serif" w:hAnsi="Times New Roman;Times;serif"/>
          <w:i/>
          <w:sz w:val="20"/>
        </w:rPr>
        <w:t>our</w:t>
      </w:r>
      <w:r>
        <w:rPr>
          <w:rFonts w:ascii="Times New Roman;Times;serif" w:hAnsi="Times New Roman;Times;serif"/>
          <w:sz w:val="20"/>
        </w:rPr>
        <w:t xml:space="preserve">” </w:t>
      </w:r>
      <w:r>
        <w:rPr>
          <w:rFonts w:ascii="Times New Roman;Times;serif" w:hAnsi="Times New Roman;Times;serif"/>
          <w:i/>
          <w:sz w:val="20"/>
        </w:rPr>
        <w:t>to</w:t>
      </w:r>
      <w:r>
        <w:rPr>
          <w:rFonts w:ascii="Times New Roman;Times;serif" w:hAnsi="Times New Roman;Times;serif"/>
          <w:sz w:val="20"/>
        </w:rPr>
        <w:t xml:space="preserve"> </w:t>
      </w:r>
      <w:r>
        <w:rPr>
          <w:rFonts w:ascii="Times New Roman;Times;serif" w:hAnsi="Times New Roman;Times;serif"/>
          <w:i/>
          <w:sz w:val="20"/>
        </w:rPr>
        <w:t>refer to Evolution Petroleum Corporation, and unless the context otherwise requires, its wholly-owned subsidiaries.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3" w:name="FORWARDLOOKINGSTATEMENTS_262188"/>
      <w:bookmarkStart w:id="44" w:name="_887fd26a_f952_4392_9269_0a2d505016f0"/>
      <w:bookmarkEnd w:id="43"/>
      <w:bookmarkEnd w:id="44"/>
      <w:r>
        <w:rPr>
          <w:rFonts w:ascii="Times New Roman;Times;serif" w:hAnsi="Times New Roman;Times;serif"/>
          <w:b/>
          <w:sz w:val="20"/>
        </w:rPr>
        <w:t>FORWARD-LOOKING STATEMENTS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 xml:space="preserve">This Form 10-K and the information referenced herein contains forward-looking statements within the meaning of the Private Securities Litigation Reform Act of 1995, Section 27A of the Securities Act of 1933 and Section 21E of the Securities Exchange Act of 1934. All statements, except for statements of historical fact, are forward-looking statements. The words “plan,” “expect,” “project,” “estimate,” “may,” “assume,” “believe,” “anticipate,” “intend,” “budget,” “forecast,” “predict” and other similar expressions are intended to identify forward-looking statements, although not all forward-looking statements contain such identifying words or phrases. These statements appear in a number of places and include statements regarding our plans, beliefs or current expectations, including the plans, beliefs and expectations of our officers and directors, which may include, but are not limited to, the following: </w:t>
      </w:r>
    </w:p>
    <w:tbl>
      <w:tblPr>
        <w:tblW w:w="8841" w:type="dxa"/>
        <w:jc w:val="left"/>
        <w:tblInd w:w="0" w:type="dxa"/>
        <w:tblLayout w:type="fixed"/>
        <w:tblCellMar>
          <w:top w:w="28" w:type="dxa"/>
          <w:left w:w="28" w:type="dxa"/>
          <w:bottom w:w="28" w:type="dxa"/>
          <w:right w:w="28" w:type="dxa"/>
        </w:tblCellMar>
      </w:tblPr>
      <w:tblGrid>
        <w:gridCol w:w="124"/>
        <w:gridCol w:w="256"/>
        <w:gridCol w:w="8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plans, strategies and objectives, including anticipated development activity and capital spending;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capital allocation strategy, capital structure, anticipated sources of funding, growth in long-term shareholder value and ability to preserve balance sheet strength; </w:t>
            </w:r>
          </w:p>
        </w:tc>
      </w:tr>
    </w:tbl>
    <w:tbl>
      <w:tblPr>
        <w:tblW w:w="9411" w:type="dxa"/>
        <w:jc w:val="left"/>
        <w:tblInd w:w="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complete future acquisitions and the need for additional capital to complete future acquisitions;</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benefits of our multi-basin portfolio, including operational and commodity flexibility; </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maximize cash flow and the application of excess cash flows to pay dividends; </w:t>
            </w:r>
          </w:p>
        </w:tc>
      </w:tr>
    </w:tbl>
    <w:tbl>
      <w:tblPr>
        <w:tblW w:w="8481" w:type="dxa"/>
        <w:jc w:val="left"/>
        <w:tblInd w:w="0" w:type="dxa"/>
        <w:tblLayout w:type="fixed"/>
        <w:tblCellMar>
          <w:top w:w="28" w:type="dxa"/>
          <w:left w:w="28" w:type="dxa"/>
          <w:bottom w:w="28" w:type="dxa"/>
          <w:right w:w="28" w:type="dxa"/>
        </w:tblCellMar>
      </w:tblPr>
      <w:tblGrid>
        <w:gridCol w:w="124"/>
        <w:gridCol w:w="256"/>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estimates of our oil, natural gas and natural gas liquids (“NGLs”) production and commodity mix; </w:t>
            </w:r>
          </w:p>
        </w:tc>
      </w:tr>
    </w:tbl>
    <w:tbl>
      <w:tblPr>
        <w:tblW w:w="3141" w:type="dxa"/>
        <w:jc w:val="left"/>
        <w:tblInd w:w="0" w:type="dxa"/>
        <w:tblLayout w:type="fixed"/>
        <w:tblCellMar>
          <w:top w:w="28" w:type="dxa"/>
          <w:left w:w="28" w:type="dxa"/>
          <w:bottom w:w="28" w:type="dxa"/>
          <w:right w:w="28" w:type="dxa"/>
        </w:tblCellMar>
      </w:tblPr>
      <w:tblGrid>
        <w:gridCol w:w="124"/>
        <w:gridCol w:w="256"/>
        <w:gridCol w:w="2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oil, natural gas and NGL prices; </w:t>
            </w:r>
          </w:p>
        </w:tc>
      </w:tr>
    </w:tbl>
    <w:tbl>
      <w:tblPr>
        <w:tblW w:w="3321" w:type="dxa"/>
        <w:jc w:val="left"/>
        <w:tblInd w:w="0" w:type="dxa"/>
        <w:tblLayout w:type="fixed"/>
        <w:tblCellMar>
          <w:top w:w="28" w:type="dxa"/>
          <w:left w:w="28" w:type="dxa"/>
          <w:bottom w:w="28" w:type="dxa"/>
          <w:right w:w="28" w:type="dxa"/>
        </w:tblCellMar>
      </w:tblPr>
      <w:tblGrid>
        <w:gridCol w:w="124"/>
        <w:gridCol w:w="256"/>
        <w:gridCol w:w="2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drilling and completions activity;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drilling and operational risks by our third-party operators, including accidents, equipment failures, fires, and releases of toxic or hazardous materials;</w:t>
            </w:r>
          </w:p>
        </w:tc>
      </w:tr>
    </w:tbl>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estimates of our oil, natural gas and NGL reserves and recoverable quantities;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access credit facilities and the availability of other sources of liquidity to meet financial obligations throughout commodity price cycles;</w:t>
            </w:r>
          </w:p>
        </w:tc>
      </w:tr>
    </w:tbl>
    <w:tbl>
      <w:tblPr>
        <w:tblW w:w="2421" w:type="dxa"/>
        <w:jc w:val="left"/>
        <w:tblInd w:w="0" w:type="dxa"/>
        <w:tblLayout w:type="fixed"/>
        <w:tblCellMar>
          <w:top w:w="28" w:type="dxa"/>
          <w:left w:w="28" w:type="dxa"/>
          <w:bottom w:w="28" w:type="dxa"/>
          <w:right w:w="28" w:type="dxa"/>
        </w:tblCellMar>
      </w:tblPr>
      <w:tblGrid>
        <w:gridCol w:w="124"/>
        <w:gridCol w:w="256"/>
        <w:gridCol w:w="2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interest expense;</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manage debt and financial ratios, finance growth and comply with financial covenants;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implementation and outcomes of risk management programs, including exposure to commodity price and interest rate fluctuations, the volume of oil and natural gas production hedged, and the markets or physical sales locations hedged; </w:t>
            </w:r>
          </w:p>
        </w:tc>
      </w:tr>
    </w:tbl>
    <w:tbl>
      <w:tblPr>
        <w:tblW w:w="6936" w:type="dxa"/>
        <w:jc w:val="left"/>
        <w:tblInd w:w="0" w:type="dxa"/>
        <w:tblLayout w:type="fixed"/>
        <w:tblCellMar>
          <w:top w:w="28" w:type="dxa"/>
          <w:left w:w="28" w:type="dxa"/>
          <w:bottom w:w="28" w:type="dxa"/>
          <w:right w:w="28" w:type="dxa"/>
        </w:tblCellMar>
      </w:tblPr>
      <w:tblGrid>
        <w:gridCol w:w="124"/>
        <w:gridCol w:w="256"/>
        <w:gridCol w:w="6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possible impact of changes in federal, state and local rules and regulations; </w:t>
            </w:r>
          </w:p>
        </w:tc>
      </w:tr>
    </w:tbl>
    <w:tbl>
      <w:tblPr>
        <w:tblW w:w="8181" w:type="dxa"/>
        <w:jc w:val="left"/>
        <w:tblInd w:w="0" w:type="dxa"/>
        <w:tblLayout w:type="fixed"/>
        <w:tblCellMar>
          <w:top w:w="28" w:type="dxa"/>
          <w:left w:w="28" w:type="dxa"/>
          <w:bottom w:w="28" w:type="dxa"/>
          <w:right w:w="28" w:type="dxa"/>
        </w:tblCellMar>
      </w:tblPr>
      <w:tblGrid>
        <w:gridCol w:w="124"/>
        <w:gridCol w:w="256"/>
        <w:gridCol w:w="7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compliance with current or proposed environmental requirements, including the costs thereof; </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adequacy of provisions for abandonment and site reclamation costs; </w:t>
            </w:r>
          </w:p>
        </w:tc>
      </w:tr>
    </w:tbl>
    <w:tbl>
      <w:tblPr>
        <w:tblW w:w="9096" w:type="dxa"/>
        <w:jc w:val="left"/>
        <w:tblInd w:w="0" w:type="dxa"/>
        <w:tblLayout w:type="fixed"/>
        <w:tblCellMar>
          <w:top w:w="28" w:type="dxa"/>
          <w:left w:w="28" w:type="dxa"/>
          <w:bottom w:w="28" w:type="dxa"/>
          <w:right w:w="28" w:type="dxa"/>
        </w:tblCellMar>
      </w:tblPr>
      <w:tblGrid>
        <w:gridCol w:w="124"/>
        <w:gridCol w:w="256"/>
        <w:gridCol w:w="8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operational and financial flexibility, discipline and ability to respond to evolving market conditions; </w:t>
            </w:r>
          </w:p>
        </w:tc>
      </w:tr>
    </w:tbl>
    <w:tbl>
      <w:tblPr>
        <w:tblW w:w="9936" w:type="dxa"/>
        <w:jc w:val="left"/>
        <w:tblInd w:w="0" w:type="dxa"/>
        <w:tblLayout w:type="fixed"/>
        <w:tblCellMar>
          <w:top w:w="28" w:type="dxa"/>
          <w:left w:w="28" w:type="dxa"/>
          <w:bottom w:w="28" w:type="dxa"/>
          <w:right w:w="28" w:type="dxa"/>
        </w:tblCellMar>
      </w:tblPr>
      <w:tblGrid>
        <w:gridCol w:w="124"/>
        <w:gridCol w:w="256"/>
        <w:gridCol w:w="9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declaration and payment of future dividends and any anticipated repurchase of our outstanding common shares; </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adequacy of our provision for taxes and legal claims;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manage cost inflation and expected cost structures, including expected operating, transportation, processing and labor expenses; </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competitiveness relative to our peers, including with respect to capital, materials, people, assets and production; </w:t>
            </w:r>
          </w:p>
        </w:tc>
      </w:tr>
    </w:tbl>
    <w:tbl>
      <w:tblPr>
        <w:tblW w:w="7551" w:type="dxa"/>
        <w:jc w:val="left"/>
        <w:tblInd w:w="0" w:type="dxa"/>
        <w:tblLayout w:type="fixed"/>
        <w:tblCellMar>
          <w:top w:w="28" w:type="dxa"/>
          <w:left w:w="28" w:type="dxa"/>
          <w:bottom w:w="28" w:type="dxa"/>
          <w:right w:w="28" w:type="dxa"/>
        </w:tblCellMar>
      </w:tblPr>
      <w:tblGrid>
        <w:gridCol w:w="124"/>
        <w:gridCol w:w="25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oil, natural gas and NGL inventories and global demand for oil, natural gas and NGLs;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outlook of the oil and natural gas industry generally, including impacts from changes to the geopolitical environment; </w:t>
            </w:r>
          </w:p>
        </w:tc>
      </w:tr>
    </w:tbl>
    <w:tbl>
      <w:tblPr>
        <w:tblW w:w="2451" w:type="dxa"/>
        <w:jc w:val="left"/>
        <w:tblInd w:w="0" w:type="dxa"/>
        <w:tblLayout w:type="fixed"/>
        <w:tblCellMar>
          <w:top w:w="28" w:type="dxa"/>
          <w:left w:w="28" w:type="dxa"/>
          <w:bottom w:w="28" w:type="dxa"/>
          <w:right w:w="28" w:type="dxa"/>
        </w:tblCellMar>
      </w:tblPr>
      <w:tblGrid>
        <w:gridCol w:w="124"/>
        <w:gridCol w:w="25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weather events;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our ability to obtain funding based on environmental, social, and corporate governance (“ESG”) performance;</w:t>
            </w:r>
          </w:p>
        </w:tc>
      </w:tr>
    </w:tbl>
    <w:tbl>
      <w:tblPr>
        <w:tblW w:w="8166" w:type="dxa"/>
        <w:jc w:val="left"/>
        <w:tblInd w:w="0" w:type="dxa"/>
        <w:tblLayout w:type="fixed"/>
        <w:tblCellMar>
          <w:top w:w="28" w:type="dxa"/>
          <w:left w:w="28" w:type="dxa"/>
          <w:bottom w:w="28" w:type="dxa"/>
          <w:right w:w="28"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greenhouse gas (“GHG”) emissions limitations and renewable energy incentives;</w:t>
            </w:r>
          </w:p>
        </w:tc>
      </w:tr>
    </w:tbl>
    <w:tbl>
      <w:tblPr>
        <w:tblW w:w="1776" w:type="dxa"/>
        <w:jc w:val="left"/>
        <w:tblInd w:w="0" w:type="dxa"/>
        <w:tblLayout w:type="fixed"/>
        <w:tblCellMar>
          <w:top w:w="28" w:type="dxa"/>
          <w:left w:w="28" w:type="dxa"/>
          <w:bottom w:w="28" w:type="dxa"/>
          <w:right w:w="28" w:type="dxa"/>
        </w:tblCellMar>
      </w:tblPr>
      <w:tblGrid>
        <w:gridCol w:w="124"/>
        <w:gridCol w:w="256"/>
        <w:gridCol w:w="1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staffing levels; </w:t>
            </w:r>
          </w:p>
        </w:tc>
      </w:tr>
    </w:tbl>
    <w:tbl>
      <w:tblPr>
        <w:tblW w:w="9381" w:type="dxa"/>
        <w:jc w:val="left"/>
        <w:tblInd w:w="0" w:type="dxa"/>
        <w:tblLayout w:type="fixed"/>
        <w:tblCellMar>
          <w:top w:w="28" w:type="dxa"/>
          <w:left w:w="28" w:type="dxa"/>
          <w:bottom w:w="28" w:type="dxa"/>
          <w:right w:w="28" w:type="dxa"/>
        </w:tblCellMar>
      </w:tblPr>
      <w:tblGrid>
        <w:gridCol w:w="124"/>
        <w:gridCol w:w="256"/>
        <w:gridCol w:w="9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payments related to our commitments, obligations and contingencies, and the ability to satisfy the same; and </w:t>
            </w:r>
          </w:p>
        </w:tc>
      </w:tr>
    </w:tbl>
    <w:tbl>
      <w:tblPr>
        <w:tblW w:w="7626" w:type="dxa"/>
        <w:jc w:val="left"/>
        <w:tblInd w:w="0" w:type="dxa"/>
        <w:tblLayout w:type="fixed"/>
        <w:tblCellMar>
          <w:top w:w="28" w:type="dxa"/>
          <w:left w:w="28" w:type="dxa"/>
          <w:bottom w:w="28" w:type="dxa"/>
          <w:right w:w="28" w:type="dxa"/>
        </w:tblCellMar>
      </w:tblPr>
      <w:tblGrid>
        <w:gridCol w:w="124"/>
        <w:gridCol w:w="256"/>
        <w:gridCol w:w="7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impact of accounting and tax pronouncements, rule changes and standards.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Readers are cautioned against unduly relying on forward-looking statements which, by their nature, involve numerous assumptions and are subject to both known and unknown risks and uncertainties (many of which are beyond our control) that may cause actual events or results to differ materially and/or adversely from those expressed or implied, which include, but are not limited to, the following assumptions: </w:t>
      </w:r>
    </w:p>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commodity prices and basis differentials; </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access credit facilities and shelf prospectuses; </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assumptions contained in our corporate guidance; </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availability of attractive commodity or financial hedges and the enforceability of risk management programs;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expectations that counterparties will fulfill their obligations pursuant to gathering, processing, transportation and marketing agreements; </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access to adequate gathering, transportation, processing and storage facilities; </w:t>
            </w:r>
          </w:p>
        </w:tc>
      </w:tr>
    </w:tbl>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assumed tax, royalty and regulatory regimes;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expectations and projections made in light of, and generally consistent with, our historical experience and our perception of historical industry trends; and </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assumptions contained herein.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Readers are cautioned that the assumptions, risks and uncertainties referenced above, and in the other documents incorporated herein by reference (if any), are not exhaustive. Although we believe the expectations represented by our forward-looking statements are reasonable based on the information available to us as of the date such statements are made, forward-looking statements are only predictions and statements of our current beliefs and there can be no assurance that such expectations will prove to be correct.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When considering any forward-looking statement, the reader should keep in mind the risk factors that could cause our actual results to differ materially from those contained in any forward-looking statement. Important factors that could cause actual results to differ materially from those in the forward-looking statements herein include the timing and extent of changes in commodity prices for oil, natural gas and NGLs, third-party operating risks and other risk factors as described in Part I, Item 1A. </w:t>
      </w:r>
      <w:r>
        <w:rPr>
          <w:rFonts w:ascii="Times New Roman;Times;serif" w:hAnsi="Times New Roman;Times;serif"/>
          <w:i/>
          <w:sz w:val="20"/>
        </w:rPr>
        <w:t>Risk Factors</w:t>
      </w:r>
      <w:r>
        <w:rPr>
          <w:rFonts w:ascii="Times New Roman;Times;serif" w:hAnsi="Times New Roman;Times;serif"/>
          <w:sz w:val="20"/>
        </w:rPr>
        <w:t xml:space="preserve"> and elsewhere in this report and as also may be described from time to time in future reports we file with the Securities and Exchange Commission (“SEC”). Readers should also consider such information in conjunction with our consolidated financial statements and related notes and Item 7. </w:t>
      </w:r>
      <w:r>
        <w:rPr>
          <w:rFonts w:ascii="Times New Roman;Times;serif" w:hAnsi="Times New Roman;Times;serif"/>
          <w:i/>
          <w:sz w:val="20"/>
        </w:rPr>
        <w:t>Management’s Discussion and Analysis of Financial Condition and Results of Operations</w:t>
      </w:r>
      <w:r>
        <w:rPr>
          <w:rFonts w:ascii="Times New Roman;Times;serif" w:hAnsi="Times New Roman;Times;serif"/>
          <w:sz w:val="20"/>
        </w:rPr>
        <w:t xml:space="preserve"> in this report. There also may be other factors that we cannot anticipate or that are not described in this report, generally because we do not currently perceive them to be material. Such factors could cause results to differ materially from our expectations.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Forward-looking statements speak only as of the date they are made, and we do not undertake to update these statements other than as required by law. Readers are advised, however, to review any further disclosures we make on related subjects in our filings with the SEC.</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5" w:name="GLOSSARYOFSELECTEDPETROLEUMINDUSTRYTERMS"/>
      <w:bookmarkStart w:id="46" w:name="_864243be_3863_4ffe_b671_f1c8f960604e"/>
      <w:bookmarkEnd w:id="45"/>
      <w:bookmarkEnd w:id="46"/>
      <w:r>
        <w:rPr>
          <w:rFonts w:ascii="Times New Roman;Times;serif" w:hAnsi="Times New Roman;Times;serif"/>
          <w:b/>
          <w:sz w:val="20"/>
        </w:rPr>
        <w:t>GLOSSARY OF SELECTED PETROLEUM INDUSTRY TERMS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317"/>
        <w:gridCol w:w="346"/>
        <w:gridCol w:w="8350"/>
        <w:gridCol w:w="192"/>
      </w:tblGrid>
      <w:tr>
        <w:trPr/>
        <w:tc>
          <w:tcPr>
            <w:tcW w:w="13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350"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1317"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Term</w:t>
            </w:r>
          </w:p>
        </w:tc>
        <w:tc>
          <w:tcPr>
            <w:tcW w:w="346" w:type="dxa"/>
            <w:tcBorders/>
            <w:vAlign w:val="center"/>
          </w:tcPr>
          <w:p>
            <w:pPr>
              <w:pStyle w:val="TableContents"/>
              <w:bidi w:val="0"/>
              <w:spacing w:before="0" w:after="0"/>
              <w:ind w:left="0" w:right="0" w:hanging="0"/>
              <w:jc w:val="left"/>
              <w:rPr/>
            </w:pPr>
            <w:r>
              <w:rPr/>
              <w:t>  ​ ​ ​</w:t>
            </w:r>
          </w:p>
        </w:tc>
        <w:tc>
          <w:tcPr>
            <w:tcW w:w="835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Definition</w:t>
            </w:r>
          </w:p>
        </w:tc>
        <w:tc>
          <w:tcPr>
            <w:tcW w:w="192" w:type="dxa"/>
            <w:tcBorders/>
            <w:vAlign w:val="center"/>
          </w:tcPr>
          <w:p>
            <w:pPr>
              <w:pStyle w:val="TableContents"/>
              <w:bidi w:val="0"/>
              <w:spacing w:before="0" w:after="0"/>
              <w:ind w:left="0" w:right="0" w:hanging="0"/>
              <w:jc w:val="left"/>
              <w:rPr/>
            </w:pPr>
            <w:r>
              <w:rPr/>
              <w:t> </w:t>
            </w:r>
          </w:p>
        </w:tc>
      </w:tr>
      <w:tr>
        <w:trPr/>
        <w:tc>
          <w:tcPr>
            <w:tcW w:w="131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Bbl</w:t>
            </w:r>
          </w:p>
        </w:tc>
        <w:tc>
          <w:tcPr>
            <w:tcW w:w="346" w:type="dxa"/>
            <w:tcBorders/>
            <w:shd w:fill="CCEEFF" w:val="clear"/>
            <w:vAlign w:val="center"/>
          </w:tcPr>
          <w:p>
            <w:pPr>
              <w:pStyle w:val="TableContents"/>
              <w:bidi w:val="0"/>
              <w:spacing w:before="0" w:after="0"/>
              <w:ind w:left="0" w:right="0" w:hanging="0"/>
              <w:jc w:val="left"/>
              <w:rPr/>
            </w:pPr>
            <w:r>
              <w:rPr/>
              <w:t>​</w:t>
            </w:r>
          </w:p>
        </w:tc>
        <w:tc>
          <w:tcPr>
            <w:tcW w:w="8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stock tank barrel, of 42 U.S. gallons of liquid volume, used herein in reference to oil or NGL.</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BCF</w:t>
            </w:r>
          </w:p>
        </w:tc>
        <w:tc>
          <w:tcPr>
            <w:tcW w:w="346" w:type="dxa"/>
            <w:tcBorders/>
            <w:vAlign w:val="center"/>
          </w:tcPr>
          <w:p>
            <w:pPr>
              <w:pStyle w:val="TableContents"/>
              <w:bidi w:val="0"/>
              <w:spacing w:before="0" w:after="0"/>
              <w:ind w:left="0" w:right="0" w:hanging="0"/>
              <w:jc w:val="left"/>
              <w:rPr/>
            </w:pPr>
            <w:r>
              <w:rPr/>
              <w:t>​</w:t>
            </w:r>
          </w:p>
        </w:tc>
        <w:tc>
          <w:tcPr>
            <w:tcW w:w="8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Billion cubic feet.</w:t>
            </w:r>
          </w:p>
        </w:tc>
        <w:tc>
          <w:tcPr>
            <w:tcW w:w="192" w:type="dxa"/>
            <w:tcBorders/>
            <w:vAlign w:val="center"/>
          </w:tcPr>
          <w:p>
            <w:pPr>
              <w:pStyle w:val="TableContents"/>
              <w:bidi w:val="0"/>
              <w:spacing w:before="0" w:after="0"/>
              <w:ind w:left="0" w:right="0" w:hanging="0"/>
              <w:jc w:val="left"/>
              <w:rPr/>
            </w:pPr>
            <w:r>
              <w:rPr/>
              <w:t>​</w:t>
            </w:r>
          </w:p>
        </w:tc>
      </w:tr>
      <w:tr>
        <w:trPr/>
        <w:tc>
          <w:tcPr>
            <w:tcW w:w="131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BFPD</w:t>
            </w:r>
          </w:p>
        </w:tc>
        <w:tc>
          <w:tcPr>
            <w:tcW w:w="346" w:type="dxa"/>
            <w:tcBorders/>
            <w:shd w:fill="CCEEFF" w:val="clear"/>
            <w:vAlign w:val="center"/>
          </w:tcPr>
          <w:p>
            <w:pPr>
              <w:pStyle w:val="TableContents"/>
              <w:bidi w:val="0"/>
              <w:spacing w:before="0" w:after="0"/>
              <w:ind w:left="0" w:right="0" w:hanging="0"/>
              <w:jc w:val="left"/>
              <w:rPr/>
            </w:pPr>
            <w:r>
              <w:rPr/>
              <w:t>​</w:t>
            </w:r>
          </w:p>
        </w:tc>
        <w:tc>
          <w:tcPr>
            <w:tcW w:w="8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Barrels of fluid per day.</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BOE</w:t>
            </w:r>
          </w:p>
        </w:tc>
        <w:tc>
          <w:tcPr>
            <w:tcW w:w="346" w:type="dxa"/>
            <w:tcBorders/>
            <w:vAlign w:val="center"/>
          </w:tcPr>
          <w:p>
            <w:pPr>
              <w:pStyle w:val="TableContents"/>
              <w:bidi w:val="0"/>
              <w:spacing w:before="0" w:after="0"/>
              <w:ind w:left="0" w:right="0" w:hanging="0"/>
              <w:jc w:val="left"/>
              <w:rPr/>
            </w:pPr>
            <w:r>
              <w:rPr/>
              <w:t>​</w:t>
            </w:r>
          </w:p>
        </w:tc>
        <w:tc>
          <w:tcPr>
            <w:tcW w:w="8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Barrels of oil equivalent. BOE is calculated by converting six MCF of natural gas and 42 gallons of NGL to one Bbl of oil which reflects energy equivalence and not price equivalence. Natural gas prices per MCF and NGL prices per barrel often differ significantly from the equivalent amount of oil.</w:t>
            </w:r>
          </w:p>
        </w:tc>
        <w:tc>
          <w:tcPr>
            <w:tcW w:w="192" w:type="dxa"/>
            <w:tcBorders/>
            <w:vAlign w:val="center"/>
          </w:tcPr>
          <w:p>
            <w:pPr>
              <w:pStyle w:val="TableContents"/>
              <w:bidi w:val="0"/>
              <w:spacing w:before="0" w:after="0"/>
              <w:ind w:left="0" w:right="0" w:hanging="0"/>
              <w:jc w:val="left"/>
              <w:rPr/>
            </w:pPr>
            <w:r>
              <w:rPr/>
              <w:t>​</w:t>
            </w:r>
          </w:p>
        </w:tc>
      </w:tr>
      <w:tr>
        <w:trPr/>
        <w:tc>
          <w:tcPr>
            <w:tcW w:w="131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BOEPD</w:t>
            </w:r>
          </w:p>
        </w:tc>
        <w:tc>
          <w:tcPr>
            <w:tcW w:w="346" w:type="dxa"/>
            <w:tcBorders/>
            <w:shd w:fill="CCEEFF" w:val="clear"/>
            <w:vAlign w:val="center"/>
          </w:tcPr>
          <w:p>
            <w:pPr>
              <w:pStyle w:val="TableContents"/>
              <w:bidi w:val="0"/>
              <w:spacing w:before="0" w:after="0"/>
              <w:ind w:left="0" w:right="0" w:hanging="0"/>
              <w:jc w:val="left"/>
              <w:rPr/>
            </w:pPr>
            <w:r>
              <w:rPr/>
              <w:t>​</w:t>
            </w:r>
          </w:p>
        </w:tc>
        <w:tc>
          <w:tcPr>
            <w:tcW w:w="8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Barrels of oil equivalent per day.</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BOPD</w:t>
            </w:r>
          </w:p>
        </w:tc>
        <w:tc>
          <w:tcPr>
            <w:tcW w:w="346" w:type="dxa"/>
            <w:tcBorders/>
            <w:vAlign w:val="center"/>
          </w:tcPr>
          <w:p>
            <w:pPr>
              <w:pStyle w:val="TableContents"/>
              <w:bidi w:val="0"/>
              <w:spacing w:before="0" w:after="0"/>
              <w:ind w:left="0" w:right="0" w:hanging="0"/>
              <w:jc w:val="left"/>
              <w:rPr/>
            </w:pPr>
            <w:r>
              <w:rPr/>
              <w:t>​</w:t>
            </w:r>
          </w:p>
        </w:tc>
        <w:tc>
          <w:tcPr>
            <w:tcW w:w="8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Barrels of oil per day.</w:t>
            </w:r>
          </w:p>
        </w:tc>
        <w:tc>
          <w:tcPr>
            <w:tcW w:w="192" w:type="dxa"/>
            <w:tcBorders/>
            <w:vAlign w:val="center"/>
          </w:tcPr>
          <w:p>
            <w:pPr>
              <w:pStyle w:val="TableContents"/>
              <w:bidi w:val="0"/>
              <w:spacing w:before="0" w:after="0"/>
              <w:ind w:left="0" w:right="0" w:hanging="0"/>
              <w:jc w:val="left"/>
              <w:rPr/>
            </w:pPr>
            <w:r>
              <w:rPr/>
              <w:t>​</w:t>
            </w:r>
          </w:p>
        </w:tc>
      </w:tr>
      <w:tr>
        <w:trPr/>
        <w:tc>
          <w:tcPr>
            <w:tcW w:w="131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BTU</w:t>
            </w:r>
          </w:p>
        </w:tc>
        <w:tc>
          <w:tcPr>
            <w:tcW w:w="346" w:type="dxa"/>
            <w:tcBorders/>
            <w:shd w:fill="CCEEFF" w:val="clear"/>
            <w:vAlign w:val="center"/>
          </w:tcPr>
          <w:p>
            <w:pPr>
              <w:pStyle w:val="TableContents"/>
              <w:bidi w:val="0"/>
              <w:spacing w:before="0" w:after="0"/>
              <w:ind w:left="0" w:right="0" w:hanging="0"/>
              <w:jc w:val="left"/>
              <w:rPr/>
            </w:pPr>
            <w:r>
              <w:rPr/>
              <w:t>​</w:t>
            </w:r>
          </w:p>
        </w:tc>
        <w:tc>
          <w:tcPr>
            <w:tcW w:w="8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British Thermal Unit: the standard unit of measure of energy equal to the amount of heat required to raise the temperature of one pound of water one degree Fahrenheit. </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CO</w:t>
            </w:r>
            <w:r>
              <w:rPr>
                <w:rFonts w:ascii="Times New Roman;Times;serif" w:hAnsi="Times New Roman;Times;serif"/>
                <w:b/>
                <w:sz w:val="15"/>
              </w:rPr>
              <w:t>2</w:t>
            </w:r>
          </w:p>
        </w:tc>
        <w:tc>
          <w:tcPr>
            <w:tcW w:w="346" w:type="dxa"/>
            <w:tcBorders/>
            <w:vAlign w:val="center"/>
          </w:tcPr>
          <w:p>
            <w:pPr>
              <w:pStyle w:val="TableContents"/>
              <w:bidi w:val="0"/>
              <w:spacing w:before="0" w:after="0"/>
              <w:ind w:left="0" w:right="0" w:hanging="0"/>
              <w:jc w:val="left"/>
              <w:rPr/>
            </w:pPr>
            <w:r>
              <w:rPr/>
              <w:t>​</w:t>
            </w:r>
          </w:p>
        </w:tc>
        <w:tc>
          <w:tcPr>
            <w:tcW w:w="8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Carbon Dioxide.</w:t>
            </w:r>
          </w:p>
        </w:tc>
        <w:tc>
          <w:tcPr>
            <w:tcW w:w="192" w:type="dxa"/>
            <w:tcBorders/>
            <w:vAlign w:val="center"/>
          </w:tcPr>
          <w:p>
            <w:pPr>
              <w:pStyle w:val="TableContents"/>
              <w:bidi w:val="0"/>
              <w:spacing w:before="0" w:after="0"/>
              <w:ind w:left="0" w:right="0" w:hanging="0"/>
              <w:jc w:val="left"/>
              <w:rPr/>
            </w:pPr>
            <w:r>
              <w:rPr/>
              <w:t>​</w:t>
            </w:r>
          </w:p>
        </w:tc>
      </w:tr>
      <w:tr>
        <w:trPr/>
        <w:tc>
          <w:tcPr>
            <w:tcW w:w="131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Developed Reserves</w:t>
            </w:r>
          </w:p>
        </w:tc>
        <w:tc>
          <w:tcPr>
            <w:tcW w:w="346" w:type="dxa"/>
            <w:tcBorders/>
            <w:shd w:fill="CCEEFF" w:val="clear"/>
            <w:vAlign w:val="center"/>
          </w:tcPr>
          <w:p>
            <w:pPr>
              <w:pStyle w:val="TableContents"/>
              <w:bidi w:val="0"/>
              <w:spacing w:before="0" w:after="0"/>
              <w:ind w:left="0" w:right="0" w:hanging="0"/>
              <w:jc w:val="left"/>
              <w:rPr/>
            </w:pPr>
            <w:r>
              <w:rPr/>
              <w:t>​</w:t>
            </w:r>
          </w:p>
        </w:tc>
        <w:tc>
          <w:tcPr>
            <w:tcW w:w="8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Reserves of any category that can be expected to be recovered (i) through existing wells with existing equipment and operating methods or in which the cost of the required equipment is relatively minor compared to the cost of a new well; and (ii) through installed extraction equipment and infrastructure operational at the time of the reserves estimate if the extraction is by a means not involving a well.</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EOR</w:t>
            </w:r>
          </w:p>
        </w:tc>
        <w:tc>
          <w:tcPr>
            <w:tcW w:w="346" w:type="dxa"/>
            <w:tcBorders/>
            <w:vAlign w:val="center"/>
          </w:tcPr>
          <w:p>
            <w:pPr>
              <w:pStyle w:val="TableContents"/>
              <w:bidi w:val="0"/>
              <w:spacing w:before="0" w:after="0"/>
              <w:ind w:left="0" w:right="0" w:hanging="0"/>
              <w:jc w:val="left"/>
              <w:rPr/>
            </w:pPr>
            <w:r>
              <w:rPr/>
              <w:t>​</w:t>
            </w:r>
          </w:p>
        </w:tc>
        <w:tc>
          <w:tcPr>
            <w:tcW w:w="8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Enhanced Oil Recovery; projects that involve injection of heat, miscible or immiscible gas, or chemicals into oil reservoirs, typically following full primary and secondary waterflood recovery efforts, in order to gain incremental recovery of oil from the reservoir.</w:t>
            </w:r>
          </w:p>
        </w:tc>
        <w:tc>
          <w:tcPr>
            <w:tcW w:w="192" w:type="dxa"/>
            <w:tcBorders/>
            <w:vAlign w:val="center"/>
          </w:tcPr>
          <w:p>
            <w:pPr>
              <w:pStyle w:val="TableContents"/>
              <w:bidi w:val="0"/>
              <w:spacing w:before="0" w:after="0"/>
              <w:ind w:left="0" w:right="0" w:hanging="0"/>
              <w:jc w:val="left"/>
              <w:rPr/>
            </w:pPr>
            <w:r>
              <w:rPr/>
              <w:t>​</w:t>
            </w:r>
          </w:p>
        </w:tc>
      </w:tr>
      <w:tr>
        <w:trPr/>
        <w:tc>
          <w:tcPr>
            <w:tcW w:w="131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Field</w:t>
            </w:r>
          </w:p>
        </w:tc>
        <w:tc>
          <w:tcPr>
            <w:tcW w:w="346" w:type="dxa"/>
            <w:tcBorders/>
            <w:shd w:fill="CCEEFF" w:val="clear"/>
            <w:vAlign w:val="center"/>
          </w:tcPr>
          <w:p>
            <w:pPr>
              <w:pStyle w:val="TableContents"/>
              <w:bidi w:val="0"/>
              <w:spacing w:before="0" w:after="0"/>
              <w:ind w:left="0" w:right="0" w:hanging="0"/>
              <w:jc w:val="left"/>
              <w:rPr/>
            </w:pPr>
            <w:r>
              <w:rPr/>
              <w:t>​</w:t>
            </w:r>
          </w:p>
        </w:tc>
        <w:tc>
          <w:tcPr>
            <w:tcW w:w="8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area consisting of a single reservoir or multiple reservoirs all grouped within or related to the same geologic structural features and/or stratigraphic features.*</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Farmout</w:t>
            </w:r>
          </w:p>
        </w:tc>
        <w:tc>
          <w:tcPr>
            <w:tcW w:w="346" w:type="dxa"/>
            <w:tcBorders/>
            <w:vAlign w:val="center"/>
          </w:tcPr>
          <w:p>
            <w:pPr>
              <w:pStyle w:val="TableContents"/>
              <w:bidi w:val="0"/>
              <w:spacing w:before="0" w:after="0"/>
              <w:ind w:left="0" w:right="0" w:hanging="0"/>
              <w:jc w:val="left"/>
              <w:rPr/>
            </w:pPr>
            <w:r>
              <w:rPr/>
              <w:t>​</w:t>
            </w:r>
          </w:p>
        </w:tc>
        <w:tc>
          <w:tcPr>
            <w:tcW w:w="8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 or transfer of all or part of the operating rights from the working interest owner (the assignor or farmout party), to an assignee (the farm-in party) who assumes all or some of the burden of development, in return for an interest in the property. The assignor may retain an overriding royalty or any other type of interest. For Federal tax purposes, a farmout may be structured as a sale or lease, depending on the specific rights and carved out interests retained by the assignor.</w:t>
            </w:r>
          </w:p>
        </w:tc>
        <w:tc>
          <w:tcPr>
            <w:tcW w:w="192" w:type="dxa"/>
            <w:tcBorders/>
            <w:vAlign w:val="center"/>
          </w:tcPr>
          <w:p>
            <w:pPr>
              <w:pStyle w:val="TableContents"/>
              <w:bidi w:val="0"/>
              <w:spacing w:before="0" w:after="0"/>
              <w:ind w:left="0" w:right="0" w:hanging="0"/>
              <w:jc w:val="left"/>
              <w:rPr/>
            </w:pPr>
            <w:r>
              <w:rPr/>
              <w:t>​</w:t>
            </w:r>
          </w:p>
        </w:tc>
      </w:tr>
      <w:tr>
        <w:trPr/>
        <w:tc>
          <w:tcPr>
            <w:tcW w:w="131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Acres or Gross Wells</w:t>
            </w:r>
          </w:p>
        </w:tc>
        <w:tc>
          <w:tcPr>
            <w:tcW w:w="346" w:type="dxa"/>
            <w:tcBorders/>
            <w:shd w:fill="CCEEFF" w:val="clear"/>
            <w:vAlign w:val="center"/>
          </w:tcPr>
          <w:p>
            <w:pPr>
              <w:pStyle w:val="TableContents"/>
              <w:bidi w:val="0"/>
              <w:spacing w:before="0" w:after="0"/>
              <w:ind w:left="0" w:right="0" w:hanging="0"/>
              <w:jc w:val="left"/>
              <w:rPr/>
            </w:pPr>
            <w:r>
              <w:rPr/>
              <w:t>​</w:t>
            </w:r>
          </w:p>
        </w:tc>
        <w:tc>
          <w:tcPr>
            <w:tcW w:w="8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total acres or number of wells participated in, regardless of the amount of working interest owned.</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Horizontal Drilling</w:t>
            </w:r>
          </w:p>
        </w:tc>
        <w:tc>
          <w:tcPr>
            <w:tcW w:w="346" w:type="dxa"/>
            <w:tcBorders/>
            <w:vAlign w:val="center"/>
          </w:tcPr>
          <w:p>
            <w:pPr>
              <w:pStyle w:val="TableContents"/>
              <w:bidi w:val="0"/>
              <w:spacing w:before="0" w:after="0"/>
              <w:ind w:left="0" w:right="0" w:hanging="0"/>
              <w:jc w:val="left"/>
              <w:rPr/>
            </w:pPr>
            <w:r>
              <w:rPr/>
              <w:t>​</w:t>
            </w:r>
          </w:p>
        </w:tc>
        <w:tc>
          <w:tcPr>
            <w:tcW w:w="8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Involves drilling horizontally out from a vertical well-bore, thereby potentially increasing the area and reach of the well-bore that is in contact with the reservoir.</w:t>
            </w:r>
          </w:p>
        </w:tc>
        <w:tc>
          <w:tcPr>
            <w:tcW w:w="192" w:type="dxa"/>
            <w:tcBorders/>
            <w:vAlign w:val="center"/>
          </w:tcPr>
          <w:p>
            <w:pPr>
              <w:pStyle w:val="TableContents"/>
              <w:bidi w:val="0"/>
              <w:spacing w:before="0" w:after="0"/>
              <w:ind w:left="0" w:right="0" w:hanging="0"/>
              <w:jc w:val="left"/>
              <w:rPr/>
            </w:pPr>
            <w:r>
              <w:rPr/>
              <w:t>​</w:t>
            </w:r>
          </w:p>
        </w:tc>
      </w:tr>
      <w:tr>
        <w:trPr/>
        <w:tc>
          <w:tcPr>
            <w:tcW w:w="131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Hydraulic Fracturing</w:t>
            </w:r>
          </w:p>
        </w:tc>
        <w:tc>
          <w:tcPr>
            <w:tcW w:w="346" w:type="dxa"/>
            <w:tcBorders/>
            <w:shd w:fill="CCEEFF" w:val="clear"/>
            <w:vAlign w:val="center"/>
          </w:tcPr>
          <w:p>
            <w:pPr>
              <w:pStyle w:val="TableContents"/>
              <w:bidi w:val="0"/>
              <w:spacing w:before="0" w:after="0"/>
              <w:ind w:left="0" w:right="0" w:hanging="0"/>
              <w:jc w:val="left"/>
              <w:rPr/>
            </w:pPr>
            <w:r>
              <w:rPr/>
              <w:t>​</w:t>
            </w:r>
          </w:p>
        </w:tc>
        <w:tc>
          <w:tcPr>
            <w:tcW w:w="8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Involves pumping a fluid with or without particulates into a formation at high pressure, thereby creating fractures in the rock and leaving the particulates in the fractures to ensure that the fractures remain open which potentially increases the ability of the reservoir to produce oil or natural gas.</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LOE</w:t>
            </w:r>
          </w:p>
        </w:tc>
        <w:tc>
          <w:tcPr>
            <w:tcW w:w="346" w:type="dxa"/>
            <w:tcBorders/>
            <w:vAlign w:val="center"/>
          </w:tcPr>
          <w:p>
            <w:pPr>
              <w:pStyle w:val="TableContents"/>
              <w:bidi w:val="0"/>
              <w:spacing w:before="0" w:after="0"/>
              <w:ind w:left="0" w:right="0" w:hanging="0"/>
              <w:jc w:val="left"/>
              <w:rPr/>
            </w:pPr>
            <w:r>
              <w:rPr/>
              <w:t>​</w:t>
            </w:r>
          </w:p>
        </w:tc>
        <w:tc>
          <w:tcPr>
            <w:tcW w:w="8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Operating Expense(s); a current period expense incurred to operate a well.</w:t>
            </w:r>
          </w:p>
        </w:tc>
        <w:tc>
          <w:tcPr>
            <w:tcW w:w="192" w:type="dxa"/>
            <w:tcBorders/>
            <w:vAlign w:val="center"/>
          </w:tcPr>
          <w:p>
            <w:pPr>
              <w:pStyle w:val="TableContents"/>
              <w:bidi w:val="0"/>
              <w:spacing w:before="0" w:after="0"/>
              <w:ind w:left="0" w:right="0" w:hanging="0"/>
              <w:jc w:val="left"/>
              <w:rPr/>
            </w:pPr>
            <w:r>
              <w:rPr/>
              <w:t>​</w:t>
            </w:r>
          </w:p>
        </w:tc>
      </w:tr>
      <w:tr>
        <w:trPr/>
        <w:tc>
          <w:tcPr>
            <w:tcW w:w="131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MBBL</w:t>
            </w:r>
          </w:p>
        </w:tc>
        <w:tc>
          <w:tcPr>
            <w:tcW w:w="346" w:type="dxa"/>
            <w:tcBorders/>
            <w:shd w:fill="CCEEFF" w:val="clear"/>
            <w:vAlign w:val="center"/>
          </w:tcPr>
          <w:p>
            <w:pPr>
              <w:pStyle w:val="TableContents"/>
              <w:bidi w:val="0"/>
              <w:spacing w:before="0" w:after="0"/>
              <w:ind w:left="0" w:right="0" w:hanging="0"/>
              <w:jc w:val="left"/>
              <w:rPr/>
            </w:pPr>
            <w:r>
              <w:rPr/>
              <w:t>​</w:t>
            </w:r>
          </w:p>
        </w:tc>
        <w:tc>
          <w:tcPr>
            <w:tcW w:w="8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thousand barrels.</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MMBBL</w:t>
            </w:r>
          </w:p>
        </w:tc>
        <w:tc>
          <w:tcPr>
            <w:tcW w:w="346" w:type="dxa"/>
            <w:tcBorders/>
            <w:vAlign w:val="center"/>
          </w:tcPr>
          <w:p>
            <w:pPr>
              <w:pStyle w:val="TableContents"/>
              <w:bidi w:val="0"/>
              <w:spacing w:before="0" w:after="0"/>
              <w:ind w:left="0" w:right="0" w:hanging="0"/>
              <w:jc w:val="left"/>
              <w:rPr/>
            </w:pPr>
            <w:r>
              <w:rPr/>
              <w:t>​</w:t>
            </w:r>
          </w:p>
        </w:tc>
        <w:tc>
          <w:tcPr>
            <w:tcW w:w="8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million barrels.</w:t>
            </w:r>
          </w:p>
        </w:tc>
        <w:tc>
          <w:tcPr>
            <w:tcW w:w="192" w:type="dxa"/>
            <w:tcBorders/>
            <w:vAlign w:val="center"/>
          </w:tcPr>
          <w:p>
            <w:pPr>
              <w:pStyle w:val="TableContents"/>
              <w:bidi w:val="0"/>
              <w:spacing w:before="0" w:after="0"/>
              <w:ind w:left="0" w:right="0" w:hanging="0"/>
              <w:jc w:val="left"/>
              <w:rPr/>
            </w:pPr>
            <w:r>
              <w:rPr/>
              <w:t>​</w:t>
            </w:r>
          </w:p>
        </w:tc>
      </w:tr>
      <w:tr>
        <w:trPr/>
        <w:tc>
          <w:tcPr>
            <w:tcW w:w="131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MBOE</w:t>
            </w:r>
          </w:p>
        </w:tc>
        <w:tc>
          <w:tcPr>
            <w:tcW w:w="346" w:type="dxa"/>
            <w:tcBorders/>
            <w:shd w:fill="CCEEFF" w:val="clear"/>
            <w:vAlign w:val="center"/>
          </w:tcPr>
          <w:p>
            <w:pPr>
              <w:pStyle w:val="TableContents"/>
              <w:bidi w:val="0"/>
              <w:spacing w:before="0" w:after="0"/>
              <w:ind w:left="0" w:right="0" w:hanging="0"/>
              <w:jc w:val="left"/>
              <w:rPr/>
            </w:pPr>
            <w:r>
              <w:rPr/>
              <w:t>​</w:t>
            </w:r>
          </w:p>
        </w:tc>
        <w:tc>
          <w:tcPr>
            <w:tcW w:w="8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thousand barrels of oil equivalent.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MBOEPD</w:t>
            </w:r>
          </w:p>
        </w:tc>
        <w:tc>
          <w:tcPr>
            <w:tcW w:w="346" w:type="dxa"/>
            <w:tcBorders/>
            <w:vAlign w:val="center"/>
          </w:tcPr>
          <w:p>
            <w:pPr>
              <w:pStyle w:val="TableContents"/>
              <w:bidi w:val="0"/>
              <w:spacing w:before="0" w:after="0"/>
              <w:ind w:left="0" w:right="0" w:hanging="0"/>
              <w:jc w:val="left"/>
              <w:rPr/>
            </w:pPr>
            <w:r>
              <w:rPr/>
              <w:t>​</w:t>
            </w:r>
          </w:p>
        </w:tc>
        <w:tc>
          <w:tcPr>
            <w:tcW w:w="8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thousand barrels of oil equivalent per day.</w:t>
            </w:r>
          </w:p>
        </w:tc>
        <w:tc>
          <w:tcPr>
            <w:tcW w:w="192" w:type="dxa"/>
            <w:tcBorders/>
            <w:vAlign w:val="center"/>
          </w:tcPr>
          <w:p>
            <w:pPr>
              <w:pStyle w:val="TableContents"/>
              <w:bidi w:val="0"/>
              <w:spacing w:before="0" w:after="0"/>
              <w:ind w:left="0" w:right="0" w:hanging="0"/>
              <w:jc w:val="left"/>
              <w:rPr/>
            </w:pPr>
            <w:r>
              <w:rPr/>
              <w:t>​</w:t>
            </w:r>
          </w:p>
        </w:tc>
      </w:tr>
      <w:tr>
        <w:trPr/>
        <w:tc>
          <w:tcPr>
            <w:tcW w:w="131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MMBOE</w:t>
            </w:r>
          </w:p>
        </w:tc>
        <w:tc>
          <w:tcPr>
            <w:tcW w:w="346" w:type="dxa"/>
            <w:tcBorders/>
            <w:shd w:fill="CCEEFF" w:val="clear"/>
            <w:vAlign w:val="center"/>
          </w:tcPr>
          <w:p>
            <w:pPr>
              <w:pStyle w:val="TableContents"/>
              <w:bidi w:val="0"/>
              <w:spacing w:before="0" w:after="0"/>
              <w:ind w:left="0" w:right="0" w:hanging="0"/>
              <w:jc w:val="left"/>
              <w:rPr/>
            </w:pPr>
            <w:r>
              <w:rPr/>
              <w:t>​</w:t>
            </w:r>
          </w:p>
        </w:tc>
        <w:tc>
          <w:tcPr>
            <w:tcW w:w="8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million barrels of oil equivalent.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MCF</w:t>
            </w:r>
          </w:p>
        </w:tc>
        <w:tc>
          <w:tcPr>
            <w:tcW w:w="346" w:type="dxa"/>
            <w:tcBorders/>
            <w:vAlign w:val="center"/>
          </w:tcPr>
          <w:p>
            <w:pPr>
              <w:pStyle w:val="TableContents"/>
              <w:bidi w:val="0"/>
              <w:spacing w:before="0" w:after="0"/>
              <w:ind w:left="0" w:right="0" w:hanging="0"/>
              <w:jc w:val="left"/>
              <w:rPr/>
            </w:pPr>
            <w:r>
              <w:rPr/>
              <w:t>​</w:t>
            </w:r>
          </w:p>
        </w:tc>
        <w:tc>
          <w:tcPr>
            <w:tcW w:w="8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thousand cubic feet of natural gas at standard conditions, being approximately sea level pressure and 60 degrees Fahrenheit temperature.</w:t>
            </w:r>
          </w:p>
        </w:tc>
        <w:tc>
          <w:tcPr>
            <w:tcW w:w="192" w:type="dxa"/>
            <w:tcBorders/>
            <w:vAlign w:val="center"/>
          </w:tcPr>
          <w:p>
            <w:pPr>
              <w:pStyle w:val="TableContents"/>
              <w:bidi w:val="0"/>
              <w:spacing w:before="0" w:after="0"/>
              <w:ind w:left="0" w:right="0" w:hanging="0"/>
              <w:jc w:val="left"/>
              <w:rPr/>
            </w:pPr>
            <w:r>
              <w:rPr/>
              <w:t>​</w:t>
            </w:r>
          </w:p>
        </w:tc>
      </w:tr>
      <w:tr>
        <w:trPr/>
        <w:tc>
          <w:tcPr>
            <w:tcW w:w="131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MMCF</w:t>
            </w:r>
          </w:p>
        </w:tc>
        <w:tc>
          <w:tcPr>
            <w:tcW w:w="346" w:type="dxa"/>
            <w:tcBorders/>
            <w:shd w:fill="CCEEFF" w:val="clear"/>
            <w:vAlign w:val="center"/>
          </w:tcPr>
          <w:p>
            <w:pPr>
              <w:pStyle w:val="TableContents"/>
              <w:bidi w:val="0"/>
              <w:spacing w:before="0" w:after="0"/>
              <w:ind w:left="0" w:right="0" w:hanging="0"/>
              <w:jc w:val="left"/>
              <w:rPr/>
            </w:pPr>
            <w:r>
              <w:rPr/>
              <w:t>​</w:t>
            </w:r>
          </w:p>
        </w:tc>
        <w:tc>
          <w:tcPr>
            <w:tcW w:w="8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million cubic feet of natural gas at standard conditions.</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MMBTU</w:t>
            </w:r>
          </w:p>
        </w:tc>
        <w:tc>
          <w:tcPr>
            <w:tcW w:w="346" w:type="dxa"/>
            <w:tcBorders/>
            <w:vAlign w:val="center"/>
          </w:tcPr>
          <w:p>
            <w:pPr>
              <w:pStyle w:val="TableContents"/>
              <w:bidi w:val="0"/>
              <w:spacing w:before="0" w:after="0"/>
              <w:ind w:left="0" w:right="0" w:hanging="0"/>
              <w:jc w:val="left"/>
              <w:rPr/>
            </w:pPr>
            <w:r>
              <w:rPr/>
              <w:t>​</w:t>
            </w:r>
          </w:p>
        </w:tc>
        <w:tc>
          <w:tcPr>
            <w:tcW w:w="8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million British Thermal Units.</w:t>
            </w:r>
          </w:p>
        </w:tc>
        <w:tc>
          <w:tcPr>
            <w:tcW w:w="192" w:type="dxa"/>
            <w:tcBorders/>
            <w:vAlign w:val="center"/>
          </w:tcPr>
          <w:p>
            <w:pPr>
              <w:pStyle w:val="TableContents"/>
              <w:bidi w:val="0"/>
              <w:spacing w:before="0" w:after="0"/>
              <w:ind w:left="0" w:right="0" w:hanging="0"/>
              <w:jc w:val="left"/>
              <w:rPr/>
            </w:pPr>
            <w:r>
              <w:rPr/>
              <w:t>​</w:t>
            </w:r>
          </w:p>
        </w:tc>
      </w:tr>
      <w:tr>
        <w:trPr/>
        <w:tc>
          <w:tcPr>
            <w:tcW w:w="131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Mineral Royalty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8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 royalty interest that is retained by the owner of the minerals underlying a lease. See </w:t>
            </w:r>
            <w:r>
              <w:rPr>
                <w:rFonts w:ascii="Times New Roman;Times;serif" w:hAnsi="Times New Roman;Times;serif"/>
                <w:color w:val="008080"/>
                <w:sz w:val="20"/>
              </w:rPr>
              <w:t>“</w:t>
            </w:r>
            <w:r>
              <w:rPr>
                <w:rFonts w:ascii="Times New Roman;Times;serif" w:hAnsi="Times New Roman;Times;serif"/>
                <w:sz w:val="20"/>
              </w:rPr>
              <w:t>Royalty Interest.</w:t>
            </w:r>
            <w:r>
              <w:rPr>
                <w:rFonts w:ascii="Times New Roman;Times;serif" w:hAnsi="Times New Roman;Times;serif"/>
                <w:color w:val="008080"/>
                <w:sz w:val="20"/>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131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Acres or Net Wells</w:t>
            </w:r>
          </w:p>
        </w:tc>
        <w:tc>
          <w:tcPr>
            <w:tcW w:w="346" w:type="dxa"/>
            <w:tcBorders/>
            <w:vAlign w:val="center"/>
          </w:tcPr>
          <w:p>
            <w:pPr>
              <w:pStyle w:val="TableContents"/>
              <w:bidi w:val="0"/>
              <w:spacing w:before="0" w:after="0"/>
              <w:ind w:left="0" w:right="0" w:hanging="0"/>
              <w:jc w:val="left"/>
              <w:rPr/>
            </w:pPr>
            <w:r>
              <w:rPr/>
              <w:t>​</w:t>
            </w:r>
          </w:p>
        </w:tc>
        <w:tc>
          <w:tcPr>
            <w:tcW w:w="8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sum of the fractional working interests owned in gross acres or gross wells.</w:t>
            </w:r>
          </w:p>
        </w:tc>
        <w:tc>
          <w:tcPr>
            <w:tcW w:w="192"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iv</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714"/>
        <w:gridCol w:w="109"/>
        <w:gridCol w:w="8227"/>
        <w:gridCol w:w="155"/>
      </w:tblGrid>
      <w:tr>
        <w:trPr/>
        <w:tc>
          <w:tcPr>
            <w:tcW w:w="171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NGL</w:t>
            </w:r>
          </w:p>
        </w:tc>
        <w:tc>
          <w:tcPr>
            <w:tcW w:w="109" w:type="dxa"/>
            <w:tcBorders/>
            <w:shd w:fill="CCEEFF" w:val="clear"/>
            <w:vAlign w:val="center"/>
          </w:tcPr>
          <w:p>
            <w:pPr>
              <w:pStyle w:val="TableContents"/>
              <w:bidi w:val="0"/>
              <w:spacing w:before="0" w:after="0"/>
              <w:ind w:left="0" w:right="0" w:hanging="0"/>
              <w:jc w:val="left"/>
              <w:rPr/>
            </w:pPr>
            <w:r>
              <w:rPr/>
              <w:t>​</w:t>
            </w:r>
          </w:p>
        </w:tc>
        <w:tc>
          <w:tcPr>
            <w:tcW w:w="8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Natural Gas Liquids; the combination of ethane, propane, butane and natural gasoline that can be removed from natural gas through processing, typically through refrigeration plants that utilize low temperatures, or through plants that utilize compression, temperature reduction and expansion to a lower pressure.</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7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Non-operated Interest </w:t>
            </w:r>
          </w:p>
        </w:tc>
        <w:tc>
          <w:tcPr>
            <w:tcW w:w="109" w:type="dxa"/>
            <w:tcBorders/>
            <w:vAlign w:val="center"/>
          </w:tcPr>
          <w:p>
            <w:pPr>
              <w:pStyle w:val="TableContents"/>
              <w:bidi w:val="0"/>
              <w:spacing w:before="0" w:after="0"/>
              <w:ind w:left="0" w:right="0" w:hanging="0"/>
              <w:jc w:val="left"/>
              <w:rPr/>
            </w:pPr>
            <w:r>
              <w:rPr/>
              <w:t>​</w:t>
            </w:r>
          </w:p>
        </w:tc>
        <w:tc>
          <w:tcPr>
            <w:tcW w:w="8227"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An interest in an oil and/or natural gas property but does not participate in or have any responsibility for actual operation of the property.</w:t>
            </w:r>
          </w:p>
        </w:tc>
        <w:tc>
          <w:tcPr>
            <w:tcW w:w="155" w:type="dxa"/>
            <w:tcBorders/>
            <w:vAlign w:val="center"/>
          </w:tcPr>
          <w:p>
            <w:pPr>
              <w:pStyle w:val="TableContents"/>
              <w:bidi w:val="0"/>
              <w:spacing w:before="0" w:after="0"/>
              <w:ind w:left="0" w:right="0" w:hanging="0"/>
              <w:jc w:val="left"/>
              <w:rPr/>
            </w:pPr>
            <w:r>
              <w:rPr/>
              <w:t>​</w:t>
            </w:r>
          </w:p>
        </w:tc>
      </w:tr>
      <w:tr>
        <w:trPr/>
        <w:tc>
          <w:tcPr>
            <w:tcW w:w="171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Non-operated Working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8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interest in an oil and/or natural gas property but does not participate in or have any responsibility for actual operation of the property, but is burdened with the cost of development and operation of the property.</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7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NYMEX</w:t>
            </w:r>
          </w:p>
        </w:tc>
        <w:tc>
          <w:tcPr>
            <w:tcW w:w="109" w:type="dxa"/>
            <w:tcBorders/>
            <w:vAlign w:val="center"/>
          </w:tcPr>
          <w:p>
            <w:pPr>
              <w:pStyle w:val="TableContents"/>
              <w:bidi w:val="0"/>
              <w:spacing w:before="0" w:after="0"/>
              <w:ind w:left="0" w:right="0" w:hanging="0"/>
              <w:jc w:val="left"/>
              <w:rPr/>
            </w:pPr>
            <w:r>
              <w:rPr/>
              <w:t>​</w:t>
            </w:r>
          </w:p>
        </w:tc>
        <w:tc>
          <w:tcPr>
            <w:tcW w:w="8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York Mercantile Exchange.</w:t>
            </w:r>
          </w:p>
        </w:tc>
        <w:tc>
          <w:tcPr>
            <w:tcW w:w="155" w:type="dxa"/>
            <w:tcBorders/>
            <w:vAlign w:val="center"/>
          </w:tcPr>
          <w:p>
            <w:pPr>
              <w:pStyle w:val="TableContents"/>
              <w:bidi w:val="0"/>
              <w:spacing w:before="0" w:after="0"/>
              <w:ind w:left="0" w:right="0" w:hanging="0"/>
              <w:jc w:val="left"/>
              <w:rPr/>
            </w:pPr>
            <w:r>
              <w:rPr/>
              <w:t>​</w:t>
            </w:r>
          </w:p>
        </w:tc>
      </w:tr>
      <w:tr>
        <w:trPr/>
        <w:tc>
          <w:tcPr>
            <w:tcW w:w="171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OOIP</w:t>
            </w:r>
          </w:p>
        </w:tc>
        <w:tc>
          <w:tcPr>
            <w:tcW w:w="109" w:type="dxa"/>
            <w:tcBorders/>
            <w:shd w:fill="CCEEFF" w:val="clear"/>
            <w:vAlign w:val="center"/>
          </w:tcPr>
          <w:p>
            <w:pPr>
              <w:pStyle w:val="TableContents"/>
              <w:bidi w:val="0"/>
              <w:spacing w:before="0" w:after="0"/>
              <w:ind w:left="0" w:right="0" w:hanging="0"/>
              <w:jc w:val="left"/>
              <w:rPr/>
            </w:pPr>
            <w:r>
              <w:rPr/>
              <w:t>​</w:t>
            </w:r>
          </w:p>
        </w:tc>
        <w:tc>
          <w:tcPr>
            <w:tcW w:w="8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Original Oil in Place; an estimate of the barrels originally contained in a reservoir before any production therefrom.</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7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Operator</w:t>
            </w:r>
          </w:p>
        </w:tc>
        <w:tc>
          <w:tcPr>
            <w:tcW w:w="109" w:type="dxa"/>
            <w:tcBorders/>
            <w:vAlign w:val="center"/>
          </w:tcPr>
          <w:p>
            <w:pPr>
              <w:pStyle w:val="TableContents"/>
              <w:bidi w:val="0"/>
              <w:spacing w:before="0" w:after="0"/>
              <w:ind w:left="0" w:right="0" w:hanging="0"/>
              <w:jc w:val="left"/>
              <w:rPr/>
            </w:pPr>
            <w:r>
              <w:rPr/>
              <w:t>​</w:t>
            </w:r>
          </w:p>
        </w:tc>
        <w:tc>
          <w:tcPr>
            <w:tcW w:w="8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oil and natural gas joint venture participant that manages the joint venture, pays venture costs and bills the venture’s non-operators for their share of venture costs. The operator is also responsible to market all oil and natural gas production, except for those non-operators who take their production in-kind.</w:t>
            </w:r>
          </w:p>
        </w:tc>
        <w:tc>
          <w:tcPr>
            <w:tcW w:w="155" w:type="dxa"/>
            <w:tcBorders/>
            <w:vAlign w:val="center"/>
          </w:tcPr>
          <w:p>
            <w:pPr>
              <w:pStyle w:val="TableContents"/>
              <w:bidi w:val="0"/>
              <w:spacing w:before="0" w:after="0"/>
              <w:ind w:left="0" w:right="0" w:hanging="0"/>
              <w:jc w:val="left"/>
              <w:rPr/>
            </w:pPr>
            <w:r>
              <w:rPr/>
              <w:t>​</w:t>
            </w:r>
          </w:p>
        </w:tc>
      </w:tr>
      <w:tr>
        <w:trPr/>
        <w:tc>
          <w:tcPr>
            <w:tcW w:w="171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Overriding Royalty Interest or ORRI</w:t>
            </w:r>
          </w:p>
        </w:tc>
        <w:tc>
          <w:tcPr>
            <w:tcW w:w="109" w:type="dxa"/>
            <w:tcBorders/>
            <w:shd w:fill="CCEEFF" w:val="clear"/>
            <w:vAlign w:val="center"/>
          </w:tcPr>
          <w:p>
            <w:pPr>
              <w:pStyle w:val="TableContents"/>
              <w:bidi w:val="0"/>
              <w:spacing w:before="0" w:after="0"/>
              <w:ind w:left="0" w:right="0" w:hanging="0"/>
              <w:jc w:val="left"/>
              <w:rPr/>
            </w:pPr>
            <w:r>
              <w:rPr/>
              <w:t>​</w:t>
            </w:r>
          </w:p>
        </w:tc>
        <w:tc>
          <w:tcPr>
            <w:tcW w:w="8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 royalty interest that is created out of the operating or working interest. Unlike a royalty interest, an overriding royalty interest terminates with the operating interest from which it was created or carved out of. See </w:t>
            </w:r>
            <w:r>
              <w:rPr>
                <w:rFonts w:ascii="Times New Roman;Times;serif" w:hAnsi="Times New Roman;Times;serif"/>
                <w:color w:val="008080"/>
                <w:sz w:val="20"/>
              </w:rPr>
              <w:t>“</w:t>
            </w:r>
            <w:r>
              <w:rPr>
                <w:rFonts w:ascii="Times New Roman;Times;serif" w:hAnsi="Times New Roman;Times;serif"/>
                <w:sz w:val="20"/>
              </w:rPr>
              <w:t>Royalty Interest.</w:t>
            </w:r>
            <w:r>
              <w:rPr>
                <w:rFonts w:ascii="Times New Roman;Times;serif" w:hAnsi="Times New Roman;Times;serif"/>
                <w:color w:val="008080"/>
                <w:sz w:val="20"/>
              </w:rPr>
              <w: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7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Permeability</w:t>
            </w:r>
          </w:p>
        </w:tc>
        <w:tc>
          <w:tcPr>
            <w:tcW w:w="109" w:type="dxa"/>
            <w:tcBorders/>
            <w:vAlign w:val="center"/>
          </w:tcPr>
          <w:p>
            <w:pPr>
              <w:pStyle w:val="TableContents"/>
              <w:bidi w:val="0"/>
              <w:spacing w:before="0" w:after="0"/>
              <w:ind w:left="0" w:right="0" w:hanging="0"/>
              <w:jc w:val="left"/>
              <w:rPr/>
            </w:pPr>
            <w:r>
              <w:rPr/>
              <w:t>​</w:t>
            </w:r>
          </w:p>
        </w:tc>
        <w:tc>
          <w:tcPr>
            <w:tcW w:w="8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measure of ease with which a fluid can move through a reservoir. The unit of measure is a darcy (d), or any metric derivation thereof, such as a millidarcy (md), where one darcy equals 1,000 millidarcy. Extremely low permeability of 10 millidarcy, or less, are often associated with source rocks, such as shale. Extraction of hydrocarbons from a source rock is more difficult than a sandstone reservoir where permeability typically ranges one to two darcy or more.</w:t>
            </w:r>
          </w:p>
        </w:tc>
        <w:tc>
          <w:tcPr>
            <w:tcW w:w="155" w:type="dxa"/>
            <w:tcBorders/>
            <w:vAlign w:val="center"/>
          </w:tcPr>
          <w:p>
            <w:pPr>
              <w:pStyle w:val="TableContents"/>
              <w:bidi w:val="0"/>
              <w:spacing w:before="0" w:after="0"/>
              <w:ind w:left="0" w:right="0" w:hanging="0"/>
              <w:jc w:val="left"/>
              <w:rPr/>
            </w:pPr>
            <w:r>
              <w:rPr/>
              <w:t>​</w:t>
            </w:r>
          </w:p>
        </w:tc>
      </w:tr>
      <w:tr>
        <w:trPr/>
        <w:tc>
          <w:tcPr>
            <w:tcW w:w="171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Porosity</w:t>
            </w:r>
          </w:p>
        </w:tc>
        <w:tc>
          <w:tcPr>
            <w:tcW w:w="109" w:type="dxa"/>
            <w:tcBorders/>
            <w:shd w:fill="CCEEFF" w:val="clear"/>
            <w:vAlign w:val="center"/>
          </w:tcPr>
          <w:p>
            <w:pPr>
              <w:pStyle w:val="TableContents"/>
              <w:bidi w:val="0"/>
              <w:spacing w:before="0" w:after="0"/>
              <w:ind w:left="0" w:right="0" w:hanging="0"/>
              <w:jc w:val="left"/>
              <w:rPr/>
            </w:pPr>
            <w:r>
              <w:rPr/>
              <w:t>​</w:t>
            </w:r>
          </w:p>
        </w:tc>
        <w:tc>
          <w:tcPr>
            <w:tcW w:w="8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relative volume of the pore space (or open area) compared to the total bulk volume of the reservoir, stated in percent. Higher porosity rocks provide more storage space for hydrocarbon accumulations than lower porosity rocks in a given cubic volume of reservoir.</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7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Primary Recovery Method</w:t>
            </w:r>
          </w:p>
        </w:tc>
        <w:tc>
          <w:tcPr>
            <w:tcW w:w="109" w:type="dxa"/>
            <w:tcBorders/>
            <w:vAlign w:val="center"/>
          </w:tcPr>
          <w:p>
            <w:pPr>
              <w:pStyle w:val="TableContents"/>
              <w:bidi w:val="0"/>
              <w:spacing w:before="0" w:after="0"/>
              <w:ind w:left="0" w:right="0" w:hanging="0"/>
              <w:jc w:val="left"/>
              <w:rPr/>
            </w:pPr>
            <w:r>
              <w:rPr/>
              <w:t>​</w:t>
            </w:r>
          </w:p>
        </w:tc>
        <w:tc>
          <w:tcPr>
            <w:tcW w:w="8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extraction of oil and natural gas from reservoirs using natural or initial reservoir pressure combined with artificial lift techniques such as pumps.</w:t>
            </w:r>
          </w:p>
        </w:tc>
        <w:tc>
          <w:tcPr>
            <w:tcW w:w="155" w:type="dxa"/>
            <w:tcBorders/>
            <w:vAlign w:val="center"/>
          </w:tcPr>
          <w:p>
            <w:pPr>
              <w:pStyle w:val="TableContents"/>
              <w:bidi w:val="0"/>
              <w:spacing w:before="0" w:after="0"/>
              <w:ind w:left="0" w:right="0" w:hanging="0"/>
              <w:jc w:val="left"/>
              <w:rPr/>
            </w:pPr>
            <w:r>
              <w:rPr/>
              <w:t>​</w:t>
            </w:r>
          </w:p>
        </w:tc>
      </w:tr>
      <w:tr>
        <w:trPr/>
        <w:tc>
          <w:tcPr>
            <w:tcW w:w="171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Producing Reserves</w:t>
            </w:r>
          </w:p>
        </w:tc>
        <w:tc>
          <w:tcPr>
            <w:tcW w:w="109" w:type="dxa"/>
            <w:tcBorders/>
            <w:shd w:fill="CCEEFF" w:val="clear"/>
            <w:vAlign w:val="center"/>
          </w:tcPr>
          <w:p>
            <w:pPr>
              <w:pStyle w:val="TableContents"/>
              <w:bidi w:val="0"/>
              <w:spacing w:before="0" w:after="0"/>
              <w:ind w:left="0" w:right="0" w:hanging="0"/>
              <w:jc w:val="left"/>
              <w:rPr/>
            </w:pPr>
            <w:r>
              <w:rPr/>
              <w:t>​</w:t>
            </w:r>
          </w:p>
        </w:tc>
        <w:tc>
          <w:tcPr>
            <w:tcW w:w="8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category of reserves that have been developed and production has been initiated.*</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7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Producing Well</w:t>
            </w:r>
          </w:p>
        </w:tc>
        <w:tc>
          <w:tcPr>
            <w:tcW w:w="109" w:type="dxa"/>
            <w:tcBorders/>
            <w:vAlign w:val="center"/>
          </w:tcPr>
          <w:p>
            <w:pPr>
              <w:pStyle w:val="TableContents"/>
              <w:bidi w:val="0"/>
              <w:spacing w:before="0" w:after="0"/>
              <w:ind w:left="0" w:right="0" w:hanging="0"/>
              <w:jc w:val="left"/>
              <w:rPr/>
            </w:pPr>
            <w:r>
              <w:rPr/>
              <w:t>​</w:t>
            </w:r>
          </w:p>
        </w:tc>
        <w:tc>
          <w:tcPr>
            <w:tcW w:w="8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well that has been developed and production has been initiated.*</w:t>
            </w:r>
          </w:p>
        </w:tc>
        <w:tc>
          <w:tcPr>
            <w:tcW w:w="155" w:type="dxa"/>
            <w:tcBorders/>
            <w:vAlign w:val="center"/>
          </w:tcPr>
          <w:p>
            <w:pPr>
              <w:pStyle w:val="TableContents"/>
              <w:bidi w:val="0"/>
              <w:spacing w:before="0" w:after="0"/>
              <w:ind w:left="0" w:right="0" w:hanging="0"/>
              <w:jc w:val="left"/>
              <w:rPr/>
            </w:pPr>
            <w:r>
              <w:rPr/>
              <w:t>​</w:t>
            </w:r>
          </w:p>
        </w:tc>
      </w:tr>
      <w:tr>
        <w:trPr/>
        <w:tc>
          <w:tcPr>
            <w:tcW w:w="171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Proved Developed Reserves</w:t>
            </w:r>
          </w:p>
        </w:tc>
        <w:tc>
          <w:tcPr>
            <w:tcW w:w="109" w:type="dxa"/>
            <w:tcBorders/>
            <w:shd w:fill="CCEEFF" w:val="clear"/>
            <w:vAlign w:val="center"/>
          </w:tcPr>
          <w:p>
            <w:pPr>
              <w:pStyle w:val="TableContents"/>
              <w:bidi w:val="0"/>
              <w:spacing w:before="0" w:after="0"/>
              <w:ind w:left="0" w:right="0" w:hanging="0"/>
              <w:jc w:val="left"/>
              <w:rPr/>
            </w:pPr>
            <w:r>
              <w:rPr/>
              <w:t>​</w:t>
            </w:r>
          </w:p>
        </w:tc>
        <w:tc>
          <w:tcPr>
            <w:tcW w:w="8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Proved Reserves that can be expected to be recovered (i) through existing wells with existing equipment and operating methods or in which the cost of the required equipment is relatively minor compared to the cost of a new well; and (ii) through installed extraction equipment and infrastructure operational at the time of the reserves estimate if the extraction is by a means not involving a well.</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7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Proved Developed Nonproducing Reserves</w:t>
            </w:r>
          </w:p>
        </w:tc>
        <w:tc>
          <w:tcPr>
            <w:tcW w:w="109" w:type="dxa"/>
            <w:tcBorders/>
            <w:vAlign w:val="center"/>
          </w:tcPr>
          <w:p>
            <w:pPr>
              <w:pStyle w:val="TableContents"/>
              <w:bidi w:val="0"/>
              <w:spacing w:before="0" w:after="0"/>
              <w:ind w:left="0" w:right="0" w:hanging="0"/>
              <w:jc w:val="left"/>
              <w:rPr/>
            </w:pPr>
            <w:r>
              <w:rPr/>
              <w:t>​</w:t>
            </w:r>
          </w:p>
        </w:tc>
        <w:tc>
          <w:tcPr>
            <w:tcW w:w="8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Proved Reserves that have been developed and no material amount of capital expenditures are required to bring on production, but production has not yet been initiated due to timing, markets, or lack of third party completed connection to a natural gas sales pipeline.*</w:t>
            </w:r>
          </w:p>
        </w:tc>
        <w:tc>
          <w:tcPr>
            <w:tcW w:w="155" w:type="dxa"/>
            <w:tcBorders/>
            <w:vAlign w:val="center"/>
          </w:tcPr>
          <w:p>
            <w:pPr>
              <w:pStyle w:val="TableContents"/>
              <w:bidi w:val="0"/>
              <w:spacing w:before="0" w:after="0"/>
              <w:ind w:left="0" w:right="0" w:hanging="0"/>
              <w:jc w:val="left"/>
              <w:rPr/>
            </w:pPr>
            <w:r>
              <w:rPr/>
              <w:t>​</w:t>
            </w:r>
          </w:p>
        </w:tc>
      </w:tr>
      <w:tr>
        <w:trPr/>
        <w:tc>
          <w:tcPr>
            <w:tcW w:w="17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Proved Developed Producing Reserves (</w:t>
            </w:r>
            <w:r>
              <w:rPr>
                <w:rFonts w:ascii="Times New Roman;Times;serif" w:hAnsi="Times New Roman;Times;serif"/>
                <w:sz w:val="20"/>
              </w:rPr>
              <w:t>“</w:t>
            </w:r>
            <w:r>
              <w:rPr>
                <w:rFonts w:ascii="Times New Roman;Times;serif" w:hAnsi="Times New Roman;Times;serif"/>
                <w:b/>
                <w:sz w:val="20"/>
              </w:rPr>
              <w:t>PDP</w:t>
            </w:r>
            <w:r>
              <w:rPr>
                <w:rFonts w:ascii="Times New Roman;Times;serif" w:hAnsi="Times New Roman;Times;serif"/>
                <w:sz w:val="20"/>
              </w:rPr>
              <w:t>”</w:t>
            </w:r>
            <w:r>
              <w:rPr>
                <w:rFonts w:ascii="Times New Roman;Times;serif" w:hAnsi="Times New Roman;Times;serif"/>
                <w:b/>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Proved Reserves that have been developed and production has been initiated.*</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7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Proved Reserves</w:t>
            </w:r>
          </w:p>
        </w:tc>
        <w:tc>
          <w:tcPr>
            <w:tcW w:w="109" w:type="dxa"/>
            <w:tcBorders/>
            <w:vAlign w:val="center"/>
          </w:tcPr>
          <w:p>
            <w:pPr>
              <w:pStyle w:val="TableContents"/>
              <w:bidi w:val="0"/>
              <w:spacing w:before="0" w:after="0"/>
              <w:ind w:left="0" w:right="0" w:hanging="0"/>
              <w:jc w:val="left"/>
              <w:rPr/>
            </w:pPr>
            <w:r>
              <w:rPr/>
              <w:t>​</w:t>
            </w:r>
          </w:p>
        </w:tc>
        <w:tc>
          <w:tcPr>
            <w:tcW w:w="8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quantities of oil, natural gas, and NGLs which geologic and engineering data demonstrate with reasonable certainty to be recoverable in future years from known reservoirs under existing economic, operating methods, and government regulations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tc>
        <w:tc>
          <w:tcPr>
            <w:tcW w:w="155"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v</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423"/>
        <w:gridCol w:w="109"/>
        <w:gridCol w:w="8518"/>
        <w:gridCol w:w="155"/>
      </w:tblGrid>
      <w:tr>
        <w:trPr/>
        <w:tc>
          <w:tcPr>
            <w:tcW w:w="14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Proved Undeveloped Reserves (“PUD”)</w:t>
            </w:r>
          </w:p>
        </w:tc>
        <w:tc>
          <w:tcPr>
            <w:tcW w:w="109" w:type="dxa"/>
            <w:tcBorders/>
            <w:shd w:fill="CCEEFF" w:val="clear"/>
            <w:vAlign w:val="center"/>
          </w:tcPr>
          <w:p>
            <w:pPr>
              <w:pStyle w:val="TableContents"/>
              <w:bidi w:val="0"/>
              <w:spacing w:before="0" w:after="0"/>
              <w:ind w:left="0" w:right="0" w:hanging="0"/>
              <w:jc w:val="left"/>
              <w:rPr/>
            </w:pPr>
            <w:r>
              <w:rPr/>
              <w:t>​</w:t>
            </w:r>
          </w:p>
        </w:tc>
        <w:tc>
          <w:tcPr>
            <w:tcW w:w="8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Proved Reserves that are expected to be recovered from new wells on undrilled acreage, or from existing wells where a relatively major expenditure is required for recompletion.* (i) 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 (ii) Undrilled locations can be classified as having undeveloped reserves only if a development plan has been adopted indicating that they are scheduled to be drilled within five years, unless the specific circumstances justify a longer time. (iii) 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or by other evidence using reliable technology establishing reasonable certainty.</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42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Present Value</w:t>
            </w:r>
          </w:p>
        </w:tc>
        <w:tc>
          <w:tcPr>
            <w:tcW w:w="109" w:type="dxa"/>
            <w:tcBorders/>
            <w:vAlign w:val="center"/>
          </w:tcPr>
          <w:p>
            <w:pPr>
              <w:pStyle w:val="TableContents"/>
              <w:bidi w:val="0"/>
              <w:spacing w:before="0" w:after="0"/>
              <w:ind w:left="0" w:right="0" w:hanging="0"/>
              <w:jc w:val="left"/>
              <w:rPr/>
            </w:pPr>
            <w:r>
              <w:rPr/>
              <w:t>​</w:t>
            </w:r>
          </w:p>
        </w:tc>
        <w:tc>
          <w:tcPr>
            <w:tcW w:w="8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When used with respect to oil and natural gas reserves, present value means the estimated future net revenues computed by applying current prices of oil and natural gas reserves (with consideration of price changes only to the extent provided by contractual arrangements) to estimated future production of proved oil and natural gas reserves as of the date of the latest balance sheet presented, less estimated future expenditures (based on current costs to be incurred in developing and producing the proved reserves) computed using a discount factor and assuming continuation of existing economic conditions.</w:t>
            </w:r>
          </w:p>
        </w:tc>
        <w:tc>
          <w:tcPr>
            <w:tcW w:w="155" w:type="dxa"/>
            <w:tcBorders/>
            <w:vAlign w:val="center"/>
          </w:tcPr>
          <w:p>
            <w:pPr>
              <w:pStyle w:val="TableContents"/>
              <w:bidi w:val="0"/>
              <w:spacing w:before="0" w:after="0"/>
              <w:ind w:left="0" w:right="0" w:hanging="0"/>
              <w:jc w:val="left"/>
              <w:rPr/>
            </w:pPr>
            <w:r>
              <w:rPr/>
              <w:t>​</w:t>
            </w:r>
          </w:p>
        </w:tc>
      </w:tr>
      <w:tr>
        <w:trPr/>
        <w:tc>
          <w:tcPr>
            <w:tcW w:w="14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Productive Well</w:t>
            </w:r>
          </w:p>
        </w:tc>
        <w:tc>
          <w:tcPr>
            <w:tcW w:w="109" w:type="dxa"/>
            <w:tcBorders/>
            <w:shd w:fill="CCEEFF" w:val="clear"/>
            <w:vAlign w:val="center"/>
          </w:tcPr>
          <w:p>
            <w:pPr>
              <w:pStyle w:val="TableContents"/>
              <w:bidi w:val="0"/>
              <w:spacing w:before="0" w:after="0"/>
              <w:ind w:left="0" w:right="0" w:hanging="0"/>
              <w:jc w:val="left"/>
              <w:rPr/>
            </w:pPr>
            <w:r>
              <w:rPr/>
              <w:t>​</w:t>
            </w:r>
          </w:p>
        </w:tc>
        <w:tc>
          <w:tcPr>
            <w:tcW w:w="8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well that is producing oil or natural gas or that is capable of production.</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42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PV-10</w:t>
            </w:r>
          </w:p>
        </w:tc>
        <w:tc>
          <w:tcPr>
            <w:tcW w:w="109" w:type="dxa"/>
            <w:tcBorders/>
            <w:vAlign w:val="center"/>
          </w:tcPr>
          <w:p>
            <w:pPr>
              <w:pStyle w:val="TableContents"/>
              <w:bidi w:val="0"/>
              <w:spacing w:before="0" w:after="0"/>
              <w:ind w:left="0" w:right="0" w:hanging="0"/>
              <w:jc w:val="left"/>
              <w:rPr/>
            </w:pPr>
            <w:r>
              <w:rPr/>
              <w:t>​</w:t>
            </w:r>
          </w:p>
        </w:tc>
        <w:tc>
          <w:tcPr>
            <w:tcW w:w="8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Means the present value, discounted at 10% per annum, of future net revenues (estimated future gross revenues less estimated future costs of production, development, and asset retirement costs) associated with reserves and is not necessarily the same as market value. PV-10 does not include estimated future income taxes. Unless otherwise noted, PV-10 is calculated using the pricing scheme as required by the SEC. PV-10 of proved reserves is calculated the same as the standardized measure of discounted future net cash flows, except that the standardized measure of discounted future net cash flows includes future estimated income taxes discounted at 10% per annum. See the definition of standardized measure of discounted future net cash flows.</w:t>
            </w:r>
          </w:p>
        </w:tc>
        <w:tc>
          <w:tcPr>
            <w:tcW w:w="155" w:type="dxa"/>
            <w:tcBorders/>
            <w:vAlign w:val="center"/>
          </w:tcPr>
          <w:p>
            <w:pPr>
              <w:pStyle w:val="TableContents"/>
              <w:bidi w:val="0"/>
              <w:spacing w:before="0" w:after="0"/>
              <w:ind w:left="0" w:right="0" w:hanging="0"/>
              <w:jc w:val="left"/>
              <w:rPr/>
            </w:pPr>
            <w:r>
              <w:rPr/>
              <w:t>​</w:t>
            </w:r>
          </w:p>
        </w:tc>
      </w:tr>
      <w:tr>
        <w:trPr/>
        <w:tc>
          <w:tcPr>
            <w:tcW w:w="14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Reservoir</w:t>
            </w:r>
          </w:p>
        </w:tc>
        <w:tc>
          <w:tcPr>
            <w:tcW w:w="109" w:type="dxa"/>
            <w:tcBorders/>
            <w:shd w:fill="CCEEFF" w:val="clear"/>
            <w:vAlign w:val="center"/>
          </w:tcPr>
          <w:p>
            <w:pPr>
              <w:pStyle w:val="TableContents"/>
              <w:bidi w:val="0"/>
              <w:spacing w:before="0" w:after="0"/>
              <w:ind w:left="0" w:right="0" w:hanging="0"/>
              <w:jc w:val="left"/>
              <w:rPr/>
            </w:pPr>
            <w:r>
              <w:rPr/>
              <w:t>​</w:t>
            </w:r>
          </w:p>
        </w:tc>
        <w:tc>
          <w:tcPr>
            <w:tcW w:w="8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porous and permeable underground formation containing a natural accumulation of producible oil and/or natural gas that is confined by impermeable rock or water barriers and is individual and separate from other reservoirs.</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42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Royalty or Royalty Interest</w:t>
            </w:r>
          </w:p>
        </w:tc>
        <w:tc>
          <w:tcPr>
            <w:tcW w:w="109" w:type="dxa"/>
            <w:tcBorders/>
            <w:vAlign w:val="center"/>
          </w:tcPr>
          <w:p>
            <w:pPr>
              <w:pStyle w:val="TableContents"/>
              <w:bidi w:val="0"/>
              <w:spacing w:before="0" w:after="0"/>
              <w:ind w:left="0" w:right="0" w:hanging="0"/>
              <w:jc w:val="left"/>
              <w:rPr/>
            </w:pPr>
            <w:r>
              <w:rPr/>
              <w:t>​</w:t>
            </w:r>
          </w:p>
        </w:tc>
        <w:tc>
          <w:tcPr>
            <w:tcW w:w="8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mineral owner’s share of oil or natural gas production (typically between 1/8 and ¼), free of costs, but subject to severance taxes unless the lessor is a government. In certain circumstances, the royalty owner bears a proportionate share of the costs of making the natural gas saleable, such as processing, compression, and gathering. </w:t>
            </w:r>
          </w:p>
        </w:tc>
        <w:tc>
          <w:tcPr>
            <w:tcW w:w="155" w:type="dxa"/>
            <w:tcBorders/>
            <w:vAlign w:val="center"/>
          </w:tcPr>
          <w:p>
            <w:pPr>
              <w:pStyle w:val="TableContents"/>
              <w:bidi w:val="0"/>
              <w:spacing w:before="0" w:after="0"/>
              <w:ind w:left="0" w:right="0" w:hanging="0"/>
              <w:jc w:val="left"/>
              <w:rPr/>
            </w:pPr>
            <w:r>
              <w:rPr/>
              <w:t>​</w:t>
            </w:r>
          </w:p>
        </w:tc>
      </w:tr>
      <w:tr>
        <w:trPr/>
        <w:tc>
          <w:tcPr>
            <w:tcW w:w="14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Secondary Recovery Method</w:t>
            </w:r>
          </w:p>
        </w:tc>
        <w:tc>
          <w:tcPr>
            <w:tcW w:w="109" w:type="dxa"/>
            <w:tcBorders/>
            <w:shd w:fill="CCEEFF" w:val="clear"/>
            <w:vAlign w:val="center"/>
          </w:tcPr>
          <w:p>
            <w:pPr>
              <w:pStyle w:val="TableContents"/>
              <w:bidi w:val="0"/>
              <w:spacing w:before="0" w:after="0"/>
              <w:ind w:left="0" w:right="0" w:hanging="0"/>
              <w:jc w:val="left"/>
              <w:rPr/>
            </w:pPr>
            <w:r>
              <w:rPr/>
              <w:t>​</w:t>
            </w:r>
          </w:p>
        </w:tc>
        <w:tc>
          <w:tcPr>
            <w:tcW w:w="8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extraction of oil and natural gas from reservoirs utilizing water injection (waterflooding) in order to maintain or increase reservoir pressure and direct the displacement of oil into producing wells.</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42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Shut-in Well</w:t>
            </w:r>
          </w:p>
        </w:tc>
        <w:tc>
          <w:tcPr>
            <w:tcW w:w="109" w:type="dxa"/>
            <w:tcBorders/>
            <w:vAlign w:val="center"/>
          </w:tcPr>
          <w:p>
            <w:pPr>
              <w:pStyle w:val="TableContents"/>
              <w:bidi w:val="0"/>
              <w:spacing w:before="0" w:after="0"/>
              <w:ind w:left="0" w:right="0" w:hanging="0"/>
              <w:jc w:val="left"/>
              <w:rPr/>
            </w:pPr>
            <w:r>
              <w:rPr/>
              <w:t>​</w:t>
            </w:r>
          </w:p>
        </w:tc>
        <w:tc>
          <w:tcPr>
            <w:tcW w:w="8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well that is not on production, but has not been plugged and abandoned. Wells may be shut-in in anticipation of future utility as a producing well, plugging and abandonment or other use.</w:t>
            </w:r>
          </w:p>
        </w:tc>
        <w:tc>
          <w:tcPr>
            <w:tcW w:w="155" w:type="dxa"/>
            <w:tcBorders/>
            <w:vAlign w:val="center"/>
          </w:tcPr>
          <w:p>
            <w:pPr>
              <w:pStyle w:val="TableContents"/>
              <w:bidi w:val="0"/>
              <w:spacing w:before="0" w:after="0"/>
              <w:ind w:left="0" w:right="0" w:hanging="0"/>
              <w:jc w:val="left"/>
              <w:rPr/>
            </w:pPr>
            <w:r>
              <w:rPr/>
              <w:t>​</w:t>
            </w:r>
          </w:p>
        </w:tc>
      </w:tr>
      <w:tr>
        <w:trPr/>
        <w:tc>
          <w:tcPr>
            <w:tcW w:w="14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Standardized Measure</w:t>
            </w:r>
          </w:p>
        </w:tc>
        <w:tc>
          <w:tcPr>
            <w:tcW w:w="109" w:type="dxa"/>
            <w:tcBorders/>
            <w:shd w:fill="CCEEFF" w:val="clear"/>
            <w:vAlign w:val="center"/>
          </w:tcPr>
          <w:p>
            <w:pPr>
              <w:pStyle w:val="TableContents"/>
              <w:bidi w:val="0"/>
              <w:spacing w:before="0" w:after="0"/>
              <w:ind w:left="0" w:right="0" w:hanging="0"/>
              <w:jc w:val="left"/>
              <w:rPr/>
            </w:pPr>
            <w:r>
              <w:rPr/>
              <w:t>​</w:t>
            </w:r>
          </w:p>
        </w:tc>
        <w:tc>
          <w:tcPr>
            <w:tcW w:w="8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standardized measure of discounted future net cash flows. The Standardized Measure is an estimate of future net cash flows associated with proved reserves, discounted at 10% per annum. Future net cash flows are calculated by reducing future net revenues by estimated future income tax expenses and discounting at 10% per annum. The Standardized Measure and the PV-10 of proved reserves are calculated in the same exact fashion, except that the Standardized Measure includes future estimated income taxes discounted at 10% per annum. The Standardized Measure is in accordance with accounting standards generally accepted in the United States of America (“GAAP”).</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42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Tertiary Recovery Method</w:t>
            </w:r>
          </w:p>
        </w:tc>
        <w:tc>
          <w:tcPr>
            <w:tcW w:w="109" w:type="dxa"/>
            <w:tcBorders/>
            <w:vAlign w:val="center"/>
          </w:tcPr>
          <w:p>
            <w:pPr>
              <w:pStyle w:val="TableContents"/>
              <w:bidi w:val="0"/>
              <w:spacing w:before="0" w:after="0"/>
              <w:ind w:left="0" w:right="0" w:hanging="0"/>
              <w:jc w:val="left"/>
              <w:rPr/>
            </w:pPr>
            <w:r>
              <w:rPr/>
              <w:t>​</w:t>
            </w:r>
          </w:p>
        </w:tc>
        <w:tc>
          <w:tcPr>
            <w:tcW w:w="8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extraction of oil and natural gas from reservoirs which employs injection of gas, heat, or chemicals into the reservoir in order to change the physical properties of the oil and aid in its extraction, also known as Enhanced Oil Recovery (EOR).</w:t>
            </w:r>
          </w:p>
        </w:tc>
        <w:tc>
          <w:tcPr>
            <w:tcW w:w="155" w:type="dxa"/>
            <w:tcBorders/>
            <w:vAlign w:val="center"/>
          </w:tcPr>
          <w:p>
            <w:pPr>
              <w:pStyle w:val="TableContents"/>
              <w:bidi w:val="0"/>
              <w:spacing w:before="0" w:after="0"/>
              <w:ind w:left="0" w:right="0" w:hanging="0"/>
              <w:jc w:val="left"/>
              <w:rPr/>
            </w:pPr>
            <w:r>
              <w:rPr/>
              <w:t>​</w:t>
            </w:r>
          </w:p>
        </w:tc>
      </w:tr>
      <w:tr>
        <w:trPr/>
        <w:tc>
          <w:tcPr>
            <w:tcW w:w="14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Undeveloped Reserves</w:t>
            </w:r>
          </w:p>
        </w:tc>
        <w:tc>
          <w:tcPr>
            <w:tcW w:w="109" w:type="dxa"/>
            <w:tcBorders/>
            <w:shd w:fill="CCEEFF" w:val="clear"/>
            <w:vAlign w:val="center"/>
          </w:tcPr>
          <w:p>
            <w:pPr>
              <w:pStyle w:val="TableContents"/>
              <w:bidi w:val="0"/>
              <w:spacing w:before="0" w:after="0"/>
              <w:ind w:left="0" w:right="0" w:hanging="0"/>
              <w:jc w:val="left"/>
              <w:rPr/>
            </w:pPr>
            <w:r>
              <w:rPr/>
              <w:t>​</w:t>
            </w:r>
          </w:p>
        </w:tc>
        <w:tc>
          <w:tcPr>
            <w:tcW w:w="8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Reserves of any category that are expected to be recovered from new wells on undrilled acreage, or from existing wells where a relatively major expenditure is required for recompletion.*</w:t>
            </w:r>
          </w:p>
        </w:tc>
        <w:tc>
          <w:tcPr>
            <w:tcW w:w="155"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vi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556"/>
        <w:gridCol w:w="109"/>
        <w:gridCol w:w="8385"/>
        <w:gridCol w:w="155"/>
      </w:tblGrid>
      <w:tr>
        <w:trPr/>
        <w:tc>
          <w:tcPr>
            <w:tcW w:w="15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Water Injection Well</w:t>
            </w:r>
          </w:p>
        </w:tc>
        <w:tc>
          <w:tcPr>
            <w:tcW w:w="109" w:type="dxa"/>
            <w:tcBorders/>
            <w:vAlign w:val="center"/>
          </w:tcPr>
          <w:p>
            <w:pPr>
              <w:pStyle w:val="TableContents"/>
              <w:bidi w:val="0"/>
              <w:spacing w:before="0" w:after="0"/>
              <w:ind w:left="0" w:right="0" w:hanging="0"/>
              <w:jc w:val="left"/>
              <w:rPr/>
            </w:pPr>
            <w:r>
              <w:rPr/>
              <w:t>​</w:t>
            </w:r>
          </w:p>
        </w:tc>
        <w:tc>
          <w:tcPr>
            <w:tcW w:w="8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well which is used to inject water under high pressure into a producing formation to maintain sufficient pressure to produce the recoverable reserves.</w:t>
            </w:r>
          </w:p>
        </w:tc>
        <w:tc>
          <w:tcPr>
            <w:tcW w:w="155" w:type="dxa"/>
            <w:tcBorders/>
            <w:vAlign w:val="center"/>
          </w:tcPr>
          <w:p>
            <w:pPr>
              <w:pStyle w:val="TableContents"/>
              <w:bidi w:val="0"/>
              <w:spacing w:before="0" w:after="0"/>
              <w:ind w:left="0" w:right="0" w:hanging="0"/>
              <w:jc w:val="left"/>
              <w:rPr/>
            </w:pPr>
            <w:r>
              <w:rPr/>
              <w:t>​</w:t>
            </w:r>
          </w:p>
        </w:tc>
      </w:tr>
      <w:tr>
        <w:trPr/>
        <w:tc>
          <w:tcPr>
            <w:tcW w:w="15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Working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8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interest in the oil and natural gas in place which is burdened with the cost of development and operation of the property. Also called the operating interest.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15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Workover</w:t>
            </w:r>
          </w:p>
        </w:tc>
        <w:tc>
          <w:tcPr>
            <w:tcW w:w="109" w:type="dxa"/>
            <w:tcBorders/>
            <w:vAlign w:val="center"/>
          </w:tcPr>
          <w:p>
            <w:pPr>
              <w:pStyle w:val="TableContents"/>
              <w:bidi w:val="0"/>
              <w:spacing w:before="0" w:after="0"/>
              <w:ind w:left="0" w:right="0" w:hanging="0"/>
              <w:jc w:val="left"/>
              <w:rPr/>
            </w:pPr>
            <w:r>
              <w:rPr/>
              <w:t>​</w:t>
            </w:r>
          </w:p>
        </w:tc>
        <w:tc>
          <w:tcPr>
            <w:tcW w:w="8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remedial operation on a completed well to restore, maintain, or improve the well’s production.</w:t>
            </w:r>
          </w:p>
        </w:tc>
        <w:tc>
          <w:tcPr>
            <w:tcW w:w="155"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This definition may be an abbreviated version of the complete definition as defined by the SEC in Rule 4-10(a) of Regulation S-X.</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vii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7" w:name="PARTI_26570"/>
      <w:bookmarkStart w:id="48" w:name="_6255723f_1b82_4a36_b4f0_e5c9617fcf3e"/>
      <w:bookmarkEnd w:id="47"/>
      <w:bookmarkEnd w:id="48"/>
      <w:r>
        <w:rPr>
          <w:rFonts w:ascii="Times New Roman;Times;serif" w:hAnsi="Times New Roman;Times;serif"/>
          <w:b/>
          <w:sz w:val="20"/>
        </w:rPr>
        <w:t>PART I</w:t>
      </w:r>
    </w:p>
    <w:p>
      <w:pPr>
        <w:pStyle w:val="TextBody"/>
        <w:bidi w:val="0"/>
        <w:spacing w:before="0" w:after="120"/>
        <w:ind w:left="0" w:right="0" w:hanging="0"/>
        <w:jc w:val="left"/>
        <w:rPr>
          <w:rFonts w:ascii="Times New Roman;Times;serif" w:hAnsi="Times New Roman;Times;serif"/>
          <w:b/>
          <w:sz w:val="20"/>
        </w:rPr>
      </w:pPr>
      <w:bookmarkStart w:id="49" w:name="Item1Business_195690"/>
      <w:bookmarkEnd w:id="49"/>
      <w:r>
        <w:rPr>
          <w:rFonts w:ascii="Times New Roman;Times;serif" w:hAnsi="Times New Roman;Times;serif"/>
          <w:b/>
          <w:sz w:val="20"/>
        </w:rPr>
        <w:t>Item 1.   Business</w:t>
      </w:r>
    </w:p>
    <w:p>
      <w:pPr>
        <w:pStyle w:val="TextBody"/>
        <w:bidi w:val="0"/>
        <w:spacing w:before="0" w:after="240"/>
        <w:ind w:left="0" w:right="0" w:hanging="0"/>
        <w:jc w:val="left"/>
        <w:rPr/>
      </w:pPr>
      <w:r>
        <w:rPr>
          <w:rFonts w:ascii="Times New Roman;Times;serif" w:hAnsi="Times New Roman;Times;serif"/>
          <w:b/>
          <w:i/>
          <w:sz w:val="20"/>
        </w:rPr>
        <w:t xml:space="preserve">Note: </w:t>
      </w:r>
      <w:r>
        <w:rPr>
          <w:rFonts w:ascii="Times New Roman;Times;serif" w:hAnsi="Times New Roman;Times;serif"/>
          <w:i/>
          <w:sz w:val="20"/>
        </w:rPr>
        <w:t xml:space="preserve">See </w:t>
      </w:r>
      <w:hyperlink w:anchor="GLOSSARYOFSELECTEDPETROLEUMINDUSTRYTERMS">
        <w:r>
          <w:rPr>
            <w:rStyle w:val="InternetLink"/>
            <w:rFonts w:ascii="Times New Roman;Times;serif" w:hAnsi="Times New Roman;Times;serif"/>
            <w:b w:val="false"/>
            <w:i/>
            <w:sz w:val="20"/>
          </w:rPr>
          <w:t>Glossary of Selected Petroleum Industry Terms</w:t>
        </w:r>
      </w:hyperlink>
      <w:r>
        <w:rPr>
          <w:rFonts w:ascii="Times New Roman;Times;serif" w:hAnsi="Times New Roman;Times;serif"/>
          <w:i/>
          <w:sz w:val="20"/>
        </w:rPr>
        <w:t xml:space="preserve"> starting on page iv.</w:t>
      </w:r>
    </w:p>
    <w:p>
      <w:pPr>
        <w:pStyle w:val="TextBody"/>
        <w:bidi w:val="0"/>
        <w:spacing w:before="0" w:after="12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Evolution Petroleum Corporation (“Evolution,” and together with its consolidated subsidiaries, the “Company”, “our”, “we, “us” or similar terms) is an independent energy company focused on acquiring and developing long-lived oil and natural gas properties in the United States. Our diversified portfolio consists primarily of non-operated working interests and mineral and royalty interests across several leading producing basins.</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Our non-operated model allows us to invest alongside experienced operators, participate in a broad range of development opportunities and maintain flexibility in the timing and allocation of capital. Our mineral and royalty interests provide additional exposure to production and future development, generally without associated lifting expenses or drilling and completions costs. </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geographic, commodity, operator and ownership diversity of our asset base reduces our reliance on any single property, basin or development program. It also provides multiple avenues for allocating capital, including acquiring producing working and mineral interests, participating in and benefiting from attractive operator-led projects and pursuing development opportunities within our existing assets.</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We seek to maximize total shareholder value through disciplined acquisitions, selective participation in attractive development projects, a conservative balance sheet and the return of capital to shareholders.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lineRule="auto" w:line="343" w:before="0" w:after="120"/>
        <w:ind w:left="0" w:right="0" w:hanging="0"/>
        <w:jc w:val="left"/>
        <w:rPr>
          <w:rFonts w:ascii="Times New Roman;Times;serif" w:hAnsi="Times New Roman;Times;serif"/>
          <w:b/>
          <w:i/>
          <w:sz w:val="20"/>
        </w:rPr>
      </w:pPr>
      <w:r>
        <w:rPr>
          <w:rFonts w:ascii="Times New Roman;Times;serif" w:hAnsi="Times New Roman;Times;serif"/>
          <w:b/>
          <w:i/>
          <w:sz w:val="20"/>
        </w:rPr>
        <w:t>Dividend Declaration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September 10, 2026, Evolution’s Board of Directors approved and declared a quarterly dividend of $0.12 per common share payable September 30, 2026.</w:t>
      </w:r>
    </w:p>
    <w:p>
      <w:pPr>
        <w:pStyle w:val="TextBody"/>
        <w:bidi w:val="0"/>
        <w:spacing w:lineRule="auto" w:line="343"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Purchase of Permian Minerals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August 20, 2026, we </w:t>
      </w:r>
      <w:r>
        <w:rPr>
          <w:rFonts w:ascii="Times New Roman;Times;serif" w:hAnsi="Times New Roman;Times;serif"/>
          <w:sz w:val="20"/>
          <w:shd w:fill="FFFFFF" w:val="clear"/>
        </w:rPr>
        <w:t xml:space="preserve">completed the acquisition of mineral and royalty interests in the core Midland Basin of the Permian Basin from a non-affiliated private seller for a total purchase price of $16.0 million (the “Permian Minerals Acquisition”), subject to customary post-closing adjustments. The Permian Minerals Acquisition has an effective date of August 1, 2026. We funded the purchase price for the Permian Minerals Acquisition with a combination of net proceeds from our concurrent public equity offering and $3.2 million in borrowings under our Senior Secured Credit Facility. The acquired assets include </w:t>
      </w:r>
      <w:r>
        <w:rPr>
          <w:rFonts w:ascii="Times New Roman;Times;serif" w:hAnsi="Times New Roman;Times;serif"/>
          <w:sz w:val="20"/>
        </w:rPr>
        <w:t>approximately 3,420 net royalty acres across Reagan, Martin, Midland, Glasscock, and Upton Counties, Texas.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 Offering</w:t>
      </w:r>
    </w:p>
    <w:p>
      <w:pPr>
        <w:pStyle w:val="TextBody"/>
        <w:bidi w:val="0"/>
        <w:spacing w:before="0" w:after="240"/>
        <w:ind w:left="0" w:right="0" w:hanging="0"/>
        <w:jc w:val="left"/>
        <w:rPr>
          <w:rFonts w:ascii="TimesNewRomanRegular" w:hAnsi="TimesNewRomanRegular"/>
          <w:sz w:val="20"/>
        </w:rPr>
      </w:pPr>
      <w:r>
        <w:rPr>
          <w:rFonts w:ascii="TimesNewRomanRegular" w:hAnsi="TimesNewRomanRegular"/>
          <w:sz w:val="20"/>
        </w:rPr>
        <w:t xml:space="preserve">On August 20, 2026, we completed a public offering of 4.3 million shares of our common stock, at an offering price of $3.25 per share (the “Offering”). We received net proceeds of approximately $12.8 million from the Offering, after deducting underwriting discounts and commissions and estimated offering expenses. Net proceeds from the Offering, together with borrowings under our Senior Secured Credit Facility and cash on hand, were used to fund the Permian Minerals Acquisition. </w:t>
      </w:r>
    </w:p>
    <w:p>
      <w:pPr>
        <w:pStyle w:val="TextBody"/>
        <w:bidi w:val="0"/>
        <w:spacing w:before="0" w:after="240"/>
        <w:ind w:left="0" w:right="0" w:hanging="0"/>
        <w:jc w:val="left"/>
        <w:rPr>
          <w:rFonts w:ascii="TimesNewRomanRegular" w:hAnsi="TimesNewRomanRegular"/>
          <w:b/>
          <w:i/>
          <w:sz w:val="20"/>
        </w:rPr>
      </w:pPr>
      <w:r>
        <w:rPr>
          <w:rFonts w:ascii="TimesNewRomanRegular" w:hAnsi="TimesNewRomanRegular"/>
          <w:b/>
          <w:i/>
          <w:sz w:val="20"/>
        </w:rPr>
        <w:t>Senior Secured Credit Facility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August 20, 2026, we entered into a letter agreement with MidFirst Bank pursuant to which the borrowing base on our Senior Secured Credit Facility was temporarily increased from $65.0 million to $73.0 million from August 20, 2026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until October 20, 2026, unless redetermined earlier in accordance with the credit agreement. We currently expect to begin our semi-annual Fall redetermination on or about October 1,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Previously on November 28, 2025, we entered into a letter agreement with MidFirst Bank pursuant to which the Margined Collateral Value, as defined under the Senior Secured Credit Facility, was modified to $65.0 million. In addition, it granted us additional time to enter into further commodity hedges to meet the hedging requirements under the Senior Secured Credit Facility.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Purchase of Louisiana Minerals</w:t>
      </w:r>
    </w:p>
    <w:p>
      <w:pPr>
        <w:pStyle w:val="TextBody"/>
        <w:bidi w:val="0"/>
        <w:spacing w:before="0" w:after="240"/>
        <w:ind w:left="0" w:right="0" w:hanging="0"/>
        <w:jc w:val="left"/>
        <w:rPr>
          <w:rFonts w:ascii="TimesNewRomanRegular" w:hAnsi="TimesNewRomanRegular"/>
          <w:sz w:val="20"/>
        </w:rPr>
      </w:pPr>
      <w:r>
        <w:rPr>
          <w:rFonts w:ascii="TimesNewRomanRegular" w:hAnsi="TimesNewRomanRegular"/>
          <w:sz w:val="20"/>
        </w:rPr>
        <w:t>From December 2025 through June 2026, we acquired mineral and royalty interests in multiple parishes across Louisiana from various private sellers for cash consideration totaling $6.2 million, including capitalized direct transaction costs (“Louisiana Minerals”). The mineral acreage in Louisiana consists of proved producing wells, drilled but not yet producing wells, and undeveloped acreage targeting the Bossier/Haynesville Shales and is currently being actively developed by operators in the area. The acquisitions were considered asset acquisitions and funded with cash on hand and proceeds of sales under our ATM Sales Agreements.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SCOOP/STACK Transactions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August 4, 2025, we </w:t>
      </w:r>
      <w:r>
        <w:rPr>
          <w:rFonts w:ascii="Times New Roman;Times;serif" w:hAnsi="Times New Roman;Times;serif"/>
          <w:sz w:val="20"/>
          <w:shd w:fill="FFFFFF" w:val="clear"/>
        </w:rPr>
        <w:t xml:space="preserve">completed the acquisition of certain mineral and royalty interests in the SCOOP and STACK plays in Oklahoma from a non-affiliated private seller (the “SCOOP/STACK Minerals Acquisition”) in a cash transaction valued at approximately $16.3 million, which includes $17.0 million paid at closing </w:t>
      </w:r>
      <w:r>
        <w:rPr>
          <w:rFonts w:ascii="Times New Roman;Times;serif" w:hAnsi="Times New Roman;Times;serif"/>
          <w:sz w:val="20"/>
        </w:rPr>
        <w:t xml:space="preserve">less transaction costs of $0.1 million and interim purchase price adjustments totaling approximately $0.8 million related to net cash flows earned on the properties from the </w:t>
      </w:r>
      <w:r>
        <w:rPr>
          <w:rFonts w:ascii="Times New Roman;Times;serif" w:hAnsi="Times New Roman;Times;serif"/>
          <w:sz w:val="20"/>
          <w:shd w:fill="FFFFFF" w:val="clear"/>
        </w:rPr>
        <w:t>effective date of May 1, 2025 to the closing date. </w:t>
      </w:r>
      <w:r>
        <w:rPr>
          <w:rFonts w:ascii="Times New Roman;Times;serif" w:hAnsi="Times New Roman;Times;serif"/>
          <w:sz w:val="20"/>
        </w:rPr>
        <w:t xml:space="preserve">We accounted for the transaction as an asset acquisition and the allocation of the purchase price was $12.5 million to proved oil and natural gas properties, subject to amortization, and $3.8 million to unproved properties. </w:t>
      </w:r>
      <w:r>
        <w:rPr>
          <w:rFonts w:ascii="Times New Roman;Times;serif" w:hAnsi="Times New Roman;Times;serif"/>
          <w:color w:val="212529"/>
          <w:sz w:val="20"/>
          <w:shd w:fill="FFFFFF" w:val="clear"/>
        </w:rPr>
        <w:t xml:space="preserve">We funded the purchase price for the SCOOP/STACK Minerals Acquisition with a combination of $15.0 million in borrowings under our Senior Secured Credit Facility and cash on hand. </w:t>
      </w:r>
      <w:r>
        <w:rPr>
          <w:rFonts w:ascii="Times New Roman;Times;serif" w:hAnsi="Times New Roman;Times;serif"/>
          <w:sz w:val="20"/>
          <w:shd w:fill="FFFFFF" w:val="clear"/>
        </w:rPr>
        <w:t>The acquired assets include an average royalty interest of 0.6% across approximately 5,500 net royalty acres located primarily in Grady and Canadian Counties, Oklahoma</w:t>
      </w:r>
      <w:r>
        <w:rPr>
          <w:rFonts w:ascii="Times New Roman;Times;serif" w:hAnsi="Times New Roman;Times;serif"/>
          <w:color w:val="212529"/>
          <w:sz w:val="20"/>
          <w:shd w:fill="FFFFFF" w:val="clea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June 30, 2026, we completed the divestiture of a portion of our non-core, non-producing net mineral acres in the SCOOP/STACK with a private buyer. The divestiture included 3,700 net royalty acres for a total sale price of approximately $3.1 million, before customary post-closing adjustments.</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At-the-Market (“ATM”) Equity Sales Program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color w:val="212529"/>
          <w:sz w:val="20"/>
          <w:shd w:fill="FFFFFF" w:val="clear"/>
        </w:rPr>
        <w:t>On October 21, 2024, we entered into an ATM equity Sales Agreement with Roth Capital Partners, LLC (the “Lead Agent”), Northland Securities Inc., and A.G.P./Alliance Global Partners pursuant to which we may issue and sell, from time to time, up to $30.0 million of shares of common stock through or to the Lead Agent, acting as agent or principal</w:t>
      </w:r>
      <w:r>
        <w:rPr>
          <w:rFonts w:ascii="Times New Roman;Times;serif" w:hAnsi="Times New Roman;Times;serif"/>
          <w:sz w:val="20"/>
        </w:rPr>
        <w:t xml:space="preserve"> to facilitate acquisitions and other general corporate purposes. On February 11, 2026, the Company executed a new ATM equity Sales Agreement, substantially consistent with the original October 2024 agreement (the “ATM Sales Agreements”) restoring the $30.0 million common stock sales capacity</w:t>
      </w:r>
      <w:r>
        <w:rPr>
          <w:rFonts w:ascii="Times New Roman;Times;serif" w:hAnsi="Times New Roman;Times;serif"/>
          <w:color w:val="212529"/>
          <w:sz w:val="20"/>
          <w:shd w:fill="FFFFFF" w:val="clear"/>
        </w:rPr>
        <w:t xml:space="preserve">. For the year ended June 30, 2026, we sold a total of approximately 1.4 million shares of our common stock under the ATM Sales Agreements for net proceeds of approximately $5.8 million, net of $0.2 million of offering costs incurred. Net proceeds from the sales of common stock were used to fund a portion of our Louisiana Minerals acquisitions and for general corporate purposes. </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Business Strategy</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Our business strategy is to maximize total shareholder return through disciplined management and growth of our asset base, while being mindful of the current operating environment and marketplace. The key elements of our strategy to accomplish our goal of maximizing shareholder return are:</w:t>
      </w:r>
    </w:p>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 strong balance sheet and conservative financial management;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the asset base through investment in our existing properties, direct acquisitions of oil and natural gas properties, including both working and mineral and royalty interests, selective development opportunities, or accretive acquisitions of similar companies;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Returning cash to shareholders by sustaining and growing our dividend payout over time or repurchases of our shares in the open market.</w:t>
            </w:r>
          </w:p>
        </w:tc>
      </w:tr>
    </w:tbl>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Properties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of June 30, 2026, our oil and natural gas properties consist primarily of non-operated working interests and mineral and working interests in the following areas (as well as small overriding royalty and mineral interests in Texas): </w:t>
      </w:r>
    </w:p>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SCOOP/STACK – Central Oklahoma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non-operated working and mineral interests in the SCOOP and STACK plays, consist of oil and natural gas producing properties in the Anadarko basin, where we hold an approximate 2.6% average net working interest with an associated 2.0% average net revenue interests located on approximately 101,100 gross (4,000 net) acres (all held by production) and a separate approximate 0.6% average net royalty interest located on approximately 8,600 gross (1,800 net) royalty acres across Blaine, Canadian, Carter, Custer, Dewey, Garvin, Grady, Kingfisher, McClain, Murray, and Stephens counties in Oklahoma. The oil and natural gas properties are primarily operated by Continental Resources, Inc., Ovintiv USA Inc., Validus Energy, and EOG Resources, Inc. with approximately 34% of wells operated by other operators.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June 30, 2026, our average net daily production from the SCOOP/STACK properties was 1.4 MBOEPD consisting of 54% natural gas, 24% oil, and 22% NGLs. Hydrocarbons produced from our SCOOP/STACK properties are sold to various purchasers throughout the mid-continent.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Chaveroo Field – Chaves and Roosevelt Counties, New Mexico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non-operated working interests in the Chaveroo Field consist of a 50% net working interest, with an average associated 41% average revenue interest, in approximately 4,500 gross (2,300 net) acres all held by production, associated with six development blocks with the right to acquire the same working interest in additional development locations and associated acreage at a fixed price. The field is operated by PEDEVCO Corp. (“PEDEVCO”).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June 30, 2026 our average net daily production from the Chaveroo Field properties was 0.3 MBOEPD consisting of 100% oil. Oil produced from our Chaveroo Field properties is sold to Phillips 66 in New Mexico.</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Jonah Field – Sublette County, Wyoming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non-operated working interests in the Jonah Field, a natural gas and NGL property in Sublette County, Wyoming, consist of approximately 20% average net working interest and approximately 15% average net revenue interest located on approximately 5,300 gross (950 net) acres all held by production. The properties are operated by Jonah Energy (“Jonah”).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year ended June 30, 2026 our average net daily production from the Jonah Field properties was 1.4 MBOEPD consisting of 89% natural gas, 6% NGLs, and 5% oil. Hydrocarbons produced from our Jonah Field properties are sold to West Coast markets.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Williston Basin – Williston, North Dakota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non-operated working interests in the Williston Basin, oil and natural gas producing properties, consist of approximately 39% average net working interest and approximately 33% average net revenue interest located on approximately 133,800 gross (40,100 net) acres (approximately 99% held by production) across Billings, Golden Valley, and McKenzie Counties in North Dakota. The properties are operated by Foundation Energy Management (“Foundation”).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year ended June 30, 2026, our average net daily production from the Willison Basin properties was 0.4 MBOEPD consisting of 73% oil, 16% NGLs, and 11% natural gas. The primary producing reservoirs are the Three Forks, Pronghorn, and Bakken formations. Hydrocarbons produced from the Williston Basin properties are sold to local refineries and purchasers.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Barnett Shale – North Texas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non-operated working and overriding royalty interests in the Barnett Shale, a natural gas and NGL producing shale reservoir, consist of approximately 17% average net working interest and approximately 14% average net revenue interest (inclusive of the overriding royalty interests) located on approximately 123,800 gross (21,000 net) acres held by production across nine North Texas counties (Bosque, Denton, Erath, Hill, Hood, Johnson, Parker, Somervell, and Tarrant), in the Barnett Shale. The oil and natural gas properties are primarily operated by Diversified Energy Company, until sold to Eagleridge Operating, LLC in June 2026, with approximately 19% of wells operated by five other operators.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year ended June 30, 2026, our average net daily production from the Barnett Shale properties was 2.2 MBOEPD consisting of 73% natural gas, 26% NGLs, and 1% oil. The producing reservoir is the Barnett Shale, which is also the source rock. Hydrocarbons produced from our Barnett Shale properties are sold to Gulf Coast markets.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Hamilton Dome – Hot Springs County, Wyoming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non-operated working interests in the Hamilton Dome Field, a secondary recovery field utilizing water injection wells to pressurize the reservoir, consist of approximately 24% average net working interest, with an associated 20% average net revenue interest (inclusive of a small overriding royalty interest). The approximately 5,900 gross acre unitized field, of which we hold approximately 1,400 net acres, is operated by Merit Energy Company (“Merit”), a private oil and natural gas company, who owns the majority of the remaining working interest in the Hamilton Dome Field. The Hamilton Dome Field is located in the southwest region of the Big Horn Basin in northwest Wyoming.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year ended June 30, 2026, our average net daily production from the Hamilton Dome Field properties was 0.4 MBOEPD consisting of 100% oil. The primary producing reservoirs in the field are the Tensleep and Phosphoria. Produced oil from the field is subject to Western Canadian Select pricing.</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Delhi Field – Enhanced Oil Recovery CO</w:t>
      </w:r>
      <w:r>
        <w:rPr>
          <w:rFonts w:ascii="Times New Roman;Times;serif" w:hAnsi="Times New Roman;Times;serif"/>
          <w:b/>
          <w:i/>
          <w:sz w:val="15"/>
        </w:rPr>
        <w:t xml:space="preserve">2 </w:t>
      </w:r>
      <w:r>
        <w:rPr>
          <w:rFonts w:ascii="Times New Roman;Times;serif" w:hAnsi="Times New Roman;Times;serif"/>
          <w:b/>
          <w:i/>
          <w:sz w:val="20"/>
        </w:rPr>
        <w:t>Flood – Onshore Louisiana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non-operated working and overriding royalty interests in the Delhi Field, a CO</w:t>
      </w:r>
      <w:r>
        <w:rPr>
          <w:rFonts w:ascii="Times New Roman;Times;serif" w:hAnsi="Times New Roman;Times;serif"/>
          <w:sz w:val="15"/>
        </w:rPr>
        <w:t>2</w:t>
      </w:r>
      <w:r>
        <w:rPr>
          <w:rFonts w:ascii="Times New Roman;Times;serif" w:hAnsi="Times New Roman;Times;serif"/>
          <w:sz w:val="20"/>
        </w:rPr>
        <w:t>-EOR project, consist of approximately 24% average net working interest, with an associated 19% average net revenue interest and separate overriding royalty and mineral interests of approximately 7% yielding a total average net revenue interest of approximately 26%. The field is operated by Denbury Onshore LLC (“Denbury”), a subsidiary of Exxon Mobil Corporation (“ExxonMobil”). The Delhi Field is comprised of approximately 13,600 gross unitized acres, of which we hold approximately 3,200 net acres, and is located in northeast Louisiana in Franklin, Madison, and Richland Parishes.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year ended June 30, 2026, our average net daily production from the Delhi Field properties was 0.6 MBOEPD consisting of 81% oil and 19% NGLs. The primary producing reservoirs in the field are the Tuscaloosa and Paluxy formations. Produced oil from the field is priced off of Louisiana Light Sweet (“LLS”) crude, which often trades at a premium to West Texas Intermediate (“WTI”).</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 xml:space="preserve">Other – Haynesville/Bossier Shale and TexMex – Louisiana, Texas, and New Mexico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mineral and royalty interest in the Haynesville/Bossier Shale, consists of a mix of natural gas producing wells, drilled but not yet producing wells, and proved undeveloped acreage with an approximate average 0.3% net royalty interest. Our mineral and royalty interest span across an approximate 3,600 gross (465 net) acres located in Bossier, Caddo, DeSoto, Red River and Sabine parishes in Louisiana.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non-operated working interest in TexMex consists of oil and natural gas producing properties where we hold an approximate 42% net working interest and a 35% average net revenue interest located on approximately 27,800 gross (11,200 net) acres held by production located primarily in Lea, Eddy, and Chaves Counties, New Mexico and Stephens County, Texas. The oil and natural gas properties are operated by Texian Operating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June 30, 2026, our average net daily production from these other properties was 0.4 MBOEPD consisting of 50% oil, 48% natural gas, and 1% NGLs. Hydrocarbons produced from such other properties are sold to various purchasers throughout Texas, New Mexico and Louisiana.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Refer to “</w:t>
      </w:r>
      <w:r>
        <w:rPr>
          <w:rFonts w:ascii="Times New Roman;Times;serif" w:hAnsi="Times New Roman;Times;serif"/>
          <w:i/>
          <w:sz w:val="20"/>
        </w:rPr>
        <w:t>Production volumes, average sales price and average production costs</w:t>
      </w:r>
      <w:r>
        <w:rPr>
          <w:rFonts w:ascii="Times New Roman;Times;serif" w:hAnsi="Times New Roman;Times;serif"/>
          <w:sz w:val="20"/>
        </w:rPr>
        <w:t>” table below for further information regarding our properties and their fiscal year results.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Estimated Oil and Natural Gas Reserves and Estimated Future Net Revenues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SEC sets rules related to reserve estimation and disclosure requirements for oil and natural gas companies. These rules require disclosure of oil and natural gas proved reserves by significant geographic area, using the trailing 12-month average price, calculated as the unweighted arithmetic average of the first-day-of-the-month price for each month within the 12-month period prior to the end of the reporting period, rather than year-end prices, and allows the use of new technologies in the determination of proved reserves if those technologies have been demonstrated empirically to lead to reliable conclusions about reserve volumes. Subject to limited exceptions, the rules also require that proved undeveloped reserves may only be classified as such if a development plan has been adopted indicating that they are scheduled to be drilled within five years.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are numerous uncertainties inherent in estimating quantities of proved reserves and estimates of reserves quantities and values must be viewed as being subject to significant change as more data about the properties becomes available.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Summary of Oil &amp; Gas Reserves for Fiscal Year Ended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proved reserves as of June 30, 2026, denominated in thousands of barrels of oil equivalent (“MBOE”), were estimated by our independent reservoir engineers, Cawley, Gillespie and Associates, Inc. (“CG&amp;A”) and DeGolyer and MacNaughton (“D&amp;M”), both worldwide petroleum consultants.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CG&amp;A evaluated the reserves for our SCOOP/STACK, Chaveroo Field, Jonah Field, Williston Basin, TexMex, and Louisiana Minerals properties. The scope and results of their procedures are summarized in a letter from the firm, which is included as Exhibit 99.1 to this Annual Report on Form 10-K.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D&amp;M evaluated the reserves for our Barnett Shale, Hamilton Dome, and Delhi Field properties. The scope and results of their procedures are summarized in a letter from the firm, which is included as Exhibit 99.2 to this Annual Report on Form 10-K.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following table sets forth our estimated proved reserves as of June 30, 2026. For additional reserves information, see our </w:t>
      </w:r>
      <w:r>
        <w:rPr>
          <w:rFonts w:ascii="Times New Roman;Times;serif" w:hAnsi="Times New Roman;Times;serif"/>
          <w:i/>
          <w:sz w:val="20"/>
        </w:rPr>
        <w:t>Supplemental Disclosure about Oil and Natural Gas Properties (unaudited)</w:t>
      </w:r>
      <w:r>
        <w:rPr>
          <w:rFonts w:ascii="Times New Roman;Times;serif" w:hAnsi="Times New Roman;Times;serif"/>
          <w:sz w:val="20"/>
        </w:rPr>
        <w:t xml:space="preserve"> to our consolidated financial statements in Item 8. </w:t>
      </w:r>
      <w:r>
        <w:rPr>
          <w:rFonts w:ascii="Times New Roman;Times;serif" w:hAnsi="Times New Roman;Times;serif"/>
          <w:i/>
          <w:sz w:val="20"/>
        </w:rPr>
        <w:t>Financial Statements and Supplementary Data</w:t>
      </w:r>
      <w:r>
        <w:rPr>
          <w:rFonts w:ascii="Times New Roman;Times;serif" w:hAnsi="Times New Roman;Times;serif"/>
          <w:sz w:val="20"/>
        </w:rPr>
        <w:t>. The New York Mercantile Exchange (“NYMEX”) previous 12-month unweighted arithmetic average first-day-of-the-month price used to calculate estimated revenues was $72.93 per barrel of oil and $3.62 per MMBtu of natural gas. The net price per barrel of NGLs was $27.50, which does not have any single comparable reference index price. The NGL price was based on historical differentials to WTI. For periods for which no historical price information was available, we used comparable pricing in the geographic area. Pricing differentials were applied for each individual property and product based on quality, processing, transportation, location and other pricing aspects.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Proved Reserves as of June 30, 2026</w:t>
      </w:r>
    </w:p>
    <w:tbl>
      <w:tblPr>
        <w:tblW w:w="8665" w:type="dxa"/>
        <w:jc w:val="left"/>
        <w:tblInd w:w="0" w:type="dxa"/>
        <w:tblLayout w:type="fixed"/>
        <w:tblCellMar>
          <w:top w:w="0" w:type="dxa"/>
          <w:left w:w="0" w:type="dxa"/>
          <w:bottom w:w="0" w:type="dxa"/>
          <w:right w:w="0" w:type="dxa"/>
        </w:tblCellMar>
      </w:tblPr>
      <w:tblGrid>
        <w:gridCol w:w="2131"/>
        <w:gridCol w:w="346"/>
        <w:gridCol w:w="736"/>
        <w:gridCol w:w="346"/>
        <w:gridCol w:w="1051"/>
        <w:gridCol w:w="346"/>
        <w:gridCol w:w="736"/>
        <w:gridCol w:w="346"/>
        <w:gridCol w:w="1141"/>
        <w:gridCol w:w="346"/>
        <w:gridCol w:w="718"/>
        <w:gridCol w:w="422"/>
      </w:tblGrid>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17"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67360" cy="175260"/>
                      <wp:effectExtent l="0" t="0" r="0" b="0"/>
                      <wp:wrapNone/>
                      <wp:docPr id="18" name="Frame1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19"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67385" cy="175260"/>
                      <wp:effectExtent l="0" t="0" r="0" b="0"/>
                      <wp:wrapNone/>
                      <wp:docPr id="20" name="Frame1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1"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67360" cy="175260"/>
                      <wp:effectExtent l="0" t="0" r="0" b="0"/>
                      <wp:wrapNone/>
                      <wp:docPr id="22" name="Frame2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23"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724535" cy="175260"/>
                      <wp:effectExtent l="0" t="0" r="0" b="0"/>
                      <wp:wrapNone/>
                      <wp:docPr id="24" name="Frame2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25"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55930" cy="175260"/>
                      <wp:effectExtent l="0" t="0" r="0" b="0"/>
                      <wp:wrapNone/>
                      <wp:docPr id="26" name="Frame25"/>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67970" cy="175260"/>
                      <wp:effectExtent l="0" t="0" r="0" b="0"/>
                      <wp:wrapNone/>
                      <wp:docPr id="27" name="Frame26"/>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w:t>
            </w:r>
          </w:p>
        </w:tc>
        <w:tc>
          <w:tcPr>
            <w:tcW w:w="736" w:type="dxa"/>
            <w:tcBorders/>
            <w:shd w:fill="FFFFFF" w:val="clear"/>
            <w:vAlign w:val="center"/>
          </w:tcPr>
          <w:p>
            <w:pPr>
              <w:pStyle w:val="TableContents"/>
              <w:bidi w:val="0"/>
              <w:spacing w:before="0" w:after="1"/>
              <w:ind w:left="0" w:right="0" w:hanging="0"/>
              <w:jc w:val="center"/>
              <w:rPr/>
            </w:pPr>
            <w:r>
              <w:rPr/>
              <w:t>​</w:t>
            </w:r>
          </w:p>
        </w:tc>
        <w:tc>
          <w:tcPr>
            <w:tcW w:w="346" w:type="dxa"/>
            <w:tcBorders/>
            <w:shd w:fill="FFFFFF" w:val="clear"/>
            <w:vAlign w:val="center"/>
          </w:tcPr>
          <w:p>
            <w:pPr>
              <w:pStyle w:val="TableContents"/>
              <w:bidi w:val="0"/>
              <w:spacing w:before="0" w:after="1"/>
              <w:ind w:left="0" w:right="0" w:hanging="0"/>
              <w:jc w:val="left"/>
              <w:rPr/>
            </w:pPr>
            <w:r>
              <w:rPr/>
              <w:t>​</w:t>
            </w:r>
          </w:p>
        </w:tc>
        <w:tc>
          <w:tcPr>
            <w:tcW w:w="1051" w:type="dxa"/>
            <w:tcBorders/>
            <w:shd w:fill="FFFFFF" w:val="clear"/>
            <w:vAlign w:val="center"/>
          </w:tcPr>
          <w:p>
            <w:pPr>
              <w:pStyle w:val="TableContents"/>
              <w:bidi w:val="0"/>
              <w:spacing w:before="0" w:after="1"/>
              <w:ind w:left="0" w:right="0" w:hanging="0"/>
              <w:jc w:val="center"/>
              <w:rPr/>
            </w:pPr>
            <w:r>
              <w:rPr/>
              <w:t>​</w:t>
            </w:r>
          </w:p>
        </w:tc>
        <w:tc>
          <w:tcPr>
            <w:tcW w:w="346" w:type="dxa"/>
            <w:tcBorders/>
            <w:shd w:fill="FFFFFF" w:val="clear"/>
            <w:vAlign w:val="center"/>
          </w:tcPr>
          <w:p>
            <w:pPr>
              <w:pStyle w:val="TableContents"/>
              <w:bidi w:val="0"/>
              <w:spacing w:before="0" w:after="1"/>
              <w:ind w:left="0" w:right="0" w:hanging="0"/>
              <w:jc w:val="left"/>
              <w:rPr/>
            </w:pPr>
            <w:r>
              <w:rPr/>
              <w:t>​</w:t>
            </w:r>
          </w:p>
        </w:tc>
        <w:tc>
          <w:tcPr>
            <w:tcW w:w="736" w:type="dxa"/>
            <w:tcBorders/>
            <w:shd w:fill="FFFFFF" w:val="clear"/>
            <w:vAlign w:val="center"/>
          </w:tcPr>
          <w:p>
            <w:pPr>
              <w:pStyle w:val="TableContents"/>
              <w:bidi w:val="0"/>
              <w:spacing w:before="0" w:after="1"/>
              <w:ind w:left="0" w:right="0" w:hanging="0"/>
              <w:jc w:val="center"/>
              <w:rPr/>
            </w:pPr>
            <w:r>
              <w:rPr/>
              <w:t>​</w:t>
            </w:r>
          </w:p>
        </w:tc>
        <w:tc>
          <w:tcPr>
            <w:tcW w:w="346" w:type="dxa"/>
            <w:tcBorders/>
            <w:shd w:fill="FFFFFF" w:val="clear"/>
            <w:vAlign w:val="center"/>
          </w:tcPr>
          <w:p>
            <w:pPr>
              <w:pStyle w:val="TableContents"/>
              <w:bidi w:val="0"/>
              <w:spacing w:before="0" w:after="1"/>
              <w:ind w:left="0" w:right="0" w:hanging="0"/>
              <w:jc w:val="left"/>
              <w:rPr/>
            </w:pPr>
            <w:r>
              <w:rPr/>
              <w:t>​</w:t>
            </w:r>
          </w:p>
        </w:tc>
        <w:tc>
          <w:tcPr>
            <w:tcW w:w="114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Total Proved </w:t>
            </w:r>
          </w:p>
        </w:tc>
        <w:tc>
          <w:tcPr>
            <w:tcW w:w="346" w:type="dxa"/>
            <w:tcBorders/>
            <w:shd w:fill="FFFFFF" w:val="clear"/>
            <w:vAlign w:val="center"/>
          </w:tcPr>
          <w:p>
            <w:pPr>
              <w:pStyle w:val="TableContents"/>
              <w:bidi w:val="0"/>
              <w:spacing w:before="0" w:after="1"/>
              <w:ind w:left="0" w:right="0" w:hanging="0"/>
              <w:jc w:val="left"/>
              <w:rPr/>
            </w:pPr>
            <w:r>
              <w:rPr/>
              <w:t>​</w:t>
            </w:r>
          </w:p>
        </w:tc>
        <w:tc>
          <w:tcPr>
            <w:tcW w:w="1140" w:type="dxa"/>
            <w:gridSpan w:val="2"/>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Percent of</w:t>
            </w:r>
          </w:p>
        </w:tc>
      </w:tr>
      <w:tr>
        <w:trPr/>
        <w:tc>
          <w:tcPr>
            <w:tcW w:w="2131"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w:t>
            </w:r>
          </w:p>
        </w:tc>
        <w:tc>
          <w:tcPr>
            <w:tcW w:w="736"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Oil</w:t>
            </w:r>
          </w:p>
        </w:tc>
        <w:tc>
          <w:tcPr>
            <w:tcW w:w="346" w:type="dxa"/>
            <w:tcBorders/>
            <w:shd w:fill="FFFFFF" w:val="clear"/>
            <w:vAlign w:val="center"/>
          </w:tcPr>
          <w:p>
            <w:pPr>
              <w:pStyle w:val="TableContents"/>
              <w:bidi w:val="0"/>
              <w:spacing w:before="0" w:after="1"/>
              <w:ind w:left="0" w:right="0" w:hanging="0"/>
              <w:jc w:val="left"/>
              <w:rPr/>
            </w:pPr>
            <w:r>
              <w:rPr/>
              <w:t>​</w:t>
            </w:r>
          </w:p>
        </w:tc>
        <w:tc>
          <w:tcPr>
            <w:tcW w:w="105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Natural Gas</w:t>
            </w:r>
          </w:p>
        </w:tc>
        <w:tc>
          <w:tcPr>
            <w:tcW w:w="346" w:type="dxa"/>
            <w:tcBorders/>
            <w:shd w:fill="FFFFFF" w:val="clear"/>
            <w:vAlign w:val="center"/>
          </w:tcPr>
          <w:p>
            <w:pPr>
              <w:pStyle w:val="TableContents"/>
              <w:bidi w:val="0"/>
              <w:spacing w:before="0" w:after="1"/>
              <w:ind w:left="0" w:right="0" w:hanging="0"/>
              <w:jc w:val="left"/>
              <w:rPr/>
            </w:pPr>
            <w:r>
              <w:rPr/>
              <w:t>​</w:t>
            </w:r>
          </w:p>
        </w:tc>
        <w:tc>
          <w:tcPr>
            <w:tcW w:w="736"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NGLs</w:t>
            </w:r>
          </w:p>
        </w:tc>
        <w:tc>
          <w:tcPr>
            <w:tcW w:w="346" w:type="dxa"/>
            <w:tcBorders/>
            <w:shd w:fill="FFFFFF" w:val="clear"/>
            <w:vAlign w:val="center"/>
          </w:tcPr>
          <w:p>
            <w:pPr>
              <w:pStyle w:val="TableContents"/>
              <w:bidi w:val="0"/>
              <w:spacing w:before="0" w:after="1"/>
              <w:ind w:left="0" w:right="0" w:hanging="0"/>
              <w:jc w:val="left"/>
              <w:rPr/>
            </w:pPr>
            <w:r>
              <w:rPr/>
              <w:t>​</w:t>
            </w:r>
          </w:p>
        </w:tc>
        <w:tc>
          <w:tcPr>
            <w:tcW w:w="114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Reserves</w:t>
            </w:r>
          </w:p>
        </w:tc>
        <w:tc>
          <w:tcPr>
            <w:tcW w:w="346" w:type="dxa"/>
            <w:tcBorders/>
            <w:shd w:fill="FFFFFF" w:val="clear"/>
            <w:vAlign w:val="center"/>
          </w:tcPr>
          <w:p>
            <w:pPr>
              <w:pStyle w:val="TableContents"/>
              <w:bidi w:val="0"/>
              <w:spacing w:before="0" w:after="1"/>
              <w:ind w:left="0" w:right="0" w:hanging="0"/>
              <w:jc w:val="left"/>
              <w:rPr/>
            </w:pPr>
            <w:r>
              <w:rPr/>
              <w:t>​</w:t>
            </w:r>
          </w:p>
        </w:tc>
        <w:tc>
          <w:tcPr>
            <w:tcW w:w="1140" w:type="dxa"/>
            <w:gridSpan w:val="2"/>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 Proved</w:t>
            </w:r>
          </w:p>
        </w:tc>
      </w:tr>
      <w:tr>
        <w:trPr/>
        <w:tc>
          <w:tcPr>
            <w:tcW w:w="2131"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Reserve Category</w:t>
            </w:r>
          </w:p>
        </w:tc>
        <w:tc>
          <w:tcPr>
            <w:tcW w:w="346" w:type="dxa"/>
            <w:tcBorders/>
            <w:shd w:fill="FFFFFF" w:val="clear"/>
            <w:vAlign w:val="center"/>
          </w:tcPr>
          <w:p>
            <w:pPr>
              <w:pStyle w:val="TableContents"/>
              <w:bidi w:val="0"/>
              <w:spacing w:before="0" w:after="1"/>
              <w:ind w:left="0" w:right="0" w:hanging="0"/>
              <w:jc w:val="left"/>
              <w:rPr/>
            </w:pPr>
            <w:r>
              <w:rPr/>
              <w:t>  ​ ​ ​</w:t>
            </w:r>
          </w:p>
        </w:tc>
        <w:tc>
          <w:tcPr>
            <w:tcW w:w="736"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(MBbls)</w:t>
            </w:r>
          </w:p>
        </w:tc>
        <w:tc>
          <w:tcPr>
            <w:tcW w:w="346" w:type="dxa"/>
            <w:tcBorders/>
            <w:shd w:fill="FFFFFF" w:val="clear"/>
            <w:vAlign w:val="center"/>
          </w:tcPr>
          <w:p>
            <w:pPr>
              <w:pStyle w:val="TableContents"/>
              <w:bidi w:val="0"/>
              <w:spacing w:before="0" w:after="1"/>
              <w:ind w:left="0" w:right="0" w:hanging="0"/>
              <w:jc w:val="left"/>
              <w:rPr/>
            </w:pPr>
            <w:r>
              <w:rPr/>
              <w:t>  ​ ​ ​</w:t>
            </w:r>
          </w:p>
        </w:tc>
        <w:tc>
          <w:tcPr>
            <w:tcW w:w="105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(MMcf)</w:t>
            </w:r>
          </w:p>
        </w:tc>
        <w:tc>
          <w:tcPr>
            <w:tcW w:w="346" w:type="dxa"/>
            <w:tcBorders/>
            <w:shd w:fill="FFFFFF" w:val="clear"/>
            <w:vAlign w:val="center"/>
          </w:tcPr>
          <w:p>
            <w:pPr>
              <w:pStyle w:val="TableContents"/>
              <w:bidi w:val="0"/>
              <w:spacing w:before="0" w:after="1"/>
              <w:ind w:left="0" w:right="0" w:hanging="0"/>
              <w:jc w:val="left"/>
              <w:rPr/>
            </w:pPr>
            <w:r>
              <w:rPr/>
              <w:t>  ​ ​ ​</w:t>
            </w:r>
          </w:p>
        </w:tc>
        <w:tc>
          <w:tcPr>
            <w:tcW w:w="736"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(MBbls)</w:t>
            </w:r>
          </w:p>
        </w:tc>
        <w:tc>
          <w:tcPr>
            <w:tcW w:w="346" w:type="dxa"/>
            <w:tcBorders/>
            <w:shd w:fill="FFFFFF" w:val="clear"/>
            <w:vAlign w:val="center"/>
          </w:tcPr>
          <w:p>
            <w:pPr>
              <w:pStyle w:val="TableContents"/>
              <w:bidi w:val="0"/>
              <w:spacing w:before="0" w:after="1"/>
              <w:ind w:left="0" w:right="0" w:hanging="0"/>
              <w:jc w:val="left"/>
              <w:rPr/>
            </w:pPr>
            <w:r>
              <w:rPr/>
              <w:t>  ​ ​ ​</w:t>
            </w:r>
          </w:p>
        </w:tc>
        <w:tc>
          <w:tcPr>
            <w:tcW w:w="1141" w:type="dxa"/>
            <w:tcBorders>
              <w:bottom w:val="single" w:sz="2" w:space="0" w:color="000000"/>
            </w:tcBorders>
            <w:shd w:fill="FFFFFF" w:val="clear"/>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(MBOE)</w:t>
            </w:r>
            <w:r>
              <w:rPr>
                <w:rFonts w:ascii="Times New Roman;Times;serif" w:hAnsi="Times New Roman;Times;serif"/>
                <w:i/>
                <w:sz w:val="14"/>
              </w:rPr>
              <w:t>(1)</w:t>
            </w:r>
          </w:p>
        </w:tc>
        <w:tc>
          <w:tcPr>
            <w:tcW w:w="346" w:type="dxa"/>
            <w:tcBorders/>
            <w:shd w:fill="FFFFFF" w:val="clear"/>
            <w:vAlign w:val="center"/>
          </w:tcPr>
          <w:p>
            <w:pPr>
              <w:pStyle w:val="TableContents"/>
              <w:bidi w:val="0"/>
              <w:spacing w:before="0" w:after="1"/>
              <w:ind w:left="0" w:right="0" w:hanging="0"/>
              <w:jc w:val="left"/>
              <w:rPr/>
            </w:pPr>
            <w:r>
              <w:rPr/>
              <w:t>  ​ ​ ​</w:t>
            </w:r>
          </w:p>
        </w:tc>
        <w:tc>
          <w:tcPr>
            <w:tcW w:w="1140"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Reserves</w:t>
            </w:r>
          </w:p>
        </w:tc>
      </w:tr>
      <w:tr>
        <w:trPr/>
        <w:tc>
          <w:tcPr>
            <w:tcW w:w="2131" w:type="dxa"/>
            <w:tcBorders/>
            <w:shd w:fill="FFFF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Proved:</w:t>
            </w:r>
          </w:p>
        </w:tc>
        <w:tc>
          <w:tcPr>
            <w:tcW w:w="346" w:type="dxa"/>
            <w:tcBorders/>
            <w:shd w:fill="FFFFFF" w:val="clear"/>
            <w:vAlign w:val="center"/>
          </w:tcPr>
          <w:p>
            <w:pPr>
              <w:pStyle w:val="TableContents"/>
              <w:bidi w:val="0"/>
              <w:spacing w:before="0" w:after="1"/>
              <w:ind w:left="0" w:right="0" w:hanging="0"/>
              <w:jc w:val="left"/>
              <w:rPr/>
            </w:pPr>
            <w:r>
              <w:rPr/>
              <w:t>​</w:t>
            </w:r>
          </w:p>
        </w:tc>
        <w:tc>
          <w:tcPr>
            <w:tcW w:w="736"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w:t>
            </w:r>
          </w:p>
        </w:tc>
        <w:tc>
          <w:tcPr>
            <w:tcW w:w="1051"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w:t>
            </w:r>
          </w:p>
        </w:tc>
        <w:tc>
          <w:tcPr>
            <w:tcW w:w="736"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w:t>
            </w:r>
          </w:p>
        </w:tc>
        <w:tc>
          <w:tcPr>
            <w:tcW w:w="1141"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w:t>
            </w:r>
          </w:p>
        </w:tc>
        <w:tc>
          <w:tcPr>
            <w:tcW w:w="718" w:type="dxa"/>
            <w:tcBorders/>
            <w:shd w:fill="FFFFFF" w:val="clear"/>
            <w:vAlign w:val="center"/>
          </w:tcPr>
          <w:p>
            <w:pPr>
              <w:pStyle w:val="TableContents"/>
              <w:bidi w:val="0"/>
              <w:spacing w:before="0" w:after="1"/>
              <w:ind w:left="0" w:right="0" w:hanging="0"/>
              <w:jc w:val="left"/>
              <w:rPr/>
            </w:pPr>
            <w:r>
              <w:rPr/>
              <w:t>​</w:t>
            </w:r>
          </w:p>
        </w:tc>
        <w:tc>
          <w:tcPr>
            <w:tcW w:w="422" w:type="dxa"/>
            <w:tcBorders/>
            <w:shd w:fill="FFFFFF" w:val="clear"/>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Developed Producing</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7,049</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67,400</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3,750</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22,032</w:t>
            </w:r>
          </w:p>
        </w:tc>
        <w:tc>
          <w:tcPr>
            <w:tcW w:w="34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80.9</w:t>
            </w:r>
          </w:p>
        </w:tc>
        <w:tc>
          <w:tcPr>
            <w:tcW w:w="42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Developed Non-Producing</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349</w:t>
            </w:r>
          </w:p>
        </w:tc>
        <w:tc>
          <w:tcPr>
            <w:tcW w:w="34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w:t>
            </w:r>
          </w:p>
        </w:tc>
        <w:tc>
          <w:tcPr>
            <w:tcW w:w="42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Undeveloped</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3,275</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6,533</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472</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4,836</w:t>
            </w:r>
          </w:p>
        </w:tc>
        <w:tc>
          <w:tcPr>
            <w:tcW w:w="346" w:type="dxa"/>
            <w:tcBorders/>
            <w:shd w:fill="CCEEFF" w:val="clear"/>
            <w:vAlign w:val="center"/>
          </w:tcPr>
          <w:p>
            <w:pPr>
              <w:pStyle w:val="TableContents"/>
              <w:bidi w:val="0"/>
              <w:spacing w:before="0" w:after="1"/>
              <w:ind w:left="0" w:right="0" w:hanging="0"/>
              <w:jc w:val="left"/>
              <w:rPr/>
            </w:pPr>
            <w:r>
              <w:rPr/>
              <w:t>​</w:t>
            </w:r>
          </w:p>
        </w:tc>
        <w:tc>
          <w:tcPr>
            <w:tcW w:w="7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w:t>
            </w:r>
          </w:p>
        </w:tc>
        <w:tc>
          <w:tcPr>
            <w:tcW w:w="4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Proved</w:t>
            </w:r>
          </w:p>
        </w:tc>
        <w:tc>
          <w:tcPr>
            <w:tcW w:w="346" w:type="dxa"/>
            <w:tcBorders/>
            <w:vAlign w:val="center"/>
          </w:tcPr>
          <w:p>
            <w:pPr>
              <w:pStyle w:val="TableContents"/>
              <w:bidi w:val="0"/>
              <w:spacing w:before="0" w:after="1"/>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10,625</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74,192</w:t>
            </w:r>
          </w:p>
        </w:tc>
        <w:tc>
          <w:tcPr>
            <w:tcW w:w="346" w:type="dxa"/>
            <w:tcBorders/>
            <w:vAlign w:val="center"/>
          </w:tcPr>
          <w:p>
            <w:pPr>
              <w:pStyle w:val="TableContents"/>
              <w:bidi w:val="0"/>
              <w:spacing w:before="0" w:after="1"/>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4,227</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27,217</w:t>
            </w:r>
          </w:p>
        </w:tc>
        <w:tc>
          <w:tcPr>
            <w:tcW w:w="346" w:type="dxa"/>
            <w:tcBorders/>
            <w:vAlign w:val="center"/>
          </w:tcPr>
          <w:p>
            <w:pPr>
              <w:pStyle w:val="TableContents"/>
              <w:bidi w:val="0"/>
              <w:spacing w:before="0" w:after="1"/>
              <w:ind w:left="0" w:right="0" w:hanging="0"/>
              <w:jc w:val="left"/>
              <w:rPr/>
            </w:pPr>
            <w:r>
              <w:rPr/>
              <w:t>​</w:t>
            </w:r>
          </w:p>
        </w:tc>
        <w:tc>
          <w:tcPr>
            <w:tcW w:w="7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2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Product Mix</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39.1%</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45.4%</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34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left"/>
              <w:rPr/>
            </w:pPr>
            <w:r>
              <w:rPr/>
              <w:t>​</w:t>
            </w:r>
          </w:p>
        </w:tc>
        <w:tc>
          <w:tcPr>
            <w:tcW w:w="422"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left"/>
              <w:rPr/>
            </w:pPr>
            <w:r>
              <w:rPr/>
              <w:t>​</w:t>
            </w:r>
          </w:p>
        </w:tc>
        <w:tc>
          <w:tcPr>
            <w:tcW w:w="422"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Proved by Property:</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left"/>
              <w:rPr/>
            </w:pPr>
            <w:r>
              <w:rPr/>
              <w:t>​</w:t>
            </w:r>
          </w:p>
        </w:tc>
        <w:tc>
          <w:tcPr>
            <w:tcW w:w="422"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SCOOP/STACK</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1,325</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15,080</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1,112</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4,950</w:t>
            </w:r>
          </w:p>
        </w:tc>
        <w:tc>
          <w:tcPr>
            <w:tcW w:w="34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w:t>
            </w:r>
          </w:p>
        </w:tc>
        <w:tc>
          <w:tcPr>
            <w:tcW w:w="42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Chaveroo Field</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2,714</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877</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3,047</w:t>
            </w:r>
          </w:p>
        </w:tc>
        <w:tc>
          <w:tcPr>
            <w:tcW w:w="34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w:t>
            </w:r>
          </w:p>
        </w:tc>
        <w:tc>
          <w:tcPr>
            <w:tcW w:w="42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Jonah Field</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18,484</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238</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3,500</w:t>
            </w:r>
          </w:p>
        </w:tc>
        <w:tc>
          <w:tcPr>
            <w:tcW w:w="34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w:t>
            </w:r>
          </w:p>
        </w:tc>
        <w:tc>
          <w:tcPr>
            <w:tcW w:w="42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Williston Basin</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1,674</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1,337</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2,229</w:t>
            </w:r>
          </w:p>
        </w:tc>
        <w:tc>
          <w:tcPr>
            <w:tcW w:w="34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w:t>
            </w:r>
          </w:p>
        </w:tc>
        <w:tc>
          <w:tcPr>
            <w:tcW w:w="42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Barnett Shale</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29,366</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1,738</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6,705</w:t>
            </w:r>
          </w:p>
        </w:tc>
        <w:tc>
          <w:tcPr>
            <w:tcW w:w="34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24.6</w:t>
            </w:r>
          </w:p>
        </w:tc>
        <w:tc>
          <w:tcPr>
            <w:tcW w:w="42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Hamilton Dome Field</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1,684</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1,684</w:t>
            </w:r>
          </w:p>
        </w:tc>
        <w:tc>
          <w:tcPr>
            <w:tcW w:w="34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w:t>
            </w:r>
          </w:p>
        </w:tc>
        <w:tc>
          <w:tcPr>
            <w:tcW w:w="42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Delhi Field</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1,658</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620</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2,278</w:t>
            </w:r>
          </w:p>
        </w:tc>
        <w:tc>
          <w:tcPr>
            <w:tcW w:w="34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w:t>
            </w:r>
          </w:p>
        </w:tc>
        <w:tc>
          <w:tcPr>
            <w:tcW w:w="42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TexMex and Other</w:t>
            </w:r>
          </w:p>
        </w:tc>
        <w:tc>
          <w:tcPr>
            <w:tcW w:w="346" w:type="dxa"/>
            <w:tcBorders/>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1,316</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9,048</w:t>
            </w:r>
          </w:p>
        </w:tc>
        <w:tc>
          <w:tcPr>
            <w:tcW w:w="346" w:type="dxa"/>
            <w:tcBorders/>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2,824</w:t>
            </w:r>
          </w:p>
        </w:tc>
        <w:tc>
          <w:tcPr>
            <w:tcW w:w="346" w:type="dxa"/>
            <w:tcBorders/>
            <w:vAlign w:val="center"/>
          </w:tcPr>
          <w:p>
            <w:pPr>
              <w:pStyle w:val="TableContents"/>
              <w:bidi w:val="0"/>
              <w:spacing w:before="0" w:after="1"/>
              <w:ind w:left="0" w:right="0" w:hanging="0"/>
              <w:jc w:val="left"/>
              <w:rPr/>
            </w:pPr>
            <w:r>
              <w:rPr/>
              <w:t>​</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w:t>
            </w:r>
          </w:p>
        </w:tc>
        <w:tc>
          <w:tcPr>
            <w:tcW w:w="42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Proved</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10,625</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74,192</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4,227</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27,217</w:t>
            </w:r>
          </w:p>
        </w:tc>
        <w:tc>
          <w:tcPr>
            <w:tcW w:w="346" w:type="dxa"/>
            <w:tcBorders/>
            <w:shd w:fill="CCEEFF" w:val="clear"/>
            <w:vAlign w:val="center"/>
          </w:tcPr>
          <w:p>
            <w:pPr>
              <w:pStyle w:val="TableContents"/>
              <w:bidi w:val="0"/>
              <w:spacing w:before="0" w:after="1"/>
              <w:ind w:left="0" w:right="0" w:hanging="0"/>
              <w:jc w:val="left"/>
              <w:rPr/>
            </w:pPr>
            <w:r>
              <w:rPr/>
              <w:t>​</w:t>
            </w:r>
          </w:p>
        </w:tc>
        <w:tc>
          <w:tcPr>
            <w:tcW w:w="7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4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(1)</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Internal Controls Over Reserves Estimation Process and Qualifications of Technical Persons with Oversight for the Company’s Overall Reserve Estimation Process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policies regarding internal controls over reserves estimates require such estimates to be prepared by an independent petroleum engineering firm under the supervision of our internal reserve engineering team, which includes our Chief Operating Officer (“COO”), J. Mark Bunch. Our internal reserve engineering team has a combined experience of over 80 years in Petroleum Engineering. Our COO, the person responsible for overseeing the preparation of our reserves estimates, has a Bachelor of Science Degree in Petroleum Engineering from Texas A&amp;M University, is a registered Professional Engineer in the State of Texas (No. 86704), has over 40 years of oil and natural gas experience including large independents and financial firm services for projects and acquisitions. Our Board of Directors also has oversight of our reserve estimation process and contains a Reserves Committee with William Dozier, an independent director who is a Registered Professional Engineer in the State of Texas (No. 47279) with experience in energy company reserve evaluations. Such reserve estimates comply with generally accepted petroleum engineering and evaluation principles, definitions, and guidelines as established by the SEC.</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reserves information in this filing is based on estimates prepared by CG&amp;A and D&amp;M. The person responsible for the preparation of the reserve report at CG&amp;A is W. Todd Brooker, P.E., President. Mr. Brooker received a Bachelor of Science degree in Petroleum Engineering in 1989 from the University of Texas at Austin and is a registered Professional Engineer in the State of Texas (No. 83462). Mr. Brooker joined CG&amp;A in 1992 and has over 30 years of experience in engineering and geological services. The person responsible for the preparation of the reserve report at D&amp;M is Dr. Dilhan Ilk, P.E., Executive Vice President. Dr. Ilk received a Bachelor of Science degree in Petroleum Engineering in 2003 from Istanbul Technical University and a Master’s degree and Doctorate in Petroleum Engineering in 2005 and 2010, respectively, from Texas A&amp;M University, and he has in excess of 16 years of experience in oil and natural gas reservoir studies and evaluations and is a licensed Professional Engineer in the state of Texas (No. 139334).</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provide CG&amp;A and D&amp;M with our property interests, production, current operating costs, current production prices, estimated abandonment costs and other information in order for them to prepare the reserve estimates. This information is reviewed by our senior management team and designated operations personnel to ensure accuracy and completeness of the data prior to submission to the reserve engineers. The scope and results of CG&amp;A’s and D&amp;M’s procedures, 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well as their professional qualifications, are summarized in the letters included as Exhibit 99.1 and Exhibit 99.2, respectively, to this Annual Report on Form 10-K.</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Proved Undeveloped Reserves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During the year ended June 30, 2026 our proved undeveloped (“PUD”) reserves changed as follows:</w:t>
      </w:r>
    </w:p>
    <w:tbl>
      <w:tblPr>
        <w:tblW w:w="8634" w:type="dxa"/>
        <w:jc w:val="left"/>
        <w:tblInd w:w="0" w:type="dxa"/>
        <w:tblLayout w:type="fixed"/>
        <w:tblCellMar>
          <w:top w:w="0" w:type="dxa"/>
          <w:left w:w="0" w:type="dxa"/>
          <w:bottom w:w="0" w:type="dxa"/>
          <w:right w:w="0" w:type="dxa"/>
        </w:tblCellMar>
      </w:tblPr>
      <w:tblGrid>
        <w:gridCol w:w="3451"/>
        <w:gridCol w:w="346"/>
        <w:gridCol w:w="736"/>
        <w:gridCol w:w="346"/>
        <w:gridCol w:w="1051"/>
        <w:gridCol w:w="346"/>
        <w:gridCol w:w="736"/>
        <w:gridCol w:w="346"/>
        <w:gridCol w:w="127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1385" cy="175260"/>
                      <wp:effectExtent l="0" t="0" r="0" b="0"/>
                      <wp:wrapNone/>
                      <wp:docPr id="28" name="Frame27"/>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29"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67360" cy="175260"/>
                      <wp:effectExtent l="0" t="0" r="0" b="0"/>
                      <wp:wrapNone/>
                      <wp:docPr id="30" name="Frame2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1"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67385" cy="175260"/>
                      <wp:effectExtent l="0" t="0" r="0" b="0"/>
                      <wp:wrapNone/>
                      <wp:docPr id="32" name="Frame3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33"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67360" cy="175260"/>
                      <wp:effectExtent l="0" t="0" r="0" b="0"/>
                      <wp:wrapNone/>
                      <wp:docPr id="34" name="Frame3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35"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810260" cy="175260"/>
                      <wp:effectExtent l="0" t="0" r="0" b="0"/>
                      <wp:wrapNone/>
                      <wp:docPr id="36" name="Frame35"/>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w:t>
            </w:r>
          </w:p>
        </w:tc>
        <w:tc>
          <w:tcPr>
            <w:tcW w:w="736"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Oil</w:t>
            </w:r>
          </w:p>
        </w:tc>
        <w:tc>
          <w:tcPr>
            <w:tcW w:w="346" w:type="dxa"/>
            <w:tcBorders/>
            <w:shd w:fill="FFFFFF" w:val="clear"/>
            <w:vAlign w:val="center"/>
          </w:tcPr>
          <w:p>
            <w:pPr>
              <w:pStyle w:val="TableContents"/>
              <w:bidi w:val="0"/>
              <w:spacing w:before="0" w:after="1"/>
              <w:ind w:left="0" w:right="0" w:hanging="0"/>
              <w:jc w:val="left"/>
              <w:rPr/>
            </w:pPr>
            <w:r>
              <w:rPr/>
              <w:t>​</w:t>
            </w:r>
          </w:p>
        </w:tc>
        <w:tc>
          <w:tcPr>
            <w:tcW w:w="105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Natural Gas</w:t>
            </w:r>
          </w:p>
        </w:tc>
        <w:tc>
          <w:tcPr>
            <w:tcW w:w="346" w:type="dxa"/>
            <w:tcBorders/>
            <w:shd w:fill="FFFFFF" w:val="clear"/>
            <w:vAlign w:val="center"/>
          </w:tcPr>
          <w:p>
            <w:pPr>
              <w:pStyle w:val="TableContents"/>
              <w:bidi w:val="0"/>
              <w:spacing w:before="0" w:after="1"/>
              <w:ind w:left="0" w:right="0" w:hanging="0"/>
              <w:jc w:val="left"/>
              <w:rPr/>
            </w:pPr>
            <w:r>
              <w:rPr/>
              <w:t>​</w:t>
            </w:r>
          </w:p>
        </w:tc>
        <w:tc>
          <w:tcPr>
            <w:tcW w:w="736"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NGLs</w:t>
            </w:r>
          </w:p>
        </w:tc>
        <w:tc>
          <w:tcPr>
            <w:tcW w:w="346" w:type="dxa"/>
            <w:tcBorders/>
            <w:shd w:fill="FFFFFF" w:val="clear"/>
            <w:vAlign w:val="center"/>
          </w:tcPr>
          <w:p>
            <w:pPr>
              <w:pStyle w:val="TableContents"/>
              <w:bidi w:val="0"/>
              <w:spacing w:before="0" w:after="1"/>
              <w:ind w:left="0" w:right="0" w:hanging="0"/>
              <w:jc w:val="left"/>
              <w:rPr/>
            </w:pPr>
            <w:r>
              <w:rPr/>
              <w:t>​</w:t>
            </w:r>
          </w:p>
        </w:tc>
        <w:tc>
          <w:tcPr>
            <w:tcW w:w="1276"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 Reserves</w:t>
            </w:r>
          </w:p>
        </w:tc>
      </w:tr>
      <w:tr>
        <w:trPr/>
        <w:tc>
          <w:tcPr>
            <w:tcW w:w="3451"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Proved undeveloped reserves:</w:t>
            </w:r>
          </w:p>
        </w:tc>
        <w:tc>
          <w:tcPr>
            <w:tcW w:w="346" w:type="dxa"/>
            <w:tcBorders/>
            <w:shd w:fill="FFFFFF" w:val="clear"/>
            <w:vAlign w:val="center"/>
          </w:tcPr>
          <w:p>
            <w:pPr>
              <w:pStyle w:val="TableContents"/>
              <w:bidi w:val="0"/>
              <w:spacing w:before="0" w:after="1"/>
              <w:ind w:left="0" w:right="0" w:hanging="0"/>
              <w:jc w:val="left"/>
              <w:rPr/>
            </w:pPr>
            <w:r>
              <w:rPr/>
              <w:t>  ​ ​ ​</w:t>
            </w:r>
          </w:p>
        </w:tc>
        <w:tc>
          <w:tcPr>
            <w:tcW w:w="736"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(MBbls)</w:t>
            </w:r>
          </w:p>
        </w:tc>
        <w:tc>
          <w:tcPr>
            <w:tcW w:w="346" w:type="dxa"/>
            <w:tcBorders/>
            <w:shd w:fill="FFFFFF" w:val="clear"/>
            <w:vAlign w:val="center"/>
          </w:tcPr>
          <w:p>
            <w:pPr>
              <w:pStyle w:val="TableContents"/>
              <w:bidi w:val="0"/>
              <w:spacing w:before="0" w:after="1"/>
              <w:ind w:left="0" w:right="0" w:hanging="0"/>
              <w:jc w:val="left"/>
              <w:rPr/>
            </w:pPr>
            <w:r>
              <w:rPr/>
              <w:t>  ​ ​ ​</w:t>
            </w:r>
          </w:p>
        </w:tc>
        <w:tc>
          <w:tcPr>
            <w:tcW w:w="105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(MMcf)</w:t>
            </w:r>
          </w:p>
        </w:tc>
        <w:tc>
          <w:tcPr>
            <w:tcW w:w="346" w:type="dxa"/>
            <w:tcBorders/>
            <w:shd w:fill="FFFFFF" w:val="clear"/>
            <w:vAlign w:val="center"/>
          </w:tcPr>
          <w:p>
            <w:pPr>
              <w:pStyle w:val="TableContents"/>
              <w:bidi w:val="0"/>
              <w:spacing w:before="0" w:after="1"/>
              <w:ind w:left="0" w:right="0" w:hanging="0"/>
              <w:jc w:val="left"/>
              <w:rPr/>
            </w:pPr>
            <w:r>
              <w:rPr/>
              <w:t>  ​ ​ ​</w:t>
            </w:r>
          </w:p>
        </w:tc>
        <w:tc>
          <w:tcPr>
            <w:tcW w:w="736"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(MBbls)</w:t>
            </w:r>
          </w:p>
        </w:tc>
        <w:tc>
          <w:tcPr>
            <w:tcW w:w="346" w:type="dxa"/>
            <w:tcBorders/>
            <w:shd w:fill="FFFFFF" w:val="clear"/>
            <w:vAlign w:val="center"/>
          </w:tcPr>
          <w:p>
            <w:pPr>
              <w:pStyle w:val="TableContents"/>
              <w:bidi w:val="0"/>
              <w:spacing w:before="0" w:after="1"/>
              <w:ind w:left="0" w:right="0" w:hanging="0"/>
              <w:jc w:val="left"/>
              <w:rPr/>
            </w:pPr>
            <w:r>
              <w:rPr/>
              <w:t>  ​ ​ ​</w:t>
            </w:r>
          </w:p>
        </w:tc>
        <w:tc>
          <w:tcPr>
            <w:tcW w:w="1276" w:type="dxa"/>
            <w:tcBorders>
              <w:bottom w:val="single" w:sz="2" w:space="0" w:color="000000"/>
            </w:tcBorders>
            <w:shd w:fill="FFFFFF" w:val="clear"/>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(MBOE)</w:t>
            </w:r>
            <w:r>
              <w:rPr>
                <w:rFonts w:ascii="Times New Roman;Times;serif" w:hAnsi="Times New Roman;Times;serif"/>
                <w:i/>
                <w:sz w:val="14"/>
              </w:rPr>
              <w:t>(1)</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30, 2025</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3,401</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3,599</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412</w:t>
            </w:r>
          </w:p>
        </w:tc>
        <w:tc>
          <w:tcPr>
            <w:tcW w:w="34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4,413</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Revisions of previous estimates</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w:t>
            </w:r>
          </w:p>
        </w:tc>
        <w:tc>
          <w:tcPr>
            <w:tcW w:w="346"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Improved recovery, extensions and discoveries</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472</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w:t>
            </w:r>
          </w:p>
        </w:tc>
        <w:tc>
          <w:tcPr>
            <w:tcW w:w="346" w:type="dxa"/>
            <w:tcBorders/>
            <w:shd w:fill="CCEEFF" w:val="clear"/>
            <w:vAlign w:val="center"/>
          </w:tcPr>
          <w:p>
            <w:pPr>
              <w:pStyle w:val="TableContents"/>
              <w:bidi w:val="0"/>
              <w:spacing w:before="0" w:after="1"/>
              <w:ind w:left="0" w:right="0" w:hanging="0"/>
              <w:jc w:val="left"/>
              <w:rPr/>
            </w:pPr>
            <w:r>
              <w:rPr/>
              <w:t>​</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 of reserves in place</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2,667</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346"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446</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Transfers</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w:t>
            </w:r>
          </w:p>
        </w:tc>
        <w:tc>
          <w:tcPr>
            <w:tcW w:w="346" w:type="dxa"/>
            <w:tcBorders/>
            <w:shd w:fill="CCEEFF" w:val="clear"/>
            <w:vAlign w:val="center"/>
          </w:tcPr>
          <w:p>
            <w:pPr>
              <w:pStyle w:val="TableContents"/>
              <w:bidi w:val="0"/>
              <w:spacing w:before="0" w:after="1"/>
              <w:ind w:left="0" w:right="0" w:hanging="0"/>
              <w:jc w:val="left"/>
              <w:rPr/>
            </w:pPr>
            <w:r>
              <w:rPr/>
              <w:t>​</w:t>
            </w:r>
          </w:p>
        </w:tc>
        <w:tc>
          <w:tcPr>
            <w:tcW w:w="12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30, 2026</w:t>
            </w:r>
          </w:p>
        </w:tc>
        <w:tc>
          <w:tcPr>
            <w:tcW w:w="346" w:type="dxa"/>
            <w:tcBorders/>
            <w:vAlign w:val="center"/>
          </w:tcPr>
          <w:p>
            <w:pPr>
              <w:pStyle w:val="TableContents"/>
              <w:bidi w:val="0"/>
              <w:spacing w:before="0" w:after="1"/>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3,275</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6,533</w:t>
            </w:r>
          </w:p>
        </w:tc>
        <w:tc>
          <w:tcPr>
            <w:tcW w:w="346" w:type="dxa"/>
            <w:tcBorders/>
            <w:vAlign w:val="center"/>
          </w:tcPr>
          <w:p>
            <w:pPr>
              <w:pStyle w:val="TableContents"/>
              <w:bidi w:val="0"/>
              <w:spacing w:before="0" w:after="1"/>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472</w:t>
            </w:r>
          </w:p>
        </w:tc>
        <w:tc>
          <w:tcPr>
            <w:tcW w:w="346" w:type="dxa"/>
            <w:tcBorders/>
            <w:vAlign w:val="center"/>
          </w:tcPr>
          <w:p>
            <w:pPr>
              <w:pStyle w:val="TableContents"/>
              <w:bidi w:val="0"/>
              <w:spacing w:before="0" w:after="1"/>
              <w:ind w:left="0" w:right="0" w:hanging="0"/>
              <w:jc w:val="left"/>
              <w:rPr/>
            </w:pPr>
            <w:r>
              <w:rPr/>
              <w:t>​</w:t>
            </w:r>
          </w:p>
        </w:tc>
        <w:tc>
          <w:tcPr>
            <w:tcW w:w="12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4,836</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(1)</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PUD reserves were 4.8 MMBOE as of June 30, 2026, with related future development costs of approximately $74.8 million, primarily associated with the Chaveroo Field, Williston Basin, and SCOOP/STACK. We acquired 0.4 MMBOE primarily from our Louisiana Minerals acquisitions during fiscal 2026. Extensions of 0.2 MMBOE are primarily associated with new wells at SCOOP/STACK. Transfers of 0.1 MMBOE are associated with ten gross SCOOP/STACK wells drilled, completed and placed online during fiscal 2026. The net downward revisions were due primarily to adjustments made to the timing of the Williston Basin development plan resulting in the roll-off of PUDs expected to be developed beyond five years. Under SEC reporting requirements, our PUD reserves include only those reserves in which the Company has current plans to develop within five years. See “</w:t>
      </w:r>
      <w:r>
        <w:rPr>
          <w:rFonts w:ascii="Times New Roman;Times;serif" w:hAnsi="Times New Roman;Times;serif"/>
          <w:i/>
          <w:sz w:val="20"/>
        </w:rPr>
        <w:t>Drilling and Present Activities</w:t>
      </w:r>
      <w:r>
        <w:rPr>
          <w:rFonts w:ascii="Times New Roman;Times;serif" w:hAnsi="Times New Roman;Times;serif"/>
          <w:sz w:val="20"/>
        </w:rPr>
        <w:t>” below for a further discussion of our expected development of the PUDs associated with SCOOP/STACK, the Chaveroo Field, and Williston Basin.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Drilling and Present Activities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Currently, none of our oil and natural gas properties are operated by us. We therefore rely on information from our operators regarding near-term drilling programs. There are no plans to drill new wells in fiscal year 2027 in the Jonah Field, the Barnett Shale, Delhi Field, the Hamilton Dome Field or at TexMex. At this time, operators of all of our working interest properties are periodically running workover rigs focusing on projects to return wells to production that have experienced mechanical issues.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At SCOOP/STACK, we have received proposals for ten gross wells which we expect to be brought online during fiscal year 2027. Additionally, as our third-party operators continue to be active around our acreage, we would expect additional wells to be drilled and/or completed. At the Chaveroo Field, we have drilling permits in hand for the next round of six gross wells and are in discussions with our partner as to timing for spudding these wells.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our Louisiana and Oklahoma minerals properties, there are currently 18 gross wells in progress. Additionally, as our third-party operators continue to be active around our acreage we expect additional wells to be drilled and/or completed throughout fiscal year 2027.</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further discussion, see “Capital Expenditures” within Item 7. </w:t>
      </w:r>
      <w:r>
        <w:rPr>
          <w:rFonts w:ascii="Times New Roman;Times;serif" w:hAnsi="Times New Roman;Times;serif"/>
          <w:i/>
          <w:sz w:val="20"/>
        </w:rPr>
        <w:t>Management’s Discussion and Analysis of Financial Conditions and Results of Operations</w:t>
      </w:r>
      <w:r>
        <w:rPr>
          <w:rFonts w:ascii="Times New Roman;Times;serif" w:hAnsi="Times New Roman;Times;serif"/>
          <w:sz w:val="20"/>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Production volumes, average sales price and average production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our crude oil, natural gas, and natural gas liquids production volumes, average sales price per unit and average daily production on an equivalent basis for the periods indicated:</w:t>
      </w:r>
    </w:p>
    <w:tbl>
      <w:tblPr>
        <w:tblW w:w="8431" w:type="dxa"/>
        <w:jc w:val="left"/>
        <w:tblInd w:w="0" w:type="dxa"/>
        <w:tblLayout w:type="fixed"/>
        <w:tblCellMar>
          <w:top w:w="0" w:type="dxa"/>
          <w:left w:w="0" w:type="dxa"/>
          <w:bottom w:w="0" w:type="dxa"/>
          <w:right w:w="0" w:type="dxa"/>
        </w:tblCellMar>
      </w:tblPr>
      <w:tblGrid>
        <w:gridCol w:w="2551"/>
        <w:gridCol w:w="346"/>
        <w:gridCol w:w="116"/>
        <w:gridCol w:w="485"/>
        <w:gridCol w:w="346"/>
        <w:gridCol w:w="181"/>
        <w:gridCol w:w="511"/>
        <w:gridCol w:w="346"/>
        <w:gridCol w:w="116"/>
        <w:gridCol w:w="485"/>
        <w:gridCol w:w="346"/>
        <w:gridCol w:w="181"/>
        <w:gridCol w:w="451"/>
        <w:gridCol w:w="346"/>
        <w:gridCol w:w="116"/>
        <w:gridCol w:w="485"/>
        <w:gridCol w:w="346"/>
        <w:gridCol w:w="181"/>
        <w:gridCol w:w="496"/>
      </w:tblGrid>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37"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73660" cy="175260"/>
                      <wp:effectExtent l="0" t="0" r="0" b="0"/>
                      <wp:wrapNone/>
                      <wp:docPr id="38" name="Frame37"/>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07975" cy="175260"/>
                      <wp:effectExtent l="0" t="0" r="0" b="0"/>
                      <wp:wrapNone/>
                      <wp:docPr id="39" name="Frame38"/>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0"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14935" cy="175260"/>
                      <wp:effectExtent l="0" t="0" r="0" b="0"/>
                      <wp:wrapNone/>
                      <wp:docPr id="41" name="Frame4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24485" cy="175260"/>
                      <wp:effectExtent l="0" t="0" r="0" b="0"/>
                      <wp:wrapNone/>
                      <wp:docPr id="42" name="Frame4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43"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73660" cy="175260"/>
                      <wp:effectExtent l="0" t="0" r="0" b="0"/>
                      <wp:wrapNone/>
                      <wp:docPr id="44" name="Frame43"/>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07975" cy="175260"/>
                      <wp:effectExtent l="0" t="0" r="0" b="0"/>
                      <wp:wrapNone/>
                      <wp:docPr id="45" name="Frame44"/>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46"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14935" cy="175260"/>
                      <wp:effectExtent l="0" t="0" r="0" b="0"/>
                      <wp:wrapNone/>
                      <wp:docPr id="47" name="Frame4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86385" cy="175260"/>
                      <wp:effectExtent l="0" t="0" r="0" b="0"/>
                      <wp:wrapNone/>
                      <wp:docPr id="48" name="Frame47"/>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49"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73660" cy="175260"/>
                      <wp:effectExtent l="0" t="0" r="0" b="0"/>
                      <wp:wrapNone/>
                      <wp:docPr id="50" name="Frame49"/>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07975" cy="175260"/>
                      <wp:effectExtent l="0" t="0" r="0" b="0"/>
                      <wp:wrapNone/>
                      <wp:docPr id="51" name="Frame50"/>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2"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14935" cy="175260"/>
                      <wp:effectExtent l="0" t="0" r="0" b="0"/>
                      <wp:wrapNone/>
                      <wp:docPr id="53" name="Frame5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14960" cy="175260"/>
                      <wp:effectExtent l="0" t="0" r="0" b="0"/>
                      <wp:wrapNone/>
                      <wp:docPr id="54" name="Frame53"/>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534"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Years Ended June 30, </w: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2026</w:t>
            </w:r>
          </w:p>
        </w:tc>
        <w:tc>
          <w:tcPr>
            <w:tcW w:w="346" w:type="dxa"/>
            <w:tcBorders/>
            <w:vAlign w:val="center"/>
          </w:tcPr>
          <w:p>
            <w:pPr>
              <w:pStyle w:val="TableContents"/>
              <w:bidi w:val="0"/>
              <w:spacing w:before="0" w:after="1"/>
              <w:ind w:left="0" w:right="0" w:hanging="0"/>
              <w:jc w:val="left"/>
              <w:rPr/>
            </w:pPr>
            <w:r>
              <w:rPr/>
              <w:t>​</w:t>
            </w:r>
          </w:p>
        </w:tc>
        <w:tc>
          <w:tcPr>
            <w:tcW w:w="157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2025</w:t>
            </w:r>
          </w:p>
        </w:tc>
        <w:tc>
          <w:tcPr>
            <w:tcW w:w="346" w:type="dxa"/>
            <w:tcBorders/>
            <w:vAlign w:val="center"/>
          </w:tcPr>
          <w:p>
            <w:pPr>
              <w:pStyle w:val="TableContents"/>
              <w:bidi w:val="0"/>
              <w:spacing w:before="0" w:after="1"/>
              <w:ind w:left="0" w:right="0" w:hanging="0"/>
              <w:jc w:val="left"/>
              <w:rPr/>
            </w:pPr>
            <w:r>
              <w:rPr/>
              <w:t>​</w:t>
            </w:r>
          </w:p>
        </w:tc>
        <w:tc>
          <w:tcPr>
            <w:tcW w:w="162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2024</w: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Volume</w:t>
            </w:r>
          </w:p>
        </w:tc>
        <w:tc>
          <w:tcPr>
            <w:tcW w:w="346" w:type="dxa"/>
            <w:tcBorders/>
            <w:vAlign w:val="center"/>
          </w:tcPr>
          <w:p>
            <w:pPr>
              <w:pStyle w:val="TableContents"/>
              <w:bidi w:val="0"/>
              <w:spacing w:before="0" w:after="1"/>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Price</w:t>
            </w:r>
          </w:p>
        </w:tc>
        <w:tc>
          <w:tcPr>
            <w:tcW w:w="346" w:type="dxa"/>
            <w:tcBorders/>
            <w:vAlign w:val="center"/>
          </w:tcPr>
          <w:p>
            <w:pPr>
              <w:pStyle w:val="TableContents"/>
              <w:bidi w:val="0"/>
              <w:spacing w:before="0" w:after="1"/>
              <w:ind w:left="0" w:right="0" w:hanging="0"/>
              <w:jc w:val="left"/>
              <w:rPr/>
            </w:pPr>
            <w:r>
              <w:rPr/>
              <w:t>  ​ ​ ​</w:t>
            </w:r>
          </w:p>
        </w:tc>
        <w:tc>
          <w:tcPr>
            <w:tcW w:w="6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Volume</w:t>
            </w:r>
          </w:p>
        </w:tc>
        <w:tc>
          <w:tcPr>
            <w:tcW w:w="346" w:type="dxa"/>
            <w:tcBorders/>
            <w:vAlign w:val="center"/>
          </w:tcPr>
          <w:p>
            <w:pPr>
              <w:pStyle w:val="TableContents"/>
              <w:bidi w:val="0"/>
              <w:spacing w:before="0" w:after="1"/>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Price</w:t>
            </w:r>
          </w:p>
        </w:tc>
        <w:tc>
          <w:tcPr>
            <w:tcW w:w="346" w:type="dxa"/>
            <w:tcBorders/>
            <w:vAlign w:val="center"/>
          </w:tcPr>
          <w:p>
            <w:pPr>
              <w:pStyle w:val="TableContents"/>
              <w:bidi w:val="0"/>
              <w:spacing w:before="0" w:after="1"/>
              <w:ind w:left="0" w:right="0" w:hanging="0"/>
              <w:jc w:val="left"/>
              <w:rPr/>
            </w:pPr>
            <w:r>
              <w:rPr/>
              <w:t>  ​ ​ ​</w:t>
            </w:r>
          </w:p>
        </w:tc>
        <w:tc>
          <w:tcPr>
            <w:tcW w:w="6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Volume</w:t>
            </w:r>
          </w:p>
        </w:tc>
        <w:tc>
          <w:tcPr>
            <w:tcW w:w="346" w:type="dxa"/>
            <w:tcBorders/>
            <w:vAlign w:val="center"/>
          </w:tcPr>
          <w:p>
            <w:pPr>
              <w:pStyle w:val="TableContents"/>
              <w:bidi w:val="0"/>
              <w:spacing w:before="0" w:after="1"/>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Price</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Production:</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Crude oil (MBBL)</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SCOOP/STACK</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11" w:type="dxa"/>
            <w:tcBorders/>
            <w:shd w:fill="CCEEFF" w:val="clear"/>
            <w:vAlign w:val="center"/>
          </w:tcPr>
          <w:p>
            <w:pPr>
              <w:pStyle w:val="TableContents"/>
              <w:bidi w:val="0"/>
              <w:spacing w:before="0" w:after="1"/>
              <w:ind w:left="0" w:right="0" w:hanging="0"/>
              <w:jc w:val="right"/>
              <w:rPr>
                <w:rFonts w:ascii="Segoe UI" w:hAnsi="Segoe UI"/>
                <w:sz w:val="15"/>
              </w:rPr>
            </w:pPr>
            <w:r>
              <w:rPr>
                <w:rFonts w:ascii="Segoe UI" w:hAnsi="Segoe UI"/>
                <w:sz w:val="15"/>
              </w:rPr>
              <w:t>71.90</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70.90</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79.77</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Chaveroo Field</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95</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Segoe UI" w:hAnsi="Segoe UI"/>
                <w:sz w:val="15"/>
              </w:rPr>
            </w:pPr>
            <w:r>
              <w:rPr>
                <w:rFonts w:ascii="Segoe UI" w:hAnsi="Segoe UI"/>
                <w:sz w:val="15"/>
              </w:rPr>
              <w:t>66.26</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64</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63.49</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77.90</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Jonah Field</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Segoe UI" w:hAnsi="Segoe UI"/>
                <w:sz w:val="15"/>
              </w:rPr>
            </w:pPr>
            <w:r>
              <w:rPr>
                <w:rFonts w:ascii="Segoe UI" w:hAnsi="Segoe UI"/>
                <w:sz w:val="15"/>
              </w:rPr>
              <w:t>65.79</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64.50</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78.51</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Williston Basin</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119</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Segoe UI" w:hAnsi="Segoe UI"/>
                <w:sz w:val="15"/>
              </w:rPr>
            </w:pPr>
            <w:r>
              <w:rPr>
                <w:rFonts w:ascii="Segoe UI" w:hAnsi="Segoe UI"/>
                <w:sz w:val="15"/>
              </w:rPr>
              <w:t>67.14</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63.56</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146</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73.97</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Barnett Shale</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Segoe UI" w:hAnsi="Segoe UI"/>
                <w:sz w:val="15"/>
              </w:rPr>
            </w:pPr>
            <w:r>
              <w:rPr>
                <w:rFonts w:ascii="Segoe UI" w:hAnsi="Segoe UI"/>
                <w:sz w:val="15"/>
              </w:rPr>
              <w:t>67.80</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65.65</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75.01</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Hamilton Dome Field</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133</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Segoe UI" w:hAnsi="Segoe UI"/>
                <w:sz w:val="15"/>
              </w:rPr>
            </w:pPr>
            <w:r>
              <w:rPr>
                <w:rFonts w:ascii="Segoe UI" w:hAnsi="Segoe UI"/>
                <w:sz w:val="15"/>
              </w:rPr>
              <w:t>58.70</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138</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57.97</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142</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65.18</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Delhi Field</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Segoe UI" w:hAnsi="Segoe UI"/>
                <w:sz w:val="15"/>
              </w:rPr>
            </w:pPr>
            <w:r>
              <w:rPr>
                <w:rFonts w:ascii="Segoe UI" w:hAnsi="Segoe UI"/>
                <w:sz w:val="15"/>
              </w:rPr>
              <w:t>67.15</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72.33</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79.46</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TexMex and Other</w:t>
            </w:r>
          </w:p>
        </w:tc>
        <w:tc>
          <w:tcPr>
            <w:tcW w:w="346" w:type="dxa"/>
            <w:tcBorders/>
            <w:vAlign w:val="center"/>
          </w:tcPr>
          <w:p>
            <w:pPr>
              <w:pStyle w:val="TableContents"/>
              <w:bidi w:val="0"/>
              <w:spacing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67</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Segoe UI" w:hAnsi="Segoe UI"/>
                <w:sz w:val="15"/>
              </w:rPr>
            </w:pPr>
            <w:r>
              <w:rPr>
                <w:rFonts w:ascii="Segoe UI" w:hAnsi="Segoe UI"/>
                <w:sz w:val="15"/>
              </w:rPr>
              <w:t>71.17</w:t>
            </w:r>
          </w:p>
        </w:tc>
        <w:tc>
          <w:tcPr>
            <w:tcW w:w="346" w:type="dxa"/>
            <w:tcBorders/>
            <w:vAlign w:val="center"/>
          </w:tcPr>
          <w:p>
            <w:pPr>
              <w:pStyle w:val="TableContents"/>
              <w:bidi w:val="0"/>
              <w:spacing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64.27</w:t>
            </w:r>
          </w:p>
        </w:tc>
        <w:tc>
          <w:tcPr>
            <w:tcW w:w="346" w:type="dxa"/>
            <w:tcBorders/>
            <w:vAlign w:val="center"/>
          </w:tcPr>
          <w:p>
            <w:pPr>
              <w:pStyle w:val="TableContents"/>
              <w:bidi w:val="0"/>
              <w:spacing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78.79</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759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66.61</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766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66.71</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709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75.38</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Natural gas (MMCF)</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SCOOP/STACK</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1,586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3.51</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1,297</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3.34</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532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2.46</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Chaveroo Field</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2.17</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Jonah Field</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2,818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2.76</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3,081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2.94</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3,448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3.55</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Williston Basin</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103</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2.62</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103</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2.38</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86</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1.72</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Barnett Shale</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3,532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2.97</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3,855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2.51</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4,165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1.87</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TexMex and Other</w:t>
            </w:r>
          </w:p>
        </w:tc>
        <w:tc>
          <w:tcPr>
            <w:tcW w:w="346" w:type="dxa"/>
            <w:tcBorders/>
            <w:vAlign w:val="center"/>
          </w:tcPr>
          <w:p>
            <w:pPr>
              <w:pStyle w:val="TableContents"/>
              <w:bidi w:val="0"/>
              <w:spacing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389</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2.41</w:t>
            </w:r>
          </w:p>
        </w:tc>
        <w:tc>
          <w:tcPr>
            <w:tcW w:w="346" w:type="dxa"/>
            <w:tcBorders/>
            <w:vAlign w:val="center"/>
          </w:tcPr>
          <w:p>
            <w:pPr>
              <w:pStyle w:val="TableContents"/>
              <w:bidi w:val="0"/>
              <w:spacing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73</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2.63</w:t>
            </w:r>
          </w:p>
        </w:tc>
        <w:tc>
          <w:tcPr>
            <w:tcW w:w="346" w:type="dxa"/>
            <w:tcBorders/>
            <w:vAlign w:val="center"/>
          </w:tcPr>
          <w:p>
            <w:pPr>
              <w:pStyle w:val="TableContents"/>
              <w:bidi w:val="0"/>
              <w:spacing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8,428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2.97</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8,409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2.80</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8,243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2.61</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Natural gas liquids (MBBL)</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SCOOP/STACK</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21.98</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23.16</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23.16</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Chaveroo Field</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21.93</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Jonah Field</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26.06</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29.32</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28.67</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Williston Basin</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17.55</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19.91</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21.85</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Barnett Shale</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27.93</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27.86</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27.61</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Delhi Field</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44</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28.85</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71</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30.08</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27.91</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TexMex and Other</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20.37</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w:t>
            </w:r>
          </w:p>
        </w:tc>
        <w:tc>
          <w:tcPr>
            <w:tcW w:w="346" w:type="dxa"/>
            <w:tcBorders/>
            <w:vAlign w:val="center"/>
          </w:tcPr>
          <w:p>
            <w:pPr>
              <w:pStyle w:val="TableContents"/>
              <w:bidi w:val="0"/>
              <w:spacing w:before="0" w:after="1"/>
              <w:ind w:left="0" w:right="0" w:hanging="0"/>
              <w:jc w:val="left"/>
              <w:rPr/>
            </w:pPr>
            <w:r>
              <w:rPr/>
              <w:t>​</w:t>
            </w:r>
          </w:p>
        </w:tc>
        <w:tc>
          <w:tcPr>
            <w:tcW w:w="11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4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419</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25.65</w:t>
            </w:r>
          </w:p>
        </w:tc>
        <w:tc>
          <w:tcPr>
            <w:tcW w:w="346" w:type="dxa"/>
            <w:tcBorders/>
            <w:vAlign w:val="center"/>
          </w:tcPr>
          <w:p>
            <w:pPr>
              <w:pStyle w:val="TableContents"/>
              <w:bidi w:val="0"/>
              <w:spacing w:before="0" w:after="1"/>
              <w:ind w:left="0" w:right="0" w:hanging="0"/>
              <w:jc w:val="left"/>
              <w:rPr/>
            </w:pPr>
            <w:r>
              <w:rPr/>
              <w:t>​</w:t>
            </w:r>
          </w:p>
        </w:tc>
        <w:tc>
          <w:tcPr>
            <w:tcW w:w="11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4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414</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27.11</w:t>
            </w:r>
          </w:p>
        </w:tc>
        <w:tc>
          <w:tcPr>
            <w:tcW w:w="346" w:type="dxa"/>
            <w:tcBorders/>
            <w:vAlign w:val="center"/>
          </w:tcPr>
          <w:p>
            <w:pPr>
              <w:pStyle w:val="TableContents"/>
              <w:bidi w:val="0"/>
              <w:spacing w:before="0" w:after="1"/>
              <w:ind w:left="0" w:right="0" w:hanging="0"/>
              <w:jc w:val="left"/>
              <w:rPr/>
            </w:pPr>
            <w:r>
              <w:rPr/>
              <w:t>​</w:t>
            </w:r>
          </w:p>
        </w:tc>
        <w:tc>
          <w:tcPr>
            <w:tcW w:w="11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4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402</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27.13</w:t>
            </w:r>
          </w:p>
        </w:tc>
      </w:tr>
      <w:tr>
        <w:trPr/>
        <w:tc>
          <w:tcPr>
            <w:tcW w:w="255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5"/>
              </w:rPr>
              <w:t>Equivalent (MBOE)</w:t>
            </w:r>
            <w:r>
              <w:rPr>
                <w:rFonts w:ascii="Times New Roman;Times;serif" w:hAnsi="Times New Roman;Times;serif"/>
                <w:i/>
                <w:sz w:val="11"/>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pPr>
            <w:r>
              <w:rPr/>
              <w:t>​</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SCOOP/STACK</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493</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33.52</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429</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37.64</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40.43</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Chaveroo Field</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66.26</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63.49</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72.10</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Jonah Field</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528</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19.63</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576</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20.61</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647</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24.76</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Williston Basin</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53.51</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52.43</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63.10</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Barnett Shale</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804</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20.96</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867</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18.74</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936</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15.93</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Hamilton Dome Field</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58.70</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57.97</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65.18</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Delhi Field</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233</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59.81</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306</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62.56</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359</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68.03</w:t>
            </w:r>
          </w:p>
        </w:tc>
      </w:tr>
      <w:tr>
        <w:trPr/>
        <w:tc>
          <w:tcPr>
            <w:tcW w:w="255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5"/>
              </w:rPr>
              <w:t>TexMex and Other</w:t>
            </w:r>
            <w:r>
              <w:rPr>
                <w:rFonts w:ascii="Times New Roman;Times;serif" w:hAnsi="Times New Roman;Times;serif"/>
                <w:sz w:val="11"/>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43.35</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44.63</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78.79</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w:t>
            </w:r>
          </w:p>
        </w:tc>
        <w:tc>
          <w:tcPr>
            <w:tcW w:w="346" w:type="dxa"/>
            <w:tcBorders/>
            <w:vAlign w:val="center"/>
          </w:tcPr>
          <w:p>
            <w:pPr>
              <w:pStyle w:val="TableContents"/>
              <w:bidi w:val="0"/>
              <w:spacing w:before="0" w:after="1"/>
              <w:ind w:left="0" w:right="0" w:hanging="0"/>
              <w:jc w:val="left"/>
              <w:rPr/>
            </w:pPr>
            <w:r>
              <w:rPr/>
              <w:t>​</w:t>
            </w:r>
          </w:p>
        </w:tc>
        <w:tc>
          <w:tcPr>
            <w:tcW w:w="11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4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2,583</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33.43</w:t>
            </w:r>
          </w:p>
        </w:tc>
        <w:tc>
          <w:tcPr>
            <w:tcW w:w="346" w:type="dxa"/>
            <w:tcBorders/>
            <w:vAlign w:val="center"/>
          </w:tcPr>
          <w:p>
            <w:pPr>
              <w:pStyle w:val="TableContents"/>
              <w:bidi w:val="0"/>
              <w:spacing w:before="0" w:after="1"/>
              <w:ind w:left="0" w:right="0" w:hanging="0"/>
              <w:jc w:val="left"/>
              <w:rPr/>
            </w:pPr>
            <w:r>
              <w:rPr/>
              <w:t>​</w:t>
            </w:r>
          </w:p>
        </w:tc>
        <w:tc>
          <w:tcPr>
            <w:tcW w:w="11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4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2,582</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33.25</w:t>
            </w:r>
          </w:p>
        </w:tc>
        <w:tc>
          <w:tcPr>
            <w:tcW w:w="346" w:type="dxa"/>
            <w:tcBorders/>
            <w:vAlign w:val="center"/>
          </w:tcPr>
          <w:p>
            <w:pPr>
              <w:pStyle w:val="TableContents"/>
              <w:bidi w:val="0"/>
              <w:spacing w:before="0" w:after="1"/>
              <w:ind w:left="0" w:right="0" w:hanging="0"/>
              <w:jc w:val="left"/>
              <w:rPr/>
            </w:pPr>
            <w:r>
              <w:rPr/>
              <w:t>​</w:t>
            </w:r>
          </w:p>
        </w:tc>
        <w:tc>
          <w:tcPr>
            <w:tcW w:w="11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4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2,485</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34.56</w:t>
            </w:r>
          </w:p>
        </w:tc>
      </w:tr>
      <w:tr>
        <w:trPr/>
        <w:tc>
          <w:tcPr>
            <w:tcW w:w="25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pPr>
            <w:r>
              <w:rPr/>
              <w:t>​</w:t>
            </w:r>
          </w:p>
        </w:tc>
      </w:tr>
      <w:tr>
        <w:trPr/>
        <w:tc>
          <w:tcPr>
            <w:tcW w:w="2551" w:type="dxa"/>
            <w:tcBorders/>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b/>
                <w:sz w:val="15"/>
              </w:rPr>
              <w:t>Average daily production (BOEPD)</w:t>
            </w:r>
            <w:r>
              <w:rPr>
                <w:rFonts w:ascii="Times New Roman;Times;serif" w:hAnsi="Times New Roman;Times;serif"/>
                <w:b/>
                <w:sz w:val="11"/>
              </w:rPr>
              <w:t>(1)</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SCOOP/STACK</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1,351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1,175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519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pPr>
            <w:r>
              <w:rPr/>
              <w:t>​</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Chaveroo Field</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175</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82</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Jonah Field</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1,447</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1,578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1,768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pPr>
            <w:r>
              <w:rPr/>
              <w:t>​</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Williston Basin</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444</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468</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492</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Barnett Shale</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2,203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2,375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2,557</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pPr>
            <w:r>
              <w:rPr/>
              <w:t>​</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Hamilton Dome Field</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364</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378</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6"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388</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Delhi Field</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638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838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981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pPr>
            <w:r>
              <w:rPr/>
              <w:t>​</w:t>
            </w:r>
          </w:p>
        </w:tc>
      </w:tr>
      <w:tr>
        <w:trPr/>
        <w:tc>
          <w:tcPr>
            <w:tcW w:w="2551" w:type="dxa"/>
            <w:tcBorders/>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5"/>
              </w:rPr>
              <w:t>TexMex and Other</w:t>
            </w:r>
            <w:r>
              <w:rPr>
                <w:rFonts w:ascii="Times New Roman;Times;serif" w:hAnsi="Times New Roman;Times;serif"/>
                <w:sz w:val="11"/>
              </w:rPr>
              <w:t>(2)</w:t>
            </w:r>
          </w:p>
        </w:tc>
        <w:tc>
          <w:tcPr>
            <w:tcW w:w="346" w:type="dxa"/>
            <w:tcBorders/>
            <w:vAlign w:val="center"/>
          </w:tcPr>
          <w:p>
            <w:pPr>
              <w:pStyle w:val="TableContents"/>
              <w:bidi w:val="0"/>
              <w:spacing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370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87</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7,077</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7,074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6,790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 Average daily production presented in the table above represents our fiscal year production divided by 365 days in the year for fiscal years 2026 and 2025. Average daily production presented in the table above represents our fiscal year production divided by 366 days in the year for fiscal year 2024.</w:t>
            </w:r>
          </w:p>
        </w:tc>
      </w:tr>
    </w:tbl>
    <w:tbl>
      <w:tblPr>
        <w:tblW w:w="9962" w:type="dxa"/>
        <w:jc w:val="left"/>
        <w:tblInd w:w="0" w:type="dxa"/>
        <w:tblLayout w:type="fixed"/>
        <w:tblCellMar>
          <w:top w:w="0" w:type="dxa"/>
          <w:left w:w="0" w:type="dxa"/>
          <w:bottom w:w="0" w:type="dxa"/>
          <w:right w:w="0" w:type="dxa"/>
        </w:tblCellMar>
      </w:tblPr>
      <w:tblGrid>
        <w:gridCol w:w="286"/>
        <w:gridCol w:w="9676"/>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(2)</w:t>
            </w:r>
          </w:p>
        </w:tc>
        <w:tc>
          <w:tcPr>
            <w:tcW w:w="96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At TexMex, our average daily production since TexMex’s acquisition date of April 14, 2025 through June 30, 2025, was 0.4 MBOEPD.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following table summarizes our production costs, and production costs per unit for the periods indicated:</w:t>
      </w:r>
    </w:p>
    <w:tbl>
      <w:tblPr>
        <w:tblW w:w="8410" w:type="dxa"/>
        <w:jc w:val="left"/>
        <w:tblInd w:w="0" w:type="dxa"/>
        <w:tblLayout w:type="fixed"/>
        <w:tblCellMar>
          <w:top w:w="0" w:type="dxa"/>
          <w:left w:w="0" w:type="dxa"/>
          <w:bottom w:w="0" w:type="dxa"/>
          <w:right w:w="0" w:type="dxa"/>
        </w:tblCellMar>
      </w:tblPr>
      <w:tblGrid>
        <w:gridCol w:w="3286"/>
        <w:gridCol w:w="109"/>
        <w:gridCol w:w="181"/>
        <w:gridCol w:w="526"/>
        <w:gridCol w:w="109"/>
        <w:gridCol w:w="197"/>
        <w:gridCol w:w="493"/>
        <w:gridCol w:w="226"/>
        <w:gridCol w:w="181"/>
        <w:gridCol w:w="526"/>
        <w:gridCol w:w="109"/>
        <w:gridCol w:w="197"/>
        <w:gridCol w:w="493"/>
        <w:gridCol w:w="226"/>
        <w:gridCol w:w="181"/>
        <w:gridCol w:w="526"/>
        <w:gridCol w:w="109"/>
        <w:gridCol w:w="184"/>
        <w:gridCol w:w="551"/>
      </w:tblGrid>
      <w:tr>
        <w:trPr/>
        <w:tc>
          <w:tcPr>
            <w:tcW w:w="32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9215" cy="175260"/>
                      <wp:effectExtent l="0" t="0" r="0" b="0"/>
                      <wp:wrapNone/>
                      <wp:docPr id="55" name="Frame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14935" cy="175260"/>
                      <wp:effectExtent l="0" t="0" r="0" b="0"/>
                      <wp:wrapNone/>
                      <wp:docPr id="56" name="Frame5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34010" cy="175260"/>
                      <wp:effectExtent l="0" t="0" r="0" b="0"/>
                      <wp:wrapNone/>
                      <wp:docPr id="57" name="Frame56"/>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9215" cy="175260"/>
                      <wp:effectExtent l="0" t="0" r="0" b="0"/>
                      <wp:wrapNone/>
                      <wp:docPr id="58" name="Frame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5095" cy="175260"/>
                      <wp:effectExtent l="0" t="0" r="0" b="0"/>
                      <wp:wrapNone/>
                      <wp:docPr id="59" name="Frame58"/>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313055" cy="175260"/>
                      <wp:effectExtent l="0" t="0" r="0" b="0"/>
                      <wp:wrapNone/>
                      <wp:docPr id="60" name="Frame59"/>
                      <a:graphic xmlns:a="http://schemas.openxmlformats.org/drawingml/2006/main">
                        <a:graphicData uri="http://schemas.microsoft.com/office/word/2010/wordprocessingShape">
                          <wps:wsp>
                            <wps:cNvSpPr txBox="1"/>
                            <wps:spPr>
                              <a:xfrm>
                                <a:off x="0" y="0"/>
                                <a:ext cx="313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43510" cy="175260"/>
                      <wp:effectExtent l="0" t="0" r="0" b="0"/>
                      <wp:wrapNone/>
                      <wp:docPr id="61" name="Frame6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14935" cy="175260"/>
                      <wp:effectExtent l="0" t="0" r="0" b="0"/>
                      <wp:wrapNone/>
                      <wp:docPr id="62" name="Frame6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334010" cy="175260"/>
                      <wp:effectExtent l="0" t="0" r="0" b="0"/>
                      <wp:wrapNone/>
                      <wp:docPr id="63" name="Frame62"/>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9215" cy="175260"/>
                      <wp:effectExtent l="0" t="0" r="0" b="0"/>
                      <wp:wrapNone/>
                      <wp:docPr id="64" name="Frame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25095" cy="175260"/>
                      <wp:effectExtent l="0" t="0" r="0" b="0"/>
                      <wp:wrapNone/>
                      <wp:docPr id="65" name="Frame64"/>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313055" cy="175260"/>
                      <wp:effectExtent l="0" t="0" r="0" b="0"/>
                      <wp:wrapNone/>
                      <wp:docPr id="66" name="Frame65"/>
                      <a:graphic xmlns:a="http://schemas.openxmlformats.org/drawingml/2006/main">
                        <a:graphicData uri="http://schemas.microsoft.com/office/word/2010/wordprocessingShape">
                          <wps:wsp>
                            <wps:cNvSpPr txBox="1"/>
                            <wps:spPr>
                              <a:xfrm>
                                <a:off x="0" y="0"/>
                                <a:ext cx="313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43510" cy="175260"/>
                      <wp:effectExtent l="0" t="0" r="0" b="0"/>
                      <wp:wrapNone/>
                      <wp:docPr id="67" name="Frame6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14935" cy="175260"/>
                      <wp:effectExtent l="0" t="0" r="0" b="0"/>
                      <wp:wrapNone/>
                      <wp:docPr id="68" name="Frame6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334010" cy="175260"/>
                      <wp:effectExtent l="0" t="0" r="0" b="0"/>
                      <wp:wrapNone/>
                      <wp:docPr id="69" name="Frame68"/>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70" name="Frame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16840" cy="175260"/>
                      <wp:effectExtent l="0" t="0" r="0" b="0"/>
                      <wp:wrapNone/>
                      <wp:docPr id="71" name="Frame70"/>
                      <a:graphic xmlns:a="http://schemas.openxmlformats.org/drawingml/2006/main">
                        <a:graphicData uri="http://schemas.microsoft.com/office/word/2010/wordprocessingShape">
                          <wps:wsp>
                            <wps:cNvSpPr txBox="1"/>
                            <wps:spPr>
                              <a:xfrm>
                                <a:off x="0" y="0"/>
                                <a:ext cx="116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49885" cy="175260"/>
                      <wp:effectExtent l="0" t="0" r="0" b="0"/>
                      <wp:wrapNone/>
                      <wp:docPr id="72" name="Frame71"/>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015"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Years Ended June 30, </w:t>
            </w:r>
          </w:p>
        </w:tc>
      </w:tr>
      <w:tr>
        <w:trPr/>
        <w:tc>
          <w:tcPr>
            <w:tcW w:w="32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Production costs (in thousands, except per BOE)</w:t>
            </w:r>
          </w:p>
        </w:tc>
        <w:tc>
          <w:tcPr>
            <w:tcW w:w="109" w:type="dxa"/>
            <w:tcBorders/>
            <w:vAlign w:val="center"/>
          </w:tcPr>
          <w:p>
            <w:pPr>
              <w:pStyle w:val="TableContents"/>
              <w:bidi w:val="0"/>
              <w:spacing w:before="0" w:after="1"/>
              <w:ind w:left="0" w:right="0" w:hanging="0"/>
              <w:jc w:val="left"/>
              <w:rPr/>
            </w:pPr>
            <w:r>
              <w:rPr/>
              <w:t>​</w:t>
            </w:r>
          </w:p>
        </w:tc>
        <w:tc>
          <w:tcPr>
            <w:tcW w:w="150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2026</w:t>
            </w:r>
          </w:p>
        </w:tc>
        <w:tc>
          <w:tcPr>
            <w:tcW w:w="226" w:type="dxa"/>
            <w:tcBorders/>
            <w:vAlign w:val="center"/>
          </w:tcPr>
          <w:p>
            <w:pPr>
              <w:pStyle w:val="TableContents"/>
              <w:bidi w:val="0"/>
              <w:spacing w:before="0" w:after="1"/>
              <w:ind w:left="0" w:right="0" w:hanging="0"/>
              <w:jc w:val="left"/>
              <w:rPr/>
            </w:pPr>
            <w:r>
              <w:rPr/>
              <w:t>​</w:t>
            </w:r>
          </w:p>
        </w:tc>
        <w:tc>
          <w:tcPr>
            <w:tcW w:w="150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2025</w:t>
            </w:r>
          </w:p>
        </w:tc>
        <w:tc>
          <w:tcPr>
            <w:tcW w:w="226" w:type="dxa"/>
            <w:tcBorders/>
            <w:vAlign w:val="center"/>
          </w:tcPr>
          <w:p>
            <w:pPr>
              <w:pStyle w:val="TableContents"/>
              <w:bidi w:val="0"/>
              <w:spacing w:before="0" w:after="1"/>
              <w:ind w:left="0" w:right="0" w:hanging="0"/>
              <w:jc w:val="left"/>
              <w:rPr/>
            </w:pPr>
            <w:r>
              <w:rPr/>
              <w:t>​</w:t>
            </w:r>
          </w:p>
        </w:tc>
        <w:tc>
          <w:tcPr>
            <w:tcW w:w="155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2024</w:t>
            </w:r>
          </w:p>
        </w:tc>
      </w:tr>
      <w:tr>
        <w:trPr/>
        <w:tc>
          <w:tcPr>
            <w:tcW w:w="3286" w:type="dxa"/>
            <w:tcBorders/>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5"/>
              </w:rPr>
              <w:t>Total lease operating costs</w:t>
            </w:r>
            <w:r>
              <w:rPr>
                <w:rFonts w:ascii="Times New Roman;Times;serif" w:hAnsi="Times New Roman;Times;serif"/>
                <w:sz w:val="11"/>
              </w:rPr>
              <w:t>(1)</w:t>
            </w:r>
          </w:p>
        </w:tc>
        <w:tc>
          <w:tcPr>
            <w:tcW w:w="109" w:type="dxa"/>
            <w:tcBorders/>
            <w:vAlign w:val="center"/>
          </w:tcPr>
          <w:p>
            <w:pPr>
              <w:pStyle w:val="TableContents"/>
              <w:bidi w:val="0"/>
              <w:spacing w:before="0" w:after="1"/>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109" w:type="dxa"/>
            <w:tcBorders/>
            <w:vAlign w:val="center"/>
          </w:tcPr>
          <w:p>
            <w:pPr>
              <w:pStyle w:val="TableContents"/>
              <w:bidi w:val="0"/>
              <w:spacing w:before="0" w:after="1"/>
              <w:ind w:left="0" w:right="0" w:hanging="0"/>
              <w:jc w:val="left"/>
              <w:rPr/>
            </w:pPr>
            <w:r>
              <w:rPr/>
              <w:t>​</w:t>
            </w:r>
          </w:p>
        </w:tc>
        <w:tc>
          <w:tcPr>
            <w:tcW w:w="6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per BOE</w:t>
            </w:r>
          </w:p>
        </w:tc>
        <w:tc>
          <w:tcPr>
            <w:tcW w:w="226" w:type="dxa"/>
            <w:tcBorders/>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109" w:type="dxa"/>
            <w:tcBorders/>
            <w:vAlign w:val="center"/>
          </w:tcPr>
          <w:p>
            <w:pPr>
              <w:pStyle w:val="TableContents"/>
              <w:bidi w:val="0"/>
              <w:spacing w:before="0" w:after="1"/>
              <w:ind w:left="0" w:right="0" w:hanging="0"/>
              <w:jc w:val="left"/>
              <w:rPr/>
            </w:pPr>
            <w:r>
              <w:rPr/>
              <w:t>​</w:t>
            </w:r>
          </w:p>
        </w:tc>
        <w:tc>
          <w:tcPr>
            <w:tcW w:w="6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per BOE</w:t>
            </w:r>
          </w:p>
        </w:tc>
        <w:tc>
          <w:tcPr>
            <w:tcW w:w="226" w:type="dxa"/>
            <w:tcBorders/>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109" w:type="dxa"/>
            <w:tcBorders/>
            <w:vAlign w:val="center"/>
          </w:tcPr>
          <w:p>
            <w:pPr>
              <w:pStyle w:val="TableContents"/>
              <w:bidi w:val="0"/>
              <w:spacing w:before="0" w:after="1"/>
              <w:ind w:left="0" w:right="0" w:hanging="0"/>
              <w:jc w:val="left"/>
              <w:rPr/>
            </w:pPr>
            <w:r>
              <w:rPr/>
              <w:t>​</w:t>
            </w:r>
          </w:p>
        </w:tc>
        <w:tc>
          <w:tcPr>
            <w:tcW w:w="7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per BOE</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SCOOP/STACK</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4,423</w:t>
            </w:r>
          </w:p>
        </w:tc>
        <w:tc>
          <w:tcPr>
            <w:tcW w:w="109"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9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8.97</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4,442</w:t>
            </w:r>
          </w:p>
        </w:tc>
        <w:tc>
          <w:tcPr>
            <w:tcW w:w="109"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9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10.35</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1,647</w:t>
            </w:r>
          </w:p>
        </w:tc>
        <w:tc>
          <w:tcPr>
            <w:tcW w:w="109"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8.71</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Chaveroo Field</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1,307</w:t>
            </w:r>
          </w:p>
        </w:tc>
        <w:tc>
          <w:tcPr>
            <w:tcW w:w="109"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49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13.76</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869</w:t>
            </w:r>
          </w:p>
        </w:tc>
        <w:tc>
          <w:tcPr>
            <w:tcW w:w="109"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49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13.58</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462</w:t>
            </w:r>
          </w:p>
        </w:tc>
        <w:tc>
          <w:tcPr>
            <w:tcW w:w="109"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pPr>
            <w:r>
              <w:rPr/>
              <w:t>​</w:t>
            </w:r>
          </w:p>
        </w:tc>
        <w:tc>
          <w:tcPr>
            <w:tcW w:w="5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15.40</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Jonah Field</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7,822</w:t>
            </w:r>
          </w:p>
        </w:tc>
        <w:tc>
          <w:tcPr>
            <w:tcW w:w="109"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49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14.84</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8,470</w:t>
            </w:r>
          </w:p>
        </w:tc>
        <w:tc>
          <w:tcPr>
            <w:tcW w:w="109"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49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14.73</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9,101</w:t>
            </w:r>
          </w:p>
        </w:tc>
        <w:tc>
          <w:tcPr>
            <w:tcW w:w="109"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w:t>
            </w:r>
          </w:p>
        </w:tc>
        <w:tc>
          <w:tcPr>
            <w:tcW w:w="5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14.09</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Williston Basin</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4,886</w:t>
            </w:r>
          </w:p>
        </w:tc>
        <w:tc>
          <w:tcPr>
            <w:tcW w:w="109"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49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29.98</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5,063</w:t>
            </w:r>
          </w:p>
        </w:tc>
        <w:tc>
          <w:tcPr>
            <w:tcW w:w="109"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49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29.61</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5,235</w:t>
            </w:r>
          </w:p>
        </w:tc>
        <w:tc>
          <w:tcPr>
            <w:tcW w:w="109"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pPr>
            <w:r>
              <w:rPr/>
              <w:t>​</w:t>
            </w:r>
          </w:p>
        </w:tc>
        <w:tc>
          <w:tcPr>
            <w:tcW w:w="5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29.08</w:t>
            </w:r>
          </w:p>
        </w:tc>
      </w:tr>
      <w:tr>
        <w:trPr/>
        <w:tc>
          <w:tcPr>
            <w:tcW w:w="32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5"/>
              </w:rPr>
              <w:t>Barnett Shale</w:t>
            </w:r>
            <w:r>
              <w:rPr>
                <w:rFonts w:ascii="Times New Roman;Times;serif" w:hAnsi="Times New Roman;Times;serif"/>
                <w:sz w:val="11"/>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14,021</w:t>
            </w:r>
          </w:p>
        </w:tc>
        <w:tc>
          <w:tcPr>
            <w:tcW w:w="109"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49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17.44</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13,217</w:t>
            </w:r>
          </w:p>
        </w:tc>
        <w:tc>
          <w:tcPr>
            <w:tcW w:w="109"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49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15.25</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14,695</w:t>
            </w:r>
          </w:p>
        </w:tc>
        <w:tc>
          <w:tcPr>
            <w:tcW w:w="109"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w:t>
            </w:r>
          </w:p>
        </w:tc>
        <w:tc>
          <w:tcPr>
            <w:tcW w:w="5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15.68</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Hamilton Dome Field</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5,088</w:t>
            </w:r>
          </w:p>
        </w:tc>
        <w:tc>
          <w:tcPr>
            <w:tcW w:w="109"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49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38.13</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5,479</w:t>
            </w:r>
          </w:p>
        </w:tc>
        <w:tc>
          <w:tcPr>
            <w:tcW w:w="109"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49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39.61</w:t>
            </w:r>
          </w:p>
        </w:tc>
        <w:tc>
          <w:tcPr>
            <w:tcW w:w="2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5,722</w:t>
            </w:r>
          </w:p>
        </w:tc>
        <w:tc>
          <w:tcPr>
            <w:tcW w:w="109" w:type="dxa"/>
            <w:tcBorders/>
            <w:vAlign w:val="center"/>
          </w:tcPr>
          <w:p>
            <w:pPr>
              <w:pStyle w:val="TableContents"/>
              <w:bidi w:val="0"/>
              <w:spacing w:before="0" w:after="1"/>
              <w:ind w:left="0" w:right="0" w:hanging="0"/>
              <w:jc w:val="left"/>
              <w:rPr/>
            </w:pPr>
            <w:r>
              <w:rPr/>
              <w:t>​</w:t>
            </w:r>
          </w:p>
        </w:tc>
        <w:tc>
          <w:tcPr>
            <w:tcW w:w="184" w:type="dxa"/>
            <w:tcBorders/>
            <w:vAlign w:val="center"/>
          </w:tcPr>
          <w:p>
            <w:pPr>
              <w:pStyle w:val="TableContents"/>
              <w:bidi w:val="0"/>
              <w:spacing w:before="0" w:after="1"/>
              <w:ind w:left="0" w:right="0" w:hanging="0"/>
              <w:jc w:val="left"/>
              <w:rPr/>
            </w:pPr>
            <w:r>
              <w:rPr/>
              <w:t>​</w:t>
            </w:r>
          </w:p>
        </w:tc>
        <w:tc>
          <w:tcPr>
            <w:tcW w:w="5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40.37</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Delhi Field</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6,972</w:t>
            </w:r>
          </w:p>
        </w:tc>
        <w:tc>
          <w:tcPr>
            <w:tcW w:w="109"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49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29.72</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10,604</w:t>
            </w:r>
          </w:p>
        </w:tc>
        <w:tc>
          <w:tcPr>
            <w:tcW w:w="109"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49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34.59</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11,390</w:t>
            </w:r>
          </w:p>
        </w:tc>
        <w:tc>
          <w:tcPr>
            <w:tcW w:w="109" w:type="dxa"/>
            <w:tcBorders/>
            <w:shd w:fill="CCEEFF" w:val="clear"/>
            <w:vAlign w:val="center"/>
          </w:tcPr>
          <w:p>
            <w:pPr>
              <w:pStyle w:val="TableContents"/>
              <w:bidi w:val="0"/>
              <w:spacing w:before="0" w:after="1"/>
              <w:ind w:left="0" w:right="0" w:hanging="0"/>
              <w:jc w:val="left"/>
              <w:rPr/>
            </w:pPr>
            <w:r>
              <w:rPr/>
              <w:t>​</w:t>
            </w:r>
          </w:p>
        </w:tc>
        <w:tc>
          <w:tcPr>
            <w:tcW w:w="184" w:type="dxa"/>
            <w:tcBorders/>
            <w:shd w:fill="CCEEFF" w:val="clear"/>
            <w:vAlign w:val="center"/>
          </w:tcPr>
          <w:p>
            <w:pPr>
              <w:pStyle w:val="TableContents"/>
              <w:bidi w:val="0"/>
              <w:spacing w:before="0" w:after="1"/>
              <w:ind w:left="0" w:right="0" w:hanging="0"/>
              <w:jc w:val="left"/>
              <w:rPr/>
            </w:pPr>
            <w:r>
              <w:rPr/>
              <w:t>​</w:t>
            </w:r>
          </w:p>
        </w:tc>
        <w:tc>
          <w:tcPr>
            <w:tcW w:w="5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31.76</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TexMex and Other</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5,819</w:t>
            </w:r>
          </w:p>
        </w:tc>
        <w:tc>
          <w:tcPr>
            <w:tcW w:w="109"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43.81</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1,194</w:t>
            </w:r>
          </w:p>
        </w:tc>
        <w:tc>
          <w:tcPr>
            <w:tcW w:w="109"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38.84</w:t>
            </w:r>
          </w:p>
        </w:tc>
        <w:tc>
          <w:tcPr>
            <w:tcW w:w="2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w:t>
            </w:r>
          </w:p>
        </w:tc>
        <w:tc>
          <w:tcPr>
            <w:tcW w:w="109" w:type="dxa"/>
            <w:tcBorders/>
            <w:vAlign w:val="center"/>
          </w:tcPr>
          <w:p>
            <w:pPr>
              <w:pStyle w:val="TableContents"/>
              <w:bidi w:val="0"/>
              <w:spacing w:before="0" w:after="1"/>
              <w:ind w:left="0" w:right="0" w:hanging="0"/>
              <w:jc w:val="left"/>
              <w:rPr/>
            </w:pPr>
            <w:r>
              <w:rPr/>
              <w:t>​</w:t>
            </w:r>
          </w:p>
        </w:tc>
        <w:tc>
          <w:tcPr>
            <w:tcW w:w="1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9.10</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50,338</w:t>
            </w:r>
          </w:p>
        </w:tc>
        <w:tc>
          <w:tcPr>
            <w:tcW w:w="109" w:type="dxa"/>
            <w:tcBorders/>
            <w:shd w:fill="CCEEFF" w:val="clear"/>
            <w:vAlign w:val="center"/>
          </w:tcPr>
          <w:p>
            <w:pPr>
              <w:pStyle w:val="TableContents"/>
              <w:bidi w:val="0"/>
              <w:spacing w:before="0" w:after="1"/>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19.48</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49,338</w:t>
            </w:r>
          </w:p>
        </w:tc>
        <w:tc>
          <w:tcPr>
            <w:tcW w:w="109" w:type="dxa"/>
            <w:tcBorders/>
            <w:shd w:fill="CCEEFF" w:val="clear"/>
            <w:vAlign w:val="center"/>
          </w:tcPr>
          <w:p>
            <w:pPr>
              <w:pStyle w:val="TableContents"/>
              <w:bidi w:val="0"/>
              <w:spacing w:before="0" w:after="1"/>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19.11</w:t>
            </w:r>
          </w:p>
        </w:tc>
        <w:tc>
          <w:tcPr>
            <w:tcW w:w="2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48,273</w:t>
            </w:r>
          </w:p>
        </w:tc>
        <w:tc>
          <w:tcPr>
            <w:tcW w:w="109" w:type="dxa"/>
            <w:tcBorders/>
            <w:shd w:fill="CCEEFF" w:val="clear"/>
            <w:vAlign w:val="center"/>
          </w:tcPr>
          <w:p>
            <w:pPr>
              <w:pStyle w:val="TableContents"/>
              <w:bidi w:val="0"/>
              <w:spacing w:before="0" w:after="1"/>
              <w:ind w:left="0" w:right="0" w:hanging="0"/>
              <w:jc w:val="left"/>
              <w:rPr/>
            </w:pPr>
            <w:r>
              <w:rPr/>
              <w:t>​</w:t>
            </w:r>
          </w:p>
        </w:tc>
        <w:tc>
          <w:tcPr>
            <w:tcW w:w="1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51"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sz w:val="15"/>
              </w:rPr>
            </w:pPr>
            <w:r>
              <w:rPr>
                <w:rFonts w:ascii="Times New Roman;Times;serif" w:hAnsi="Times New Roman;Times;serif"/>
                <w:sz w:val="15"/>
              </w:rPr>
              <w:t>19.43</w:t>
            </w:r>
          </w:p>
        </w:tc>
      </w:tr>
    </w:tbl>
    <w:tbl>
      <w:tblPr>
        <w:tblW w:w="9392" w:type="dxa"/>
        <w:jc w:val="left"/>
        <w:tblInd w:w="0" w:type="dxa"/>
        <w:tblLayout w:type="fixed"/>
        <w:tblCellMar>
          <w:top w:w="0" w:type="dxa"/>
          <w:left w:w="0" w:type="dxa"/>
          <w:bottom w:w="0" w:type="dxa"/>
          <w:right w:w="0" w:type="dxa"/>
        </w:tblCellMar>
      </w:tblPr>
      <w:tblGrid>
        <w:gridCol w:w="286"/>
        <w:gridCol w:w="9106"/>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91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Total lease operating costs include lifting costs; workover expenses; and gathering, transportation, processing and other expense.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(2)</w:t>
            </w:r>
          </w:p>
        </w:tc>
        <w:tc>
          <w:tcPr>
            <w:tcW w:w="994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 xml:space="preserve">Barnett Shale lease operating costs for the fiscal year ended June 30, 2025 contains a $1.9 million credit from one of our operators due to a joint venture audit, see “Results of Operations” within Item 7. </w:t>
            </w:r>
            <w:r>
              <w:rPr>
                <w:rFonts w:ascii="Times New Roman;Times;serif" w:hAnsi="Times New Roman;Times;serif"/>
                <w:b w:val="false"/>
                <w:i/>
                <w:sz w:val="16"/>
              </w:rPr>
              <w:t>Management’s Discussion and Analysis of Financial Conditions and Results of Operations.</w:t>
            </w:r>
          </w:p>
        </w:tc>
      </w:tr>
    </w:tbl>
    <w:p>
      <w:pPr>
        <w:pStyle w:val="TextBody"/>
        <w:bidi w:val="0"/>
        <w:spacing w:before="240" w:after="120"/>
        <w:ind w:left="0" w:right="0" w:hanging="0"/>
        <w:jc w:val="left"/>
        <w:rPr>
          <w:rFonts w:ascii="Times New Roman;Times;serif" w:hAnsi="Times New Roman;Times;serif"/>
          <w:b/>
          <w:sz w:val="20"/>
        </w:rPr>
      </w:pPr>
      <w:r>
        <w:rPr>
          <w:rFonts w:ascii="Times New Roman;Times;serif" w:hAnsi="Times New Roman;Times;serif"/>
          <w:b/>
          <w:sz w:val="20"/>
        </w:rPr>
        <w:t xml:space="preserve">Productive Wells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the number of productive oil and natural gas wells in which we own an interest as of June 30, 2026.</w:t>
      </w:r>
    </w:p>
    <w:p>
      <w:pPr>
        <w:pStyle w:val="TextBody"/>
        <w:bidi w:val="0"/>
        <w:spacing w:before="0" w:after="240"/>
        <w:ind w:left="0" w:right="0" w:hanging="0"/>
        <w:jc w:val="left"/>
        <w:rPr/>
      </w:pPr>
      <w:r>
        <w:rPr/>
        <w:t>​</w:t>
      </w:r>
    </w:p>
    <w:tbl>
      <w:tblPr>
        <w:tblW w:w="6534" w:type="dxa"/>
        <w:jc w:val="left"/>
        <w:tblInd w:w="0" w:type="dxa"/>
        <w:tblLayout w:type="fixed"/>
        <w:tblCellMar>
          <w:top w:w="0" w:type="dxa"/>
          <w:left w:w="0" w:type="dxa"/>
          <w:bottom w:w="0" w:type="dxa"/>
          <w:right w:w="0" w:type="dxa"/>
        </w:tblCellMar>
      </w:tblPr>
      <w:tblGrid>
        <w:gridCol w:w="931"/>
        <w:gridCol w:w="346"/>
        <w:gridCol w:w="711"/>
        <w:gridCol w:w="442"/>
        <w:gridCol w:w="481"/>
        <w:gridCol w:w="346"/>
        <w:gridCol w:w="556"/>
        <w:gridCol w:w="346"/>
        <w:gridCol w:w="511"/>
        <w:gridCol w:w="346"/>
        <w:gridCol w:w="556"/>
        <w:gridCol w:w="346"/>
        <w:gridCol w:w="616"/>
      </w:tblGrid>
      <w:tr>
        <w:trPr/>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91185" cy="175260"/>
                      <wp:effectExtent l="0" t="0" r="0" b="0"/>
                      <wp:wrapNone/>
                      <wp:docPr id="73" name="Frame7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74"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51485" cy="175260"/>
                      <wp:effectExtent l="0" t="0" r="0" b="0"/>
                      <wp:wrapNone/>
                      <wp:docPr id="75" name="Frame74"/>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80670" cy="175260"/>
                      <wp:effectExtent l="0" t="0" r="0" b="0"/>
                      <wp:wrapNone/>
                      <wp:docPr id="76" name="Frame75"/>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05435" cy="175260"/>
                      <wp:effectExtent l="0" t="0" r="0" b="0"/>
                      <wp:wrapNone/>
                      <wp:docPr id="77" name="Frame76"/>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78"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53060" cy="175260"/>
                      <wp:effectExtent l="0" t="0" r="0" b="0"/>
                      <wp:wrapNone/>
                      <wp:docPr id="79" name="Frame78"/>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0"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324485" cy="175260"/>
                      <wp:effectExtent l="0" t="0" r="0" b="0"/>
                      <wp:wrapNone/>
                      <wp:docPr id="81" name="Frame8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2"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53060" cy="175260"/>
                      <wp:effectExtent l="0" t="0" r="0" b="0"/>
                      <wp:wrapNone/>
                      <wp:docPr id="83" name="Frame82"/>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84"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391160" cy="175260"/>
                      <wp:effectExtent l="0" t="0" r="0" b="0"/>
                      <wp:wrapNone/>
                      <wp:docPr id="85" name="Frame8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3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Company Operated</w:t>
            </w:r>
          </w:p>
        </w:tc>
        <w:tc>
          <w:tcPr>
            <w:tcW w:w="346" w:type="dxa"/>
            <w:tcBorders/>
            <w:vAlign w:val="center"/>
          </w:tcPr>
          <w:p>
            <w:pPr>
              <w:pStyle w:val="TableContents"/>
              <w:bidi w:val="0"/>
              <w:spacing w:before="0" w:after="1"/>
              <w:ind w:left="0" w:right="0" w:hanging="0"/>
              <w:jc w:val="left"/>
              <w:rPr/>
            </w:pPr>
            <w:r>
              <w:rPr/>
              <w:t>​</w:t>
            </w:r>
          </w:p>
        </w:tc>
        <w:tc>
          <w:tcPr>
            <w:tcW w:w="141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Non-Operated</w:t>
            </w:r>
          </w:p>
        </w:tc>
        <w:tc>
          <w:tcPr>
            <w:tcW w:w="346" w:type="dxa"/>
            <w:tcBorders/>
            <w:vAlign w:val="center"/>
          </w:tcPr>
          <w:p>
            <w:pPr>
              <w:pStyle w:val="TableContents"/>
              <w:bidi w:val="0"/>
              <w:spacing w:before="0" w:after="1"/>
              <w:ind w:left="0" w:right="0" w:hanging="0"/>
              <w:jc w:val="left"/>
              <w:rPr/>
            </w:pPr>
            <w:r>
              <w:rPr/>
              <w:t>​</w:t>
            </w:r>
          </w:p>
        </w:tc>
        <w:tc>
          <w:tcPr>
            <w:tcW w:w="151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Gross</w:t>
            </w:r>
          </w:p>
        </w:tc>
        <w:tc>
          <w:tcPr>
            <w:tcW w:w="442" w:type="dxa"/>
            <w:tcBorders/>
            <w:vAlign w:val="center"/>
          </w:tcPr>
          <w:p>
            <w:pPr>
              <w:pStyle w:val="TableContents"/>
              <w:bidi w:val="0"/>
              <w:spacing w:before="0" w:after="1"/>
              <w:ind w:left="0" w:right="0" w:hanging="0"/>
              <w:jc w:val="left"/>
              <w:rPr/>
            </w:pPr>
            <w:r>
              <w:rPr/>
              <w:t>  ​ ​ ​</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Net</w:t>
            </w:r>
          </w:p>
        </w:tc>
        <w:tc>
          <w:tcPr>
            <w:tcW w:w="346" w:type="dxa"/>
            <w:tcBorders/>
            <w:vAlign w:val="center"/>
          </w:tcPr>
          <w:p>
            <w:pPr>
              <w:pStyle w:val="TableContents"/>
              <w:bidi w:val="0"/>
              <w:spacing w:before="0" w:after="1"/>
              <w:ind w:left="0" w:right="0" w:hanging="0"/>
              <w:jc w:val="left"/>
              <w:rPr/>
            </w:pPr>
            <w:r>
              <w:rPr/>
              <w:t>  ​ ​ ​</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Gross</w:t>
            </w:r>
          </w:p>
        </w:tc>
        <w:tc>
          <w:tcPr>
            <w:tcW w:w="346" w:type="dxa"/>
            <w:tcBorders/>
            <w:vAlign w:val="center"/>
          </w:tcPr>
          <w:p>
            <w:pPr>
              <w:pStyle w:val="TableContents"/>
              <w:bidi w:val="0"/>
              <w:spacing w:before="0" w:after="1"/>
              <w:ind w:left="0" w:right="0" w:hanging="0"/>
              <w:jc w:val="left"/>
              <w:rPr/>
            </w:pPr>
            <w:r>
              <w:rPr/>
              <w:t>  ​ ​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Net</w:t>
            </w:r>
          </w:p>
        </w:tc>
        <w:tc>
          <w:tcPr>
            <w:tcW w:w="346" w:type="dxa"/>
            <w:tcBorders/>
            <w:vAlign w:val="center"/>
          </w:tcPr>
          <w:p>
            <w:pPr>
              <w:pStyle w:val="TableContents"/>
              <w:bidi w:val="0"/>
              <w:spacing w:before="0" w:after="1"/>
              <w:ind w:left="0" w:right="0" w:hanging="0"/>
              <w:jc w:val="left"/>
              <w:rPr/>
            </w:pPr>
            <w:r>
              <w:rPr/>
              <w:t>  ​ ​ ​</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Gross</w:t>
            </w:r>
          </w:p>
        </w:tc>
        <w:tc>
          <w:tcPr>
            <w:tcW w:w="346" w:type="dxa"/>
            <w:tcBorders/>
            <w:vAlign w:val="center"/>
          </w:tcPr>
          <w:p>
            <w:pPr>
              <w:pStyle w:val="TableContents"/>
              <w:bidi w:val="0"/>
              <w:spacing w:before="0" w:after="1"/>
              <w:ind w:left="0" w:right="0" w:hanging="0"/>
              <w:jc w:val="left"/>
              <w:rPr/>
            </w:pPr>
            <w:r>
              <w:rPr/>
              <w:t>  ​ ​ ​</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Net</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w:t>
            </w:r>
          </w:p>
        </w:tc>
        <w:tc>
          <w:tcPr>
            <w:tcW w:w="346" w:type="dxa"/>
            <w:tcBorders/>
            <w:shd w:fill="CCEEFF" w:val="clear"/>
            <w:vAlign w:val="center"/>
          </w:tcPr>
          <w:p>
            <w:pPr>
              <w:pStyle w:val="TableContents"/>
              <w:bidi w:val="0"/>
              <w:spacing w:before="0" w:after="1"/>
              <w:ind w:left="0" w:right="0" w:hanging="0"/>
              <w:jc w:val="left"/>
              <w:rPr/>
            </w:pPr>
            <w:r>
              <w:rPr/>
              <w:t>​</w:t>
            </w:r>
          </w:p>
        </w:tc>
        <w:tc>
          <w:tcPr>
            <w:tcW w:w="711" w:type="dxa"/>
            <w:tcBorders/>
            <w:shd w:fill="CCEEFF" w:val="clear"/>
            <w:vAlign w:val="center"/>
          </w:tcPr>
          <w:p>
            <w:pPr>
              <w:pStyle w:val="TableContents"/>
              <w:bidi w:val="0"/>
              <w:spacing w:before="0" w:after="1"/>
              <w:ind w:left="0" w:right="0" w:hanging="0"/>
              <w:jc w:val="right"/>
              <w:rPr/>
            </w:pPr>
            <w:r>
              <w:rPr/>
              <w:t>—</w:t>
            </w:r>
          </w:p>
        </w:tc>
        <w:tc>
          <w:tcPr>
            <w:tcW w:w="442"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1,170</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178.6</w:t>
            </w:r>
          </w:p>
        </w:tc>
        <w:tc>
          <w:tcPr>
            <w:tcW w:w="346"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1,170</w:t>
            </w:r>
          </w:p>
        </w:tc>
        <w:tc>
          <w:tcPr>
            <w:tcW w:w="34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178.6</w:t>
            </w:r>
          </w:p>
        </w:tc>
      </w:tr>
      <w:tr>
        <w:trPr/>
        <w:tc>
          <w:tcPr>
            <w:tcW w:w="9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Natural gas</w:t>
            </w:r>
          </w:p>
        </w:tc>
        <w:tc>
          <w:tcPr>
            <w:tcW w:w="346" w:type="dxa"/>
            <w:tcBorders/>
            <w:vAlign w:val="center"/>
          </w:tcPr>
          <w:p>
            <w:pPr>
              <w:pStyle w:val="TableContents"/>
              <w:bidi w:val="0"/>
              <w:spacing w:before="0" w:after="1"/>
              <w:ind w:left="0" w:right="0" w:hanging="0"/>
              <w:jc w:val="left"/>
              <w:rPr/>
            </w:pPr>
            <w:r>
              <w:rPr/>
              <w:t>​</w:t>
            </w:r>
          </w:p>
        </w:tc>
        <w:tc>
          <w:tcPr>
            <w:tcW w:w="7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42" w:type="dxa"/>
            <w:tcBorders/>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1,481</w:t>
            </w:r>
          </w:p>
        </w:tc>
        <w:tc>
          <w:tcPr>
            <w:tcW w:w="346" w:type="dxa"/>
            <w:tcBorders/>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207.2</w:t>
            </w:r>
          </w:p>
        </w:tc>
        <w:tc>
          <w:tcPr>
            <w:tcW w:w="346" w:type="dxa"/>
            <w:tcBorders/>
            <w:vAlign w:val="center"/>
          </w:tcPr>
          <w:p>
            <w:pPr>
              <w:pStyle w:val="TableContents"/>
              <w:bidi w:val="0"/>
              <w:spacing w:before="0" w:after="1"/>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1,481</w:t>
            </w:r>
          </w:p>
        </w:tc>
        <w:tc>
          <w:tcPr>
            <w:tcW w:w="346" w:type="dxa"/>
            <w:tcBorders/>
            <w:vAlign w:val="center"/>
          </w:tcPr>
          <w:p>
            <w:pPr>
              <w:pStyle w:val="TableContents"/>
              <w:bidi w:val="0"/>
              <w:spacing w:before="0" w:after="1"/>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207.2</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7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42" w:type="dxa"/>
            <w:tcBorders/>
            <w:shd w:fill="CCEEFF" w:val="clear"/>
            <w:vAlign w:val="center"/>
          </w:tcPr>
          <w:p>
            <w:pPr>
              <w:pStyle w:val="TableContents"/>
              <w:bidi w:val="0"/>
              <w:spacing w:before="0" w:after="1"/>
              <w:ind w:left="0" w:right="0" w:hanging="0"/>
              <w:jc w:val="left"/>
              <w:rPr/>
            </w:pPr>
            <w:r>
              <w:rPr/>
              <w:t>​</w:t>
            </w:r>
          </w:p>
        </w:tc>
        <w:tc>
          <w:tcPr>
            <w:tcW w:w="4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2,651</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385.8</w:t>
            </w:r>
          </w:p>
        </w:tc>
        <w:tc>
          <w:tcPr>
            <w:tcW w:w="346" w:type="dxa"/>
            <w:tcBorders/>
            <w:shd w:fill="CCEEFF" w:val="clear"/>
            <w:vAlign w:val="center"/>
          </w:tcPr>
          <w:p>
            <w:pPr>
              <w:pStyle w:val="TableContents"/>
              <w:bidi w:val="0"/>
              <w:spacing w:before="0" w:after="1"/>
              <w:ind w:left="0" w:right="0" w:hanging="0"/>
              <w:jc w:val="left"/>
              <w:rPr/>
            </w:pPr>
            <w:r>
              <w:rPr/>
              <w:t>​</w:t>
            </w:r>
          </w:p>
        </w:tc>
        <w:tc>
          <w:tcPr>
            <w:tcW w:w="5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2,651</w:t>
            </w:r>
          </w:p>
        </w:tc>
        <w:tc>
          <w:tcPr>
            <w:tcW w:w="346" w:type="dxa"/>
            <w:tcBorders/>
            <w:shd w:fill="CCEEFF" w:val="clear"/>
            <w:vAlign w:val="center"/>
          </w:tcPr>
          <w:p>
            <w:pPr>
              <w:pStyle w:val="TableContents"/>
              <w:bidi w:val="0"/>
              <w:spacing w:before="0" w:after="1"/>
              <w:ind w:left="0" w:right="0" w:hanging="0"/>
              <w:jc w:val="left"/>
              <w:rPr/>
            </w:pPr>
            <w:r>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385.8</w:t>
            </w:r>
          </w:p>
        </w:tc>
      </w:tr>
    </w:tbl>
    <w:p>
      <w:pPr>
        <w:pStyle w:val="TextBody"/>
        <w:bidi w:val="0"/>
        <w:spacing w:before="120" w:after="120"/>
        <w:ind w:left="0" w:right="0" w:hanging="0"/>
        <w:jc w:val="left"/>
        <w:rPr>
          <w:rFonts w:ascii="Times New Roman;Times;serif" w:hAnsi="Times New Roman;Times;serif"/>
          <w:b/>
          <w:sz w:val="20"/>
        </w:rPr>
      </w:pPr>
      <w:r>
        <w:rPr>
          <w:rFonts w:ascii="Times New Roman;Times;serif" w:hAnsi="Times New Roman;Times;serif"/>
          <w:b/>
          <w:sz w:val="20"/>
        </w:rPr>
        <w:t>Acreage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following table sets forth certain information regarding our developed and undeveloped acreage as of June 30, 2026. Developed acreage refers to acreage on which wells have been drilled or completed to a point that would allow production of oil and natural gas in commercial quantities. Undeveloped acreage refers to acreage on which wells have not been drilled or completed to a point that would permit production of oil and natural gas in commercial quantities whether or not the acreage contains proved reserves. </w:t>
      </w:r>
    </w:p>
    <w:tbl>
      <w:tblPr>
        <w:tblW w:w="9339" w:type="dxa"/>
        <w:jc w:val="left"/>
        <w:tblInd w:w="0" w:type="dxa"/>
        <w:tblLayout w:type="fixed"/>
        <w:tblCellMar>
          <w:top w:w="0" w:type="dxa"/>
          <w:left w:w="0" w:type="dxa"/>
          <w:bottom w:w="0" w:type="dxa"/>
          <w:right w:w="0" w:type="dxa"/>
        </w:tblCellMar>
      </w:tblPr>
      <w:tblGrid>
        <w:gridCol w:w="3241"/>
        <w:gridCol w:w="346"/>
        <w:gridCol w:w="691"/>
        <w:gridCol w:w="346"/>
        <w:gridCol w:w="601"/>
        <w:gridCol w:w="346"/>
        <w:gridCol w:w="692"/>
        <w:gridCol w:w="398"/>
        <w:gridCol w:w="589"/>
        <w:gridCol w:w="346"/>
        <w:gridCol w:w="691"/>
        <w:gridCol w:w="346"/>
        <w:gridCol w:w="706"/>
      </w:tblGrid>
      <w:tr>
        <w:trPr/>
        <w:tc>
          <w:tcPr>
            <w:tcW w:w="32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86"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38785" cy="175260"/>
                      <wp:effectExtent l="0" t="0" r="0" b="0"/>
                      <wp:wrapNone/>
                      <wp:docPr id="87" name="Frame8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88"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81635" cy="175260"/>
                      <wp:effectExtent l="0" t="0" r="0" b="0"/>
                      <wp:wrapNone/>
                      <wp:docPr id="89" name="Frame8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0"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39420" cy="175260"/>
                      <wp:effectExtent l="0" t="0" r="0" b="0"/>
                      <wp:wrapNone/>
                      <wp:docPr id="91" name="Frame90"/>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52730" cy="175260"/>
                      <wp:effectExtent l="0" t="0" r="0" b="0"/>
                      <wp:wrapNone/>
                      <wp:docPr id="92" name="Frame91"/>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74015" cy="175260"/>
                      <wp:effectExtent l="0" t="0" r="0" b="0"/>
                      <wp:wrapNone/>
                      <wp:docPr id="93" name="Frame92"/>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94"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38785" cy="175260"/>
                      <wp:effectExtent l="0" t="0" r="0" b="0"/>
                      <wp:wrapNone/>
                      <wp:docPr id="95" name="Frame9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96"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48310" cy="175260"/>
                      <wp:effectExtent l="0" t="0" r="0" b="0"/>
                      <wp:wrapNone/>
                      <wp:docPr id="97" name="Frame96"/>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3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Developed Acreage</w:t>
            </w:r>
          </w:p>
        </w:tc>
        <w:tc>
          <w:tcPr>
            <w:tcW w:w="346" w:type="dxa"/>
            <w:tcBorders/>
            <w:vAlign w:val="center"/>
          </w:tcPr>
          <w:p>
            <w:pPr>
              <w:pStyle w:val="TableContents"/>
              <w:bidi w:val="0"/>
              <w:spacing w:before="0" w:after="1"/>
              <w:ind w:left="0" w:right="0" w:hanging="0"/>
              <w:jc w:val="left"/>
              <w:rPr/>
            </w:pPr>
            <w:r>
              <w:rPr/>
              <w:t>​</w:t>
            </w:r>
          </w:p>
        </w:tc>
        <w:tc>
          <w:tcPr>
            <w:tcW w:w="167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Undeveloped Acreage</w:t>
            </w:r>
          </w:p>
        </w:tc>
        <w:tc>
          <w:tcPr>
            <w:tcW w:w="346" w:type="dxa"/>
            <w:tcBorders/>
            <w:vAlign w:val="center"/>
          </w:tcPr>
          <w:p>
            <w:pPr>
              <w:pStyle w:val="TableContents"/>
              <w:bidi w:val="0"/>
              <w:spacing w:before="0" w:after="1"/>
              <w:ind w:left="0" w:right="0" w:hanging="0"/>
              <w:jc w:val="left"/>
              <w:rPr/>
            </w:pPr>
            <w:r>
              <w:rPr/>
              <w:t>​</w:t>
            </w:r>
          </w:p>
        </w:tc>
        <w:tc>
          <w:tcPr>
            <w:tcW w:w="174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41" w:type="dxa"/>
            <w:tcBorders>
              <w:bottom w:val="single" w:sz="2" w:space="0" w:color="000000"/>
            </w:tcBorders>
            <w:tcMar>
              <w:bottom w:w="28" w:type="dxa"/>
            </w:tcM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b/>
                <w:sz w:val="16"/>
              </w:rPr>
              <w:t>Field</w:t>
            </w:r>
            <w:r>
              <w:rPr>
                <w:rFonts w:ascii="Times New Roman;Times;serif" w:hAnsi="Times New Roman;Times;serif"/>
                <w:b/>
                <w:i/>
                <w:sz w:val="12"/>
              </w:rPr>
              <w:t>(1)</w:t>
            </w:r>
          </w:p>
        </w:tc>
        <w:tc>
          <w:tcPr>
            <w:tcW w:w="346" w:type="dxa"/>
            <w:tcBorders/>
            <w:vAlign w:val="center"/>
          </w:tcPr>
          <w:p>
            <w:pPr>
              <w:pStyle w:val="TableContents"/>
              <w:bidi w:val="0"/>
              <w:spacing w:before="0" w:after="1"/>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left"/>
              <w:rPr/>
            </w:pPr>
            <w:r>
              <w:rPr/>
              <w:t>  ​ ​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346" w:type="dxa"/>
            <w:tcBorders/>
            <w:vAlign w:val="center"/>
          </w:tcPr>
          <w:p>
            <w:pPr>
              <w:pStyle w:val="TableContents"/>
              <w:bidi w:val="0"/>
              <w:spacing w:before="0" w:after="1"/>
              <w:ind w:left="0" w:right="0" w:hanging="0"/>
              <w:jc w:val="left"/>
              <w:rPr/>
            </w:pPr>
            <w:r>
              <w:rPr/>
              <w:t>  ​ ​ ​</w:t>
            </w:r>
          </w:p>
        </w:tc>
        <w:tc>
          <w:tcPr>
            <w:tcW w:w="69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98" w:type="dxa"/>
            <w:tcBorders/>
            <w:vAlign w:val="center"/>
          </w:tcPr>
          <w:p>
            <w:pPr>
              <w:pStyle w:val="TableContents"/>
              <w:bidi w:val="0"/>
              <w:spacing w:before="0" w:after="1"/>
              <w:ind w:left="0" w:right="0" w:hanging="0"/>
              <w:jc w:val="left"/>
              <w:rPr/>
            </w:pPr>
            <w:r>
              <w:rPr/>
              <w:t>  ​ ​ ​</w:t>
            </w:r>
          </w:p>
        </w:tc>
        <w:tc>
          <w:tcPr>
            <w:tcW w:w="58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346" w:type="dxa"/>
            <w:tcBorders/>
            <w:vAlign w:val="center"/>
          </w:tcPr>
          <w:p>
            <w:pPr>
              <w:pStyle w:val="TableContents"/>
              <w:bidi w:val="0"/>
              <w:spacing w:before="0" w:after="1"/>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left"/>
              <w:rPr/>
            </w:pPr>
            <w:r>
              <w:rPr/>
              <w:t>  ​ ​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324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SCOOP/STACK, Oklahoma</w:t>
            </w:r>
            <w:r>
              <w:rPr>
                <w:rFonts w:ascii="Times New Roman;Times;serif" w:hAnsi="Times New Roman;Times;serif"/>
                <w:sz w:val="12"/>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109,715</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5,834</w:t>
            </w:r>
          </w:p>
        </w:tc>
        <w:tc>
          <w:tcPr>
            <w:tcW w:w="346"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pPr>
            <w:r>
              <w:rPr/>
              <w:t>—</w:t>
            </w:r>
          </w:p>
        </w:tc>
        <w:tc>
          <w:tcPr>
            <w:tcW w:w="398" w:type="dxa"/>
            <w:tcBorders/>
            <w:shd w:fill="CCEEFF" w:val="clear"/>
            <w:vAlign w:val="center"/>
          </w:tcPr>
          <w:p>
            <w:pPr>
              <w:pStyle w:val="TableContents"/>
              <w:bidi w:val="0"/>
              <w:spacing w:before="0" w:after="1"/>
              <w:ind w:left="0" w:right="0" w:hanging="0"/>
              <w:jc w:val="left"/>
              <w:rPr/>
            </w:pPr>
            <w:r>
              <w:rPr/>
              <w:t>​</w:t>
            </w:r>
          </w:p>
        </w:tc>
        <w:tc>
          <w:tcPr>
            <w:tcW w:w="58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109,715</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5,834</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Chaveroo Field, New Mexico</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1,120</w:t>
            </w:r>
          </w:p>
        </w:tc>
        <w:tc>
          <w:tcPr>
            <w:tcW w:w="34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560</w:t>
            </w:r>
          </w:p>
        </w:tc>
        <w:tc>
          <w:tcPr>
            <w:tcW w:w="346"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3,408</w:t>
            </w:r>
          </w:p>
        </w:tc>
        <w:tc>
          <w:tcPr>
            <w:tcW w:w="398" w:type="dxa"/>
            <w:tcBorders/>
            <w:vAlign w:val="center"/>
          </w:tcPr>
          <w:p>
            <w:pPr>
              <w:pStyle w:val="TableContents"/>
              <w:bidi w:val="0"/>
              <w:spacing w:before="0" w:after="1"/>
              <w:ind w:left="0" w:right="0" w:hanging="0"/>
              <w:jc w:val="left"/>
              <w:rPr/>
            </w:pPr>
            <w:r>
              <w:rPr/>
              <w:t>​</w:t>
            </w:r>
          </w:p>
        </w:tc>
        <w:tc>
          <w:tcPr>
            <w:tcW w:w="58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1,704</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4,528</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2,264</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Jonah Field, Wyoming</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5,280</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956</w:t>
            </w:r>
          </w:p>
        </w:tc>
        <w:tc>
          <w:tcPr>
            <w:tcW w:w="346"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pPr>
            <w:r>
              <w:rPr/>
              <w:t>—</w:t>
            </w:r>
          </w:p>
        </w:tc>
        <w:tc>
          <w:tcPr>
            <w:tcW w:w="398" w:type="dxa"/>
            <w:tcBorders/>
            <w:shd w:fill="CCEEFF" w:val="clear"/>
            <w:vAlign w:val="center"/>
          </w:tcPr>
          <w:p>
            <w:pPr>
              <w:pStyle w:val="TableContents"/>
              <w:bidi w:val="0"/>
              <w:spacing w:before="0" w:after="1"/>
              <w:ind w:left="0" w:right="0" w:hanging="0"/>
              <w:jc w:val="left"/>
              <w:rPr/>
            </w:pPr>
            <w:r>
              <w:rPr/>
              <w:t>​</w:t>
            </w:r>
          </w:p>
        </w:tc>
        <w:tc>
          <w:tcPr>
            <w:tcW w:w="58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5,280</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956</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Williston Basin, North Dakota</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124,800</w:t>
            </w:r>
          </w:p>
        </w:tc>
        <w:tc>
          <w:tcPr>
            <w:tcW w:w="34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36,938</w:t>
            </w:r>
          </w:p>
        </w:tc>
        <w:tc>
          <w:tcPr>
            <w:tcW w:w="346"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8,960</w:t>
            </w:r>
          </w:p>
        </w:tc>
        <w:tc>
          <w:tcPr>
            <w:tcW w:w="398" w:type="dxa"/>
            <w:tcBorders/>
            <w:vAlign w:val="center"/>
          </w:tcPr>
          <w:p>
            <w:pPr>
              <w:pStyle w:val="TableContents"/>
              <w:bidi w:val="0"/>
              <w:spacing w:before="0" w:after="1"/>
              <w:ind w:left="0" w:right="0" w:hanging="0"/>
              <w:jc w:val="left"/>
              <w:rPr/>
            </w:pPr>
            <w:r>
              <w:rPr/>
              <w:t>​</w:t>
            </w:r>
          </w:p>
        </w:tc>
        <w:tc>
          <w:tcPr>
            <w:tcW w:w="58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3,136</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133,760</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40,074</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Barnett Shale, Texas</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123,777</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20,918</w:t>
            </w:r>
          </w:p>
        </w:tc>
        <w:tc>
          <w:tcPr>
            <w:tcW w:w="346"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pPr>
            <w:r>
              <w:rPr/>
              <w:t>—</w:t>
            </w:r>
          </w:p>
        </w:tc>
        <w:tc>
          <w:tcPr>
            <w:tcW w:w="398" w:type="dxa"/>
            <w:tcBorders/>
            <w:shd w:fill="CCEEFF" w:val="clear"/>
            <w:vAlign w:val="center"/>
          </w:tcPr>
          <w:p>
            <w:pPr>
              <w:pStyle w:val="TableContents"/>
              <w:bidi w:val="0"/>
              <w:spacing w:before="0" w:after="1"/>
              <w:ind w:left="0" w:right="0" w:hanging="0"/>
              <w:jc w:val="left"/>
              <w:rPr/>
            </w:pPr>
            <w:r>
              <w:rPr/>
              <w:t>​</w:t>
            </w:r>
          </w:p>
        </w:tc>
        <w:tc>
          <w:tcPr>
            <w:tcW w:w="58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123,777</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20,918</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Hamilton Dome Field, Wyoming</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5,908</w:t>
            </w:r>
          </w:p>
        </w:tc>
        <w:tc>
          <w:tcPr>
            <w:tcW w:w="34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1,389</w:t>
            </w:r>
          </w:p>
        </w:tc>
        <w:tc>
          <w:tcPr>
            <w:tcW w:w="346"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pPr>
            <w:r>
              <w:rPr/>
              <w:t>—</w:t>
            </w:r>
          </w:p>
        </w:tc>
        <w:tc>
          <w:tcPr>
            <w:tcW w:w="398" w:type="dxa"/>
            <w:tcBorders/>
            <w:vAlign w:val="center"/>
          </w:tcPr>
          <w:p>
            <w:pPr>
              <w:pStyle w:val="TableContents"/>
              <w:bidi w:val="0"/>
              <w:spacing w:before="0" w:after="1"/>
              <w:ind w:left="0" w:right="0" w:hanging="0"/>
              <w:jc w:val="left"/>
              <w:rPr/>
            </w:pPr>
            <w:r>
              <w:rPr/>
              <w:t>​</w:t>
            </w:r>
          </w:p>
        </w:tc>
        <w:tc>
          <w:tcPr>
            <w:tcW w:w="5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5,908</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1,389</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Delhi Field, Louisiana </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9,126</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2,180</w:t>
            </w:r>
          </w:p>
        </w:tc>
        <w:tc>
          <w:tcPr>
            <w:tcW w:w="346"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4,510</w:t>
            </w:r>
          </w:p>
        </w:tc>
        <w:tc>
          <w:tcPr>
            <w:tcW w:w="398" w:type="dxa"/>
            <w:tcBorders/>
            <w:shd w:fill="CCEEFF" w:val="clear"/>
            <w:vAlign w:val="center"/>
          </w:tcPr>
          <w:p>
            <w:pPr>
              <w:pStyle w:val="TableContents"/>
              <w:bidi w:val="0"/>
              <w:spacing w:before="0" w:after="1"/>
              <w:ind w:left="0" w:right="0" w:hanging="0"/>
              <w:jc w:val="left"/>
              <w:rPr/>
            </w:pPr>
            <w:r>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1,077</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13,636</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3,257</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TexMex, Louisiana, Texas, and New Mexico</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27,789</w:t>
            </w:r>
          </w:p>
        </w:tc>
        <w:tc>
          <w:tcPr>
            <w:tcW w:w="34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11,220</w:t>
            </w:r>
          </w:p>
        </w:tc>
        <w:tc>
          <w:tcPr>
            <w:tcW w:w="346"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pPr>
            <w:r>
              <w:rPr/>
              <w:t>—</w:t>
            </w:r>
          </w:p>
        </w:tc>
        <w:tc>
          <w:tcPr>
            <w:tcW w:w="398" w:type="dxa"/>
            <w:tcBorders/>
            <w:vAlign w:val="center"/>
          </w:tcPr>
          <w:p>
            <w:pPr>
              <w:pStyle w:val="TableContents"/>
              <w:bidi w:val="0"/>
              <w:spacing w:before="0" w:after="1"/>
              <w:ind w:left="0" w:right="0" w:hanging="0"/>
              <w:jc w:val="left"/>
              <w:rPr/>
            </w:pPr>
            <w:r>
              <w:rPr/>
              <w:t>​</w:t>
            </w:r>
          </w:p>
        </w:tc>
        <w:tc>
          <w:tcPr>
            <w:tcW w:w="5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27,789</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11,220</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Louisiana Minerals, Louisiana</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3,624</w:t>
            </w:r>
          </w:p>
        </w:tc>
        <w:tc>
          <w:tcPr>
            <w:tcW w:w="398" w:type="dxa"/>
            <w:tcBorders/>
            <w:shd w:fill="CCEEFF" w:val="clear"/>
            <w:vAlign w:val="center"/>
          </w:tcPr>
          <w:p>
            <w:pPr>
              <w:pStyle w:val="TableContents"/>
              <w:bidi w:val="0"/>
              <w:spacing w:before="0" w:after="1"/>
              <w:ind w:left="0" w:right="0" w:hanging="0"/>
              <w:jc w:val="left"/>
              <w:rPr/>
            </w:pPr>
            <w:r>
              <w:rPr/>
              <w:t>​</w:t>
            </w:r>
          </w:p>
        </w:tc>
        <w:tc>
          <w:tcPr>
            <w:tcW w:w="5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465</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3,624</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465</w:t>
            </w:r>
          </w:p>
        </w:tc>
      </w:tr>
      <w:tr>
        <w:trPr/>
        <w:tc>
          <w:tcPr>
            <w:tcW w:w="3241"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Total</w:t>
            </w:r>
            <w:r>
              <w:rPr>
                <w:rFonts w:ascii="Times New Roman;Times;serif" w:hAnsi="Times New Roman;Times;serif"/>
                <w:sz w:val="12"/>
              </w:rPr>
              <w:t>(3)</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379,726</w:t>
            </w:r>
          </w:p>
        </w:tc>
        <w:tc>
          <w:tcPr>
            <w:tcW w:w="346" w:type="dxa"/>
            <w:tcBorders/>
            <w:vAlign w:val="center"/>
          </w:tcPr>
          <w:p>
            <w:pPr>
              <w:pStyle w:val="TableContents"/>
              <w:bidi w:val="0"/>
              <w:spacing w:before="0" w:after="1"/>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68,775</w:t>
            </w:r>
          </w:p>
        </w:tc>
        <w:tc>
          <w:tcPr>
            <w:tcW w:w="346" w:type="dxa"/>
            <w:tcBorders/>
            <w:vAlign w:val="center"/>
          </w:tcPr>
          <w:p>
            <w:pPr>
              <w:pStyle w:val="TableContents"/>
              <w:bidi w:val="0"/>
              <w:spacing w:before="0" w:after="1"/>
              <w:ind w:left="0" w:right="0" w:hanging="0"/>
              <w:jc w:val="left"/>
              <w:rPr/>
            </w:pPr>
            <w:r>
              <w:rPr/>
              <w:t>​</w:t>
            </w:r>
          </w:p>
        </w:tc>
        <w:tc>
          <w:tcPr>
            <w:tcW w:w="69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16,878</w:t>
            </w:r>
          </w:p>
        </w:tc>
        <w:tc>
          <w:tcPr>
            <w:tcW w:w="398" w:type="dxa"/>
            <w:tcBorders/>
            <w:vAlign w:val="center"/>
          </w:tcPr>
          <w:p>
            <w:pPr>
              <w:pStyle w:val="TableContents"/>
              <w:bidi w:val="0"/>
              <w:spacing w:before="0" w:after="1"/>
              <w:ind w:left="0" w:right="0" w:hanging="0"/>
              <w:jc w:val="left"/>
              <w:rPr/>
            </w:pPr>
            <w:r>
              <w:rPr/>
              <w:t>​</w:t>
            </w:r>
          </w:p>
        </w:tc>
        <w:tc>
          <w:tcPr>
            <w:tcW w:w="5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5,917</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396,604</w:t>
            </w:r>
          </w:p>
        </w:tc>
        <w:tc>
          <w:tcPr>
            <w:tcW w:w="346" w:type="dxa"/>
            <w:tcBorders/>
            <w:vAlign w:val="center"/>
          </w:tcPr>
          <w:p>
            <w:pPr>
              <w:pStyle w:val="TableContents"/>
              <w:bidi w:val="0"/>
              <w:spacing w:before="0" w:after="1"/>
              <w:ind w:left="0" w:right="0" w:hanging="0"/>
              <w:jc w:val="left"/>
              <w:rPr/>
            </w:pPr>
            <w:r>
              <w:rPr/>
              <w:t>​</w:t>
            </w:r>
          </w:p>
        </w:tc>
        <w:tc>
          <w:tcPr>
            <w:tcW w:w="70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74,692</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(1)</w:t>
            </w:r>
          </w:p>
        </w:tc>
        <w:tc>
          <w:tcPr>
            <w:tcW w:w="99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for our undeveloped acreage at the Williston Basin, North Dakota (see expiration table below), all acreage, including any undeveloped, nonproductive or undrilled acreage, is held by existing production as long as continuous production is maintained in the unit. </w:t>
            </w:r>
          </w:p>
        </w:tc>
      </w:tr>
    </w:tbl>
    <w:tbl>
      <w:tblPr>
        <w:tblW w:w="4232" w:type="dxa"/>
        <w:jc w:val="left"/>
        <w:tblInd w:w="0" w:type="dxa"/>
        <w:tblLayout w:type="fixed"/>
        <w:tblCellMar>
          <w:top w:w="0" w:type="dxa"/>
          <w:left w:w="0" w:type="dxa"/>
          <w:bottom w:w="0" w:type="dxa"/>
          <w:right w:w="0" w:type="dxa"/>
        </w:tblCellMar>
      </w:tblPr>
      <w:tblGrid>
        <w:gridCol w:w="286"/>
        <w:gridCol w:w="3946"/>
      </w:tblGrid>
      <w:tr>
        <w:trPr/>
        <w:tc>
          <w:tcPr>
            <w:tcW w:w="286"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(2)</w:t>
            </w:r>
          </w:p>
        </w:tc>
        <w:tc>
          <w:tcPr>
            <w:tcW w:w="39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8,595 gross (1,824 net) mineral acres.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(3)</w:t>
            </w:r>
          </w:p>
        </w:tc>
        <w:tc>
          <w:tcPr>
            <w:tcW w:w="9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table excludes acreage attributable to small overriding royalty interests retained in various formations in the Texas Giddings Field area. Except for de minimis production that began on two leases during late fiscal year 2019. It does not currently appear likely that we will obtain any significant value from these interests and no reserves have been assigned to any of the Giddings’ interests.</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table below reflects our net undeveloped acreage in Williston Basin, North Dakota as of June 30, 2026 that will expire each year if we do not establish production in paying quantities on the units in which such acreage is included to maintain the lease:</w:t>
      </w:r>
    </w:p>
    <w:tbl>
      <w:tblPr>
        <w:tblW w:w="2481" w:type="dxa"/>
        <w:jc w:val="left"/>
        <w:tblInd w:w="0" w:type="dxa"/>
        <w:tblLayout w:type="fixed"/>
        <w:tblCellMar>
          <w:top w:w="0" w:type="dxa"/>
          <w:left w:w="0" w:type="dxa"/>
          <w:bottom w:w="0" w:type="dxa"/>
          <w:right w:w="0" w:type="dxa"/>
        </w:tblCellMar>
      </w:tblPr>
      <w:tblGrid>
        <w:gridCol w:w="1231"/>
        <w:gridCol w:w="109"/>
        <w:gridCol w:w="1141"/>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781685" cy="175260"/>
                      <wp:effectExtent l="0" t="0" r="0" b="0"/>
                      <wp:wrapNone/>
                      <wp:docPr id="98" name="Frame97"/>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9215" cy="175260"/>
                      <wp:effectExtent l="0" t="0" r="0" b="0"/>
                      <wp:wrapNone/>
                      <wp:docPr id="99" name="Frame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724535" cy="175260"/>
                      <wp:effectExtent l="0" t="0" r="0" b="0"/>
                      <wp:wrapNone/>
                      <wp:docPr id="100" name="Frame9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Net Acreage</w:t>
            </w:r>
          </w:p>
        </w:tc>
      </w:tr>
      <w:tr>
        <w:trPr/>
        <w:tc>
          <w:tcPr>
            <w:tcW w:w="12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Fiscal Year</w:t>
            </w:r>
          </w:p>
        </w:tc>
        <w:tc>
          <w:tcPr>
            <w:tcW w:w="109"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Expiration</w:t>
            </w:r>
            <w:r>
              <w:rPr>
                <w:rFonts w:ascii="Times New Roman;Times;serif" w:hAnsi="Times New Roman;Times;serif"/>
                <w:i/>
                <w:sz w:val="14"/>
              </w:rPr>
              <w:t>(1)</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2027</w:t>
            </w:r>
          </w:p>
        </w:tc>
        <w:tc>
          <w:tcPr>
            <w:tcW w:w="109"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2028</w:t>
            </w:r>
          </w:p>
        </w:tc>
        <w:tc>
          <w:tcPr>
            <w:tcW w:w="109"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2029</w:t>
            </w:r>
          </w:p>
        </w:tc>
        <w:tc>
          <w:tcPr>
            <w:tcW w:w="109"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2030</w:t>
            </w:r>
          </w:p>
        </w:tc>
        <w:tc>
          <w:tcPr>
            <w:tcW w:w="109"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2031 &amp; beyond</w:t>
            </w:r>
          </w:p>
        </w:tc>
        <w:tc>
          <w:tcPr>
            <w:tcW w:w="109" w:type="dxa"/>
            <w:tcBorders/>
            <w:shd w:fill="CCEEFF" w:val="cle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389</w:t>
            </w:r>
          </w:p>
        </w:tc>
      </w:tr>
      <w:tr>
        <w:trPr/>
        <w:tc>
          <w:tcPr>
            <w:tcW w:w="12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389</w:t>
            </w:r>
          </w:p>
        </w:tc>
      </w:tr>
    </w:tbl>
    <w:tbl>
      <w:tblPr>
        <w:tblW w:w="9617" w:type="dxa"/>
        <w:jc w:val="left"/>
        <w:tblInd w:w="0" w:type="dxa"/>
        <w:tblLayout w:type="fixed"/>
        <w:tblCellMar>
          <w:top w:w="0" w:type="dxa"/>
          <w:left w:w="0" w:type="dxa"/>
          <w:bottom w:w="0" w:type="dxa"/>
          <w:right w:w="0" w:type="dxa"/>
        </w:tblCellMar>
      </w:tblPr>
      <w:tblGrid>
        <w:gridCol w:w="286"/>
        <w:gridCol w:w="9331"/>
      </w:tblGrid>
      <w:tr>
        <w:trPr/>
        <w:tc>
          <w:tcPr>
            <w:tcW w:w="286"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(1)</w:t>
            </w:r>
          </w:p>
        </w:tc>
        <w:tc>
          <w:tcPr>
            <w:tcW w:w="93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Excludes 2,747 net acres held by existing production as long as continuous production is maintained in the unit. </w:t>
            </w:r>
          </w:p>
        </w:tc>
      </w:tr>
    </w:tbl>
    <w:p>
      <w:pPr>
        <w:pStyle w:val="TextBody"/>
        <w:bidi w:val="0"/>
        <w:spacing w:before="0" w:after="0"/>
        <w:ind w:left="36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Markets and Customers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production is marketed to third parties in a manner consistent with industry practices. In the United States market where our properties are operated, crude oil, natural gas, and NGLs are readily transportable and marketable. In the Jonah Field, we take our natural gas and NGL working interest production in-kind and market our natural gas separately to different purchasers on six-month contracts. We sell our NGLs to Enterprise Products Partners L.P. We do not currently market our share of oil, natural gas, or NGLs production from any other field separately from the operators’ shares of production. Although we have the right to take our working interest production in-kind, we are currently selling our production through the field operators pursuant to the delivery and pricing terms of their sales contracts. Under such arrangements, we typically do not know the identity of the buyers.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a non-operator, we are highly dependent on the success of our third-party operators and the decisions made in connection with their operations. With the exception of the Jonah Field, our third-party operators sell our oil, natural gas, and NGLs to purchasers, collect the cash, and distribute the cash to us. In the year ended June 30, 2026, three individual operators, Diversified, Denbury (ExxonMobil), and Foundation, each accounted for more than 10% of our total revenues, collectively representing approximately 46% of our total revenues for the year. In the year ended June 30, 2025, three individual operators, Denbury (ExxonMobil), Diversified, and Foundation, each accounted for more than 10% of our total revenues, collectively representing approximately 51% of our total revenues for the year.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loss of a purchaser at any of our major producing properties or disruption to pipeline transportation from these fields could adversely affect our net realized pricing and potentially our near-term production levels.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Market Conditions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Prices we receive for crude oil, natural gas, and NGLs are influenced by many factors that are beyond our control, the exact effect of which is difficult to predict. The oil and natural gas industry is a global market impacted by many factors, such as government regulations, particularly in the areas of tariffs, trade sanctions, taxation, energy, climate change and the environment, geopolitical instability, (including ongoing conflicts between Russia and Ukraine, in the Middle East and Venezuela), demand in Asian and European markets, and the extent to which members of OPEC and other oil exporting nations manage oil supply through export quotas. More recently, during the third fiscal quarter, WTI oil prices reached their highest levels since 2022 due to crude oil disruptions at key oil shipping routes in the Middle East, including the Strait of Hormuz, and continue at elevated levels. Natural gas prices are generally determined by North American supply and demand and are also affected by imports and exports of liquefied natural gas. Weather also has a significant impact on demand for natural gas since it is a primary heating source.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oil and natural gas industry is highly competitive for prospects, acreage, and capital. Our competitors include major integrated oil and natural gas companies, numerous independent oil and natural gas companies, individuals, and drilling and income programs. Many of our competitors are large, well-established companies with substantially larger operating staff and greater capital resources. Competitors are national, regional, or local in scope and compete on the basis of financial resources, technical prowess or local knowledge. The principal competitive factors in our industry are expertise in given geographical areas and geologic systems and the ability to efficiently conduct operations, achieve technological advantages, identify and acquire economically producible reserves, and obtain capital at rates that allow economic investments.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 Management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exposed to certain risks relating to our ongoing business operations, including commodity price risk. In accordance with our company strategy and the covenants under the Senior Secured Credit Facility, derivative instruments are utilized to hedge our exposure to price fluctuations and reduce the variability in our cash flows associated with anticipated sales of future oil and natural gas production. We do not enter into derivative contracts for speculative trading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While there are many different types of derivative instruments available, historically we have used costless collars, stand alone put options, fixed-price swaps and basis swaps to attempt to manage price risk. Costless collar agreements are put and call options used to establish floor and ceiling commodity prices for a fixed volume of production during a certain time period. All costless collar agreements provide for payments to counterparties if the settlement price under the agreement exceeds the ceiling and payments from the counterparties if the settlement price under the agreement is below the floor. Stand alone put options are floors that are purchased for a cost and provide that counterparties make payments to us if the settlement price is below the established floor. The fixed-price swap agreements call for payments to, or receipts from, counterparties depending on whether the index price of oil or natural gas for the period is greater or less than the fixed price established for the period contracted under the fixed-price swap agreement. The basis swaps agreements effectively lock in a price differential between regional prices (i.e., Inside FERC’s Northwest Pipeline Corp Rocky Mountains) where the product is sold and the relevant pricing index under which the natural gas production is hedged (i.e., NYMEX Henry Hub).</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It is our policy to enter into derivative contracts only with counterparties that are creditworthy financial institutions deemed by management as competent and competitive market makers. For the derivative contracts settled during fiscal 2026 and 2025, we did not post collateral. In accordance with our Senior Secured Credit Facility, we have been and may be required in the future to enter into hedges if we meet certain utilization levels of the borrowing base under the credit facility. We intend to remain in compliance with these covenants and will enter into derivative contracts from time to time to meet the requirements. Additionally, depending on market conditions, financial and other considerations we may enter into additional hedges to meet our objectives of increasing value to shareholders. We may also, from time to time, restructure existing derivative contracts or enter into new transactions to effectively modify the terms of current contracts in order to improve the pricing parameters in existing contracts. See Item 7A. </w:t>
      </w:r>
      <w:r>
        <w:rPr>
          <w:rFonts w:ascii="Times New Roman;Times;serif" w:hAnsi="Times New Roman;Times;serif"/>
          <w:i/>
          <w:sz w:val="20"/>
        </w:rPr>
        <w:t>Quantitative and Qualitative Disclosures About Market Risk</w:t>
      </w:r>
      <w:r>
        <w:rPr>
          <w:rFonts w:ascii="Times New Roman;Times;serif" w:hAnsi="Times New Roman;Times;serif"/>
          <w:sz w:val="20"/>
        </w:rPr>
        <w:t xml:space="preserve"> and Note 7, “</w:t>
      </w:r>
      <w:r>
        <w:rPr>
          <w:rFonts w:ascii="Times New Roman;Times;serif" w:hAnsi="Times New Roman;Times;serif"/>
          <w:i/>
          <w:sz w:val="20"/>
        </w:rPr>
        <w:t xml:space="preserve">Derivatives” </w:t>
      </w:r>
      <w:r>
        <w:rPr>
          <w:rFonts w:ascii="Times New Roman;Times;serif" w:hAnsi="Times New Roman;Times;serif"/>
          <w:sz w:val="20"/>
        </w:rPr>
        <w:t xml:space="preserve">to our consolidated financial statements in Item 8. </w:t>
      </w:r>
      <w:r>
        <w:rPr>
          <w:rFonts w:ascii="Times New Roman;Times;serif" w:hAnsi="Times New Roman;Times;serif"/>
          <w:i/>
          <w:sz w:val="20"/>
        </w:rPr>
        <w:t>Financial Statements and Supplementary Data</w:t>
      </w:r>
      <w:r>
        <w:rPr>
          <w:rFonts w:ascii="Times New Roman;Times;serif" w:hAnsi="Times New Roman;Times;serif"/>
          <w:sz w:val="20"/>
        </w:rPr>
        <w:t xml:space="preserve"> for additional information.</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Government Regulation</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an oil and natural gas exploration and production company, our interests are subject to numerous legal requirements.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Regulation of Oil and Natural Gas Production</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Federal, state and local authorities have promulgated extensive rules covering oil and natural gas exploration, production and related operations. Those regulations require our third-party operator to obtain permits, post bonds and submit reports. They also may address conservation, including unitization or pooling of oil and natural gas properties, well locations, the method of drilling and casing wells, surface use and restoration of properties where wells are drilled,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sourcing and disposal of water used in the process of drilling, completion and abandonment, the establishment of maximum rates of production from wells, and plugging and abandonment of wells. The effect of these regulations is to limit the amount of oil and natural gas that we can produce and to limit the number of wells or the locations at which we can produce. Moreover, many states impose a production or severance tax with respect to the production and sale of oil, natural gas and natural gas liquids within their jurisdictions. Failure to comply with any applicable legal requirements may result in substantial penalties. Because such regulations are frequently amended or reinterpreted, we are unable to predict future compliance costs or impacts. Significant expenditures may be required to comply with governmental laws and regulations, however, and may have a material adverse effect on our financial condition and results of operations.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Regulation of Transportation of Oil and Natural Gas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prices for crude oil, condensate and natural gas liquids and natural gas are negotiated and not currently regulated. However, Congress, which has been active in oil and natural gas regulation, could impose price controls in the future.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sales of crude oil and natural gas are affected by the availability, terms and cost of transportation. The Federal Energy Regulatory Commission (“FERC”) primarily regulates interstate oil and natural gas transportation rates. In some circumstances, FERC regulations also may affect intrastate pipelines. In addition, states may impose on intrastate pipelines various obligations relating to such matters as safety, environmental protection, nondiscriminatory take and pay rates. The basis for intrastate oil and natural gas pipeline regulation, and the degree of regulatory oversight and scrutiny given to such matters, vary from state to state. To the extent effective interstate and intrastate rates are equally applicable to all comparable shippers, we believe that the regulation of oil and natural gas transportation rates will not affect our business in any way that is of material difference from those of our competitors who are similarly situated.</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Environmental Matters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properties are subject to extensive and changing federal, state and local laws and regulations relating to the protection of the environment, worker safety and human health. Such requirements may address:</w:t>
      </w:r>
    </w:p>
    <w:p>
      <w:pPr>
        <w:pStyle w:val="TextBody"/>
        <w:shd w:fill="FFFFFF" w:val="clear"/>
        <w:bidi w:val="0"/>
        <w:spacing w:before="0" w:after="0"/>
        <w:ind w:left="0" w:right="0" w:hanging="0"/>
        <w:jc w:val="left"/>
        <w:rPr/>
      </w:pPr>
      <w:r>
        <w:rPr/>
        <w:t>​</w:t>
      </w:r>
    </w:p>
    <w:tbl>
      <w:tblPr>
        <w:tblW w:w="7356" w:type="dxa"/>
        <w:jc w:val="left"/>
        <w:tblInd w:w="0" w:type="dxa"/>
        <w:shd w:fill="FFFFFF" w:val="clear"/>
        <w:tblLayout w:type="fixed"/>
        <w:tblCellMar>
          <w:top w:w="28" w:type="dxa"/>
          <w:left w:w="28" w:type="dxa"/>
          <w:bottom w:w="28" w:type="dxa"/>
          <w:right w:w="28" w:type="dxa"/>
        </w:tblCellMar>
      </w:tblPr>
      <w:tblGrid>
        <w:gridCol w:w="124"/>
        <w:gridCol w:w="256"/>
        <w:gridCol w:w="697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6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generation, storage, handling, emission, transportation and disposal of materials;</w:t>
            </w:r>
          </w:p>
        </w:tc>
      </w:tr>
    </w:tbl>
    <w:tbl>
      <w:tblPr>
        <w:tblW w:w="6171" w:type="dxa"/>
        <w:jc w:val="left"/>
        <w:tblInd w:w="0" w:type="dxa"/>
        <w:shd w:fill="FFFFFF" w:val="clear"/>
        <w:tblLayout w:type="fixed"/>
        <w:tblCellMar>
          <w:top w:w="28" w:type="dxa"/>
          <w:left w:w="28" w:type="dxa"/>
          <w:bottom w:w="28" w:type="dxa"/>
          <w:right w:w="28" w:type="dxa"/>
        </w:tblCellMar>
      </w:tblPr>
      <w:tblGrid>
        <w:gridCol w:w="124"/>
        <w:gridCol w:w="256"/>
        <w:gridCol w:w="579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reclamation or remediation of sites, including former operating areas; </w:t>
            </w:r>
          </w:p>
        </w:tc>
      </w:tr>
    </w:tbl>
    <w:tbl>
      <w:tblPr>
        <w:tblW w:w="4536" w:type="dxa"/>
        <w:jc w:val="left"/>
        <w:tblInd w:w="0" w:type="dxa"/>
        <w:shd w:fill="FFFFFF" w:val="clear"/>
        <w:tblLayout w:type="fixed"/>
        <w:tblCellMar>
          <w:top w:w="28" w:type="dxa"/>
          <w:left w:w="28" w:type="dxa"/>
          <w:bottom w:w="28" w:type="dxa"/>
          <w:right w:w="28" w:type="dxa"/>
        </w:tblCellMar>
      </w:tblPr>
      <w:tblGrid>
        <w:gridCol w:w="124"/>
        <w:gridCol w:w="256"/>
        <w:gridCol w:w="415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a permit or other authorization;</w:t>
            </w:r>
          </w:p>
        </w:tc>
      </w:tr>
    </w:tbl>
    <w:tbl>
      <w:tblPr>
        <w:tblW w:w="1641" w:type="dxa"/>
        <w:jc w:val="left"/>
        <w:tblInd w:w="0" w:type="dxa"/>
        <w:shd w:fill="FFFFFF" w:val="clear"/>
        <w:tblLayout w:type="fixed"/>
        <w:tblCellMar>
          <w:top w:w="28" w:type="dxa"/>
          <w:left w:w="28" w:type="dxa"/>
          <w:bottom w:w="28" w:type="dxa"/>
          <w:right w:w="28" w:type="dxa"/>
        </w:tblCellMar>
      </w:tblPr>
      <w:tblGrid>
        <w:gridCol w:w="124"/>
        <w:gridCol w:w="256"/>
        <w:gridCol w:w="126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emissions;</w:t>
            </w:r>
          </w:p>
        </w:tc>
      </w:tr>
    </w:tbl>
    <w:tbl>
      <w:tblPr>
        <w:tblW w:w="2886" w:type="dxa"/>
        <w:jc w:val="left"/>
        <w:tblInd w:w="0" w:type="dxa"/>
        <w:shd w:fill="FFFFFF" w:val="clear"/>
        <w:tblLayout w:type="fixed"/>
        <w:tblCellMar>
          <w:top w:w="28" w:type="dxa"/>
          <w:left w:w="28" w:type="dxa"/>
          <w:bottom w:w="28" w:type="dxa"/>
          <w:right w:w="28" w:type="dxa"/>
        </w:tblCellMar>
      </w:tblPr>
      <w:tblGrid>
        <w:gridCol w:w="124"/>
        <w:gridCol w:w="256"/>
        <w:gridCol w:w="250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protection of water supplies; </w:t>
            </w:r>
          </w:p>
        </w:tc>
      </w:tr>
    </w:tbl>
    <w:tbl>
      <w:tblPr>
        <w:tblW w:w="9471" w:type="dxa"/>
        <w:jc w:val="left"/>
        <w:tblInd w:w="0" w:type="dxa"/>
        <w:shd w:fill="FFFFFF" w:val="clear"/>
        <w:tblLayout w:type="fixed"/>
        <w:tblCellMar>
          <w:top w:w="28" w:type="dxa"/>
          <w:left w:w="28" w:type="dxa"/>
          <w:bottom w:w="28" w:type="dxa"/>
          <w:right w:w="28" w:type="dxa"/>
        </w:tblCellMar>
      </w:tblPr>
      <w:tblGrid>
        <w:gridCol w:w="124"/>
        <w:gridCol w:w="256"/>
        <w:gridCol w:w="909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limits on construction, drilling and other activities in wilderness or other environmentally sensitive areas; and </w:t>
            </w:r>
          </w:p>
        </w:tc>
      </w:tr>
    </w:tbl>
    <w:tbl>
      <w:tblPr>
        <w:tblW w:w="3621" w:type="dxa"/>
        <w:jc w:val="left"/>
        <w:tblInd w:w="0" w:type="dxa"/>
        <w:shd w:fill="FFFFFF" w:val="clear"/>
        <w:tblLayout w:type="fixed"/>
        <w:tblCellMar>
          <w:top w:w="28" w:type="dxa"/>
          <w:left w:w="28" w:type="dxa"/>
          <w:bottom w:w="28" w:type="dxa"/>
          <w:right w:w="28" w:type="dxa"/>
        </w:tblCellMar>
      </w:tblPr>
      <w:tblGrid>
        <w:gridCol w:w="124"/>
        <w:gridCol w:w="256"/>
        <w:gridCol w:w="3241"/>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assessment of environmental impacts. </w:t>
            </w:r>
          </w:p>
        </w:tc>
      </w:tr>
    </w:tbl>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Failure to comply with such requirements may result in a variety of sanctions, including fines, administrative orders and injunctions. In addition, issuing authorities may revoke, adversely condition or deny permits necessary for the operations of our operators. In the opinion of management, our properties are in substantial compliance with applicable environmental laws and regulations, and we have no material commitments for capital expenditures to comply with existing environmental requirements. Nevertheless, changes in existing environmental laws and regulations or in interpretations thereof could have a significant impact on our company, as well as the oil and natural gas industry in general. Significant environmental requirements that may affect the operations of our operators are described below.</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Comprehensive Environmental Response, Compensation, and Liability Act (“CERCLA”) and comparable state statutes impose strict liability, and in some cases joint and several liability, on owners and operators of sites and on persons who arranged for the disposal of “hazardous substances” found at such sites. It is not uncommon for neighboring landowners or other third parties to also file claims for personal injury and property damage allegedly caused by any hazardous substances released into the environment. Although CERCLA currently excludes petroleum from its definition of “hazardous substance,” the operations performed by our operators do entail handling other chemicals that may be subject to the statute. In addition, state laws affecting our properties may impose cleanup liability relating to petroleum and petroleum related products. The Federal Resource Conservation and Recovery Act (“RCRA”) and comparable state statutes govern the disposal of “solid waste” and “hazardous waste.” Violations may result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substantial fines. Although RCRA currently classifies certain oil field wastes as “non-hazardous,” such exploration and production wastes could be reclassified as hazardous, thereby subjecting the operations of our operators to more stringent handling and disposal requirements. In some circumstances, moreover, RCRA authorizes both the federal government and private persons to seek injunctions requiring the cleanup of wastes, whether hazardous or non-hazardous.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Endangered Species Act (“ESA”) protects fish, wildlife and plants that are listed as threatened or endangered. Under the ESA, exploration and production operations may not significantly impair or jeopardize a protected species or its habitat. The ESA provides for criminal penalties for willful violations. The operations or our operators also may be subject to other statutes that protect animals and plants such as the Migratory Bird Treaty Act. Although we believe that our properties are in compliance in all material respects with such statutes, any change in these statutes or any reclassification of a species as endangered could subject our company (directly or indirectly through our third-party operators) to significant expenses to modify operations, could force discontinuation of certain operations altogether and could limit the locations our third-party operators may utilize in the future.</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Clean Air Act (“CAA”) is the comprehensive federal law addressing sources of air emissions. Oil and natural gas production and natural gas processing operations are among the many source categories subject to the CAA. Regulated emissions from oil and natural gas operations include sulfur dioxide, volatile organic compounds (“VOCs”) and hazardous air pollutants such as benzene, among others.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particular, the Environmental Protection Agency (“EPA”) announced regulations in December 2023 that imposed more comprehensive restrictions on emissions of methane (a greenhouse gas) and VOCs from new, existing, and modified facilities in the oil and gas sector (such as wells and storage tank batteries). Among other things, the rule set new emissions standards for certain equipment; required routine monitoring for and repair of leaks at well sites, centralized production facilities, and compressor stations; limited flaring from existing oil wells; and prohibited flaring from new oil wells. EPA also established a “Super Emitter Program” to authorize third parties to detect “super emitter events” at operators’ sites and report them to EPA. The regulations did provide phase-in periods for certain requirements, while State plans for existing sources were due 24 months after the rule’s effective date. States were given the option of either adopting the rule’s presumptive standards or developing their own requirements that are at least as strict as EPA’s. In 2024, however, EPA agreed to reconsider certain technical aspects of the regulations, which resulted in narrow changes to requirements for temporary flaring and monitoring of vent gas. In the meantime, EPA announced in 2025 it was conducting a more comprehensive reconsideration and extended various compliance deadlines in the rule. The results of that review are uncertain. But if the regulations remain as announced in December 2023, or if future such requirements requiring the installation of more sophisticated pollution control equipment are adopted, they could have a material adverse impact on our business, results of operations and financial condition.</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Clean Water Act (the “CWA”) is the primary federal law controlling the discharge of produced waters and other pollutants into waters of the United States. Permits must be obtained for such discharges and to conduct construction activities in waters and wetlands. Some states also require permits for discharges or operations that may impact groundwater.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CAA, CWA and comparable state statutes authorize civil, criminal and administrative penalties for violations. Further, the CWA and Oil Pollution Act may impose liability on owners or operators of onshore facilities that impact surface waters.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Pursuant to the Safe Drinking Water Act, the EPA (or an authorized state) regulates the construction, operation, permitting, and closure of injection wells used to place oil and natural gas wastes and other fluids underground for enhanced hydrocarbon recovery, storage or disposal. The primary objective of injection well operating requirements is to ensure the mechanical integrity of the injection apparatus and to prevent migration of fluids from the injection zone into underground sources of drinking water. Underground injection associated with oil and gas operations, particularly the disposal of produced water, has been linked in some cases to localized earthquakes. This in turn has led to new legislative and regulatory initiatives, which have the potential to restrict injection in certain wells or limit operations in certain areas. </w:t>
      </w:r>
    </w:p>
    <w:p>
      <w:pPr>
        <w:pStyle w:val="TextBody"/>
        <w:shd w:fill="FFFFFF" w:val="clear"/>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Certain of the oil and natural gas production in which we have an interest is developed from unconventional sources that require hydraulic fracturing as part of the completion process. Hydraulic fracturing involves the injection into the formation of water, sand and chemicals under pressure to stimulate production. From time to time, legislation has been proposed in the United States Congress to repeal the Safe Drinking Water Act’s exemption for hydraulic fracturing from the definition of “underground injection” and to require federal permitting of hydraulic fracturing. If ever enacted, such legislation would add to costs for hydraulic fracturing.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Scrutiny of hydraulic fracturing activities continues in other ways. Several states where our properties are located have proposed or adopted legislative or regulatory restrictions on hydraulic fracturing. A number of municipalities likewise have enacted bans on hydraulic fracturing. We cannot predict whether any other legislation restricting hydraulic fracturing will be enacted and if so, what its provisions would be. If additional levels of regulation and permits were to be required through the adoption of new laws and regulations at the federal, state or local level, it could lead to delays, increased operating costs and process prohibitions that could materially adversely affect our revenue and results of operations.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National Environmental Policy Act (“NEPA”) requires federal agencies to assess the environmental effects of their proposed actions prior to making decisions. Among the broad range of actions covered by NEPA are decisions on permit applications and federal land management. Many of the activities of our third-party operators involve federal decisions subject to NEPA. Such federal actions may trigger robust NEPA review, which could lead to delays and increased costs that could materially adversely affect our revenues and results of operations. In response to recent court decisions, and direction from the second Trump Administration to expedite permit approvals, federal agencies started updating their NEPA procedures in 2025, but the long-term effects of those revisions are uncertain. In the absence of precedents, application of the new procedures may be unclear, and nongovernmental organizations are expected to bring legal challenges, which could adversely affect the assessment of projects ranging from oil and gas leasing to development on public and Indian lands.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Climate Change</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Climate change has become a major public concern and policy issue in the United States and around the world. Much of the debate has focused on greenhouse gas (“GHG”) emissions from oil and natural gas, particularly carbon dioxide and methane.</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United States, there is no comprehensive federal regulatory statute addressing climate change, although Congress does periodically consider such measures. At the federal level, the United States therefore has primarily addressed climate change through executive actions and regulatory initiatives pursuant to existing statutes. These have included participation in international agreements on climate change, presidential commitments to reduce greenhouse gas, various executive orders limiting land available for oil and gas leasing, and Clean Air Act rules (such as the regulation announced in December 2023 to reduce methane emissions from the oil and gas sector). In his second Administration, President Trump has reversed, or indicated that he intended to reverse, many of those initiatives. Even if those efforts are successful, several states have already implemented or are considering programs to reduce GHG emissions. These include cap and trade programs, promotion of alternative forms of energy, transportation standards and restrictions on particular GHGs. New Mexico, for example, is requiring oil and gas operators to capture 98% of their produced natural gas by December 31, 2026, and is limiting most venting and flaring. Such efforts are expected to continue in some states. To the extent that new climate change measures are adopted, our business may be adversely impacted.</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addition, recent court decisions have left open the question of whether tort claims alleging property damage may proceed under state common law against entities responsible for GHG emissions. Some states also have enacted statutes authorizing recovery of adaptation costs from certain fossil fuel producers or refiners. Thus, there is some litigation risk for state law claims.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Legislation or regulations that may be adopted to address climate change could also affect the markets for our products by making our products more or less desirable than competing sources of energy. To the extent that our products are competing with higher GHG emitting energy sources, for example, our products would become more desirable in the market with more stringent limitations on GHG emissions.  To the extent that our products are competing with lower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GHG emitting energy sources such as solar and wind, our products may become less desirable in the market with such government intervention. In 2022, the United States enacted the Inflation Reduction Act that, among other things, created a series of financial incentives intended to discourage use of oil and natural gas (including imposing a fee on methane emissions) and to promote alternative sources of energy. Pursuant to that Act, EPA announced a rule in 2024 that would have implemented the program for collecting the annual “Waste Emissions Charge” on certain excess methane emissions from oil and gas facilities. By statute, the charge would have been $900 per metric ton of methane for 2024, $1,200 per metric ton for 2025, and $1,500 per metric ton each year thereafter. But in 2025 Congress invalidated the EPA’s rule and postponed the methane reduction charge to 2034. We cannot predict with any certainty at this time how such market-based climate incentives may affect the operations of our oil and natural gas properties.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Various studies on climate change indicate that extreme weather conditions and other risks may occur in the future in the areas where we operate. Although we have not experienced any material impact from such extreme conditions to date, no assurance can be given that they will not have a material adverse effect on our business in the future.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See discussion captioned “Government regulation and liability for oil and natural gas operations and environmental matters may adversely affect our business and results of operations” in Item 1A. </w:t>
      </w:r>
      <w:r>
        <w:rPr>
          <w:rFonts w:ascii="Times New Roman;Times;serif" w:hAnsi="Times New Roman;Times;serif"/>
          <w:i/>
          <w:sz w:val="20"/>
        </w:rPr>
        <w:t>Risk Factors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Insurance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maintain insurance on our oil and natural gas properties and operations for risks and in amounts customary in the industry. Such insurance includes, but is not limited to, general liability, excess liability, control of well, operators extra expense, casualty, fraud, and directors and officer’s liability coverage. Additionally, we maintain industry-standard cybersecurity insurance to provide protection against cybersecurity risk. Not all losses are insured, and we retain certain risks of loss through deductibles, limits, and self-retentions. We do not carry business interruption or lost profits coverage.</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 Sustainability, and ESG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Employees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2026, we had eleven full-time employees, not including contract personnel and outsourced service providers. Due to our current focus on non-operating properties, our staff is disproportionately weighted towards higher wage professionals. We believe that we have positive relations with our employees. Our team is broadly experienced in oil and natural gas operations, development, acquisitions, and financing. We follow a strategy of outsourcing most of our IT services, human resources, administrative, and other non-core functions. For our full-time employees, our benefits package, as determined by our Board of Directors, includes medical, dental, and vision insurance, short-term disability, 401(k) contributions based on a portion of the employee’s base salary, short and long-term performance-based and service-based incentive pay (i.e., annual bonuses and stock awards), and paid time off.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workforce is provided with regular training and is expected to sign an acknowledgement regarding our policies and disclosures which include, but are not limited to, the Corporate Sustainability Report (“CSR”), employee handbook, human rights, code of ethics, health and safety, emergency procedures, conflicts of interest, insider trading, bribery, kickbacks and discrimination.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Sustainability and ESG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fiscal year 2021-2022, we laid the foundation for our sustainability efforts by creating an Environmental Social Governance (“ESG”) Task Force.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Task Force formalized our existing ESG programs, proposed and implemented new ESG initiatives, monitored adherence to our internal and third-party sustainability standards, and provided public disclosures for our stakeholders, including the CSR. Further emphasizing our commitment to corporate responsibilities, our Board formed a dedicated Sustainability Committee in fiscal year 2023 which is now responsible for overseeing our ESG initiatives.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are committed to high standards of conduct and ethics to contribute to the sustainability of our business. Our core values are the base to support our strategy and long-term success. We believe integrity is paramount and we are committed to developing and producing energy resources in environmentally, socially, and ethically respectful and responsible ways. Our people are critical to our success and as such we promote and maintain a safe and inclusive work environment. We strategically plan for the long-term and strive to maintain capital discipline, stakeholder transparency, and continuous focus on returning capital to shareholders.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work with third-party operators that share our desire to operate and work responsibly, particularly for the natural environments in which they operate. As a non-operator of our current properties, we do not have direct control over environmental initiatives at a property-level. However, we believe it is important to partner with third-party operators that share our core values and are committed to being environmental stewards as they responsibly produce energy resources. We recognize that the expectations, requirements, and responsibilities of operators regarding safeguarding the environment and environmental stewardship continue to evolve. We are, and will continue to be, committed to supporting our third-party operators as they respond to these expectations, requirements, and responsibilities.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maintain a hotline which operates 24/7/365 and allows anonymous and confidential reporting for employees, consultants, partners, and contractors, including the ability to report concerns or violations of our policies through the phone or internet (Phone: 877-628-7489 / Website: www.epm.alertline.com).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Additional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file Annual Reports on Form 10-K, Quarterly Reports on Form 10-Q, Current Reports on Form 8-K, and other reports with the SEC. Our reports filed with the SEC are available free of charge to the general public through our website at www.evolutionpetroleum.com. These reports are accessible on our website as soon as reasonably practicable after being filed with, or furnished to, the SEC. This Annual Report on Form 10-K and our other filings can also be obtained by contacting: Corporate Secretary, 1155 Dairy Ashford Road, Suite 425, Houston, Texas 77079, or calling (713) 935-0122. These reports are also available at the SEC Public Reference Room at 450 Fifth Street, N.W., Washington, D.C. 20549. The public may obtain information on the operation of the Public Reference Room by calling the SEC at 1-800-SEC-0330. The SEC also maintains a website at www.sec.gov that contains reports, proxy and information statements and other information regarding issuers that file electronically with the SEC.</w:t>
      </w:r>
    </w:p>
    <w:p>
      <w:pPr>
        <w:pStyle w:val="TextBody"/>
        <w:bidi w:val="0"/>
        <w:spacing w:before="0" w:after="240"/>
        <w:ind w:left="0" w:right="0" w:hanging="0"/>
        <w:jc w:val="left"/>
        <w:rPr/>
      </w:pPr>
      <w:bookmarkStart w:id="50" w:name="_5b36a2d2_5ced_4396_ac33_4544b7ba2aa7"/>
      <w:bookmarkEnd w:id="50"/>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1" w:name="Item1ARiskFactors_401633"/>
      <w:bookmarkEnd w:id="51"/>
      <w:r>
        <w:rPr>
          <w:rFonts w:ascii="Times New Roman;Times;serif" w:hAnsi="Times New Roman;Times;serif"/>
          <w:b/>
          <w:sz w:val="20"/>
        </w:rPr>
        <w:t>Item 1A.   Risk Factors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Our business involves a high degree of risk.</w:t>
      </w:r>
      <w:r>
        <w:rPr>
          <w:rFonts w:ascii="Times New Roman;Times;serif" w:hAnsi="Times New Roman;Times;serif"/>
          <w:sz w:val="20"/>
        </w:rPr>
        <w:t xml:space="preserve"> </w:t>
      </w:r>
      <w:r>
        <w:rPr>
          <w:rFonts w:ascii="Times New Roman;Times;serif" w:hAnsi="Times New Roman;Times;serif"/>
          <w:i/>
          <w:sz w:val="20"/>
        </w:rPr>
        <w:t>Our ownership interest in oil and natural gas properties consists of non-operated working, revenue, and/or royalty interests.  We do not operate any of our oil and natural gas properties nor do we do have any employees or contractors in the field. Our risks associated with oil and natural gas operations affect us indirectly through our ownership in non-operated working interests where we proportionately share in the costs and liabilities of operating such properties.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If any of the following risks, or any risk described elsewhere in this Annual Report on Form 10-K, actually occurs, our business, financial condition, or results of operations could suffer. The risks described below are not the only ones facing us. Additional risks not presently known to us or which we currently consider to be immaterial also may adversely affect us.</w:t>
      </w:r>
    </w:p>
    <w:p>
      <w:pPr>
        <w:pStyle w:val="TextBody"/>
        <w:bidi w:val="0"/>
        <w:spacing w:before="0" w:after="0"/>
        <w:ind w:left="0" w:right="20" w:hanging="0"/>
        <w:jc w:val="left"/>
        <w:rPr>
          <w:rFonts w:ascii="Times New Roman;Times;serif" w:hAnsi="Times New Roman;Times;serif"/>
          <w:b/>
          <w:sz w:val="20"/>
        </w:rPr>
      </w:pPr>
      <w:r>
        <w:rPr>
          <w:rFonts w:ascii="Times New Roman;Times;serif" w:hAnsi="Times New Roman;Times;serif"/>
          <w:b/>
          <w:sz w:val="20"/>
        </w:rPr>
        <w:t>Risks Related to Our Business:</w:t>
      </w:r>
    </w:p>
    <w:p>
      <w:pPr>
        <w:pStyle w:val="TextBody"/>
        <w:bidi w:val="0"/>
        <w:spacing w:before="0" w:after="0"/>
        <w:ind w:left="0" w:right="20" w:hanging="0"/>
        <w:jc w:val="left"/>
        <w:rPr/>
      </w:pPr>
      <w:r>
        <w:rPr/>
        <w:t>​</w:t>
      </w:r>
    </w:p>
    <w:p>
      <w:pPr>
        <w:pStyle w:val="TextBody"/>
        <w:bidi w:val="0"/>
        <w:spacing w:before="0" w:after="0"/>
        <w:ind w:left="0" w:right="20" w:hanging="0"/>
        <w:jc w:val="left"/>
        <w:rPr>
          <w:rFonts w:ascii="Times New Roman;Times;serif" w:hAnsi="Times New Roman;Times;serif"/>
          <w:b/>
          <w:i/>
          <w:sz w:val="20"/>
        </w:rPr>
      </w:pPr>
      <w:r>
        <w:rPr>
          <w:rFonts w:ascii="Times New Roman;Times;serif" w:hAnsi="Times New Roman;Times;serif"/>
          <w:b/>
          <w:i/>
          <w:sz w:val="20"/>
        </w:rPr>
        <w:t>A substantial or extended decline in oil, natural gas and NGL prices may adversely affect our business, financial condition, results of operations and our ability to meet our capital expenditure obligations and financial commitments.</w:t>
      </w:r>
    </w:p>
    <w:p>
      <w:pPr>
        <w:pStyle w:val="TextBody"/>
        <w:bidi w:val="0"/>
        <w:spacing w:before="0" w:after="0"/>
        <w:ind w:left="0" w:right="0" w:hanging="0"/>
        <w:jc w:val="left"/>
        <w:rPr/>
      </w:pPr>
      <w:r>
        <w:rPr/>
        <w:t>​</w:t>
      </w:r>
    </w:p>
    <w:p>
      <w:pPr>
        <w:pStyle w:val="TextBody"/>
        <w:bidi w:val="0"/>
        <w:spacing w:before="0" w:after="120"/>
        <w:ind w:left="0" w:right="14" w:hanging="0"/>
        <w:jc w:val="left"/>
        <w:rPr>
          <w:rFonts w:ascii="Times New Roman;Times;serif" w:hAnsi="Times New Roman;Times;serif"/>
          <w:sz w:val="20"/>
        </w:rPr>
      </w:pPr>
      <w:r>
        <w:rPr>
          <w:rFonts w:ascii="Times New Roman;Times;serif" w:hAnsi="Times New Roman;Times;serif"/>
          <w:sz w:val="20"/>
        </w:rPr>
        <w:t>The price we receive for our oil, natural gas and NGLs significantly influences our revenue, profitability, access to capital, capital spending, and future rate of growth. At June 30, 2025, approximately 39% of our proved reserves were oil reserves, 45% were natural gas and 16% were NGLs. Oil, natural gas and NGLs are commodities and their prices are subject to wide fluctuations in response to relatively minor changes in supply and demand. Historically, the markets for oil, natural gas, and NGLs have been volatile and these markets will likely continue to be volatile in the future. The prices we receive for our production depend on numerous factors beyond our control, including, but not limited to the following:</w:t>
      </w:r>
    </w:p>
    <w:p>
      <w:pPr>
        <w:pStyle w:val="TextBody"/>
        <w:bidi w:val="0"/>
        <w:spacing w:before="0" w:after="0"/>
        <w:ind w:left="720" w:right="0" w:hanging="0"/>
        <w:jc w:val="left"/>
        <w:rPr/>
      </w:pPr>
      <w:r>
        <w:rPr/>
        <w:t>●</w:t>
      </w:r>
      <w:r>
        <w:rPr>
          <w:rFonts w:ascii="Times New Roman;Times;serif" w:hAnsi="Times New Roman;Times;serif"/>
          <w:sz w:val="20"/>
        </w:rPr>
        <w:t>changes in global supply and demand for oil and natural gas;</w:t>
      </w:r>
    </w:p>
    <w:p>
      <w:pPr>
        <w:pStyle w:val="TextBody"/>
        <w:bidi w:val="0"/>
        <w:spacing w:before="0" w:after="0"/>
        <w:ind w:left="720" w:right="0" w:hanging="0"/>
        <w:jc w:val="left"/>
        <w:rPr/>
      </w:pPr>
      <w:r>
        <w:rPr/>
        <w:t>●</w:t>
      </w:r>
      <w:r>
        <w:rPr>
          <w:rFonts w:ascii="Times New Roman;Times;serif" w:hAnsi="Times New Roman;Times;serif"/>
          <w:sz w:val="20"/>
        </w:rPr>
        <w:t>worldwide and regional economic conditions impacting the global supply and demand for oil and natural gas;</w:t>
      </w:r>
    </w:p>
    <w:p>
      <w:pPr>
        <w:pStyle w:val="TextBody"/>
        <w:bidi w:val="0"/>
        <w:spacing w:before="0" w:after="0"/>
        <w:ind w:left="720" w:right="0" w:hanging="0"/>
        <w:jc w:val="left"/>
        <w:rPr/>
      </w:pPr>
      <w:r>
        <w:rPr/>
        <w:t>●</w:t>
      </w:r>
      <w:r>
        <w:rPr>
          <w:rFonts w:ascii="Times New Roman;Times;serif" w:hAnsi="Times New Roman;Times;serif"/>
          <w:sz w:val="20"/>
        </w:rPr>
        <w:t>social unrest, political instability or armed conflict in major oil and natural gas producing regions outside the United States, such as the conflict between Ukraine and Russia and the conflict in the Middle East, and acts of terrorism or sabotage;</w:t>
      </w:r>
    </w:p>
    <w:p>
      <w:pPr>
        <w:pStyle w:val="TextBody"/>
        <w:bidi w:val="0"/>
        <w:spacing w:before="0" w:after="0"/>
        <w:ind w:left="720" w:right="0" w:hanging="0"/>
        <w:jc w:val="left"/>
        <w:rPr/>
      </w:pPr>
      <w:r>
        <w:rPr/>
        <w:t>●</w:t>
      </w:r>
      <w:r>
        <w:rPr>
          <w:rFonts w:ascii="Times New Roman;Times;serif" w:hAnsi="Times New Roman;Times;serif"/>
          <w:sz w:val="20"/>
        </w:rPr>
        <w:t>the ability and willingness of the members of OPEC+ to agree and maintain oil price and production controls;</w:t>
      </w:r>
    </w:p>
    <w:p>
      <w:pPr>
        <w:pStyle w:val="TextBody"/>
        <w:bidi w:val="0"/>
        <w:spacing w:before="0" w:after="0"/>
        <w:ind w:left="720" w:right="0" w:hanging="0"/>
        <w:jc w:val="left"/>
        <w:rPr/>
      </w:pPr>
      <w:r>
        <w:rPr/>
        <w:t>●</w:t>
      </w:r>
      <w:r>
        <w:rPr>
          <w:rFonts w:ascii="Times New Roman;Times;serif" w:hAnsi="Times New Roman;Times;serif"/>
          <w:sz w:val="20"/>
        </w:rPr>
        <w:t>the price and quantity of imports of foreign oil and natural gas;</w:t>
      </w:r>
    </w:p>
    <w:p>
      <w:pPr>
        <w:pStyle w:val="TextBody"/>
        <w:bidi w:val="0"/>
        <w:spacing w:before="0" w:after="0"/>
        <w:ind w:left="720" w:right="0" w:hanging="0"/>
        <w:jc w:val="left"/>
        <w:rPr/>
      </w:pPr>
      <w:r>
        <w:rPr/>
        <w:t>●</w:t>
      </w:r>
      <w:r>
        <w:rPr>
          <w:rFonts w:ascii="Times New Roman;Times;serif" w:hAnsi="Times New Roman;Times;serif"/>
          <w:sz w:val="20"/>
        </w:rPr>
        <w:t xml:space="preserve">energy transition away from hydrocarbons in response to governmental, scientific, and public concern over the threat of climate change arising from greenhouse gas emissions; </w:t>
      </w:r>
    </w:p>
    <w:p>
      <w:pPr>
        <w:pStyle w:val="TextBody"/>
        <w:bidi w:val="0"/>
        <w:spacing w:before="0" w:after="0"/>
        <w:ind w:left="720" w:right="0" w:hanging="0"/>
        <w:jc w:val="left"/>
        <w:rPr/>
      </w:pPr>
      <w:r>
        <w:rPr/>
        <w:t>●</w:t>
      </w:r>
      <w:r>
        <w:rPr>
          <w:rFonts w:ascii="Times New Roman;Times;serif" w:hAnsi="Times New Roman;Times;serif"/>
          <w:sz w:val="20"/>
        </w:rPr>
        <w:t>the relative strength or weakness of the U.S. dollar compared to other currencies;</w:t>
      </w:r>
    </w:p>
    <w:p>
      <w:pPr>
        <w:pStyle w:val="TextBody"/>
        <w:bidi w:val="0"/>
        <w:spacing w:before="0" w:after="0"/>
        <w:ind w:left="720" w:right="0" w:hanging="0"/>
        <w:jc w:val="left"/>
        <w:rPr/>
      </w:pPr>
      <w:r>
        <w:rPr/>
        <w:t>●</w:t>
      </w:r>
      <w:r>
        <w:rPr>
          <w:rFonts w:ascii="Times New Roman;Times;serif" w:hAnsi="Times New Roman;Times;serif"/>
          <w:sz w:val="20"/>
        </w:rPr>
        <w:t>the level of global oil and natural gas exploration and production;</w:t>
      </w:r>
    </w:p>
    <w:p>
      <w:pPr>
        <w:pStyle w:val="TextBody"/>
        <w:bidi w:val="0"/>
        <w:spacing w:before="0" w:after="0"/>
        <w:ind w:left="720" w:right="0" w:hanging="0"/>
        <w:jc w:val="left"/>
        <w:rPr/>
      </w:pPr>
      <w:r>
        <w:rPr/>
        <w:t>●</w:t>
      </w:r>
      <w:r>
        <w:rPr>
          <w:rFonts w:ascii="Times New Roman;Times;serif" w:hAnsi="Times New Roman;Times;serif"/>
          <w:sz w:val="20"/>
        </w:rPr>
        <w:t>the level of global oil and natural gas inventories;</w:t>
      </w:r>
    </w:p>
    <w:p>
      <w:pPr>
        <w:pStyle w:val="TextBody"/>
        <w:bidi w:val="0"/>
        <w:spacing w:before="0" w:after="0"/>
        <w:ind w:left="720" w:right="0" w:hanging="0"/>
        <w:jc w:val="left"/>
        <w:rPr/>
      </w:pPr>
      <w:r>
        <w:rPr/>
        <w:t>●</w:t>
      </w:r>
      <w:r>
        <w:rPr>
          <w:rFonts w:ascii="Times New Roman;Times;serif" w:hAnsi="Times New Roman;Times;serif"/>
          <w:sz w:val="20"/>
        </w:rPr>
        <w:t>localized supply and demand fundamentals of regional, domestic, and international transportation availability;</w:t>
      </w:r>
    </w:p>
    <w:p>
      <w:pPr>
        <w:pStyle w:val="TextBody"/>
        <w:bidi w:val="0"/>
        <w:spacing w:before="0" w:after="0"/>
        <w:ind w:left="720" w:right="0" w:hanging="0"/>
        <w:jc w:val="left"/>
        <w:rPr/>
      </w:pPr>
      <w:r>
        <w:rPr/>
        <w:t>●</w:t>
      </w:r>
      <w:r>
        <w:rPr>
          <w:rFonts w:ascii="Times New Roman;Times;serif" w:hAnsi="Times New Roman;Times;serif"/>
          <w:sz w:val="20"/>
        </w:rPr>
        <w:t>weather conditions, natural disasters, and seasonal trends;</w:t>
      </w:r>
    </w:p>
    <w:p>
      <w:pPr>
        <w:pStyle w:val="TextBody"/>
        <w:bidi w:val="0"/>
        <w:spacing w:before="0" w:after="0"/>
        <w:ind w:left="720" w:right="0" w:hanging="0"/>
        <w:jc w:val="left"/>
        <w:rPr/>
      </w:pPr>
      <w:r>
        <w:rPr/>
        <w:t>●</w:t>
      </w:r>
      <w:r>
        <w:rPr>
          <w:rFonts w:ascii="Times New Roman;Times;serif" w:hAnsi="Times New Roman;Times;serif"/>
          <w:sz w:val="20"/>
        </w:rPr>
        <w:t>domestic and foreign governmental regulations, including embargoes, sanctions, tariffs, and environmental regulations;</w:t>
      </w:r>
    </w:p>
    <w:p>
      <w:pPr>
        <w:pStyle w:val="TextBody"/>
        <w:bidi w:val="0"/>
        <w:spacing w:before="0" w:after="0"/>
        <w:ind w:left="720" w:right="0" w:hanging="0"/>
        <w:jc w:val="left"/>
        <w:rPr/>
      </w:pPr>
      <w:r>
        <w:rPr/>
        <w:t>●</w:t>
      </w:r>
      <w:r>
        <w:rPr>
          <w:rFonts w:ascii="Times New Roman;Times;serif" w:hAnsi="Times New Roman;Times;serif"/>
          <w:sz w:val="20"/>
        </w:rPr>
        <w:t>speculation as to the future price of oil and the speculative trading of oil and natural gas futures contracts;</w:t>
      </w:r>
    </w:p>
    <w:p>
      <w:pPr>
        <w:pStyle w:val="TextBody"/>
        <w:bidi w:val="0"/>
        <w:spacing w:before="0" w:after="0"/>
        <w:ind w:left="720" w:right="0" w:hanging="0"/>
        <w:jc w:val="left"/>
        <w:rPr/>
      </w:pPr>
      <w:r>
        <w:rPr/>
        <w:t>●</w:t>
      </w:r>
      <w:r>
        <w:rPr>
          <w:rFonts w:ascii="Times New Roman;Times;serif" w:hAnsi="Times New Roman;Times;serif"/>
          <w:sz w:val="20"/>
        </w:rPr>
        <w:t>price and availability of competitors’ supplies of oil and natural gas;</w:t>
      </w:r>
    </w:p>
    <w:p>
      <w:pPr>
        <w:pStyle w:val="TextBody"/>
        <w:bidi w:val="0"/>
        <w:spacing w:before="0" w:after="0"/>
        <w:ind w:left="720" w:right="0" w:hanging="0"/>
        <w:jc w:val="left"/>
        <w:rPr/>
      </w:pPr>
      <w:r>
        <w:rPr/>
        <w:t>●</w:t>
      </w:r>
      <w:r>
        <w:rPr>
          <w:rFonts w:ascii="Times New Roman;Times;serif" w:hAnsi="Times New Roman;Times;serif"/>
          <w:sz w:val="20"/>
        </w:rPr>
        <w:t>technological advances affecting energy consumption; and</w:t>
      </w:r>
    </w:p>
    <w:p>
      <w:pPr>
        <w:pStyle w:val="TextBody"/>
        <w:bidi w:val="0"/>
        <w:ind w:left="720" w:right="0" w:hanging="0"/>
        <w:jc w:val="left"/>
        <w:rPr/>
      </w:pPr>
      <w:r>
        <w:rPr/>
        <w:t>●</w:t>
      </w:r>
      <w:r>
        <w:rPr>
          <w:rFonts w:ascii="Times New Roman;Times;serif" w:hAnsi="Times New Roman;Times;serif"/>
          <w:sz w:val="20"/>
        </w:rPr>
        <w:t>the price, availability and use of alternative fuels.</w:t>
      </w:r>
    </w:p>
    <w:p>
      <w:pPr>
        <w:pStyle w:val="TextBody"/>
        <w:bidi w:val="0"/>
        <w:spacing w:before="0" w:after="0"/>
        <w:ind w:left="1022"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Substantially all of our production is sold to purchasers under short-term (less than 12-month) contracts at market-based prices. A decline in oil, natural gas, and NGL prices will reduce our cash flows, borrowing ability, the present value of our reserves, and our ability to develop future reserves. We may be unable to obtain the needed capital or financing 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satisfactory terms. Low oil, natural gas, and NGL prices may also reduce the amount of oil, natural gas, and NGL that we can produce economically, which could lead to a decline in our oil, natural gas and NGL reserves. Generally, we hedge substantially less than all of our anticipated oil and natural gas production and typically limited to what is required by our Senior Secured Credit Facility. To the extent that we have not hedged production, any significant and extended decline in oil, natural gas, and NGL prices may adversely affect our financial position.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existing developed oil, natural gas and NGL production will decline; we may be unable to acquire or develop the additional oil and natural gas reserves that are required in order to sustain our production and business operations.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volume of production from developed oil, natural gas, and NGL properties declines as reserves are depleted, with the rate of decline depending on reservoir characteristics. Environmental issues, operating problems, or lack of extended future investment in any of our properties would cause our net production of oil, natural gas, and NGLs to decline significantly over time, which could have a material adverse effect on our financial condition. </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 types of resources we focus on have substantial operational risks.</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Besides our royalty and mineral interest, our business plan focuses on the acquisition and development of known resources in partially depleted, naturally fractured, or low permeability reservoirs. Our TexMex, Chaveroo Field, Hamilton Dome Field and Delhi Field properties produce from relatively shallow reservoirs, while our SCOOP/STACK, Jonah Field, Williston Basin and Barnett Shale properties produce from deeper reservoirs. Shallower reservoirs usually have lower pressure, which generally translates into lower reserves volumes in place. Deeper reservoirs have higher pressures and usually more reserves volumes in place, but capturing those reserves often comes at increased drilling and completion costs and risks and, generally, a higher rate of initial production decline. Low permeability reservoirs require substantial stimulation for development of commercial production. Naturally fractured reservoirs require penetration of sufficient un-depleted fractures to establish commercial production. Depleted reservoirs require successful application of newer, or more expensive, technologies to produce incremental reserves. Our approach on the development and application of technologies on these different types of reservoirs could have a material adverse effect on our results of operations.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w:t>
      </w:r>
      <w:r>
        <w:rPr>
          <w:rFonts w:ascii="Times New Roman;Times;serif" w:hAnsi="Times New Roman;Times;serif"/>
          <w:sz w:val="15"/>
        </w:rPr>
        <w:t>2</w:t>
      </w:r>
      <w:r>
        <w:rPr>
          <w:rFonts w:ascii="Times New Roman;Times;serif" w:hAnsi="Times New Roman;Times;serif"/>
          <w:sz w:val="20"/>
        </w:rPr>
        <w:t>-EOR project in the Delhi Field, operated by Denbury, a subsidiary of ExxonMobil, requires significant amounts of CO</w:t>
      </w:r>
      <w:r>
        <w:rPr>
          <w:rFonts w:ascii="Times New Roman;Times;serif" w:hAnsi="Times New Roman;Times;serif"/>
          <w:sz w:val="15"/>
        </w:rPr>
        <w:t>2</w:t>
      </w:r>
      <w:r>
        <w:rPr>
          <w:rFonts w:ascii="Times New Roman;Times;serif" w:hAnsi="Times New Roman;Times;serif"/>
          <w:sz w:val="20"/>
        </w:rPr>
        <w:t xml:space="preserve"> reserves, development capital, and technical expertise, the sources of which to date have been committed by the operator. The operator’s failure to manage these and other technical, environmental, operational, strategic, financial, and logistical risks may ultimately cause enhanced recoveries from the planned CO</w:t>
      </w:r>
      <w:r>
        <w:rPr>
          <w:rFonts w:ascii="Times New Roman;Times;serif" w:hAnsi="Times New Roman;Times;serif"/>
          <w:sz w:val="15"/>
        </w:rPr>
        <w:t>2</w:t>
      </w:r>
      <w:r>
        <w:rPr>
          <w:rFonts w:ascii="Times New Roman;Times;serif" w:hAnsi="Times New Roman;Times;serif"/>
          <w:sz w:val="20"/>
        </w:rPr>
        <w:t>-EOR project to fall short of our expectations in volume and/or timing. Such occurrences could have a material adverse effect on our results of operations and financial condition.</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have limited control over the activities on our oil and natural gas properties which we do not operate.</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 xml:space="preserve">All of our proved undeveloped oil and natural gas properties, consisting both of working interests and mineral and royalty interests, are operated by third-parties. The development and production of our proved undeveloped reserves depend on the decisions and actions of third-party operators, over which we have limited or no control, and their decisions may not be in our best interests. We have limited ability to influence or control the amount or timing of capital or other expenditures that we will be required to fund with respect to such properties. Developing these reserves requires significant capital expenditures and successful drilling operations, and our third-party operators may determine not to develop particular locations or may delay, modify or otherwise alter their development plans for reasons beyond our control. As a result, our proved undeveloped reserves may not be developed or produced as anticipated, or at all. Any delays or changes in development and production by our third-party operators could result in significant fluctuation in the timing and amount of revenues generated by our oil and natural gas properties. Moreover, we are dependent on the other working interest owners of such projects to fund their contractual share of the capital expenditures of such projects. These limitations and our dependence on the operator and other working interest owners for these projects could cause us to incur unexpected future costs, result in lower production, and materially and adversely affect our financial condition and results of operations. </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will be subject to risks in connection with acquisitions.</w:t>
      </w:r>
    </w:p>
    <w:p>
      <w:pPr>
        <w:pStyle w:val="TextBody"/>
        <w:shd w:fill="FFFFFF" w:val="clea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We periodically evaluate acquisitions of reserves, properties, prospects, leaseholds, and other strategic transactions that appear to fit within our overall business strategy. The successful acquisition of producing properties requires an assessment of several factors, including, but not limited to:</w:t>
      </w:r>
    </w:p>
    <w:tbl>
      <w:tblPr>
        <w:tblW w:w="2226" w:type="dxa"/>
        <w:jc w:val="left"/>
        <w:tblInd w:w="0" w:type="dxa"/>
        <w:tblLayout w:type="fixed"/>
        <w:tblCellMar>
          <w:top w:w="28" w:type="dxa"/>
          <w:left w:w="28" w:type="dxa"/>
          <w:bottom w:w="28" w:type="dxa"/>
          <w:right w:w="28" w:type="dxa"/>
        </w:tblCellMar>
      </w:tblPr>
      <w:tblGrid>
        <w:gridCol w:w="124"/>
        <w:gridCol w:w="256"/>
        <w:gridCol w:w="1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recoverable reserves;</w:t>
            </w:r>
          </w:p>
        </w:tc>
      </w:tr>
    </w:tbl>
    <w:tbl>
      <w:tblPr>
        <w:tblW w:w="6426" w:type="dxa"/>
        <w:jc w:val="left"/>
        <w:tblInd w:w="0" w:type="dxa"/>
        <w:tblLayout w:type="fixed"/>
        <w:tblCellMar>
          <w:top w:w="28" w:type="dxa"/>
          <w:left w:w="28" w:type="dxa"/>
          <w:bottom w:w="28" w:type="dxa"/>
          <w:right w:w="28" w:type="dxa"/>
        </w:tblCellMar>
      </w:tblPr>
      <w:tblGrid>
        <w:gridCol w:w="124"/>
        <w:gridCol w:w="256"/>
        <w:gridCol w:w="6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oil, natural gas, and NGL prices and their appropriate differentials;</w:t>
            </w:r>
          </w:p>
        </w:tc>
      </w:tr>
    </w:tbl>
    <w:tbl>
      <w:tblPr>
        <w:tblW w:w="3276" w:type="dxa"/>
        <w:jc w:val="left"/>
        <w:tblInd w:w="0" w:type="dxa"/>
        <w:tblLayout w:type="fixed"/>
        <w:tblCellMar>
          <w:top w:w="28" w:type="dxa"/>
          <w:left w:w="28" w:type="dxa"/>
          <w:bottom w:w="28" w:type="dxa"/>
          <w:right w:w="28" w:type="dxa"/>
        </w:tblCellMar>
      </w:tblPr>
      <w:tblGrid>
        <w:gridCol w:w="124"/>
        <w:gridCol w:w="256"/>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and operating costs;</w:t>
            </w:r>
          </w:p>
        </w:tc>
      </w:tr>
    </w:tbl>
    <w:tbl>
      <w:tblPr>
        <w:tblW w:w="4071" w:type="dxa"/>
        <w:jc w:val="left"/>
        <w:tblInd w:w="0" w:type="dxa"/>
        <w:tblLayout w:type="fixed"/>
        <w:tblCellMar>
          <w:top w:w="28" w:type="dxa"/>
          <w:left w:w="28" w:type="dxa"/>
          <w:bottom w:w="28" w:type="dxa"/>
          <w:right w:w="28" w:type="dxa"/>
        </w:tblCellMar>
      </w:tblPr>
      <w:tblGrid>
        <w:gridCol w:w="124"/>
        <w:gridCol w:w="256"/>
        <w:gridCol w:w="3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for future drilling and production;</w:t>
            </w:r>
          </w:p>
        </w:tc>
      </w:tr>
    </w:tbl>
    <w:tbl>
      <w:tblPr>
        <w:tblW w:w="7731" w:type="dxa"/>
        <w:jc w:val="left"/>
        <w:tblInd w:w="0" w:type="dxa"/>
        <w:tblLayout w:type="fixed"/>
        <w:tblCellMar>
          <w:top w:w="28" w:type="dxa"/>
          <w:left w:w="28" w:type="dxa"/>
          <w:bottom w:w="28" w:type="dxa"/>
          <w:right w:w="28" w:type="dxa"/>
        </w:tblCellMar>
      </w:tblPr>
      <w:tblGrid>
        <w:gridCol w:w="124"/>
        <w:gridCol w:w="256"/>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validity of the seller’s title to properties, which may be less than expected at closing; and</w:t>
            </w:r>
          </w:p>
        </w:tc>
      </w:tr>
    </w:tbl>
    <w:tbl>
      <w:tblPr>
        <w:tblW w:w="5601" w:type="dxa"/>
        <w:jc w:val="left"/>
        <w:tblInd w:w="0" w:type="dxa"/>
        <w:tblLayout w:type="fixed"/>
        <w:tblCellMar>
          <w:top w:w="28" w:type="dxa"/>
          <w:left w:w="28" w:type="dxa"/>
          <w:bottom w:w="28" w:type="dxa"/>
          <w:right w:w="28" w:type="dxa"/>
        </w:tblCellMar>
      </w:tblPr>
      <w:tblGrid>
        <w:gridCol w:w="124"/>
        <w:gridCol w:w="256"/>
        <w:gridCol w:w="5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environmental issues, litigation, and other liabilities.</w:t>
            </w:r>
          </w:p>
        </w:tc>
      </w:tr>
    </w:tbl>
    <w:p>
      <w:pPr>
        <w:pStyle w:val="TextBody"/>
        <w:shd w:fill="FFFFFF" w:val="clear"/>
        <w:bidi w:val="0"/>
        <w:spacing w:before="0" w:after="0"/>
        <w:ind w:left="0" w:right="0" w:hanging="36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accuracy of these assessments is inherently uncertain. In connection with these assessments, we perform a review of the subject properties that we believe to be generally consistent with industry practices. Our review will not reveal all existing or potential problems nor will it permit us to become sufficiently familiar with the properties to fully assess their deficiencies and potential recoverable reserves. Inspections may not always be performed on every well, and environmental problems are not necessarily observable at the ground surface or otherwise when an inspection is performed. Even when problems are identified, the seller may be unwilling or unable to provide effective contractual protection against all or part of the problems. Moreover, in the event of such an acquisition, there is a risk that we could ultimately be liable for unknown obligations related to acquisitions and, importantly, that our assumptions regarding future oil and natural gas prices, differentials, reserves, or production could prove materially inaccurate and have a material adverse effect on our financial condition, results of operations, or cash flows.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inability to complete acquisitions at our historical rate and at appropriate prices that support our long-term strategy could negatively impact our growth rate and stock price.</w:t>
      </w:r>
    </w:p>
    <w:p>
      <w:pPr>
        <w:pStyle w:val="TextBody"/>
        <w:bidi w:val="0"/>
        <w:spacing w:before="280" w:after="120"/>
        <w:ind w:left="0" w:right="0" w:hanging="0"/>
        <w:jc w:val="left"/>
        <w:rPr>
          <w:rFonts w:ascii="Times New Roman;Times;serif" w:hAnsi="Times New Roman;Times;serif"/>
          <w:sz w:val="20"/>
        </w:rPr>
      </w:pPr>
      <w:r>
        <w:rPr>
          <w:rFonts w:ascii="Times New Roman;Times;serif" w:hAnsi="Times New Roman;Times;serif"/>
          <w:sz w:val="20"/>
        </w:rPr>
        <w:t>One of our key strategies is growth through acquisition of low decline, long-life oil and natural gas properties. Our ability to grow revenues, earnings and cash flow at or above our historic rates depends in part upon our ability to identify and successfully acquire and integrate oil and natural gas properties at appropriate prices, and to make appropriate investments that support our long-term strategy. We may not be able to consummate acquisitions at rates similar to the past, which could adversely impact our growth rate, our stock price, and our ability to maintain our dividends. Acquisitions are difficult to identify and complete for a number of reasons, including high valuations, competition among prospective buyers or investors, the availability of affordable funding in the capital markets and the need to satisfy applicable closing conditions.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encounter difficulties integrating newly acquired oil and natural gas properties or businesses.</w:t>
      </w:r>
    </w:p>
    <w:p>
      <w:pPr>
        <w:pStyle w:val="TextBody"/>
        <w:bidi w:val="0"/>
        <w:spacing w:before="0" w:after="0"/>
        <w:ind w:left="0" w:right="0" w:hanging="0"/>
        <w:jc w:val="left"/>
        <w:rPr/>
      </w:pPr>
      <w:r>
        <w:rPr/>
        <w:t>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Increasing our reserve base through acquisitions has been an important part of our business strategy. We may encounter difficulties integrating newly acquired oil and natural gas properties or businesses. In particular, we may face significant challenges in consolidating functions and integrating procedures, personnel, and business operations in an effective manner. The failure to successfully integrate such properties or businesses into our Company may adversely affect our business and results of operations. Any acquisition we make may involve numerous risks, including:</w:t>
      </w:r>
    </w:p>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increase in our indebtedness and working capital requirements;</w:t>
            </w:r>
          </w:p>
        </w:tc>
      </w:tr>
    </w:tbl>
    <w:tbl>
      <w:tblPr>
        <w:tblW w:w="8886" w:type="dxa"/>
        <w:jc w:val="left"/>
        <w:tblInd w:w="0" w:type="dxa"/>
        <w:tblLayout w:type="fixed"/>
        <w:tblCellMar>
          <w:top w:w="28" w:type="dxa"/>
          <w:left w:w="28" w:type="dxa"/>
          <w:bottom w:w="28" w:type="dxa"/>
          <w:right w:w="28" w:type="dxa"/>
        </w:tblCellMar>
      </w:tblPr>
      <w:tblGrid>
        <w:gridCol w:w="124"/>
        <w:gridCol w:w="256"/>
        <w:gridCol w:w="8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timely and effectively integrate the operations of recently acquired businesses or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incurrence of substantial costs to address unforeseen environmental and other liabilities arising out of the acquired businesses or assets;</w:t>
            </w:r>
          </w:p>
        </w:tc>
      </w:tr>
    </w:tbl>
    <w:tbl>
      <w:tblPr>
        <w:tblW w:w="8226" w:type="dxa"/>
        <w:jc w:val="left"/>
        <w:tblInd w:w="0" w:type="dxa"/>
        <w:tblLayout w:type="fixed"/>
        <w:tblCellMar>
          <w:top w:w="28" w:type="dxa"/>
          <w:left w:w="28" w:type="dxa"/>
          <w:bottom w:w="28" w:type="dxa"/>
          <w:right w:w="28" w:type="dxa"/>
        </w:tblCellMar>
      </w:tblPr>
      <w:tblGrid>
        <w:gridCol w:w="124"/>
        <w:gridCol w:w="256"/>
        <w:gridCol w:w="7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arising from the operation of the acquired businesses or assets before our acquisition;</w:t>
            </w:r>
          </w:p>
        </w:tc>
      </w:tr>
    </w:tbl>
    <w:tbl>
      <w:tblPr>
        <w:tblW w:w="8136" w:type="dxa"/>
        <w:jc w:val="left"/>
        <w:tblInd w:w="0" w:type="dxa"/>
        <w:tblLayout w:type="fixed"/>
        <w:tblCellMar>
          <w:top w:w="28" w:type="dxa"/>
          <w:left w:w="28" w:type="dxa"/>
          <w:bottom w:w="28" w:type="dxa"/>
          <w:right w:w="28" w:type="dxa"/>
        </w:tblCellMar>
      </w:tblPr>
      <w:tblGrid>
        <w:gridCol w:w="124"/>
        <w:gridCol w:w="25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lack of drilling or operational history in the areas in which the acquired business operates;</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or key employee loss from the acquired business;</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administration of new personnel;</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 costs due to increased scope and complexity of our business; </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disruption of our ongoing business;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421" w:type="dxa"/>
        <w:jc w:val="left"/>
        <w:tblInd w:w="0" w:type="dxa"/>
        <w:tblLayout w:type="fixed"/>
        <w:tblCellMar>
          <w:top w:w="28" w:type="dxa"/>
          <w:left w:w="28" w:type="dxa"/>
          <w:bottom w:w="28" w:type="dxa"/>
          <w:right w:w="28" w:type="dxa"/>
        </w:tblCellMar>
      </w:tblPr>
      <w:tblGrid>
        <w:gridCol w:w="124"/>
        <w:gridCol w:w="256"/>
        <w:gridCol w:w="8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made on estimated development by the operator may not be accurate or may change.</w:t>
            </w:r>
          </w:p>
        </w:tc>
      </w:tr>
    </w:tbl>
    <w:p>
      <w:pPr>
        <w:pStyle w:val="TextBody"/>
        <w:bidi w:val="0"/>
        <w:spacing w:before="0" w:after="0"/>
        <w:ind w:left="102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Additionally, significant acquisitions can change the nature of our operations and business depending upon the character of the acquired properties, which may have substantially different operating and geological characteristics or be in different geographic locations than our existing properties. To the extent that we acquire properties substantially different from the properties we currently own or that require different technical expertise, we may not be able to realize the economic benefits of these acquisitions as effectively as with acquisitions within our current footprint and expertise. We may not be successful in addressing these risks or any other problems encountered in connection with any acquisition we may make.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Oil and natural gas development, re-completion of wells from one reservoir to another reservoir, restoring wells to production, and drilling and completing new wells are speculative activities which involve numerous risks and substantial uncertain costs.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Our growth will be partially dependent upon the success of future development programs on our properties. Drilling for oil and natural gas and extracting NGLs and re-working existing wells involve numerous risks. The cost of drilling, completing, and operating wells is substantial and uncertain; drilling operations may be curtailed, delayed, or canceled as a result of a variety of factors beyond our control, including, but not limited to:</w:t>
      </w:r>
    </w:p>
    <w:tbl>
      <w:tblPr>
        <w:tblW w:w="3111" w:type="dxa"/>
        <w:jc w:val="left"/>
        <w:tblInd w:w="0" w:type="dxa"/>
        <w:tblLayout w:type="fixed"/>
        <w:tblCellMar>
          <w:top w:w="28" w:type="dxa"/>
          <w:left w:w="28" w:type="dxa"/>
          <w:bottom w:w="28" w:type="dxa"/>
          <w:right w:w="28" w:type="dxa"/>
        </w:tblCellMar>
      </w:tblPr>
      <w:tblGrid>
        <w:gridCol w:w="124"/>
        <w:gridCol w:w="256"/>
        <w:gridCol w:w="2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drilling conditions;</w:t>
            </w:r>
          </w:p>
        </w:tc>
      </w:tr>
    </w:tbl>
    <w:tbl>
      <w:tblPr>
        <w:tblW w:w="5436" w:type="dxa"/>
        <w:jc w:val="left"/>
        <w:tblInd w:w="0" w:type="dxa"/>
        <w:tblLayout w:type="fixed"/>
        <w:tblCellMar>
          <w:top w:w="28" w:type="dxa"/>
          <w:left w:w="28" w:type="dxa"/>
          <w:bottom w:w="28" w:type="dxa"/>
          <w:right w:w="28" w:type="dxa"/>
        </w:tblCellMar>
      </w:tblPr>
      <w:tblGrid>
        <w:gridCol w:w="124"/>
        <w:gridCol w:w="256"/>
        <w:gridCol w:w="5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pressure fluctuations or irregularities in reservoir formations;</w:t>
            </w:r>
          </w:p>
        </w:tc>
      </w:tr>
    </w:tbl>
    <w:tbl>
      <w:tblPr>
        <w:tblW w:w="3126" w:type="dxa"/>
        <w:jc w:val="left"/>
        <w:tblInd w:w="0" w:type="dxa"/>
        <w:tblLayout w:type="fixed"/>
        <w:tblCellMar>
          <w:top w:w="28" w:type="dxa"/>
          <w:left w:w="28" w:type="dxa"/>
          <w:bottom w:w="28" w:type="dxa"/>
          <w:right w:w="28" w:type="dxa"/>
        </w:tblCellMar>
      </w:tblPr>
      <w:tblGrid>
        <w:gridCol w:w="124"/>
        <w:gridCol w:w="256"/>
        <w:gridCol w:w="2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 failures or accidents;</w:t>
            </w:r>
          </w:p>
        </w:tc>
      </w:tr>
    </w:tbl>
    <w:tbl>
      <w:tblPr>
        <w:tblW w:w="5076" w:type="dxa"/>
        <w:jc w:val="left"/>
        <w:tblInd w:w="0" w:type="dxa"/>
        <w:tblLayout w:type="fixed"/>
        <w:tblCellMar>
          <w:top w:w="28" w:type="dxa"/>
          <w:left w:w="28" w:type="dxa"/>
          <w:bottom w:w="28" w:type="dxa"/>
          <w:right w:w="28" w:type="dxa"/>
        </w:tblCellMar>
      </w:tblPr>
      <w:tblGrid>
        <w:gridCol w:w="124"/>
        <w:gridCol w:w="256"/>
        <w:gridCol w:w="4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 blowouts and other releases of hazardous materials;</w:t>
            </w:r>
          </w:p>
        </w:tc>
      </w:tr>
    </w:tbl>
    <w:tbl>
      <w:tblPr>
        <w:tblW w:w="6621" w:type="dxa"/>
        <w:jc w:val="left"/>
        <w:tblInd w:w="0" w:type="dxa"/>
        <w:tblLayout w:type="fixed"/>
        <w:tblCellMar>
          <w:top w:w="28" w:type="dxa"/>
          <w:left w:w="28" w:type="dxa"/>
          <w:bottom w:w="28" w:type="dxa"/>
          <w:right w:w="28" w:type="dxa"/>
        </w:tblCellMar>
      </w:tblPr>
      <w:tblGrid>
        <w:gridCol w:w="124"/>
        <w:gridCol w:w="256"/>
        <w:gridCol w:w="6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obtain or maintain leases on economic terms, where applicable;</w:t>
            </w:r>
          </w:p>
        </w:tc>
      </w:tr>
    </w:tbl>
    <w:tbl>
      <w:tblPr>
        <w:tblW w:w="9486" w:type="dxa"/>
        <w:jc w:val="left"/>
        <w:tblInd w:w="0" w:type="dxa"/>
        <w:tblLayout w:type="fixed"/>
        <w:tblCellMar>
          <w:top w:w="28" w:type="dxa"/>
          <w:left w:w="28" w:type="dxa"/>
          <w:bottom w:w="28" w:type="dxa"/>
          <w:right w:w="28" w:type="dxa"/>
        </w:tblCellMar>
      </w:tblPr>
      <w:tblGrid>
        <w:gridCol w:w="124"/>
        <w:gridCol w:w="25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availability of goods and services, such as drilling rigs, fracture stimulation services, and tubulars;</w:t>
            </w:r>
          </w:p>
        </w:tc>
      </w:tr>
    </w:tbl>
    <w:tbl>
      <w:tblPr>
        <w:tblW w:w="2796" w:type="dxa"/>
        <w:jc w:val="left"/>
        <w:tblInd w:w="0" w:type="dxa"/>
        <w:tblLayout w:type="fixed"/>
        <w:tblCellMar>
          <w:top w:w="28" w:type="dxa"/>
          <w:left w:w="28" w:type="dxa"/>
          <w:bottom w:w="28" w:type="dxa"/>
          <w:right w:w="28" w:type="dxa"/>
        </w:tblCellMar>
      </w:tblPr>
      <w:tblGrid>
        <w:gridCol w:w="124"/>
        <w:gridCol w:w="256"/>
        <w:gridCol w:w="2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weather conditions;</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governmental requirements; and</w:t>
            </w:r>
          </w:p>
        </w:tc>
      </w:tr>
    </w:tbl>
    <w:tbl>
      <w:tblPr>
        <w:tblW w:w="8031" w:type="dxa"/>
        <w:jc w:val="left"/>
        <w:tblInd w:w="0" w:type="dxa"/>
        <w:tblLayout w:type="fixed"/>
        <w:tblCellMar>
          <w:top w:w="28" w:type="dxa"/>
          <w:left w:w="28" w:type="dxa"/>
          <w:bottom w:w="28" w:type="dxa"/>
          <w:right w:w="28" w:type="dxa"/>
        </w:tblCellMar>
      </w:tblPr>
      <w:tblGrid>
        <w:gridCol w:w="124"/>
        <w:gridCol w:w="25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shortages or delays in the availability of drilling rigs or crews and the delivery of equipment.</w:t>
            </w:r>
          </w:p>
        </w:tc>
      </w:tr>
    </w:tbl>
    <w:p>
      <w:pPr>
        <w:pStyle w:val="TextBody"/>
        <w:bidi w:val="0"/>
        <w:spacing w:before="0" w:after="240"/>
        <w:ind w:left="108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Drilling or re-working is a highly speculative activity. Even when fully and correctly utilized, modern well completion and production techniques, such as Horizontal Drilling or CO</w:t>
      </w:r>
      <w:r>
        <w:rPr>
          <w:rFonts w:ascii="Times New Roman;Times;serif" w:hAnsi="Times New Roman;Times;serif"/>
          <w:sz w:val="15"/>
        </w:rPr>
        <w:t>2</w:t>
      </w:r>
      <w:r>
        <w:rPr>
          <w:rFonts w:ascii="Times New Roman;Times;serif" w:hAnsi="Times New Roman;Times;serif"/>
          <w:sz w:val="20"/>
        </w:rPr>
        <w:t xml:space="preserve"> injection, do not guarantee that we will find and produce oil, natural gas and/or NGLs in economic quantities. Our future drilling, completion and production activities may not be successful and, if unsuccessful, such failure would have an adverse effect on our future results of operations and financial condition.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may also identify and develop prospects through a number of methods, some of which may include Horizontal Drilling or tertiary injectants, and some of which may be unproven. The drilling and results for these prospects may be particularly uncertain. We cannot ensure that these projects can be successfully developed or that wells will, if drilled, encounter reservoirs of commercially productive oil or natural gas.</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oil and natural gas reserves are only estimates and may prove to be inaccurate.</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are numerous uncertainties inherent in estimating oil and natural gas reserves and their estimated values. Our reserves are only estimates that may prove to be inaccurate because of these inherent uncertainties. Reservoir engineering is a subjective process of estimating underground accumulations of oil and natural gas that cannot always be measured in an exact manner. Estimates of economically recoverable oil and natural gas reserves depend upon a number of variable factors. These factors include historical production from the area compared with production from other comparable producing areas, assumptions concerning effects of regulations by governmental agencies, future oil, natural gas, and NGL product prices, future operating costs, severance and excise taxes, development costs, workover costs, and remedial costs. Some or all of these assumptions utilized in estimating reserve volumes may vary considerably from actual results. For these reasons, estimates of the economically recoverable quantities of reserves, classifications of such reserves based on risk of recovery, and estimates of the future net cash flows expected from reserves may vary substantially depending on the timing and different engineers preparing reserves estimates.</w:t>
      </w:r>
    </w:p>
    <w:p>
      <w:pPr>
        <w:pStyle w:val="TextBody"/>
        <w:shd w:fill="FFFFFF" w:val="clear"/>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Accordingly, reserve estimates may be subject to downward or upward adjustments. Actual production, revenue, and expenditures with respect to our reserves will likely vary from estimates; such variances may be material. The information regarding discounted future net cash flows included in this report should not be considered as the current market value of the estimated oil and natural gas reserves attributable to our properties. The estimated discounted future net cash flows from proved reserves are based on the 12-month average price, calculated as the unweighted arithmetic average of the first-day-of-the-month price for each month within the 12-month period prior to the end of the reporting period, and costs as of the date of the estimate, while actual future prices and costs may be materially higher or lower. Actual future net cash flows also will be affected by factors such as the amount and timing of actual production, supply and demand for oil and natural gas, increases or decreases in consumption, and changes in governmental regulations or taxation. In addition, the 10% discount factor, which is required by the SEC to be used in calculating discounted future net cash flows for reporting purposes, is not necessarily the most appropriate discount factor. Interest rates in effect vary from time to time based on risks associated with us or the oil and natural gas industry in general. The Standardized Measure does not necessarily correspond to market value.</w:t>
      </w:r>
    </w:p>
    <w:p>
      <w:pPr>
        <w:pStyle w:val="TextBody"/>
        <w:bidi w:val="0"/>
        <w:spacing w:before="0" w:after="0"/>
        <w:ind w:left="0" w:right="0" w:firstLine="36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Regulatory and accounting requirements may require substantial reductions in reporting proven reserves.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 periodic basis, we review the carrying value of our oil and natural gas properties under the applicable rules of various regulatory agencies, including the SEC. Under the full cost method of accounting that we use, the after-tax carrying value of our oil and natural gas properties may not exceed the present value of estimated future net after-tax cash flows from proved reserves, discounted at 10%. Application of this “ceiling” test requires pricing future revenues at the previous 12-month average beginning-of-month price and requires a write-down of the carrying value for accounting purposes if the ceiling is exceeded. We may in the future be required to write down the carrying value of our oil and natural gas properties when oil and natural gas prices are depressed or unusually volatile. Whether we will be required to take such a charge will depend in part on the prices of oil and natural gas during the previous period and the effect of reserve additions or revisions and capital expenditures during such period. If a write-down is required, it would result in a current charge to our earnings but would not impact our current cash flow from operating activities. A large write-down could adversely affect our compliance with the current financial covenants under our Senior Secured Credit Facility, could limit our access to future borrowings under that facility, or require repayment of any amounts that might be outstanding at the time.</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derivative activities could result in financial losses or could reduce our income.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Under the terms of our Senior Secured Credit Facility, we are required to hedge a certain portion of our anticipated oil and natural gas production for future periods when we reach a defined utilization percentage. We may also elect to hedge additional production volumes from time to time based upon our view of the attractiveness of commodity futures and the risks that downward price fluctuations might pose to our business plans. When we engage in hedging transactions, we may utilize costless collars, fixed price swaps or purchased floors to cost-effectively provide us with some protection against price changes. We have not historically designated any of our derivative instruments as hedges for accounting purposes and record all derivative instruments on our balance sheet at fair value. Changes in the fair value of our derivative instruments are recognized in earnings. Accordingly, our earnings may fluctuate significantly as a result of changes in the fair value of our future derivative instruments. Derivative arrangements may also expose us to the risk of financial loss in some circumstances, including, but not limited to, if:</w:t>
      </w:r>
    </w:p>
    <w:p>
      <w:pPr>
        <w:pStyle w:val="TextBody"/>
        <w:bidi w:val="0"/>
        <w:spacing w:before="0" w:after="0"/>
        <w:ind w:left="0" w:right="0" w:hanging="0"/>
        <w:jc w:val="left"/>
        <w:rPr/>
      </w:pPr>
      <w:r>
        <w:rPr/>
        <w:t>​</w:t>
      </w:r>
    </w:p>
    <w:tbl>
      <w:tblPr>
        <w:tblW w:w="7026" w:type="dxa"/>
        <w:jc w:val="left"/>
        <w:tblInd w:w="0" w:type="dxa"/>
        <w:tblLayout w:type="fixed"/>
        <w:tblCellMar>
          <w:top w:w="28" w:type="dxa"/>
          <w:left w:w="28" w:type="dxa"/>
          <w:bottom w:w="28" w:type="dxa"/>
          <w:right w:w="28"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production is less than the volume covered by the derivative instruments;</w:t>
            </w:r>
          </w:p>
        </w:tc>
      </w:tr>
    </w:tbl>
    <w:tbl>
      <w:tblPr>
        <w:tblW w:w="7296" w:type="dxa"/>
        <w:jc w:val="left"/>
        <w:tblInd w:w="0" w:type="dxa"/>
        <w:tblLayout w:type="fixed"/>
        <w:tblCellMar>
          <w:top w:w="28" w:type="dxa"/>
          <w:left w:w="28" w:type="dxa"/>
          <w:bottom w:w="28" w:type="dxa"/>
          <w:right w:w="28" w:type="dxa"/>
        </w:tblCellMar>
      </w:tblPr>
      <w:tblGrid>
        <w:gridCol w:w="124"/>
        <w:gridCol w:w="256"/>
        <w:gridCol w:w="6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counterparty to the derivative instrument defaults on its contract obligations;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change in the expected differential between the underlying price in the derivative instrument and actual price received.</w:t>
            </w:r>
          </w:p>
        </w:tc>
      </w:tr>
    </w:tbl>
    <w:p>
      <w:pPr>
        <w:pStyle w:val="TextBody"/>
        <w:bidi w:val="0"/>
        <w:spacing w:before="0" w:after="240"/>
        <w:ind w:left="108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in a rising commodity price environment, derivative arrangements may limit the extent to which we might benefit from increases in prices of oil and natural gas and may expose us to cash margin requirements.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Operations to develop and produce oil and natural gas reserves and our growth plans require significant amounts of capital and our ability to access additional capital at acceptable costs is important if we are to fund our development, grow our reserves and production and execute our growth plans.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flow from our production varies based on commodity prices and may decline along with natural declines in our production. As a consequence, our cash flow may not be sufficient to fund our ongoing or planned activities at all times. From time to time, we may require additional financing in order to fund operations, acquisitions, exploitation, and development activities. We have, for instance, accessed our Senior Secured Credit Facility on a routine basis, including, recently, to fund acquisitions. Subsequent to our Permian Minerals Acquisition in August 2026, Louisiana Minerals acquisitions in December 2025 through June 2026, SCOOP/STACK Minerals Acquisition in August 2025, TexMex Acquisition in April 2025, and the SCOOP/STACK Acquisitions in 2024, the borrowings outstanding on our Senior Secured Credit Facility at September 16, 2026 was $60.0 million. Our syndicated Senior Secured Credit Facility had a commitment size of $65.0 million at June 30, 2026; but in accordance with our letter agreement with MidFirst on August 20, 2026 our syndicated Senior Secured Credit Facility currently has an increased commitment size of $73.0 million until October 20, 2026 when it reverts back to $65.0 million, unless redetermined in accordance with the terms of our credit agreement. We may not be able to further increase the total commitments by adding additional lenders in the future on terms that are favorable to us.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Further, the size of our Senior Secured Credit Facility is influenced by many factors, including our production, reserves and prevailing views on future commodity prices, and it may decrease based on developments negatively impacting those and other factors. While ordinarily positive developments in such factors might increase the amount that lenders are willing to lend to us, we are currently at the limit of our two lenders to increase the size of our Senior Secured Credit Facility due to limitations that the lenders have on the loans they may extend to a single borrower. Additionally, access to debt and equity capital markets or other alternatives may also prove unavailable or unattractive at such times or in such amounts as we may require. If we are unable to access adequate capital at acceptable costs, it could adversely affect our ability to expend the necessary capital to replace our reserves, maintain our production and execute our business plans.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Government regulation and liability for oil and natural gas operations and environmental matters may adversely affect our business and results of operations.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Oil and natural gas operations are subject to extensive federal, state, and local government regulations, which may change from time to time. Matters subject to regulation include discharge permits for drilling operations, drilling bonds, reports concerning operations, the spacing of wells, unitization and pooling of properties, and taxation. From time to time, regulatory agencies have imposed price controls and limitations on production by restricting the rate of flow of oil and natural gas from wells below actual production capacity in order to conserve supplies of oil and natural gas. There are federal, state, and local laws and regulations addressing protection of human health and the environment that apply to the development, production, handling, storage, and transportation of oil, natural gas, and their by-products; the disposal of related wastes; the emission of CO</w:t>
      </w:r>
      <w:r>
        <w:rPr>
          <w:rFonts w:ascii="Times New Roman;Times;serif" w:hAnsi="Times New Roman;Times;serif"/>
          <w:sz w:val="15"/>
        </w:rPr>
        <w:t>2</w:t>
      </w:r>
      <w:r>
        <w:rPr>
          <w:rFonts w:ascii="Times New Roman;Times;serif" w:hAnsi="Times New Roman;Times;serif"/>
          <w:sz w:val="20"/>
        </w:rPr>
        <w:t>, methane, and other greenhouse gases; the emission of volatile organic compounds; and the management of other substances and materials released, produced or used in connection with oil and natural gas operations. These laws and regulations may affect the costs, manner, and feasibility of operations by, among other things, requiring us to make significant expenditures in order to comply and restricting the areas available for oil and gas production. Failure to comply with these laws and regulations may result in substantial liabilities to third-parties or governmental entities. In addition, we may be liable for significant environmental damages and cleanup costs, without regard to fault, for releases of hazardous materials on or from property we own or operate, even if we did not cause or contribute to the release. We are also subject to changing and extensive tax laws, the effects of which cannot be predicted. The implementation of new, or the modification of existing, laws or regulations, could have a material adverse effect on us, such as by imposing new emission controls, penalties, fines and/or fees, taxes and tariffs on carbon that could have the effect of raising prices to the end user and thereby reducing the demand for our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risks arising out of the threat of climate change, including transition risks and physical risks, may adversely affect our business and results of operations.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threat of climate change poses both transition risks and physical risks that could have a material adverse effect on us. Transition risks may arise from political and regulatory, legal, technological or financial changes as society tries to safeguard the climate, while physical risks may result from extreme weather events or other shifts in the natural world.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been facing increased political and regulatory risks as federal, state and local governments have adopted new measures to restrict sources of greenhouse gas emissions and promote energy alternatives, including the final EPA rule announced in December 2023 to reduce the emission of methane from oil and gas facilities. Many such measures have been proposed, and still more can be expected. From time to time, there are proposals to ban hydraulic fracturing of oil and natural gas wells and to remove more lands, both onshore and offshore, from new hydrocarbon production. Many other actions could be pursued such as more rigorous requirements for drilling and construction permits, stricter greenhouse gas emissions standards for both new and existing sources, further limits on construction of new pipelines, reinstatement of the ban on oil exports, enhanced reporting obligations, taxing carbon emissions and creating further incentives for use of alternative energy sources. These actions may cause operational delays or restrictions, increased operating costs and additional regulatory burdens.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Litigation risks are also increasing for oil and natural gas companies. A number of suits alleging, among other things, that oil and natural gas companies created public nuisances by producing fuels that contributed to climate change have been brought in state or federal court.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Technological changes may drive market demand for products other than oil and natural gas. Wider adoption of hybrid engines and electric cars, for example, would reduce demand for our products. At the same time, our capital and operating costs may increase if we need to add new emission reduction technologies.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are also financial risks for the petroleum industry. It may become more difficult for us to access the capital markets if the threat of climate change discourages new investment. Institutional lenders who provide financing to fossil-fuel energy companies also have become more attentive to sustainable lending practices, and some of them may elect not to provide funding for fossil fuel energy companies. Limitation of investments in and financings for the energy industry could result in the restriction, delay or cancellation of drilling programs or development or production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threat of climate change also may subject oil and natural gas operations and our business to severe weather or other natural hazards, such as flooding, drought, wildfires, and extreme temperatures. Any such event could halt production or exploration activities, damage equipment, disrupt transportation, reduce consumer demand and significantly increase our costs.</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Poor general economic, business, or industry conditions may have a material adverse effect on our results of operations, liquidity, financial condition and access to capital.</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last few years, concerns over inflation, energy costs, volatile oil, natural gas, and NGL prices, geopolitical issues, the availability and cost of credit, the United States mortgage market, uncertainties with regard to European sovereign debt, the slowdown in economic growth in large emerging and developing markets, such as China, regional or worldwide increases in tariffs or other trade restrictions, and other issues have contributed to increased economic uncertainty and diminished expectations for the global economy. Concerns about global economic conditions have had a significant adverse impact on domestic and international financial markets and commodity prices. If uncertain or poor economic, business, or industry conditions in the United States or abroad remain prolonged, demand for petroleum products could diminish or stagnate, and production costs could increase. These situations have led to commodity price volatility and impact the price at which we can sell our oil, natural gas, and NGLs. Any sustained declines in crude oil, natural gas and NGL prices could affect our revenues, our operators ability to continue operations, and ultimately adversely impact our results of operations, liquidity and financial condition.</w:t>
      </w:r>
    </w:p>
    <w:p>
      <w:pPr>
        <w:pStyle w:val="TextBody"/>
        <w:shd w:fill="FFFFFF" w:val="clear"/>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Events outside of our control, including a pandemic or broad outbreak of an infectious disease, such as the global outbreak of a novel strain of the coronavirus (“COVID-19”), may materially adversely affect our business.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face risks related to pandemics, outbreaks, or other public health events that are outside of our control and could significantly disrupt our operators’ operations and adversely affect our financial condition. In December 2019, COVID-19 was identified in Wuhan, China and rapidly spread around the world. This virus and its variants, and governmental actions to contain it, had material adverse economic impacts globally. These and other actions, among other things, impacted the ability of our employees and contractors to perform their duties, caused increased technology and security risk due to extended and company-wide telecommuting, and led to disruptions in our permitting activities and critical business relationships, and could do so in the future should another similar public health event occur. Additionally, governmental restrictions intended to contain COVID-19 or future pandemics have in the past, and may in the future, significantly impact economic activity and markets and dramatically reduce actual or anticipated demand for oil and natural gas, adversely impacting the prices we receive for our production. The severity and duration of any such events are uncertain and difficult to predict, as is the extent that such events may have on our business.</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could be negatively affected by security threats. A cyber-attack or similar incident could occur and result in information theft, data corruption, operational disruption, damage to our reputation, and/or financial loss.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oil and natural gas industry has become increasingly dependent on digital technologies to conduct certain exploration, development, production, processing, and financial activities. We depend on digital technology to estimate quantities of oil and natural gas reserves, manage operations, process and record financial and operating data, analyze seismic and drilling information, and communicate with our employees and third-party operators. Our technologies, systems, networks, seismic data, reserves information, or other proprietary information, and those of our operators, vendors, suppliers, customers, and other business partners may become the target of cyber-attacks or information security breaches. Cyber-attacks or information security breaches could result in the unauthorized release, gathering, monitoring, misuse, loss or destruction of proprietary and other information, or could otherwise lead to the disruption of our business operations or other operational disruptions in our exploration or production operations. Cyber-attacks, particularly amidst the increased adoption of artificial intelligence technologies, are becoming more sophisticated and include, but are not limited to, ransomware, credential stuffing, spear phishing, social engineering, use of deepfakes (i.e., highly realistic synthetic media generated by artificial intelligence) and other attempts to gain unauthorized access to data for purposes of extortion or other malfeasance. In addition, certain cyber incidents, such as surveillance, may remain undetected for an extended period. Any such attacks could lead to disruptions in critical systems or the unauthorized release of confidential or otherwise protected information. These events could lead to financial losses from remedial actions, loss of business, disruption of operations, damage to our reputation, or potential liability. Also, computers control nearly all of the oil and natural gas distribution systems in the United States and abroad. Computers are necessary to transport our oil and natural gas production to market. A cyber-attack directed at oil and natural gas distribution systems could damage critical distribution and storage assets or the environment, delay or prevent delivery of production to markets and make it difficult or impossible to accurately account for production and settle transactions. Cyber incidents have increased, and the United States government has issued warnings indicating that energy assets may be specific targets of cybersecurity threats. Our systems and insurance coverage for protecting against cybersecurity risks may not be sufficient. Further, as cyber-attacks continue to evolve, we may be required to expend significant additional resources to continue to modify or enhance our protective measures or to investigate and remediate any vulnerability to cyber-attacks.</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insurance may not protect us against all of the operating risks to which our business is exposed.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oil and natural gas business involves numerous operating hazards such as well blowouts, mechanical failures, explosions, uncontrollable flows of oil, natural gas, or well fluids, fires, formations with abnormal pressures, hurricanes and storms, flooding, pollution, releases of toxic gas, and other environmental hazards and risks, which can result in (1) damage to or destruction of wells and/or production facilities, (2) damage to or destruction of formations, (3) injury to persons, (4) loss of life, or (5) damage to property, the environment or natural resources. While we carry general liability, control of well, and operator’s extra expense coverage typical in our industry, we are not fully insured against all risks incidental to our business. Should we experience any losses, the costs of our premiums may rise, which could in turn reduce the amount of insurance we are able to carry.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loss of key personnel could adversely affect us.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depend to a large extent on the services of certain key management personnel, including our executive officers. The loss of one or more key personnel could have a material adverse effect on our operations. In particular, our future success is dependent upon the abilities of our executive officers to source, evaluate, and close deals, raise capital, and oversee our development activities and operations. Presently, we are not a beneficiary of any key man life insurance.</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Oilfield service and materials prices may increase, and the availability of such services and materials may be inadequate to meet our needs.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business plan to develop or redevelop oil and natural gas resources requires third-party oilfield service vendors and various material providers, which we do not control. We also rely on third-party carriers for the transportation and distribution of our oil and natural gas production. As our production increases, so does our need for such services and materials. Generally, we do not have long-term agreements with our service and materials providers. Accordingly, there is a risk that any of our service providers could discontinue providing services for any reason or we may not be able to source the services or materials we need. Any delay in locating, establishing relationships, and training our sources could result in production shortages and maintenance problems, resulting in loss of revenue to us. In addition, if costs for such services and materials increase, it may render certain or all of our projects uneconomic, as compared to the earlier prices we may have assumed when deciding to redevelop newly purchased or existing properties. Further adverse economic outcomes may result from the long lead times often necessary to execute and complete our redevelopment plans.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We may assume risks and financial responsibility for drilling and completing wells at our Chaveroo Field and Williston Basin properties if our third-party operator declines to drill wells and it or other joint interest owners elect not to participate.</w:t>
      </w:r>
      <w:r>
        <w:rPr>
          <w:rFonts w:ascii="Times New Roman;Times;serif" w:hAnsi="Times New Roman;Times;serif"/>
          <w:sz w:val="20"/>
        </w:rPr>
        <w:t> </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discussed elsewhere in this report, pursuant to agreements related to our interests in the Chaveroo Field and Williston Basin properties, we have the ability to propose to the operator a drilling plan for certain wells, which the operator may accept or reject. In the event the operator rejects our proposed drilling plan, we have the right to undertake all necessary activities to drill and complete the wells and related facilities in accordance with our proposed drilling plan. In the event we undertake to do so, and the operator and other joint interest owners elect not to participate, we will bear the entire liability and expense associated with drilling and completing the wells and related facilities, subject only to our right to recoup costs incurred on behalf of non-participating joint interest owners to the extent a well generates sufficient revenues to do so. We thus may be required to bear a share of such expenses to an extent that is disproportionate to our economic interest in the property. If we elect to proceed to drill and complete wells we have proposed and the operator has rejected, we also will bear many of the other risks highlighted elsewhere herein, including, without limitation, failing to find economic quantities of oil and natural gas, drilling accidents, potential environmental liabilities, unavailability of insurance at a reasonable cost to cover associated liabilities, and price increases and delivery delays for required drilling and completion equipment, products and services. Ongoing operations of any wells we elect to drill will be turned over to the operator of the property upon completion.</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We cannot market the oil and natural gas that we produce without the assistance of third parties.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marketability of the oil and natural gas that we produce depends upon the proximity of our reserves and production to, and the capacity of, facilities and third-party services, including oil and natural gas gathering systems, pipelines, trucking or terminal facilities, and processing facilities necessary to make the products marketable for end use. The unavailability or lack of capacity of such services and facilities could result in the shut-in of producing wells or the delay or discontinuance of development plans for properties. A shut-in, delay, or discontinuance could adversely affect our financial condition.</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We face strong competition from larger oil and natural gas companies.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competitors include major integrated oil and natural gas companies, numerous larger independent oil and natural gas companies, individuals, and drilling and income programs. Many of our competitors are large, well-established companies with substantially larger operating staffs and greater capital resources. We may not be able to successfully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conduct our operations, evaluate and select suitable properties, or consummate transactions in this highly competitive environment. Specifically, these larger competitors may be able to pay more for development projects and productive oil and natural gas properties and may be able to define, evaluate, bid for, and purchase a greater number of properties and prospects than our financial or human resources permit. In addition, such companies may be able to expend greater resources on hiring contract service providers, obtaining oilfield equipment, and acquiring the existing and changing technologies that we believe are, and will be, increasingly important to attaining success in our industry.</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We have been, and in the future may become, involved in legal proceedings related to our properties or operations and, as a result, may incur substantial costs in connection with those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From time to time we may be a defendant or plaintiff in various lawsuits. The nature of our oil and natural gas properties and related operations exposes us to further possible litigation claims in the future. There is risk that any matter in litigation could be decided unfavorably against us regardless of our belief, opinion, and position, which could have a material adverse effect on our financial condition, results of operations, and cash flow. Litigation can be very costly, and the costs associated with defending litigation could also have a material adverse effect on our financial condition. Adverse litigation decisions or rulings may damage our business reputation.</w:t>
      </w:r>
    </w:p>
    <w:p>
      <w:pPr>
        <w:pStyle w:val="TextBody"/>
        <w:bidi w:val="0"/>
        <w:spacing w:before="12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Ownership of our oil and natural gas production and mineral rights depends on good title to our property. </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Good and clear title to our oil and natural gas properties and mineral rights is important to our business. Although title reviews will generally be conducted prior to the purchase of most oil, natural gas, and mineral producing properties or the commencement of drilling wells, such reviews do not assure that an unforeseen defect in the chain of title will not arise to defeat our claim. This could result in a reduction or elimination of the revenue received by us from such properties.</w:t>
        <w:b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Unanticipated changes in effective tax rates or laws or adverse outcomes resulting from examination of our income or other tax returns could adversely affect our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subject to tax by U.S. federal, state, and local tax authorities. Our future effective tax rates could be subject to volatility or adversely affected by a number of factors, including:</w:t>
      </w:r>
    </w:p>
    <w:p>
      <w:pPr>
        <w:pStyle w:val="TextBody"/>
        <w:bidi w:val="0"/>
        <w:spacing w:before="0" w:after="0"/>
        <w:ind w:left="0" w:right="0" w:hanging="0"/>
        <w:jc w:val="left"/>
        <w:rPr/>
      </w:pPr>
      <w:r>
        <w:rPr/>
        <w:t>​</w:t>
      </w:r>
    </w:p>
    <w:tbl>
      <w:tblPr>
        <w:tblW w:w="5796" w:type="dxa"/>
        <w:jc w:val="left"/>
        <w:tblInd w:w="0" w:type="dxa"/>
        <w:tblLayout w:type="fixed"/>
        <w:tblCellMar>
          <w:top w:w="28" w:type="dxa"/>
          <w:left w:w="28" w:type="dxa"/>
          <w:bottom w:w="28" w:type="dxa"/>
          <w:right w:w="28" w:type="dxa"/>
        </w:tblCellMar>
      </w:tblPr>
      <w:tblGrid>
        <w:gridCol w:w="124"/>
        <w:gridCol w:w="256"/>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valuation of our deferred tax assets and liabilities;</w:t>
            </w:r>
          </w:p>
        </w:tc>
      </w:tr>
    </w:tbl>
    <w:tbl>
      <w:tblPr>
        <w:tblW w:w="6651" w:type="dxa"/>
        <w:jc w:val="left"/>
        <w:tblInd w:w="0" w:type="dxa"/>
        <w:tblLayout w:type="fixed"/>
        <w:tblCellMar>
          <w:top w:w="28" w:type="dxa"/>
          <w:left w:w="28" w:type="dxa"/>
          <w:bottom w:w="28" w:type="dxa"/>
          <w:right w:w="28" w:type="dxa"/>
        </w:tblCellMar>
      </w:tblPr>
      <w:tblGrid>
        <w:gridCol w:w="124"/>
        <w:gridCol w:w="256"/>
        <w:gridCol w:w="6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timing and amount of the release of any tax valuation allowances;</w:t>
            </w:r>
          </w:p>
        </w:tc>
      </w:tr>
    </w:tbl>
    <w:tbl>
      <w:tblPr>
        <w:tblW w:w="3816" w:type="dxa"/>
        <w:jc w:val="left"/>
        <w:tblInd w:w="0" w:type="dxa"/>
        <w:tblLayout w:type="fixed"/>
        <w:tblCellMar>
          <w:top w:w="28" w:type="dxa"/>
          <w:left w:w="28" w:type="dxa"/>
          <w:bottom w:w="28" w:type="dxa"/>
          <w:right w:w="28" w:type="dxa"/>
        </w:tblCellMar>
      </w:tblPr>
      <w:tblGrid>
        <w:gridCol w:w="124"/>
        <w:gridCol w:w="256"/>
        <w:gridCol w:w="3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effects of stock-based compensation;</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intercompany restructurings; or</w:t>
            </w:r>
          </w:p>
        </w:tc>
      </w:tr>
    </w:tbl>
    <w:tbl>
      <w:tblPr>
        <w:tblW w:w="5256" w:type="dxa"/>
        <w:jc w:val="left"/>
        <w:tblInd w:w="0" w:type="dxa"/>
        <w:tblLayout w:type="fixed"/>
        <w:tblCellMar>
          <w:top w:w="28" w:type="dxa"/>
          <w:left w:w="28" w:type="dxa"/>
          <w:bottom w:w="28" w:type="dxa"/>
          <w:right w:w="28" w:type="dxa"/>
        </w:tblCellMar>
      </w:tblPr>
      <w:tblGrid>
        <w:gridCol w:w="124"/>
        <w:gridCol w:w="256"/>
        <w:gridCol w:w="4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 laws, regulations, or interpretations thereof.</w:t>
            </w:r>
          </w:p>
        </w:tc>
      </w:tr>
    </w:tbl>
    <w:p>
      <w:pPr>
        <w:pStyle w:val="TextBody"/>
        <w:bidi w:val="0"/>
        <w:spacing w:before="0" w:after="0"/>
        <w:ind w:left="108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 example, in previous years under previous Administrations, legislation has been proposed to eliminate or defer certain key U.S. federal income tax deductions historically available to oil and natural gas exploration and production companies. Such proposed changes have included: (1) a repeal of the percentage depletion allowance for oil and natural gas properties; (2) the elimination of deductions for intangible drilling and exploration and development costs; (3) the elimination of the deduction for certain production activities; and (4) an extension of the amortization period for certain geological and geophysical expenditures. Under the previous Administration there was an increased risk of the enactment of legislation that alters, eliminates, or defers these or other tax deductions utilized within the industry, which could adversely affect our business, financial condition, results of operations, and cash flows.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July 4, 2025, legislation commonly referred to as the “One Big Beautiful Bill Act” (OBBBA) was enacted, significantly changing existing U.S. tax law. The OBBBA includes numerous provisions, such as permanent full expensing of domestic research and experimental expenditures, 100% bonus depreciation, modification of business interest limitations, and various international tax provisions such as Base Erosion and Anti-Abuse Tax, Foreign-Derived Deduction Eligible Income and Net Controlled Foreign Corporations Tested Income. Changes in tax laws between Administrations could affect our business, financial condition, results of operations, and cash flows when compared to previous years.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we may be subject to audits of our income, sales, and other transaction taxes by U.S. federal, state, and local taxing authorities. Outcomes from these audits could have an adverse effect on our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Risks Associated with our Common Stock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stock price has been and may continue to be volatile.</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Our common stock has a relatively low trading volume and the market price has been, and is likely to continue to be, volatile. The variance in our stock price makes it difficult to forecast the stock price at which an investor may be able to buy or sell shares of our common stock. The market price for our common stock could be subject to fluctuations as a result of factors that are out of our control, such as:</w:t>
      </w:r>
    </w:p>
    <w:p>
      <w:pPr>
        <w:pStyle w:val="TextBody"/>
        <w:bidi w:val="0"/>
        <w:spacing w:before="0" w:after="240"/>
        <w:ind w:left="1080" w:right="0" w:hanging="0"/>
        <w:jc w:val="left"/>
        <w:rPr/>
      </w:pPr>
      <w:r>
        <w:rPr/>
        <w:t>​</w:t>
      </w:r>
    </w:p>
    <w:tbl>
      <w:tblPr>
        <w:tblW w:w="5316" w:type="dxa"/>
        <w:jc w:val="left"/>
        <w:tblInd w:w="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variations in our results of operations;</w:t>
            </w:r>
          </w:p>
        </w:tc>
      </w:tr>
    </w:tbl>
    <w:tbl>
      <w:tblPr>
        <w:tblW w:w="6246" w:type="dxa"/>
        <w:jc w:val="left"/>
        <w:tblInd w:w="0" w:type="dxa"/>
        <w:tblLayout w:type="fixed"/>
        <w:tblCellMar>
          <w:top w:w="28" w:type="dxa"/>
          <w:left w:w="28" w:type="dxa"/>
          <w:bottom w:w="28" w:type="dxa"/>
          <w:right w:w="28" w:type="dxa"/>
        </w:tblCellMar>
      </w:tblPr>
      <w:tblGrid>
        <w:gridCol w:w="124"/>
        <w:gridCol w:w="256"/>
        <w:gridCol w:w="5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or fluctuations in the commodity prices of oil and natural gas;</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conditions and trends in the oil and natural gas industry;</w:t>
            </w:r>
          </w:p>
        </w:tc>
      </w:tr>
    </w:tbl>
    <w:tbl>
      <w:tblPr>
        <w:tblW w:w="6006" w:type="dxa"/>
        <w:jc w:val="left"/>
        <w:tblInd w:w="0" w:type="dxa"/>
        <w:tblLayout w:type="fixed"/>
        <w:tblCellMar>
          <w:top w:w="28" w:type="dxa"/>
          <w:left w:w="28" w:type="dxa"/>
          <w:bottom w:w="28" w:type="dxa"/>
          <w:right w:w="28" w:type="dxa"/>
        </w:tblCellMar>
      </w:tblPr>
      <w:tblGrid>
        <w:gridCol w:w="124"/>
        <w:gridCol w:w="256"/>
        <w:gridCol w:w="5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demands on institutional funds that hold our stock; and</w:t>
            </w:r>
          </w:p>
        </w:tc>
      </w:tr>
    </w:tbl>
    <w:tbl>
      <w:tblPr>
        <w:tblW w:w="4701" w:type="dxa"/>
        <w:jc w:val="left"/>
        <w:tblInd w:w="0" w:type="dxa"/>
        <w:tblLayout w:type="fixed"/>
        <w:tblCellMar>
          <w:top w:w="28" w:type="dxa"/>
          <w:left w:w="28" w:type="dxa"/>
          <w:bottom w:w="28" w:type="dxa"/>
          <w:right w:w="28" w:type="dxa"/>
        </w:tblCellMar>
      </w:tblPr>
      <w:tblGrid>
        <w:gridCol w:w="124"/>
        <w:gridCol w:w="256"/>
        <w:gridCol w:w="4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political, and market conditions.</w:t>
            </w:r>
          </w:p>
        </w:tc>
      </w:tr>
    </w:tbl>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Significant ownership of our common stock is concentrated in a small number of shareholders who may be able to affect the outcome of the election of our directors and all other matters submitted to our stockholders for approval.</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June 30, 2026, our executive officers and directors, in the aggregate, beneficially owned approximately 3.6 million shares, or approximately 10.0% of our outstanding common stock and, based on recent filings with the SEC, we believe two large non-affiliated investment advisors owned in excess of 12.8% of the outstanding shares of our common stock. As a result, a significant percentage of our common stock is concentrated in the hands of relatively few shareholders. These shareholders could potentially exercise significant influence over matters submitted to our stockholders for approval (including the election and removal of directors and any merger, consolidation or sale of all or substantially all of our assets). This concentration of ownership may have the effect of delaying, deferring, or preventing any matter that requires shareholder approval, including a change in control of our company, impede a merger, consolidation, takeover, or other business combination involving our company or discourage a potential acquirer from making a tender offer or otherwise attempting to obtain control of our company, which in turn could have an adverse effect on the market price of our common stock.</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market for our common stock is limited and may not provide adequate liquidity.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common stock trades on the NYSE American. Trading volume in our common stock is relatively low compared to larger companies. Our holders may find it more difficult to sell their shares, should they desire to do so, based on the trading volume and price of our stock at that time relative to the quantity of shares to be sold.</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If securities or industry analysts do not publish research reports about our business, or if they downgrade our stock, the price of our common stock could decline.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 relatively unknown companies can achieve visibility in the trading market through research and reports that industry or securities analysts publish. To our knowledge, only two research analysts actively cover our company. The limited number of published reports by securities analysts could limit the interest in our common stock and negatively affect our stock price. We do not have any control over the research and reports these analysts publish or whether they will be published at all. If any analyst who does cover us downgrades our stock, our stock price could decline. If any analyst ceases coverage of our company or fails to regularly publish reports on us, we could lose visibility in the financial markets, which in turn could cause our stock price to decline.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stated objective of returning cash to shareholders is subject to our ability to generate sufficient cash flows to pay dividends on our common stock and to repurchase shares of our common stock, as applicable, and we have, in the past, and may in the future, reduce or eliminate dividend payments and stock repurchases.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Board of Directors declared cash dividends on our common stock for the first time in December 2013 and we have declared and paid quarterly cash dividends since that time. Additionally, our Board of Directors has in the past approved stock repurchase programs pursuant to which we have expended $8.6 million to repurchase shares over such period. Although one of our primary objectives is to return cash to shareholders, we are not required to repurchase shares of common stock or to pay dividends thereon and may be contractually or legally prohibited from doing so at certain times. Further, even if we are legally and contractually permitted to do so and have available cash to do so, we may elect to reduce or suspend the payment of dividends or the repurchase of shares of common stock to preserve cash based on the current and future capital requirements of our business, our financial condition, the amount of funds legally available therefor, any contractual restrictions to which we are subject at such time, our expectations about future cash inflows and such other factors as our Board of Directors may consider relevant. Accordingly, there is no certainty that dividends will be declared by our Board of Directors or shares of common stock will be repurchased by us in the future. </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There may be future sales or issuances of our common stock, which will dilute the ownership interests of stockholders and may adversely affect the market price of our common stock.</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may in the future issue additional shares of common stock, including securities that are convertible into or exchangeable for, or that represent the right to receive, common stock or substantially similar securities, which may result in dilution to our stockholders. In addition, our stockholders may be further diluted by future issuances under our equity incentive plans and/or our </w:t>
      </w:r>
      <w:r>
        <w:rPr>
          <w:rFonts w:ascii="Times New Roman;Times;serif" w:hAnsi="Times New Roman;Times;serif"/>
          <w:color w:val="212529"/>
          <w:sz w:val="20"/>
          <w:shd w:fill="FFFFFF" w:val="clear"/>
        </w:rPr>
        <w:t>At-the-Market equity Sales Agreement</w:t>
      </w:r>
      <w:r>
        <w:rPr>
          <w:rFonts w:ascii="Times New Roman;Times;serif" w:hAnsi="Times New Roman;Times;serif"/>
          <w:sz w:val="20"/>
        </w:rPr>
        <w:t>. The market price of our common stock could decline as a result of future sales or issuances of a large number of shares of our common stock or similar securities in the market or the perception that such sales or issuances could occur.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Non-U.S. holders may be subject to U.S. income tax and withholding tax with respect to gain on disposition of the Company’s common stock.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believe we are a U.S. real property holding corporation. As a result, Non-U.S. holders that own (or are treated as owning under constructive ownership rules) more than a specified amount of our common stock during a specified time period may be subject to U.S. federal income tax and withholding on a sale, exchange or other disposition of such common stock, and may be required to file a U.S. federal income tax return.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Investor sentiment towards climate change, fossil fuels, sustainability, and other ESG matters could adversely affect our business and our stock price.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There have been efforts in recent years aimed at the investment community, including investment advisors, sovereign wealth funds, public pension funds, universities, and other groups, to promote the divestment of shares of fossil fuel companies, as well as to pressure lenders and other financial services companies to limit or curtail activities with fossil fuel companies. As a result, some financial intermediaries, investors, and other capital markets participants reduced or ceased lending to, or investing in, companies that operate in industries with higher perceived environmental exposure, such as the oil and natural gas industry. If such divestment efforts are continued, the price of our common stock or debt securities, and our ability to access capital markets or to otherwise obtain new investment or financing, may be negatively impacted.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Members of the investment community also have expressed increased interest as to ESG practices and disclosures, including practices and disclosures related to greenhouse gases and climate change in the energy industry in particular, and diversity and inclusion initiatives and governance standards among companies more generally. The SEC, for example, promulgated new rules in 2024 that required disclosure of various specific risks related to climate but promptly issued an order staying their applicability pending resolution of legal challenges and later decided not to defend them in court. Such requirements may take effect in the future. A heightened emphasis on ESG may lead some members of the investment community to screen our ESG performance before investing in our common stock or debt securities or lending to us.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we are unable to meet the ESG standards or investment or lending criteria set by these investors and funds, we may lose investors, investors may allocate a portion of their capital away from us, our cost of capital may increase, the price of our common stock may be negatively impacted, and our reputation may be negatively affected. </w:t>
      </w:r>
    </w:p>
    <w:p>
      <w:pPr>
        <w:pStyle w:val="TextBody"/>
        <w:bidi w:val="0"/>
        <w:spacing w:before="0" w:after="0"/>
        <w:ind w:left="0" w:right="0" w:firstLine="360"/>
        <w:jc w:val="left"/>
        <w:rPr/>
      </w:pPr>
      <w:r>
        <w:rPr/>
        <w:t>​</w:t>
      </w:r>
    </w:p>
    <w:p>
      <w:pPr>
        <w:pStyle w:val="TextBody"/>
        <w:bidi w:val="0"/>
        <w:spacing w:before="0" w:after="120"/>
        <w:ind w:left="0" w:right="0" w:hanging="0"/>
        <w:jc w:val="left"/>
        <w:rPr>
          <w:rFonts w:ascii="Times New Roman;Times;serif" w:hAnsi="Times New Roman;Times;serif"/>
          <w:b/>
          <w:sz w:val="20"/>
        </w:rPr>
      </w:pPr>
      <w:bookmarkStart w:id="52" w:name="Item1BUnresolvedStaffComments_826421"/>
      <w:bookmarkStart w:id="53" w:name="_02e541bc_a73f_45c2_b7be_b8962186fe18"/>
      <w:bookmarkEnd w:id="52"/>
      <w:bookmarkEnd w:id="53"/>
      <w:r>
        <w:rPr>
          <w:rFonts w:ascii="Times New Roman;Times;serif" w:hAnsi="Times New Roman;Times;serif"/>
          <w:b/>
          <w:sz w:val="20"/>
        </w:rPr>
        <w:t>Item 1B. Unresolved Staff Comments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120"/>
        <w:ind w:left="0" w:right="0" w:hanging="0"/>
        <w:jc w:val="left"/>
        <w:rPr>
          <w:rFonts w:ascii="Times New Roman;Times;serif" w:hAnsi="Times New Roman;Times;serif"/>
          <w:b/>
          <w:sz w:val="20"/>
        </w:rPr>
      </w:pPr>
      <w:bookmarkStart w:id="54" w:name="_5815f011_991e_498e_9387_7c32a0677bdf"/>
      <w:bookmarkStart w:id="55" w:name="Item3Cybersecurity"/>
      <w:bookmarkStart w:id="56" w:name="_Item_1C._Cybersecurity"/>
      <w:bookmarkEnd w:id="54"/>
      <w:bookmarkEnd w:id="55"/>
      <w:bookmarkEnd w:id="56"/>
      <w:r>
        <w:rPr>
          <w:rFonts w:ascii="Times New Roman;Times;serif" w:hAnsi="Times New Roman;Times;serif"/>
          <w:b/>
          <w:sz w:val="20"/>
        </w:rPr>
        <w:t>Item 1C. Cybersecurity</w:t>
      </w:r>
    </w:p>
    <w:p>
      <w:pPr>
        <w:pStyle w:val="TextBody"/>
        <w:bidi w:val="0"/>
        <w:spacing w:before="0" w:after="0"/>
        <w:ind w:left="0" w:right="0" w:hanging="0"/>
        <w:jc w:val="left"/>
        <w:rPr>
          <w:rFonts w:ascii="Times New Roman;Times;serif" w:hAnsi="Times New Roman;Times;serif"/>
          <w:sz w:val="20"/>
        </w:rPr>
      </w:pPr>
      <w:bookmarkStart w:id="57" w:name="Cybersecurity"/>
      <w:bookmarkEnd w:id="57"/>
      <w:r>
        <w:rPr>
          <w:rFonts w:ascii="Times New Roman;Times;serif" w:hAnsi="Times New Roman;Times;serif"/>
          <w:sz w:val="20"/>
        </w:rPr>
        <w:t>Cybersecurity risk management is part of the Company’s overall enterprise risk management program. Our cybersecurity risk management program is designed to provide a framework for handling cybersecurity threats and incidents, including those associated with the use of third-party services and service providers. This framework includes steps for assessing a cybersecurity threat’s severity and source, including whether the cybersecurity threat is associated with a third-party service provider, implementing cybersecurity countermeasures and threat mitigation strategies, and informing management and our Board of material cybersecurity threats and incidents. To prevent and detect material cybersecurity incidents, our framework further includes, among other things, ongoing security awareness training for employees, regular cybersecurity risk and vulnerability assessments, and mechanisms to detect and monitor unusual network activity. We recognize the complex and evolving nature of cybersecurity threats and engage with various third-party service providers, including cybersecurity assessors and consultants, to evaluate and test our cybersecurity risk management systems. This enables us to leverage knowledge and insights to align our cybersecurity strategies and processes with best practices for our industry and size. Additionally, we maintain industry-standard cybersecurity insurance to provide further protection against cybersecurity risk.</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Board is ultimately responsible for overseeing our risk management, including cybersecurity risk management. Management is responsible for identifying, considering, and assessing material cybersecurity risks on an ongoing basis, establishing processes to ensure that such potential cybersecurity risk exposures are monitored, implementing appropriate mitigation measures, and maintaining cybersecurity programs. Our cybersecurity programs are under the direction of our Principal Financial Officer, who receives reports from our cybersecurity consultants and monitors the prevention, detection, mitigation, and remediation of cybersecurity incidents. Any significant cybersecurity incidents are reported to our independent Audit Committee and ultimately to our Board. There were no such cybersecurity incidents or threats that have materially impacted our business or operations. Management presents an assessment of our cybersecurity processes, procedures, and testing results to the Audit Committee at least annually.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Despite our efforts, we cannot eliminate all risks from cybersecurity threats nor provide assurances that we have not experienced an undetected cybersecurity incident. For more information about these risks, please see discussion captioned “Our business could be negatively affected by security threats. A cyber-attack or similar incident could occur and result in information theft, data corruption, operational disruption, damage to our reputation, and/or financial loss.” in Item 1A. </w:t>
      </w:r>
      <w:r>
        <w:rPr>
          <w:rFonts w:ascii="Times New Roman;Times;serif" w:hAnsi="Times New Roman;Times;serif"/>
          <w:i/>
          <w:sz w:val="20"/>
        </w:rPr>
        <w:t>Risk Factors</w:t>
      </w:r>
      <w:r>
        <w:rPr>
          <w:rFonts w:ascii="Times New Roman;Times;serif" w:hAnsi="Times New Roman;Times;serif"/>
          <w:sz w:val="20"/>
        </w:rPr>
        <w:t>.</w:t>
      </w:r>
    </w:p>
    <w:p>
      <w:pPr>
        <w:pStyle w:val="TextBody"/>
        <w:bidi w:val="0"/>
        <w:spacing w:before="0" w:after="120"/>
        <w:ind w:left="0" w:right="0" w:hanging="0"/>
        <w:jc w:val="left"/>
        <w:rPr>
          <w:rFonts w:ascii="Times New Roman;Times;serif" w:hAnsi="Times New Roman;Times;serif"/>
          <w:b/>
          <w:sz w:val="20"/>
        </w:rPr>
      </w:pPr>
      <w:bookmarkStart w:id="58" w:name="Item2Properties_213450"/>
      <w:bookmarkStart w:id="59" w:name="_a1872d3d_0d5c_4ed7_9991_ab25479b8c7b"/>
      <w:bookmarkEnd w:id="58"/>
      <w:bookmarkEnd w:id="59"/>
      <w:r>
        <w:rPr>
          <w:rFonts w:ascii="Times New Roman;Times;serif" w:hAnsi="Times New Roman;Times;serif"/>
          <w:b/>
          <w:sz w:val="20"/>
        </w:rPr>
        <w:t>Item 2.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Information regarding our properties is included in Item 1. </w:t>
      </w:r>
      <w:r>
        <w:rPr>
          <w:rFonts w:ascii="Times New Roman;Times;serif" w:hAnsi="Times New Roman;Times;serif"/>
          <w:i/>
          <w:sz w:val="20"/>
        </w:rPr>
        <w:t>Business</w:t>
      </w:r>
      <w:r>
        <w:rPr>
          <w:rFonts w:ascii="Times New Roman;Times;serif" w:hAnsi="Times New Roman;Times;serif"/>
          <w:sz w:val="20"/>
        </w:rPr>
        <w:t xml:space="preserve"> above and in Note 4, “</w:t>
      </w:r>
      <w:r>
        <w:rPr>
          <w:rFonts w:ascii="Times New Roman;Times;serif" w:hAnsi="Times New Roman;Times;serif"/>
          <w:i/>
          <w:sz w:val="20"/>
        </w:rPr>
        <w:t>Property and Equipment”</w:t>
      </w:r>
      <w:r>
        <w:rPr>
          <w:rFonts w:ascii="Times New Roman;Times;serif" w:hAnsi="Times New Roman;Times;serif"/>
          <w:sz w:val="20"/>
        </w:rPr>
        <w:t xml:space="preserve"> to our consolidated financial statements in Item 8. </w:t>
      </w:r>
      <w:r>
        <w:rPr>
          <w:rFonts w:ascii="Times New Roman;Times;serif" w:hAnsi="Times New Roman;Times;serif"/>
          <w:i/>
          <w:sz w:val="20"/>
        </w:rPr>
        <w:t>Consolidated Financial Statements and Supplementary Data</w:t>
      </w:r>
      <w:r>
        <w:rPr>
          <w:rFonts w:ascii="Times New Roman;Times;serif" w:hAnsi="Times New Roman;Times;serif"/>
          <w:sz w:val="20"/>
        </w:rPr>
        <w:t>, which information is incorporated herein by reference.</w:t>
      </w:r>
    </w:p>
    <w:p>
      <w:pPr>
        <w:pStyle w:val="TextBody"/>
        <w:bidi w:val="0"/>
        <w:spacing w:before="0" w:after="120"/>
        <w:ind w:left="0" w:right="0" w:hanging="0"/>
        <w:jc w:val="left"/>
        <w:rPr>
          <w:rFonts w:ascii="Times New Roman;Times;serif" w:hAnsi="Times New Roman;Times;serif"/>
          <w:b/>
          <w:sz w:val="20"/>
        </w:rPr>
      </w:pPr>
      <w:bookmarkStart w:id="60" w:name="Item3LegalProceedings_524609"/>
      <w:bookmarkStart w:id="61" w:name="_481099c1_df88_4e84_8b6f_fe66865b30f1"/>
      <w:bookmarkEnd w:id="60"/>
      <w:bookmarkEnd w:id="61"/>
      <w:r>
        <w:rPr>
          <w:rFonts w:ascii="Times New Roman;Times;serif" w:hAnsi="Times New Roman;Times;serif"/>
          <w:b/>
          <w:sz w:val="20"/>
        </w:rPr>
        <w:t>Item 3. Legal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See Note 10, “</w:t>
      </w:r>
      <w:r>
        <w:rPr>
          <w:rFonts w:ascii="Times New Roman;Times;serif" w:hAnsi="Times New Roman;Times;serif"/>
          <w:i/>
          <w:sz w:val="20"/>
        </w:rPr>
        <w:t>Commitments and Contingencies”</w:t>
      </w:r>
      <w:r>
        <w:rPr>
          <w:rFonts w:ascii="Times New Roman;Times;serif" w:hAnsi="Times New Roman;Times;serif"/>
          <w:sz w:val="20"/>
        </w:rPr>
        <w:t xml:space="preserve"> to our consolidated financial statements in Item 8. </w:t>
      </w:r>
      <w:r>
        <w:rPr>
          <w:rFonts w:ascii="Times New Roman;Times;serif" w:hAnsi="Times New Roman;Times;serif"/>
          <w:i/>
          <w:sz w:val="20"/>
        </w:rPr>
        <w:t>Consolidated Financial Statements and Supplementary Data</w:t>
      </w:r>
      <w:r>
        <w:rPr>
          <w:rFonts w:ascii="Times New Roman;Times;serif" w:hAnsi="Times New Roman;Times;serif"/>
          <w:sz w:val="20"/>
        </w:rPr>
        <w:t xml:space="preserve"> for a description of any legal proceedings, which is incorporated herein by reference.</w:t>
      </w:r>
    </w:p>
    <w:p>
      <w:pPr>
        <w:pStyle w:val="TextBody"/>
        <w:bidi w:val="0"/>
        <w:spacing w:before="0" w:after="120"/>
        <w:ind w:left="0" w:right="0" w:hanging="0"/>
        <w:jc w:val="left"/>
        <w:rPr>
          <w:rFonts w:ascii="Times New Roman;Times;serif" w:hAnsi="Times New Roman;Times;serif"/>
          <w:b/>
          <w:sz w:val="20"/>
        </w:rPr>
      </w:pPr>
      <w:bookmarkStart w:id="62" w:name="Item4MineSafetyDisclosures_798178"/>
      <w:bookmarkStart w:id="63" w:name="_8add0ddd_6bae_40b1_8718_803a40dea44b"/>
      <w:bookmarkEnd w:id="62"/>
      <w:bookmarkEnd w:id="63"/>
      <w:r>
        <w:rPr>
          <w:rFonts w:ascii="Times New Roman;Times;serif" w:hAnsi="Times New Roman;Times;serif"/>
          <w:b/>
          <w:sz w:val="20"/>
        </w:rPr>
        <w:t>Item 4. Mine Safety Disclosures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4" w:name="PARTII_753913"/>
      <w:bookmarkStart w:id="65" w:name="_d97b3b4a_d4b2_4511_831f_ca7330d7ab20"/>
      <w:bookmarkEnd w:id="64"/>
      <w:bookmarkEnd w:id="65"/>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b/>
          <w:sz w:val="20"/>
        </w:rPr>
      </w:pPr>
      <w:bookmarkStart w:id="66" w:name="Item5MarketforRegistrantsCommonEquityRel"/>
      <w:bookmarkEnd w:id="66"/>
      <w:r>
        <w:rPr>
          <w:rFonts w:ascii="Times New Roman;Times;serif" w:hAnsi="Times New Roman;Times;serif"/>
          <w:b/>
          <w:sz w:val="20"/>
        </w:rPr>
        <w:t>Item 5. Market for Registrant’s Common Equity, Related Stockholder Matters and Issuer Purchases of Equity Securities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Market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common stock is currently traded on the NYSE American stock exchange under the ticker symbol “EPM”.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Shares Outstanding and 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2026, there were 35,949,843 shares of common stock issued and outstanding. As of September 1, 2026, there were approximately 220 registered shareholders of our common stock.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Dividends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began paying cash quarterly dividends on our common stock in December 2013. Over the last two fiscal years, we made the following cash dividends per share:</w:t>
      </w:r>
    </w:p>
    <w:p>
      <w:pPr>
        <w:pStyle w:val="TextBody"/>
        <w:bidi w:val="0"/>
        <w:spacing w:before="0" w:after="240"/>
        <w:ind w:left="0" w:right="0" w:hanging="0"/>
        <w:jc w:val="left"/>
        <w:rPr/>
      </w:pPr>
      <w:r>
        <w:rPr/>
        <w:t>​</w:t>
      </w:r>
    </w:p>
    <w:tbl>
      <w:tblPr>
        <w:tblW w:w="3637" w:type="dxa"/>
        <w:jc w:val="left"/>
        <w:tblInd w:w="0" w:type="dxa"/>
        <w:tblLayout w:type="fixed"/>
        <w:tblCellMar>
          <w:top w:w="0" w:type="dxa"/>
          <w:left w:w="0" w:type="dxa"/>
          <w:bottom w:w="0" w:type="dxa"/>
          <w:right w:w="0" w:type="dxa"/>
        </w:tblCellMar>
      </w:tblPr>
      <w:tblGrid>
        <w:gridCol w:w="1606"/>
        <w:gridCol w:w="346"/>
        <w:gridCol w:w="196"/>
        <w:gridCol w:w="421"/>
        <w:gridCol w:w="346"/>
        <w:gridCol w:w="196"/>
        <w:gridCol w:w="526"/>
      </w:tblGrid>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019810" cy="175260"/>
                      <wp:effectExtent l="0" t="0" r="0" b="0"/>
                      <wp:wrapNone/>
                      <wp:docPr id="101" name="Frame100"/>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2"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24460" cy="175260"/>
                      <wp:effectExtent l="0" t="0" r="0" b="0"/>
                      <wp:wrapNone/>
                      <wp:docPr id="103" name="Frame10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67335" cy="175260"/>
                      <wp:effectExtent l="0" t="0" r="0" b="0"/>
                      <wp:wrapNone/>
                      <wp:docPr id="104" name="Frame10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05"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24460" cy="175260"/>
                      <wp:effectExtent l="0" t="0" r="0" b="0"/>
                      <wp:wrapNone/>
                      <wp:docPr id="106" name="Frame1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34010" cy="175260"/>
                      <wp:effectExtent l="0" t="0" r="0" b="0"/>
                      <wp:wrapNone/>
                      <wp:docPr id="107" name="Frame106"/>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Fiscal Year</w:t>
            </w:r>
          </w:p>
        </w:tc>
      </w:tr>
      <w:tr>
        <w:trPr/>
        <w:tc>
          <w:tcPr>
            <w:tcW w:w="1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7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Fourth fiscal quarter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0.12</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Third fiscal quarter</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0.12</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Second fiscal quarter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0.12</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First fiscal quarter</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0.12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2026, we have paid 51 consecutive quarterly dividends on our common stock. In September 2026, the Company declared a $0.12 per share dividend payable on September 30, 2026. Any future determination with regard to the payment of dividends will be at the discretion of the Board of Directors and will be dependent upon our future earnings, financial condition, results of operations, applicable dividend restrictions, capital requirements, and other factors deemed relevant by the Board of Directors.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Securities Authorized For Issuance Under Equity Compensation Plans</w:t>
      </w:r>
    </w:p>
    <w:p>
      <w:pPr>
        <w:pStyle w:val="TextBody"/>
        <w:bidi w:val="0"/>
        <w:spacing w:before="0" w:after="240"/>
        <w:ind w:left="0" w:right="0" w:hanging="0"/>
        <w:jc w:val="left"/>
        <w:rPr/>
      </w:pPr>
      <w:r>
        <w:rPr/>
        <w:t>​</w:t>
      </w:r>
    </w:p>
    <w:tbl>
      <w:tblPr>
        <w:tblW w:w="9921" w:type="dxa"/>
        <w:jc w:val="left"/>
        <w:tblInd w:w="0" w:type="dxa"/>
        <w:tblLayout w:type="fixed"/>
        <w:tblCellMar>
          <w:top w:w="0" w:type="dxa"/>
          <w:left w:w="0" w:type="dxa"/>
          <w:bottom w:w="0" w:type="dxa"/>
          <w:right w:w="0" w:type="dxa"/>
        </w:tblCellMar>
      </w:tblPr>
      <w:tblGrid>
        <w:gridCol w:w="4396"/>
        <w:gridCol w:w="346"/>
        <w:gridCol w:w="1231"/>
        <w:gridCol w:w="346"/>
        <w:gridCol w:w="547"/>
        <w:gridCol w:w="968"/>
        <w:gridCol w:w="346"/>
        <w:gridCol w:w="1741"/>
      </w:tblGrid>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left"/>
              <w:rPr/>
            </w:pPr>
            <w:r>
              <w:rPr/>
              <w:t>​</w:t>
            </w:r>
          </w:p>
        </w:tc>
        <w:tc>
          <w:tcPr>
            <w:tcW w:w="9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left"/>
              <w:rPr/>
            </w:pPr>
            <w:r>
              <w:rPr/>
              <w:t>​</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4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left"/>
              <w:rPr/>
            </w:pPr>
            <w:r>
              <w:rPr/>
              <w:t>​</w:t>
            </w:r>
          </w:p>
        </w:tc>
        <w:tc>
          <w:tcPr>
            <w:tcW w:w="96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 securities</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securities to</w:t>
            </w:r>
          </w:p>
        </w:tc>
        <w:tc>
          <w:tcPr>
            <w:tcW w:w="34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left"/>
              <w:rPr/>
            </w:pPr>
            <w:r>
              <w:rPr/>
              <w:t>​</w:t>
            </w:r>
          </w:p>
        </w:tc>
        <w:tc>
          <w:tcPr>
            <w:tcW w:w="9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remaining</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be issued</w:t>
            </w:r>
          </w:p>
        </w:tc>
        <w:tc>
          <w:tcPr>
            <w:tcW w:w="34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Weighted-average</w:t>
            </w:r>
          </w:p>
        </w:tc>
        <w:tc>
          <w:tcPr>
            <w:tcW w:w="34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available for future</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upon exercise</w:t>
            </w:r>
          </w:p>
        </w:tc>
        <w:tc>
          <w:tcPr>
            <w:tcW w:w="34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exercise</w:t>
            </w:r>
          </w:p>
        </w:tc>
        <w:tc>
          <w:tcPr>
            <w:tcW w:w="34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issuance under</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outstanding</w:t>
            </w:r>
          </w:p>
        </w:tc>
        <w:tc>
          <w:tcPr>
            <w:tcW w:w="34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price of</w:t>
            </w:r>
          </w:p>
        </w:tc>
        <w:tc>
          <w:tcPr>
            <w:tcW w:w="34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equity compensation</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options,</w:t>
            </w:r>
          </w:p>
        </w:tc>
        <w:tc>
          <w:tcPr>
            <w:tcW w:w="34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outstanding</w:t>
            </w:r>
          </w:p>
        </w:tc>
        <w:tc>
          <w:tcPr>
            <w:tcW w:w="34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plans (excluding</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warrants and</w:t>
            </w:r>
          </w:p>
        </w:tc>
        <w:tc>
          <w:tcPr>
            <w:tcW w:w="34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Options, warrants</w:t>
            </w:r>
          </w:p>
        </w:tc>
        <w:tc>
          <w:tcPr>
            <w:tcW w:w="34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securities reflected</w:t>
            </w:r>
          </w:p>
        </w:tc>
      </w:tr>
      <w:tr>
        <w:trPr/>
        <w:tc>
          <w:tcPr>
            <w:tcW w:w="43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Plan category</w:t>
            </w:r>
          </w:p>
        </w:tc>
        <w:tc>
          <w:tcPr>
            <w:tcW w:w="346" w:type="dxa"/>
            <w:tcBorders/>
            <w:vAlign w:val="center"/>
          </w:tcPr>
          <w:p>
            <w:pPr>
              <w:pStyle w:val="TableContents"/>
              <w:bidi w:val="0"/>
              <w:spacing w:before="0" w:after="1"/>
              <w:ind w:left="0" w:right="0" w:hanging="0"/>
              <w:jc w:val="left"/>
              <w:rPr/>
            </w:pPr>
            <w:r>
              <w:rPr/>
              <w:t>  ​ ​ ​</w:t>
            </w:r>
          </w:p>
        </w:tc>
        <w:tc>
          <w:tcPr>
            <w:tcW w:w="12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rights (a)</w:t>
            </w:r>
          </w:p>
        </w:tc>
        <w:tc>
          <w:tcPr>
            <w:tcW w:w="346" w:type="dxa"/>
            <w:tcBorders/>
            <w:vAlign w:val="center"/>
          </w:tcPr>
          <w:p>
            <w:pPr>
              <w:pStyle w:val="TableContents"/>
              <w:bidi w:val="0"/>
              <w:spacing w:before="0" w:after="1"/>
              <w:ind w:left="0" w:right="0" w:hanging="0"/>
              <w:jc w:val="left"/>
              <w:rPr/>
            </w:pPr>
            <w:r>
              <w:rPr/>
              <w:t>  ​ ​ ​</w:t>
            </w:r>
          </w:p>
        </w:tc>
        <w:tc>
          <w:tcPr>
            <w:tcW w:w="15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and rights (b)</w:t>
            </w:r>
          </w:p>
        </w:tc>
        <w:tc>
          <w:tcPr>
            <w:tcW w:w="346" w:type="dxa"/>
            <w:tcBorders/>
            <w:vAlign w:val="center"/>
          </w:tcPr>
          <w:p>
            <w:pPr>
              <w:pStyle w:val="TableContents"/>
              <w:bidi w:val="0"/>
              <w:spacing w:before="0" w:after="1"/>
              <w:ind w:left="0" w:right="0" w:hanging="0"/>
              <w:jc w:val="left"/>
              <w:rPr/>
            </w:pPr>
            <w:r>
              <w:rPr/>
              <w:t>  ​ ​ ​</w:t>
            </w:r>
          </w:p>
        </w:tc>
        <w:tc>
          <w:tcPr>
            <w:tcW w:w="17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 column (a))(1)</w:t>
            </w:r>
          </w:p>
        </w:tc>
      </w:tr>
      <w:tr>
        <w:trPr/>
        <w:tc>
          <w:tcPr>
            <w:tcW w:w="4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left"/>
              <w:rPr/>
            </w:pPr>
            <w:r>
              <w:rPr/>
              <w:t>​</w:t>
            </w:r>
          </w:p>
        </w:tc>
        <w:tc>
          <w:tcPr>
            <w:tcW w:w="9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left"/>
              <w:rPr/>
            </w:pPr>
            <w:r>
              <w:rPr/>
              <w:t>​</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Equity compensation plans approved by security holders:</w:t>
            </w:r>
          </w:p>
        </w:tc>
        <w:tc>
          <w:tcPr>
            <w:tcW w:w="346" w:type="dxa"/>
            <w:tcBorders/>
            <w:shd w:fill="CCEEFF" w:val="clear"/>
            <w:vAlign w:val="center"/>
          </w:tcPr>
          <w:p>
            <w:pPr>
              <w:pStyle w:val="TableContents"/>
              <w:bidi w:val="0"/>
              <w:spacing w:before="0" w:after="1"/>
              <w:ind w:left="0" w:right="0" w:hanging="0"/>
              <w:jc w:val="left"/>
              <w:rPr/>
            </w:pPr>
            <w:r>
              <w:rPr/>
              <w:t>​</w:t>
            </w:r>
          </w:p>
        </w:tc>
        <w:tc>
          <w:tcPr>
            <w:tcW w:w="12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47" w:type="dxa"/>
            <w:tcBorders/>
            <w:shd w:fill="CCEEFF" w:val="clear"/>
            <w:vAlign w:val="center"/>
          </w:tcPr>
          <w:p>
            <w:pPr>
              <w:pStyle w:val="TableContents"/>
              <w:bidi w:val="0"/>
              <w:spacing w:before="0" w:after="1"/>
              <w:ind w:left="0" w:right="0" w:hanging="0"/>
              <w:jc w:val="left"/>
              <w:rPr/>
            </w:pPr>
            <w:r>
              <w:rPr/>
              <w:t>​</w:t>
            </w:r>
          </w:p>
        </w:tc>
        <w:tc>
          <w:tcPr>
            <w:tcW w:w="96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41" w:type="dxa"/>
            <w:tcBorders/>
            <w:shd w:fill="CCEEFF" w:val="clear"/>
            <w:vAlign w:val="center"/>
          </w:tcPr>
          <w:p>
            <w:pPr>
              <w:pStyle w:val="TableContents"/>
              <w:bidi w:val="0"/>
              <w:spacing w:before="0" w:after="1"/>
              <w:ind w:left="0" w:right="0" w:hanging="0"/>
              <w:jc w:val="left"/>
              <w:rPr/>
            </w:pPr>
            <w:r>
              <w:rPr/>
              <w:t>​</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Outstanding options</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right"/>
              <w:rPr/>
            </w:pPr>
            <w:r>
              <w:rPr/>
              <w:t>​</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Outstanding contingent rights to shares</w:t>
            </w:r>
          </w:p>
        </w:tc>
        <w:tc>
          <w:tcPr>
            <w:tcW w:w="346" w:type="dxa"/>
            <w:tcBorders/>
            <w:shd w:fill="CCEEFF" w:val="clear"/>
            <w:vAlign w:val="center"/>
          </w:tcPr>
          <w:p>
            <w:pPr>
              <w:pStyle w:val="TableContents"/>
              <w:bidi w:val="0"/>
              <w:spacing w:before="0" w:after="1"/>
              <w:ind w:left="0" w:right="0" w:hanging="0"/>
              <w:jc w:val="left"/>
              <w:rPr/>
            </w:pPr>
            <w:r>
              <w:rPr/>
              <w:t>​</w:t>
            </w:r>
          </w:p>
        </w:tc>
        <w:tc>
          <w:tcPr>
            <w:tcW w:w="12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140,479</w:t>
            </w:r>
          </w:p>
        </w:tc>
        <w:tc>
          <w:tcPr>
            <w:tcW w:w="34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sz w:val="18"/>
              </w:rPr>
              <w:t>​</w:t>
            </w:r>
          </w:p>
        </w:tc>
        <w:tc>
          <w:tcPr>
            <w:tcW w:w="5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140,479</w:t>
            </w:r>
          </w:p>
        </w:tc>
        <w:tc>
          <w:tcPr>
            <w:tcW w:w="34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left"/>
              <w:rPr/>
            </w:pPr>
            <w:r>
              <w:rPr/>
              <w:t>​</w:t>
            </w:r>
          </w:p>
        </w:tc>
        <w:tc>
          <w:tcPr>
            <w:tcW w:w="96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2,061,776</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Equity compensation plans not approved by security holders</w:t>
            </w:r>
          </w:p>
        </w:tc>
        <w:tc>
          <w:tcPr>
            <w:tcW w:w="346" w:type="dxa"/>
            <w:tcBorders/>
            <w:shd w:fill="CCEEFF" w:val="clear"/>
            <w:vAlign w:val="center"/>
          </w:tcPr>
          <w:p>
            <w:pPr>
              <w:pStyle w:val="TableContents"/>
              <w:bidi w:val="0"/>
              <w:spacing w:before="0" w:after="1"/>
              <w:ind w:left="0" w:right="0" w:hanging="0"/>
              <w:jc w:val="left"/>
              <w:rPr/>
            </w:pPr>
            <w:r>
              <w:rPr/>
              <w:t>​</w:t>
            </w:r>
          </w:p>
        </w:tc>
        <w:tc>
          <w:tcPr>
            <w:tcW w:w="12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w:t>
            </w:r>
          </w:p>
        </w:tc>
        <w:tc>
          <w:tcPr>
            <w:tcW w:w="346" w:type="dxa"/>
            <w:tcBorders/>
            <w:vAlign w:val="center"/>
          </w:tcPr>
          <w:p>
            <w:pPr>
              <w:pStyle w:val="TableContents"/>
              <w:bidi w:val="0"/>
              <w:spacing w:before="0" w:after="1"/>
              <w:ind w:left="0" w:right="0" w:hanging="0"/>
              <w:jc w:val="left"/>
              <w:rPr/>
            </w:pPr>
            <w:r>
              <w:rPr/>
              <w:t>​</w:t>
            </w:r>
          </w:p>
        </w:tc>
        <w:tc>
          <w:tcPr>
            <w:tcW w:w="12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140,479</w:t>
            </w:r>
          </w:p>
        </w:tc>
        <w:tc>
          <w:tcPr>
            <w:tcW w:w="346" w:type="dxa"/>
            <w:tcBorders/>
            <w:vAlign w:val="center"/>
          </w:tcPr>
          <w:p>
            <w:pPr>
              <w:pStyle w:val="TableContents"/>
              <w:bidi w:val="0"/>
              <w:spacing w:before="0" w:after="1"/>
              <w:ind w:left="0" w:right="0" w:hanging="0"/>
              <w:jc w:val="left"/>
              <w:rPr/>
            </w:pPr>
            <w:r>
              <w:rPr/>
              <w:t>​</w:t>
            </w:r>
          </w:p>
        </w:tc>
        <w:tc>
          <w:tcPr>
            <w:tcW w:w="54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8"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2,061,776</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i/>
                <w:sz w:val="18"/>
              </w:rPr>
            </w:pPr>
            <w:r>
              <w:rPr>
                <w:rFonts w:ascii="Times New Roman;Times;serif" w:hAnsi="Times New Roman;Times;serif"/>
                <w:i/>
                <w:sz w:val="18"/>
              </w:rPr>
              <w:t>(1)</w:t>
            </w:r>
          </w:p>
        </w:tc>
        <w:tc>
          <w:tcPr>
            <w:tcW w:w="9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Evolution Petroleum Corporation Amended and Restated Equity Incentive Plan (the “Amended and Restated Plan”) authorizes the issuance of 5.7 million shares of common stock. The duration of the Amended and Restated Plan is indefinite, provided that no new awards shall be made under the Amended and Restated Plan on or after December 5, 2034. As of June 30, 2026, we have granted 3.6 million equity awards under the 2016 Plan and 2.1 million shares of common stock remain available for future grants.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None.</w:t>
      </w:r>
    </w:p>
    <w:p>
      <w:pPr>
        <w:pStyle w:val="TextBody"/>
        <w:bidi w:val="0"/>
        <w:spacing w:before="0" w:after="0"/>
        <w:ind w:left="0" w:right="0" w:hanging="0"/>
        <w:jc w:val="left"/>
        <w:rPr>
          <w:rFonts w:ascii="Times New Roman;Times;serif" w:hAnsi="Times New Roman;Times;serif"/>
          <w:b/>
          <w:sz w:val="20"/>
        </w:rPr>
      </w:pPr>
      <w:bookmarkStart w:id="67" w:name="Item6Reserved_942928"/>
      <w:bookmarkStart w:id="68" w:name="_9cd14f7e_f484_4d84_8fed_fa97b50591fc"/>
      <w:bookmarkEnd w:id="67"/>
      <w:bookmarkEnd w:id="68"/>
      <w:r>
        <w:rPr>
          <w:rFonts w:ascii="Times New Roman;Times;serif" w:hAnsi="Times New Roman;Times;serif"/>
          <w:b/>
          <w:sz w:val="20"/>
        </w:rPr>
        <w:t>Item 6. Reserved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9" w:name="Item7ManagementsDiscussionandAnalysisofF"/>
      <w:bookmarkStart w:id="70" w:name="_21adc53e_0242_4da5_b0cc_6be28ccdf6ec"/>
      <w:bookmarkEnd w:id="69"/>
      <w:bookmarkEnd w:id="70"/>
      <w:r>
        <w:rPr>
          <w:rFonts w:ascii="Times New Roman;Times;serif" w:hAnsi="Times New Roman;Times;serif"/>
          <w:b/>
          <w:sz w:val="20"/>
        </w:rPr>
        <w:t>Item 7. Management’s Discussion and Analysis of Financial Condition and Results of Operations</w:t>
      </w:r>
    </w:p>
    <w:p>
      <w:pPr>
        <w:pStyle w:val="TextBody"/>
        <w:bidi w:val="0"/>
        <w:spacing w:before="0" w:after="240"/>
        <w:ind w:left="720" w:right="0" w:hanging="0"/>
        <w:jc w:val="left"/>
        <w:rPr/>
      </w:pPr>
      <w:hyperlink w:anchor="ExecutiveOverview_460502">
        <w:r>
          <w:rPr>
            <w:rStyle w:val="InternetLink"/>
            <w:rFonts w:ascii="Times New Roman;Times;serif" w:hAnsi="Times New Roman;Times;serif"/>
            <w:b w:val="false"/>
            <w:i w:val="false"/>
            <w:caps w:val="false"/>
            <w:smallCaps w:val="false"/>
            <w:sz w:val="20"/>
          </w:rPr>
          <w:t>Executive Overview</w:t>
        </w:r>
      </w:hyperlink>
    </w:p>
    <w:p>
      <w:pPr>
        <w:pStyle w:val="TextBody"/>
        <w:bidi w:val="0"/>
        <w:spacing w:before="0" w:after="240"/>
        <w:ind w:left="720" w:right="0" w:hanging="0"/>
        <w:jc w:val="left"/>
        <w:rPr/>
      </w:pPr>
      <w:hyperlink w:anchor="LiquidityandCapitalResources_195255">
        <w:r>
          <w:rPr>
            <w:rStyle w:val="InternetLink"/>
            <w:rFonts w:ascii="Times New Roman;Times;serif" w:hAnsi="Times New Roman;Times;serif"/>
            <w:b w:val="false"/>
            <w:i w:val="false"/>
            <w:caps w:val="false"/>
            <w:smallCaps w:val="false"/>
            <w:sz w:val="20"/>
          </w:rPr>
          <w:t>Liquidity and Capital Resources</w:t>
        </w:r>
      </w:hyperlink>
    </w:p>
    <w:p>
      <w:pPr>
        <w:pStyle w:val="TextBody"/>
        <w:bidi w:val="0"/>
        <w:spacing w:before="0" w:after="240"/>
        <w:ind w:left="720" w:right="0" w:hanging="0"/>
        <w:jc w:val="left"/>
        <w:rPr/>
      </w:pPr>
      <w:hyperlink w:anchor="ResultsofOperations_203032">
        <w:r>
          <w:rPr>
            <w:rStyle w:val="InternetLink"/>
            <w:rFonts w:ascii="Times New Roman;Times;serif" w:hAnsi="Times New Roman;Times;serif"/>
            <w:b w:val="false"/>
            <w:i w:val="false"/>
            <w:caps w:val="false"/>
            <w:smallCaps w:val="false"/>
            <w:sz w:val="20"/>
          </w:rPr>
          <w:t>Results of Operations</w:t>
        </w:r>
      </w:hyperlink>
    </w:p>
    <w:p>
      <w:pPr>
        <w:pStyle w:val="TextBody"/>
        <w:bidi w:val="0"/>
        <w:spacing w:before="0" w:after="240"/>
        <w:ind w:left="720" w:right="0" w:hanging="0"/>
        <w:jc w:val="left"/>
        <w:rPr/>
      </w:pPr>
      <w:hyperlink w:anchor="CriticalAccountingPoliciesandEstimates_6">
        <w:r>
          <w:rPr>
            <w:rStyle w:val="InternetLink"/>
            <w:rFonts w:ascii="Times New Roman;Times;serif" w:hAnsi="Times New Roman;Times;serif"/>
            <w:b w:val="false"/>
            <w:i w:val="false"/>
            <w:caps w:val="false"/>
            <w:smallCaps w:val="false"/>
            <w:sz w:val="20"/>
          </w:rPr>
          <w:t>Critical Accounting Policies and Estimates</w:t>
        </w:r>
      </w:hyperlink>
    </w:p>
    <w:p>
      <w:pPr>
        <w:pStyle w:val="TextBody"/>
        <w:bidi w:val="0"/>
        <w:spacing w:before="0" w:after="240"/>
        <w:ind w:left="0" w:right="0" w:hanging="0"/>
        <w:jc w:val="center"/>
        <w:rPr>
          <w:rFonts w:ascii="Times New Roman;Times;serif" w:hAnsi="Times New Roman;Times;serif"/>
          <w:b/>
          <w:sz w:val="20"/>
        </w:rPr>
      </w:pPr>
      <w:bookmarkStart w:id="71" w:name="ExecutiveOverview_460502"/>
      <w:bookmarkEnd w:id="71"/>
      <w:r>
        <w:rPr>
          <w:rFonts w:ascii="Times New Roman;Times;serif" w:hAnsi="Times New Roman;Times;serif"/>
          <w:b/>
          <w:sz w:val="20"/>
        </w:rPr>
        <w:t>Executive Overview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We are an independent energy company focused on acquiring and developing long-lived oil and natural gas properties in the United States. Our diversified portfolio consists primarily of non-operated working interests and mineral and royalty interests across several leading producing basins.</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Our non-operated model allows us to invest alongside experienced operators, participate in a broad range of development opportunities and maintain flexibility in the timing and allocation of capital. Our mineral and royalty interests provide additional exposure to production and future development, generally without associated lifting expenses or drilling and completions costs. </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geographic, commodity, operator and ownership diversity of our asset base reduces our reliance on any single property, basin or development program. It also provides multiple avenues for allocating capital, including acquiring producing working and mineral interests, participating in and benefiting from attractive operator-led projects and pursuing development opportunities within our existing assets.</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We seek to maximize total shareholder value through disciplined acquisitions, selective participation in attractive development projects, a conservative balance sheet and the return of capital to shareholders.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oil and natural gas properties consist primarily of non-operated working and mineral </w:t>
      </w:r>
      <w:r>
        <w:rPr>
          <w:rFonts w:ascii="Times New Roman;Times;serif" w:hAnsi="Times New Roman;Times;serif"/>
          <w:color w:val="333333"/>
          <w:sz w:val="20"/>
        </w:rPr>
        <w:t xml:space="preserve">interests in the following areas (as well as </w:t>
      </w:r>
      <w:r>
        <w:rPr>
          <w:rFonts w:ascii="Times New Roman;Times;serif" w:hAnsi="Times New Roman;Times;serif"/>
          <w:sz w:val="20"/>
        </w:rPr>
        <w:t>small overriding royalty and mineral interests in Texas):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non-operated working and mineral interests in the SCOOP and STACK plays, consist of oil and natural gas producing properties in the Anadarko basin, where we hold an approximate 2.6% average net working interest with an associated 2.0% average net revenue interest located on approximately 101,100 gross (4,000 net) acres (all held by production) and a separate approximate 0.6% average net royalty interests located on approximately 8,600 gross (1,800 net) royalty acres across Blaine, Canadian, Carter, Custer, Dewey, Garvin, Grady, Kingfisher, McClain, Murray, and Stephens counties in Oklahoma. The oil and natural gas properties are primarily operated by Continental Resources, Inc., Ovintiv USA Inc., Validus Energy, and EOG Resources, Inc. with approximately 34% of wells operated by other operators.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non-operated working interests in the Chaveroo Field consist of a 50% net working interest, with an average associated 41% average net revenue interest, in approximately 4,500 gross (2,300 net) acres all held by production, associated with six development blocks, with the right to acquire the same working interest in additional development locations and associated acreage at a fixed price. The field is operated by PEDEVCO Corp. (“PEDEVCO”).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non-operated working interests in the Jonah Field, a natural gas and NGL property in Sublette County, Wyoming, consist of approximately 20% average net working interest and approximately 15% average net revenue interest located on approximately 5,300 gross (950 net) acres all held by production. The properties are operated by Jonah Energy.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non-operated working interests in the Williston Basin, an oil and natural gas producing property, consist of approximately 39% average net working interest and approximately 33% average net revenue interest located on approximately 133,800 gross (40,100 net) acres (approximately 99% held by production) across Billings, Golden Valley, and McKenzie Counties in North Dakota. The properties are operated by Foundation Energy Management.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non-operated working and overriding royalty interests in the Barnett Shale, a natural gas and NGL producing shale reservoir, consist of approximately 17% average net working interest and approximately 14% average net revenue interest (inclusive of the overriding royalty interests). The approximately 123,800 gross (21,000 net) acres are held by production across nine North Texas counties. The oil and natural gas properties are primarily operated by Diversified Energy Company, until sold to Eagleridge Operating, LLC in June 2026, with approximately 19% of wells operated by five other operators.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non-operated working interests in the Hamilton Dome Field, a secondary recovery field utilizing water injection wells to pressurize the reservoir, consist of approximately 24% average net working interest, with an associated 20% average net revenue interest (inclusive of a small overriding royalty interest). The 5,900 gross acre unitized field, of which we hold approximately 1,400 net acres, is operated by Merit Energy Company, who owns the majority of the remaining working interest in the Hamilton Dome Field. The Hamilton Dome Field is located in the southwest region of the Big Horn Basin in northwest Wyoming.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Our non-operated working and overriding royalty interests in the Delhi Field, a CO</w:t>
            </w:r>
            <w:r>
              <w:rPr>
                <w:rFonts w:ascii="Times New Roman;Times;serif" w:hAnsi="Times New Roman;Times;serif"/>
                <w:b w:val="false"/>
                <w:i w:val="false"/>
                <w:caps w:val="false"/>
                <w:smallCaps w:val="false"/>
                <w:sz w:val="15"/>
              </w:rPr>
              <w:t>2</w:t>
            </w:r>
            <w:r>
              <w:rPr>
                <w:rFonts w:ascii="Times New Roman;Times;serif" w:hAnsi="Times New Roman;Times;serif"/>
                <w:b w:val="false"/>
                <w:i w:val="false"/>
                <w:caps w:val="false"/>
                <w:smallCaps w:val="false"/>
                <w:sz w:val="20"/>
              </w:rPr>
              <w:t xml:space="preserve">-EOR project, consist of approximately 24% average net working interest, with an associated 19% average net revenue interest and separate overriding royalty and mineral interests of approximately 7% yielding a total average net revenue interest of approximately 26%. The field is operated by Denbury Onshore LLC, a subsidiary of Exxon Mobil Corporation. The Delhi Field is comprised of 13,600 gross unitized acres, of which we hold approximately 3,200 net acres, and is located in northeast Louisiana in Franklin, Madison, and Richland Parishes.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mineral and royalty interest in the Haynesville/Bossier Shale, consists of a mix of natural gas producing wells, drilled but not yet producing wells, and proved undeveloped acreage with an approximate average 0.3% net royalty interest. Our mineral and royalty interest span across an approximate 3,600 gross (465 net) acres located in Bossier, Caddo, DeSoto, Red River and Sabine parishes in Louisiana.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non-operated working interest in TexMex consists of oil and natural gas producing properties where we hold an approximate 42% net working interest and 35% average net revenue interest located on approximately 27,800 gross (11,200 net) acres (all held by production) primarily in Lea, Eddy, and Chaves Counties, New Mexico and Stephens County, Texas. The oil and natural gas properties are operated by Texian Operating Company.</w:t>
            </w:r>
          </w:p>
        </w:tc>
      </w:tr>
    </w:tbl>
    <w:p>
      <w:pPr>
        <w:pStyle w:val="TextBody"/>
        <w:bidi w:val="0"/>
        <w:spacing w:lineRule="auto" w:line="343" w:before="0" w:after="0"/>
        <w:ind w:left="0" w:right="0" w:hanging="0"/>
        <w:jc w:val="both"/>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lineRule="auto" w:line="343" w:before="0" w:after="0"/>
        <w:ind w:left="0" w:right="0" w:hanging="0"/>
        <w:jc w:val="both"/>
        <w:rPr/>
      </w:pPr>
      <w:r>
        <w:rPr/>
        <w:t>​</w:t>
      </w:r>
    </w:p>
    <w:p>
      <w:pPr>
        <w:pStyle w:val="TextBody"/>
        <w:bidi w:val="0"/>
        <w:spacing w:lineRule="auto" w:line="343" w:before="0" w:after="0"/>
        <w:ind w:left="0" w:right="0" w:hanging="0"/>
        <w:jc w:val="left"/>
        <w:rPr>
          <w:rFonts w:ascii="Times New Roman;Times;serif" w:hAnsi="Times New Roman;Times;serif"/>
          <w:b/>
          <w:i/>
          <w:sz w:val="20"/>
        </w:rPr>
      </w:pPr>
      <w:r>
        <w:rPr>
          <w:rFonts w:ascii="Times New Roman;Times;serif" w:hAnsi="Times New Roman;Times;serif"/>
          <w:b/>
          <w:i/>
          <w:sz w:val="20"/>
        </w:rPr>
        <w:t>Dividend Declaration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September 10, 2026, Evolution’s Board of Directors approved and declared a quarterly dividend of $0.12 per common share payable September 30, 2026.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Purchase of Permian Minerals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August 20, 2026, we completed the acquisition of mineral and royalty interests in the core Midland Basin of the Permian Basin from a non-affiliated private seller for a total purchase price of $16.0 million (the “Permian Minerals Acquisition”), subject to customary post-closing adjustments. The Permian Minerals Acquisition has an effective date of August 1, 2026. We funded the purchase price for the Permian Minerals Acquisition with a combination of net proceeds from our concurrent public equity offering and $3.2 million in borrowings under our Senior Secured Credit Facility. The acquired assets include approximately 3,420 net royalty acres across Reagan, Martin, Midland, Glasscock, and Upton Counties, Texas.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Common Stock Offering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August 20, 2026, we completed a public offering of 4.3 million shares of our common stock, at an offering price of $3.25 per share (the “Offering”). We received net proceeds of approximately $12.8 million from the Offering, after deducting underwriting discounts and commissions and estimated offering expenses. Net proceeds from the Offering, together with borrowings under our Senior Secured Credit Facility and cash on hand, were used to fund the Permian Minerals Acquisition. </w:t>
      </w:r>
    </w:p>
    <w:p>
      <w:pPr>
        <w:pStyle w:val="TextBody"/>
        <w:bidi w:val="0"/>
        <w:spacing w:before="280" w:after="240"/>
        <w:ind w:left="0" w:right="0" w:hanging="0"/>
        <w:jc w:val="left"/>
        <w:rPr>
          <w:rFonts w:ascii="TimesNewRomanRegular" w:hAnsi="TimesNewRomanRegular"/>
          <w:b/>
          <w:i/>
          <w:sz w:val="20"/>
        </w:rPr>
      </w:pPr>
      <w:r>
        <w:rPr>
          <w:rFonts w:ascii="TimesNewRomanRegular" w:hAnsi="TimesNewRomanRegular"/>
          <w:b/>
          <w:i/>
          <w:sz w:val="20"/>
        </w:rPr>
        <w:t>Senior Secured Credit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August 20, 2026, we entered into a letter agreement with MidFirst Bank pursuant to which the borrowing base on our Senior Secured Credit Facility was temporarily increased from $65.0 million to $73.0 million from August 20, 2026 until October 20, 2026, unless redetermined earlier in accordance with the credit agreement. We currently expect to begin our semi-annual Fall redetermination on or about October 1,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Previously on November 28, 2025, we entered into a letter agreement with MidFirst Bank pursuant to which the Margined Collateral Value, as defined under the Senior Secured Credit Facility, was modified to $65.0 million. In addition, it granted us additional time to enter into further commodity hedges to meet the hedging requirements under the Senior Secured Credit Facility.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Purchase of Louisiana Minerals</w:t>
      </w:r>
    </w:p>
    <w:p>
      <w:pPr>
        <w:pStyle w:val="TextBody"/>
        <w:bidi w:val="0"/>
        <w:spacing w:before="0" w:after="240"/>
        <w:ind w:left="0" w:right="0" w:hanging="0"/>
        <w:jc w:val="left"/>
        <w:rPr>
          <w:rFonts w:ascii="TimesNewRomanRegular" w:hAnsi="TimesNewRomanRegular"/>
          <w:sz w:val="20"/>
        </w:rPr>
      </w:pPr>
      <w:r>
        <w:rPr>
          <w:rFonts w:ascii="TimesNewRomanRegular" w:hAnsi="TimesNewRomanRegular"/>
          <w:sz w:val="20"/>
        </w:rPr>
        <w:t>From December 2025 through June 2026, we acquired mineral and royalty interests in multiple parishes across Louisiana from various private sellers for cash consideration totaling $6.2 million, including capitalized direct transaction costs (“Louisiana Minerals”). The mineral acreage in Louisiana consists of proved producing wells, drilled but not yet producing wells, and undeveloped acreage targeting the Bossier/Haynesville Shales and is currently being actively developed by operators in the area. The acquisitions were considered asset acquisitions and funded with cash on hand and sales from our ATM Sales Agreements.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SCOOP/STACK Minerals Transactions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August 4, 2025, we completed the acquisition of certain mineral and royalty interests in the SCOOP and STACK plays in Oklahoma from a non-affiliated private seller (the “SCOOP/STACK Minerals Acquisition”) in a cash transaction valued at approximately $16.3 million, which includes $17.0 million paid at closing less transaction costs of $0.1 million and interim purchase price adjustments totaling approximately $0.8 million related to net cash flows earned on the properties from the effective date of May 1, 2025 to the closing date. We accounted for the transaction as an asset acquisition and the allocation of the purchase price was $12.5 million to proved oil and natural gas properties, subject to amortization, and $3.8 million to unproved properties. </w:t>
      </w:r>
      <w:r>
        <w:rPr>
          <w:rFonts w:ascii="Times New Roman;Times;serif" w:hAnsi="Times New Roman;Times;serif"/>
          <w:color w:val="212529"/>
          <w:sz w:val="20"/>
          <w:shd w:fill="FFFFFF" w:val="clear"/>
        </w:rPr>
        <w:t xml:space="preserve">We funded the purchase price for the SCOOP/STACK Minerals Acquisition with a combination of $15.0 million in borrowings under our Senior Secured Credit Facility and cash on hand. </w:t>
      </w:r>
      <w:r>
        <w:rPr>
          <w:rFonts w:ascii="Times New Roman;Times;serif" w:hAnsi="Times New Roman;Times;serif"/>
          <w:sz w:val="20"/>
        </w:rPr>
        <w:t xml:space="preserve">The acquired assets include </w:t>
      </w:r>
      <w:r>
        <w:rPr>
          <w:rFonts w:ascii="Times New Roman;Times;serif" w:hAnsi="Times New Roman;Times;serif"/>
          <w:sz w:val="20"/>
          <w:shd w:fill="FFFFFF" w:val="clear"/>
        </w:rPr>
        <w:t xml:space="preserve">an average royalty interest of 0.6% across </w:t>
      </w:r>
      <w:r>
        <w:rPr>
          <w:rFonts w:ascii="Times New Roman;Times;serif" w:hAnsi="Times New Roman;Times;serif"/>
          <w:sz w:val="20"/>
        </w:rPr>
        <w:t xml:space="preserve">approximately 5,500 net royalty acres located primarily in Grady and Canadian Counties, Oklahoma.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June 30 2026, we completed the divestiture of a portion of our non-core, non-producing net mineral acres in the SCOOP/STACK with a private buyer. The acreage sold was 3,700 net acres for a total sale price of approximately $3.1 million, before customary post-closing adjustments.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At-the-Market (“ATM”) Equity Sales Program</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color w:val="212529"/>
          <w:sz w:val="20"/>
          <w:shd w:fill="FFFFFF" w:val="clear"/>
        </w:rPr>
        <w:t>On October 21, 2024, we entered into an ATM equity Sales Agreement with Roth Capital Partners, LLC (the “Lead Agent”), Northland Securities Inc., and A.G.P./Alliance Global Partners pursuant to which we may issue and sell, from time to time, up to $30.0 million of shares of common stock through or to the Lead Agent, acting as agent or principal</w:t>
      </w:r>
      <w:r>
        <w:rPr>
          <w:rFonts w:ascii="Times New Roman;Times;serif" w:hAnsi="Times New Roman;Times;serif"/>
          <w:sz w:val="20"/>
        </w:rPr>
        <w:t xml:space="preserve"> to facilitate acquisitions and other general corporate purposes. On February 11, 2026, the Company executed a new ATM equity Sales Agreement, substantially consistent with the original October 2024 agreement (the “ATM Sales Agreements”) restoring the $30.0 million common stock sales capacity</w:t>
      </w:r>
      <w:r>
        <w:rPr>
          <w:rFonts w:ascii="Times New Roman;Times;serif" w:hAnsi="Times New Roman;Times;serif"/>
          <w:color w:val="212529"/>
          <w:sz w:val="20"/>
          <w:shd w:fill="FFFFFF" w:val="clear"/>
        </w:rPr>
        <w:t xml:space="preserve">. For the year ended June 30, 2026, we sold a total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approximately 1.4 million shares of our common stock under the ATM Sales Agreements for net proceeds of approximately $5.8 million, net of $0.2 million of offering costs incurred. Net proceeds from the sales of common stock were used to fund a portion of our Louisiana Minerals acquisitions and for general corporate purposes, including to repay outstanding indebtedness.</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Proved Reserves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is a summary of our proved reserves as of June 30, 2026 and 2025:</w:t>
      </w:r>
    </w:p>
    <w:tbl>
      <w:tblPr>
        <w:tblW w:w="5703" w:type="dxa"/>
        <w:jc w:val="left"/>
        <w:tblInd w:w="0" w:type="dxa"/>
        <w:tblLayout w:type="fixed"/>
        <w:tblCellMar>
          <w:top w:w="0" w:type="dxa"/>
          <w:left w:w="0" w:type="dxa"/>
          <w:bottom w:w="0" w:type="dxa"/>
          <w:right w:w="0" w:type="dxa"/>
        </w:tblCellMar>
      </w:tblPr>
      <w:tblGrid>
        <w:gridCol w:w="2281"/>
        <w:gridCol w:w="346"/>
        <w:gridCol w:w="196"/>
        <w:gridCol w:w="511"/>
        <w:gridCol w:w="346"/>
        <w:gridCol w:w="109"/>
        <w:gridCol w:w="196"/>
        <w:gridCol w:w="511"/>
        <w:gridCol w:w="346"/>
        <w:gridCol w:w="109"/>
        <w:gridCol w:w="451"/>
        <w:gridCol w:w="301"/>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448435" cy="175260"/>
                      <wp:effectExtent l="0" t="0" r="0" b="0"/>
                      <wp:wrapNone/>
                      <wp:docPr id="108" name="Frame107"/>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09"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24460" cy="175260"/>
                      <wp:effectExtent l="0" t="0" r="0" b="0"/>
                      <wp:wrapNone/>
                      <wp:docPr id="110" name="Frame10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24485" cy="175260"/>
                      <wp:effectExtent l="0" t="0" r="0" b="0"/>
                      <wp:wrapNone/>
                      <wp:docPr id="111" name="Frame11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2"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9215" cy="175260"/>
                      <wp:effectExtent l="0" t="0" r="0" b="0"/>
                      <wp:wrapNone/>
                      <wp:docPr id="113" name="Frame1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24460" cy="175260"/>
                      <wp:effectExtent l="0" t="0" r="0" b="0"/>
                      <wp:wrapNone/>
                      <wp:docPr id="114" name="Frame1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24485" cy="175260"/>
                      <wp:effectExtent l="0" t="0" r="0" b="0"/>
                      <wp:wrapNone/>
                      <wp:docPr id="115" name="Frame11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16"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9215" cy="175260"/>
                      <wp:effectExtent l="0" t="0" r="0" b="0"/>
                      <wp:wrapNone/>
                      <wp:docPr id="117"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86385" cy="175260"/>
                      <wp:effectExtent l="0" t="0" r="0" b="0"/>
                      <wp:wrapNone/>
                      <wp:docPr id="118" name="Frame117"/>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91135" cy="175260"/>
                      <wp:effectExtent l="0" t="0" r="0" b="0"/>
                      <wp:wrapNone/>
                      <wp:docPr id="119" name="Frame118"/>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81"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w:t>
            </w:r>
          </w:p>
        </w:tc>
        <w:tc>
          <w:tcPr>
            <w:tcW w:w="196" w:type="dxa"/>
            <w:tcBorders/>
            <w:shd w:fill="FFFFFF" w:val="clear"/>
            <w:vAlign w:val="center"/>
          </w:tcPr>
          <w:p>
            <w:pPr>
              <w:pStyle w:val="TableContents"/>
              <w:bidi w:val="0"/>
              <w:spacing w:before="0" w:after="1"/>
              <w:ind w:left="0" w:right="0" w:hanging="0"/>
              <w:jc w:val="left"/>
              <w:rPr/>
            </w:pPr>
            <w:r>
              <w:rPr/>
              <w:t>​</w:t>
            </w:r>
          </w:p>
        </w:tc>
        <w:tc>
          <w:tcPr>
            <w:tcW w:w="511"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196" w:type="dxa"/>
            <w:tcBorders/>
            <w:shd w:fill="FFFFFF" w:val="clear"/>
            <w:vAlign w:val="center"/>
          </w:tcPr>
          <w:p>
            <w:pPr>
              <w:pStyle w:val="TableContents"/>
              <w:bidi w:val="0"/>
              <w:spacing w:before="0" w:after="1"/>
              <w:ind w:left="0" w:right="0" w:hanging="0"/>
              <w:jc w:val="left"/>
              <w:rPr/>
            </w:pPr>
            <w:r>
              <w:rPr/>
              <w:t>​</w:t>
            </w:r>
          </w:p>
        </w:tc>
        <w:tc>
          <w:tcPr>
            <w:tcW w:w="511"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451" w:type="dxa"/>
            <w:tcBorders/>
            <w:shd w:fill="FFFFFF" w:val="clear"/>
            <w:vAlign w:val="center"/>
          </w:tcPr>
          <w:p>
            <w:pPr>
              <w:pStyle w:val="TableContents"/>
              <w:bidi w:val="0"/>
              <w:spacing w:before="0" w:after="1"/>
              <w:ind w:left="0" w:right="0" w:hanging="0"/>
              <w:jc w:val="left"/>
              <w:rPr/>
            </w:pPr>
            <w:r>
              <w:rPr/>
              <w:t>​</w:t>
            </w:r>
          </w:p>
        </w:tc>
        <w:tc>
          <w:tcPr>
            <w:tcW w:w="301" w:type="dxa"/>
            <w:tcBorders/>
            <w:shd w:fill="FFFFFF" w:val="clear"/>
            <w:vAlign w:val="center"/>
          </w:tcPr>
          <w:p>
            <w:pPr>
              <w:pStyle w:val="TableContents"/>
              <w:bidi w:val="0"/>
              <w:spacing w:before="0" w:after="1"/>
              <w:ind w:left="0" w:right="0" w:hanging="0"/>
              <w:jc w:val="left"/>
              <w:rPr/>
            </w:pPr>
            <w:r>
              <w:rPr/>
              <w:t>​</w:t>
            </w:r>
          </w:p>
        </w:tc>
      </w:tr>
      <w:tr>
        <w:trPr/>
        <w:tc>
          <w:tcPr>
            <w:tcW w:w="2281"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w:t>
            </w:r>
          </w:p>
        </w:tc>
        <w:tc>
          <w:tcPr>
            <w:tcW w:w="1869" w:type="dxa"/>
            <w:gridSpan w:val="6"/>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Proved Reserves</w:t>
            </w:r>
          </w:p>
        </w:tc>
        <w:tc>
          <w:tcPr>
            <w:tcW w:w="346"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451" w:type="dxa"/>
            <w:tcBorders/>
            <w:shd w:fill="FFFFFF" w:val="clear"/>
            <w:vAlign w:val="center"/>
          </w:tcPr>
          <w:p>
            <w:pPr>
              <w:pStyle w:val="TableContents"/>
              <w:bidi w:val="0"/>
              <w:spacing w:before="0" w:after="1"/>
              <w:ind w:left="0" w:right="0" w:hanging="0"/>
              <w:jc w:val="left"/>
              <w:rPr/>
            </w:pPr>
            <w:r>
              <w:rPr/>
              <w:t>​</w:t>
            </w:r>
          </w:p>
        </w:tc>
        <w:tc>
          <w:tcPr>
            <w:tcW w:w="301" w:type="dxa"/>
            <w:tcBorders/>
            <w:shd w:fill="FFFFFF" w:val="clear"/>
            <w:vAlign w:val="center"/>
          </w:tcPr>
          <w:p>
            <w:pPr>
              <w:pStyle w:val="TableContents"/>
              <w:bidi w:val="0"/>
              <w:spacing w:before="0" w:after="1"/>
              <w:ind w:left="0" w:right="0" w:hanging="0"/>
              <w:jc w:val="left"/>
              <w:rPr/>
            </w:pPr>
            <w:r>
              <w:rPr/>
              <w:t>​</w:t>
            </w:r>
          </w:p>
        </w:tc>
      </w:tr>
      <w:tr>
        <w:trPr/>
        <w:tc>
          <w:tcPr>
            <w:tcW w:w="2281"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  ​ ​ ​</w:t>
            </w:r>
          </w:p>
        </w:tc>
        <w:tc>
          <w:tcPr>
            <w:tcW w:w="70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shd w:fill="FFFFFF" w:val="clear"/>
            <w:vAlign w:val="center"/>
          </w:tcPr>
          <w:p>
            <w:pPr>
              <w:pStyle w:val="TableContents"/>
              <w:bidi w:val="0"/>
              <w:spacing w:before="0" w:after="1"/>
              <w:ind w:left="0" w:right="0" w:hanging="0"/>
              <w:jc w:val="left"/>
              <w:rPr/>
            </w:pPr>
            <w:r>
              <w:rPr/>
              <w:t>  ​ ​ ​</w:t>
            </w:r>
          </w:p>
        </w:tc>
        <w:tc>
          <w:tcPr>
            <w:tcW w:w="109" w:type="dxa"/>
            <w:tcBorders/>
            <w:shd w:fill="FFFFFF" w:val="clear"/>
            <w:vAlign w:val="center"/>
          </w:tcPr>
          <w:p>
            <w:pPr>
              <w:pStyle w:val="TableContents"/>
              <w:bidi w:val="0"/>
              <w:spacing w:before="0" w:after="1"/>
              <w:ind w:left="0" w:right="0" w:hanging="0"/>
              <w:jc w:val="left"/>
              <w:rPr/>
            </w:pPr>
            <w:r>
              <w:rPr/>
              <w:t>​</w:t>
            </w:r>
          </w:p>
        </w:tc>
        <w:tc>
          <w:tcPr>
            <w:tcW w:w="70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shd w:fill="FFFFFF" w:val="clear"/>
            <w:vAlign w:val="center"/>
          </w:tcPr>
          <w:p>
            <w:pPr>
              <w:pStyle w:val="TableContents"/>
              <w:bidi w:val="0"/>
              <w:spacing w:before="0" w:after="1"/>
              <w:ind w:left="0" w:right="0" w:hanging="0"/>
              <w:jc w:val="left"/>
              <w:rPr/>
            </w:pPr>
            <w:r>
              <w:rPr/>
              <w:t>  ​ ​ ​</w:t>
            </w:r>
          </w:p>
        </w:tc>
        <w:tc>
          <w:tcPr>
            <w:tcW w:w="109" w:type="dxa"/>
            <w:tcBorders/>
            <w:shd w:fill="FFFFFF" w:val="clear"/>
            <w:vAlign w:val="center"/>
          </w:tcPr>
          <w:p>
            <w:pPr>
              <w:pStyle w:val="TableContents"/>
              <w:bidi w:val="0"/>
              <w:spacing w:before="0" w:after="1"/>
              <w:ind w:left="0" w:right="0" w:hanging="0"/>
              <w:jc w:val="left"/>
              <w:rPr/>
            </w:pPr>
            <w:r>
              <w:rPr/>
              <w:t>​</w:t>
            </w:r>
          </w:p>
        </w:tc>
        <w:tc>
          <w:tcPr>
            <w:tcW w:w="75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Change</w:t>
            </w:r>
          </w:p>
        </w:tc>
      </w:tr>
      <w:tr>
        <w:trPr/>
        <w:tc>
          <w:tcPr>
            <w:tcW w:w="22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Proved Reserves MMBOE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27.2</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27.1</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0.4</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2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Developed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82.2</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w:t>
            </w:r>
          </w:p>
        </w:tc>
        <w:tc>
          <w:tcPr>
            <w:tcW w:w="3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2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Liquids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2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Standardized Measure ($MM)</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156.4</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155.2</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0.8</w:t>
            </w:r>
          </w:p>
        </w:tc>
        <w:tc>
          <w:tcPr>
            <w:tcW w:w="3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Proved oil equivalent reserves as of June 30, 2026 were 27.2 MMBOE, a 0.1 MMBOE, or 0.4%, increase from the previous year of 27.1 MMBOE. The net increase in total proved reserves was primarily due to 1.6 MMBOE of proved reserves purchased from our SCOOP/STACK Minerals Acquisition and Louisiana Minerals acquisitions as well as extensions of 0.4 MMBOE primarily at SCOOP/STACK and net positive revisions of 0.7 MMBOE partially offset by production roll off of 2.6 MMBOE. Approximately 2.2 MMBOE of upward revisions were in our natural gas reserves were partially offset by approximately 1.4 MMBOE of downward revisions in our oil and NGL reserves. Natural gas reserves increased primarily due to an increase in the SEC trailing 12-month natural gas price of 26.1% from the prior fiscal year. Oil and natural gas liquids downward revisions were a result of a reduction in the economic life of certain oil fields due to increased costs.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Standardized Measure for proved reserves increased 0.8% to $156.4 million, primarily due to our SCOOP/STACK Minerals Acquisition and Louisiana Mineral acquisitions. Partially offsetting the increase are volumes produced and sold. Our proved reserves consist of 39% oil, 45% natural gas, and 16% NGLs; 82.2% are classified as proved developed and 16.3% are proved undeveloped.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Additional property and project information is included under Item 1. </w:t>
      </w:r>
      <w:r>
        <w:rPr>
          <w:rFonts w:ascii="Times New Roman;Times;serif" w:hAnsi="Times New Roman;Times;serif"/>
          <w:i/>
          <w:sz w:val="20"/>
        </w:rPr>
        <w:t>Business</w:t>
      </w:r>
      <w:r>
        <w:rPr>
          <w:rFonts w:ascii="Times New Roman;Times;serif" w:hAnsi="Times New Roman;Times;serif"/>
          <w:sz w:val="20"/>
        </w:rPr>
        <w:t xml:space="preserve"> and in Note 4, “</w:t>
      </w:r>
      <w:r>
        <w:rPr>
          <w:rFonts w:ascii="Times New Roman;Times;serif" w:hAnsi="Times New Roman;Times;serif"/>
          <w:i/>
          <w:sz w:val="20"/>
        </w:rPr>
        <w:t xml:space="preserve">Property and Equipment” </w:t>
      </w:r>
      <w:r>
        <w:rPr>
          <w:rFonts w:ascii="Times New Roman;Times;serif" w:hAnsi="Times New Roman;Times;serif"/>
          <w:sz w:val="20"/>
        </w:rPr>
        <w:t xml:space="preserve">and our </w:t>
      </w:r>
      <w:r>
        <w:rPr>
          <w:rFonts w:ascii="Times New Roman;Times;serif" w:hAnsi="Times New Roman;Times;serif"/>
          <w:i/>
          <w:sz w:val="20"/>
        </w:rPr>
        <w:t>Supplemental Disclosure about Oil and Natural Gas Properties (unaudited)</w:t>
      </w:r>
      <w:r>
        <w:rPr>
          <w:rFonts w:ascii="Times New Roman;Times;serif" w:hAnsi="Times New Roman;Times;serif"/>
          <w:sz w:val="20"/>
        </w:rPr>
        <w:t xml:space="preserve"> to our consolidated financial statements in Item 8. </w:t>
      </w:r>
      <w:r>
        <w:rPr>
          <w:rFonts w:ascii="Times New Roman;Times;serif" w:hAnsi="Times New Roman;Times;serif"/>
          <w:i/>
          <w:sz w:val="20"/>
        </w:rPr>
        <w:t>Financial Statements and Supplementary Data</w:t>
      </w:r>
      <w:r>
        <w:rPr>
          <w:rFonts w:ascii="Times New Roman;Times;serif" w:hAnsi="Times New Roman;Times;serif"/>
          <w:sz w:val="20"/>
        </w:rPr>
        <w:t>, and in Exhibit 99.1 and 99.2 of this Form 10-K.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and uncertainties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oil and natural gas industry is a global market impacted by many factors, such as government regulations, particularly in the areas of tariffs, trade sanctions, taxation, energy, climate change and the environment, geopolitical instability, (including ongoing conflicts between Russia and Ukraine, in the Middle East and Venezuela), demand in Asian and European markets, and the extent to which members of OPEC and other oil exporting nations manage oil supply through export quotas. More recently, during the third fiscal quarter, WTI oil prices reached their highest levels since 2022 due to crude oil disruptions at key oil shipping routes in the Middle East, including the Strait of Hormuz. Natural gas prices are generally determined by North American supply and demand and are also affected by imports and exports of liquefied natural gas. Weather also has a significant impact on demand for natural gas since it is a primary heating source.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Oil, natural gas, and NGL prices have been, and we expect may continue to be, volatile. During the current fiscal year, crude oil spot prices for WTI dropped below $56 per barrel in December 2025 then rose to more than $100 per barrel in March 2026. Lower oil and natural gas prices not only decrease our revenues, partially offset by applicable hedges, but an extended decline in oil or natural gas prices may affect planned capital expenditures and the oil and natural gas reserves that we can economically produce. Lower oil and natural gas prices may also reduce the amount of our borrowing base under our Senior Secured Credit Facility, which is determined at the discretion of the lenders based 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various factors including the collateral value of our proved reserves. Increases in crude oil and natural gas prices are partially offset to the extent that prices exceed applicable derivative contract swap and collar prices.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Given the dynamic nature of these factors and events, we cannot reasonably estimate the period of time that certain market conditions will persist. Continuing volatility in political, trade, regulatory and economic conditions could impact supply and demand fundamentals as well as commodity pricing. Any related significant declines in crude oil, natural gas, and NGL prices could lead to proved property impairments in the future. Any significant increases in commodity prices could lead to further losses on our derivative contacts that partially offset price increases. Impairments of proved properties and gains and losses on derivative contracts are difficult to predict, especially in a volatile price environment.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 times, we do maintain cash balances in excess of the U.S. Federal Deposit Insurance Corporation (“FDIC”); however, we believe our bank counterparty to be financially sound. We also utilize insured cash sweep deposits to maximize the amount of our cash that is protected by FDIC insurance. We also rely heavily on our third-party operators who manage their own liquidity with various financial institutions. In 2022, the Federal Reserve took actions to raise interest rates in an attempt to constrain inflation and slow the economy. In 2024 and 2025, the Federal Reserve has taken action to slowly drop interest rates as inflationary pressures in the United States economy have begun to subside, but it is uncertain how recent trade policies and tariffs by the United States and foreign governments or other geopolitical events including ongoing conflicts, will impact inflation and the economy.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Currently, our oil and natural gas properties are operated by third-party operators and involve other third-party working interest owners. As a result, we have limited ability to influence the operation or future development of such properties. Despite these uncertainties, we remain focused on our long-term objectives and continue to be proactive with our third-party operators to review the management of capital expenditures.</w:t>
      </w:r>
    </w:p>
    <w:p>
      <w:pPr>
        <w:pStyle w:val="TextBody"/>
        <w:bidi w:val="0"/>
        <w:spacing w:before="240" w:after="240"/>
        <w:ind w:left="0" w:right="0" w:hanging="0"/>
        <w:jc w:val="center"/>
        <w:rPr>
          <w:rFonts w:ascii="Times New Roman;Times;serif" w:hAnsi="Times New Roman;Times;serif"/>
          <w:b/>
          <w:sz w:val="20"/>
        </w:rPr>
      </w:pPr>
      <w:bookmarkStart w:id="72" w:name="LiquidityandCapitalResources_195255"/>
      <w:bookmarkEnd w:id="72"/>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2026, we had $6.1 million in cash and cash equivalents and $56.5 million outstanding borrowings on our Senior Secured Credit Facility compared to $2.5 million in cash and cash equivalents and $37.5 million outstanding borrowings on our Senior Secured Credit Facility at June 30, 2025. Our primary sources of liquidity and capital resources during the year ended June 30, 2026 were cash provided by operations, net borrowings under our Senior Secured Credit Facility, and net proceeds from the ATM Sales Agreements. Our primary uses of liquidity and capital resources for the year ended June 30, 2026 were cash used to fund our SCOOOP/STACK Minerals Acquisition and Louisiana Minerals, cash dividend payments to our common stockholders, and development capital expenditures. As of June 30, 2026, working capital was a deficit of $1.8 million, primarily due to our current derivative contracts, which vary quarter-to-quarter based on forecasted commodity prices at the end of each quarter. As of June 30, 2025, working capital was a deficit of $4.0 million.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syndicated Senior Secured Credit Facility has a maximum capacity of $200.0 million subject to a borrowing base determined by the lenders based on a percentage of the value of our oil and natural gas properties. As of June 30, 2026, the Senior Secured Credit Facility had a borrowing base of $65.0 million. As of June 30, 2026, we had $56.5 million of indebtedness, $0.8 million of letters of credit outstanding and available capacity of $7.7 million. The Senior Secured Credit Facility is secured by substantially all of our oil and natural gas properties and matures on June 30, 2028.</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Borrowings bear interest, at our option, at either (i) the SOFR, subject to a minimum SOFR of 3.25%, plus a credit spread adjustment of 0.05%, or (ii) the Prime Rate, as defined under the Senior Secured Credit Facility, plus 1.0%, plus, in either case of (i) or (ii), an applicable margin of 2.75%. For the years ended June 30, 2026 and 2025, the weighted average interest on our borrowings were 6.69% and 7.48%, respectively. The Senior Secured Credit Facility contains covenants requiring the maintenance of (i) a total leverage ratio of not more than 3.00 to 1.00, (ii) a current ratio of not less than 1.00 to 1.00, and (iii) a consolidated tangible net worth of not less than $40.0 million, each as defined in the Senior Secured Credit Facility. </w:t>
      </w:r>
      <w:r>
        <w:rPr>
          <w:rFonts w:ascii="Times New Roman;Times;serif" w:hAnsi="Times New Roman;Times;serif"/>
          <w:sz w:val="20"/>
          <w:shd w:fill="FFFFFF" w:val="clear"/>
        </w:rPr>
        <w:t>In addition, the Senior Secured Credit Facility contains hedging requirements that apply when utilization is greater than 25% of (x) the Margined Collateral Value, as defined under the Senior Secured Credit Facility, at any time when the leverage ratio is less than 2.25 to 1.00, or (y) the borrowing base, at any time when the leverage ratio is greater than or equal to 2.25 to 1.00.</w:t>
      </w:r>
      <w:r>
        <w:rPr>
          <w:rFonts w:ascii="Times New Roman;Times;serif" w:hAnsi="Times New Roman;Times;serif"/>
          <w:sz w:val="20"/>
        </w:rPr>
        <w:t xml:space="preserve"> It also contains other customary affirmative and negative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covenants, including a hedging covenant discussed below, and events of default. As of June 30, 2026, we were in compliance with all covenants under the Senior Secured Credit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Senior Secured Credit Facility requires redeterminations of the borrowing base to occur semi-annually. At each redetermination, the Margined Collateral Value is updated based on the estimated value of our oil and natural gas properties, which includes our proved developed reserves, proved undeveloped reserves, and other relevant factors consistent with customary oil and natural gas lending criteria. On November 28, 2025, we entered into a letter agreement with MidFirst Bank pursuant to which the Margined Collateral Value, as defined under the Senior Secured Credit Facility, was modified to $65.0 million. In addition, it granted us additional time to enter into further commodity hedges to meet the hedging requirements under the Senior Secured Credit Facility. On August 29, 2025, we entered into the first amendment to our Senior Secured Credit Facility with MidFirst Bank, whereas it was determined for purposes of the hedge covenant that total crude oil and natural gas production volumes from proved developed producing reserves will be combined on a barrels of oil equivalent (“BOE”) basis to determine compliance with the hedging covenant.</w:t>
      </w:r>
    </w:p>
    <w:p>
      <w:pPr>
        <w:pStyle w:val="TextBody"/>
        <w:bidi w:val="0"/>
        <w:spacing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 xml:space="preserve">On October 21, 2024, we entered into an ATM equity Sales Agreement with Roth Capital Partners, LLC as our Lead Agent, Northland Securities Inc., and A.G.P./Alliance Global Partners pursuant to which we may issue and sell, from time to time, up to $30.0 million of shares of common stock through or to the Lead Agent, acting as agent or principal to facilitate acquisitions and other general corporate purposes. On February 11, 2026, we executed a new ATM equity Sales Agreement, substantially consistent with the original October agreement restoring the $30.0 million common stock sales capacity. For the year ended June 30, 2026, we sold a total of approximately 1.4 million shares of our common stock under the ATM Sales Agreements for net proceeds of approximately $5.8 million, net of $0.2 million of offering costs incurred.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historically funded operations through cash from operations and working capital. Our primary source of cash is the sale of produced crude oil, natural gas, and NGLs. A portion of these cash flows is used to fund capital expenditures and pay cash dividends to shareholders. We expect to fund near-future capital development activities for our properties with cash flows from operating activities, and, as needed, borrowings under our Senior Secured Credit Facility and proceeds from the ATM Sales Agreements.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Consistent with our business strategy, we are constantly pursuing new growth opportunities and other transactions to maximize shareholder value and will do so using a targeted mix of capital sourcing. We will continue to pursue acquisitions of oil and natural gas properties, including long-life producing properties with substantial upside potential as well as acquisitions of minerals and royalty interests. As described in “</w:t>
      </w:r>
      <w:r>
        <w:rPr>
          <w:rFonts w:ascii="Times New Roman;Times;serif" w:hAnsi="Times New Roman;Times;serif"/>
          <w:i/>
          <w:sz w:val="20"/>
        </w:rPr>
        <w:t>Recent Developments</w:t>
      </w:r>
      <w:r>
        <w:rPr>
          <w:rFonts w:ascii="Times New Roman;Times;serif" w:hAnsi="Times New Roman;Times;serif"/>
          <w:sz w:val="20"/>
        </w:rPr>
        <w:t xml:space="preserve">” above, subsequent to our fiscal year end, we completed our Permian Minerals Acquisition on August 20, 2026, for a total purchase price of $16.0 million which was funded with proceeds from the Offering and $3.2 million in borrowings under our Senior Secured Credit Facility. In addition, on August 20, 2026, we entered into a letter agreement with MidFirst Bank pursuant to which the borrowing base on our Senior Secured Credit Facility was temporarily increased from $65.0 million to $73.0 million from August 20, 2026 until October 20, 2026, unless redetermined earlier in accordance with the credit agreement. We currently expect to begin or semi-annual Fall redetermination on or about October 1, 2026. While this increased capacity affords us additional flexibility, we have not drawn on it to date. After taking into account the Offering, additional borrowings of $3.5 million under our Senior Secured Credit Facility, and the temporary increase in our revolving borrowing base, we have 40.2 million shares of common stock outstanding and $12.2 million of available capacity under our Senior Secured Credit Facility as of September 1, 2026. We also have an effective shelf registration statement with the SEC under which we are allowed to issue in aggregate up to $500.0 million of debt or equity securities.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Board of Directors instituted a cash dividend on common stock in December 2013. We have since paid 51 consecutive quarterly dividends. Distribution of a substantial portion of free cash flow in excess of operating and capital requirements through cash dividends remains a priority of our financial strategy, and it is our long-term goal to maintain or increase dividends over time, subject to adjustments as appropriate in the Board of Directors’ discretion depending on factors such as commodity prices, other opportunities for uses of capital, and any other factors the Board of Directors deems relevant. On September 10, 2026, the Board of Directors declared a quarterly cash dividend of $0.12 per share of common stock to shareholders of record on September 21, 2026 and payable on September 30,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Capital Expenditures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year ended June 30, 2026, we incurred $5.5 million on development capital expenditures. A majority of our spending occurred at SCOOP/STACK, Chaveroo Field and Hamilton Dome Field. At SCOOP/STACK ten gross wells were brought online during the year ended June 30, 2026. At Chaveroo Field, capital spending was related to converting the wells to rod pumps. As of June 30, 2026, all seven producing wells have been converted to rod pump. At Hamilton Dome, capital spending projects were for facility upgrades and consolidations. Remaining capital spending related to capital workover projects across our portfolio of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Based on discussions with our operators, we expect capital workover projects to continue in most of our fields as well as further drilling at SCOOP/STACK. Overall, for fiscal year 2027, we expect budgeted capital expenditures to be in the range of $4.0 million to $6.0 million, which excludes the recent purchase of Permian Minerals, any other potential acquisitions, and drilling at Chaveroo Field. Our expected capital expenditures for the next 12 months include bringing approximately ten gross wells online at SCOOP/STACK. Additionally, as our third-party operators continue to be active around our acreage, we would expect additional wells to be drilled and/or completed.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2026, our PUD reserves included 4.8 MMBOE of reserves and approximately $74.8 million of future development costs primarily associated with the Chaveroo Field, Williston Basin, and SCOOP/STACK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Funding for our anticipated capital expenditures over the near-term is expected to be met from cash flows from operations, net proceeds from our ATM Sales Agreements, and as needed from borrowings under our Senior Secured Credit Facility.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Full Cost Pool Ceiling Test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Under the full cost method of accounting, capitalized costs of oil and natural gas properties, net of accumulated depletion, depreciation, and amortization and related deferred taxes, are limited to the estimated future net cash flows from proved oil and natural gas reserves, discounted at 10%, plus the lower of cost or fair value of unproved properties, as adjusted for related income tax effects (the valuation “ceiling”). If capitalized costs exceed the full cost ceiling, the excess would be charged to expense as a write-down of oil and natural gas properties in the quarter in which the excess occurred. The quarterly ceiling test calculation requires that we use the average first day of the month price for our petroleum products during the 12-month period ending with the balance sheet date. The prices used in calculating our ceiling test as of June 30, 2026 were $72.93 per barrel of oil, $3.62 per MMBtu of natural gas and $27.50 per barrel of NGLs. As of June 30, 2026, our capitalized costs of oil and natural gas properties, subject to amortization, were below the full cost valuation ceiling. If commodity price levels were to substantially decline from the 12-month average first day of the month pricing levels as of June 30, 2026 and remain down for a prolonged period of time, our valuation ceiling over our capitalized costs may be reduced and adversely impact our ceiling tests in future quarters and the effect could be material to our net earnings. In addition to commodity prices, our production rates, levels of proved reserves, future development costs, transfers of unevaluated properties to our full cost pool, capital spending and other factors will determine our actual ceiling test calculation and impairment analyses in future periods. We cannot give assurance that a write-down of capitalized oil and natural gas properties will not be required at some point in the future as commodity prices are volatile and unpredictable. Using first day of the month prices for July, August and September 2026, which are more reflective of recent prices trends, to calculate a trailing 12-month average price of $76.56 per barrel of oil and $3.60 per MMBtu of natural gas, and keeping all other factors constant, the ceiling test calculation as of the fourth quarter of fiscal year 2026 would not have generated a ceiling test impairment.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 of Cash Flow Activities</w:t>
      </w:r>
    </w:p>
    <w:tbl>
      <w:tblPr>
        <w:tblW w:w="7615" w:type="dxa"/>
        <w:jc w:val="left"/>
        <w:tblInd w:w="0" w:type="dxa"/>
        <w:tblLayout w:type="fixed"/>
        <w:tblCellMar>
          <w:top w:w="0" w:type="dxa"/>
          <w:left w:w="0" w:type="dxa"/>
          <w:bottom w:w="0" w:type="dxa"/>
          <w:right w:w="0" w:type="dxa"/>
        </w:tblCellMar>
      </w:tblPr>
      <w:tblGrid>
        <w:gridCol w:w="3871"/>
        <w:gridCol w:w="346"/>
        <w:gridCol w:w="196"/>
        <w:gridCol w:w="721"/>
        <w:gridCol w:w="346"/>
        <w:gridCol w:w="196"/>
        <w:gridCol w:w="721"/>
        <w:gridCol w:w="346"/>
        <w:gridCol w:w="196"/>
        <w:gridCol w:w="676"/>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458085" cy="175260"/>
                      <wp:effectExtent l="0" t="0" r="0" b="0"/>
                      <wp:wrapNone/>
                      <wp:docPr id="120" name="Frame119"/>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1"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24460" cy="175260"/>
                      <wp:effectExtent l="0" t="0" r="0" b="0"/>
                      <wp:wrapNone/>
                      <wp:docPr id="122" name="Frame1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57835" cy="175260"/>
                      <wp:effectExtent l="0" t="0" r="0" b="0"/>
                      <wp:wrapNone/>
                      <wp:docPr id="123" name="Frame12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24"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24460" cy="175260"/>
                      <wp:effectExtent l="0" t="0" r="0" b="0"/>
                      <wp:wrapNone/>
                      <wp:docPr id="125" name="Frame1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57835" cy="175260"/>
                      <wp:effectExtent l="0" t="0" r="0" b="0"/>
                      <wp:wrapNone/>
                      <wp:docPr id="126" name="Frame12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27"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24460" cy="175260"/>
                      <wp:effectExtent l="0" t="0" r="0" b="0"/>
                      <wp:wrapNone/>
                      <wp:docPr id="128" name="Frame1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29260" cy="175260"/>
                      <wp:effectExtent l="0" t="0" r="0" b="0"/>
                      <wp:wrapNone/>
                      <wp:docPr id="129" name="Frame12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71"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w:t>
            </w:r>
          </w:p>
        </w:tc>
        <w:tc>
          <w:tcPr>
            <w:tcW w:w="2180" w:type="dxa"/>
            <w:gridSpan w:val="5"/>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Years Ended June 30, </w:t>
            </w:r>
          </w:p>
        </w:tc>
        <w:tc>
          <w:tcPr>
            <w:tcW w:w="346" w:type="dxa"/>
            <w:tcBorders/>
            <w:shd w:fill="FFFFFF" w:val="clear"/>
            <w:vAlign w:val="center"/>
          </w:tcPr>
          <w:p>
            <w:pPr>
              <w:pStyle w:val="TableContents"/>
              <w:bidi w:val="0"/>
              <w:spacing w:before="0" w:after="1"/>
              <w:ind w:left="0" w:right="0" w:hanging="0"/>
              <w:jc w:val="left"/>
              <w:rPr/>
            </w:pPr>
            <w:r>
              <w:rPr/>
              <w:t>​</w:t>
            </w:r>
          </w:p>
        </w:tc>
        <w:tc>
          <w:tcPr>
            <w:tcW w:w="196" w:type="dxa"/>
            <w:tcBorders/>
            <w:shd w:fill="FFFFFF" w:val="clear"/>
            <w:vAlign w:val="center"/>
          </w:tcPr>
          <w:p>
            <w:pPr>
              <w:pStyle w:val="TableContents"/>
              <w:bidi w:val="0"/>
              <w:spacing w:before="0" w:after="1"/>
              <w:ind w:left="0" w:right="0" w:hanging="0"/>
              <w:jc w:val="left"/>
              <w:rPr/>
            </w:pPr>
            <w:r>
              <w:rPr/>
              <w:t>​</w:t>
            </w:r>
          </w:p>
        </w:tc>
        <w:tc>
          <w:tcPr>
            <w:tcW w:w="676" w:type="dxa"/>
            <w:tcBorders/>
            <w:shd w:fill="FFFFFF" w:val="clear"/>
            <w:vAlign w:val="center"/>
          </w:tcPr>
          <w:p>
            <w:pPr>
              <w:pStyle w:val="TableContents"/>
              <w:bidi w:val="0"/>
              <w:spacing w:before="0" w:after="1"/>
              <w:ind w:left="0" w:right="0" w:hanging="0"/>
              <w:jc w:val="left"/>
              <w:rPr/>
            </w:pPr>
            <w:r>
              <w:rPr/>
              <w:t>​</w:t>
            </w:r>
          </w:p>
        </w:tc>
      </w:tr>
      <w:tr>
        <w:trPr/>
        <w:tc>
          <w:tcPr>
            <w:tcW w:w="3871"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  ​ ​ ​</w:t>
            </w:r>
          </w:p>
        </w:tc>
        <w:tc>
          <w:tcPr>
            <w:tcW w:w="91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shd w:fill="FFFFFF" w:val="clear"/>
            <w:vAlign w:val="center"/>
          </w:tcPr>
          <w:p>
            <w:pPr>
              <w:pStyle w:val="TableContents"/>
              <w:bidi w:val="0"/>
              <w:spacing w:before="0" w:after="1"/>
              <w:ind w:left="0" w:right="0" w:hanging="0"/>
              <w:jc w:val="left"/>
              <w:rPr/>
            </w:pPr>
            <w:r>
              <w:rPr/>
              <w:t>  ​ ​ ​</w:t>
            </w:r>
          </w:p>
        </w:tc>
        <w:tc>
          <w:tcPr>
            <w:tcW w:w="91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shd w:fill="FFFFFF" w:val="clear"/>
            <w:vAlign w:val="center"/>
          </w:tcPr>
          <w:p>
            <w:pPr>
              <w:pStyle w:val="TableContents"/>
              <w:bidi w:val="0"/>
              <w:spacing w:before="0" w:after="1"/>
              <w:ind w:left="0" w:right="0" w:hanging="0"/>
              <w:jc w:val="left"/>
              <w:rPr/>
            </w:pPr>
            <w:r>
              <w:rPr/>
              <w:t>  ​ ​ ​</w:t>
            </w:r>
          </w:p>
        </w:tc>
        <w:tc>
          <w:tcPr>
            <w:tcW w:w="87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Change</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23,518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33,052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(9,534)</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used in investing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(27,175)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(21,642)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(5,533)</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provided by (used in)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7,287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(15,349)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22,636</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increase (decrease) in cash and cash equivalents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3,630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(3,939)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7,569</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provided by operating activities decreased $9.5 million during the fiscal year ended June 30, 2026 compared to fiscal year ended June 30, 2025 primarily d</w:t>
      </w:r>
      <w:r>
        <w:rPr>
          <w:rFonts w:ascii="Times New Roman;Times;serif" w:hAnsi="Times New Roman;Times;serif"/>
          <w:sz w:val="20"/>
          <w:shd w:fill="FFFFFF" w:val="clear"/>
        </w:rPr>
        <w:t>ue to $3.8 million of realized losses on our derivative contracts compared to realized gains of $1.0 million in the prior year, and changes in the timing of our working capital. Refer to “</w:t>
      </w:r>
      <w:r>
        <w:rPr>
          <w:rFonts w:ascii="Times New Roman;Times;serif" w:hAnsi="Times New Roman;Times;serif"/>
          <w:i/>
          <w:sz w:val="20"/>
          <w:shd w:fill="FFFFFF" w:val="clear"/>
        </w:rPr>
        <w:t>Results of Operations</w:t>
      </w:r>
      <w:r>
        <w:rPr>
          <w:rFonts w:ascii="Times New Roman;Times;serif" w:hAnsi="Times New Roman;Times;serif"/>
          <w:sz w:val="20"/>
          <w:shd w:fill="FFFFFF" w:val="clear"/>
        </w:rPr>
        <w:t>” below for further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used in investing activities for the year ended June 30, 2025 increased $5.5 million from the prior year primarily due to the closing of the SCOOP/STACK Minerals Acquisition in August 2025 and Louisiana Minerals acquisitions throughout the fiscal year, totaling $23.0 million in net cash spent on acquisitions. In addition, cash expenditures for development and capital expenditures were $7.3 million which included drilling and completing ten gross wells at SCOOP / STACK and rod pump conversions, facility upgrades and consolidations at Chaveroo and Hamilton Dome. In fiscal 2026, we also collected $3.1 million in proceeds from the sale of unproved acreage at SCOOP / STACK. In the prior year, net cash spent on the TexMex Acquisition was $9.0 million and development capital expenditures were $12.6 million. In the prior fiscal year capital expenditures included drilling and completing four gross (2.0 net) Chaveroo wells and thirteen gross (0.14 net) SCOOP/STACK wells.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Net cash flows provided by financing activities for the year ended June 30, 2026 were $7.3 million compared to net cash flows used in financing activities of $15.3 million for the year ended June 30, 2025. In the current year period, we received net borrowings of $19.0 million under our Senior Secured Credit Facility primarily to finance our SCOOP/STACK Minerals Acquisition, received net proceeds from the sale of common stock under the ATM Sales Agreements of approximately $5.8 million, after deducting $0.2 million of issuance fees paid,</w:t>
      </w:r>
      <w:r>
        <w:rPr>
          <w:rFonts w:ascii="Times New Roman;Times;serif" w:hAnsi="Times New Roman;Times;serif"/>
          <w:color w:val="212529"/>
          <w:sz w:val="20"/>
          <w:shd w:fill="FFFFFF" w:val="clear"/>
        </w:rPr>
        <w:t xml:space="preserve"> and </w:t>
      </w:r>
      <w:r>
        <w:rPr>
          <w:rFonts w:ascii="Times New Roman;Times;serif" w:hAnsi="Times New Roman;Times;serif"/>
          <w:sz w:val="20"/>
        </w:rPr>
        <w:t xml:space="preserve">paid $16.9 million in cash dividends to our common stockholders. In the prior year period, we paid $16.3 million in cash dividends to our common stockholders, repaid $2.0 million of net borrowings under our Senior Secured Credit Facility, and received </w:t>
      </w:r>
      <w:r>
        <w:rPr>
          <w:rFonts w:ascii="Times New Roman;Times;serif" w:hAnsi="Times New Roman;Times;serif"/>
          <w:color w:val="212529"/>
          <w:sz w:val="20"/>
          <w:shd w:fill="FFFFFF" w:val="clear"/>
        </w:rPr>
        <w:t>net proceeds from the sale of common stock under the ATM Sales Agreement of approximately $3.5 million, after deducting $0.3 million in offering costs</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3" w:name="ResultsofOperations_203032"/>
      <w:bookmarkEnd w:id="73"/>
      <w:r>
        <w:rPr>
          <w:rFonts w:ascii="Times New Roman;Times;serif" w:hAnsi="Times New Roman;Times;serif"/>
          <w:b/>
          <w:sz w:val="20"/>
        </w:rPr>
        <w:t>Results of Operations</w:t>
      </w:r>
    </w:p>
    <w:p>
      <w:pPr>
        <w:pStyle w:val="TextBody"/>
        <w:bidi w:val="0"/>
        <w:spacing w:before="120" w:after="120"/>
        <w:ind w:left="0" w:right="0" w:hanging="0"/>
        <w:jc w:val="center"/>
        <w:rPr>
          <w:rFonts w:ascii="Times New Roman;Times;serif" w:hAnsi="Times New Roman;Times;serif"/>
          <w:b/>
          <w:sz w:val="20"/>
        </w:rPr>
      </w:pPr>
      <w:r>
        <w:rPr>
          <w:rFonts w:ascii="Times New Roman;Times;serif" w:hAnsi="Times New Roman;Times;serif"/>
          <w:b/>
          <w:sz w:val="20"/>
        </w:rPr>
        <w:t>Years Ended June 30, 2026 and 2025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reported a net loss of $2.4 million and net income of $1.5 million for the years ended June 30, 2026 and 2025, respectively. The following table summarizes the comparison of financial information for the periods presented:</w:t>
      </w:r>
    </w:p>
    <w:p>
      <w:pPr>
        <w:pStyle w:val="TextBody"/>
        <w:bidi w:val="0"/>
        <w:spacing w:before="0" w:after="240"/>
        <w:ind w:left="0" w:right="0" w:hanging="0"/>
        <w:jc w:val="left"/>
        <w:rPr/>
      </w:pPr>
      <w:r>
        <w:rPr/>
        <w:t>​</w:t>
      </w:r>
    </w:p>
    <w:tbl>
      <w:tblPr>
        <w:tblW w:w="9072" w:type="dxa"/>
        <w:jc w:val="left"/>
        <w:tblInd w:w="0" w:type="dxa"/>
        <w:tblLayout w:type="fixed"/>
        <w:tblCellMar>
          <w:top w:w="0" w:type="dxa"/>
          <w:left w:w="0" w:type="dxa"/>
          <w:bottom w:w="0" w:type="dxa"/>
          <w:right w:w="0" w:type="dxa"/>
        </w:tblCellMar>
      </w:tblPr>
      <w:tblGrid>
        <w:gridCol w:w="4186"/>
        <w:gridCol w:w="346"/>
        <w:gridCol w:w="196"/>
        <w:gridCol w:w="631"/>
        <w:gridCol w:w="346"/>
        <w:gridCol w:w="196"/>
        <w:gridCol w:w="631"/>
        <w:gridCol w:w="346"/>
        <w:gridCol w:w="196"/>
        <w:gridCol w:w="631"/>
        <w:gridCol w:w="346"/>
        <w:gridCol w:w="680"/>
        <w:gridCol w:w="341"/>
      </w:tblGrid>
      <w:tr>
        <w:trPr/>
        <w:tc>
          <w:tcPr>
            <w:tcW w:w="4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0"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24460" cy="175260"/>
                      <wp:effectExtent l="0" t="0" r="0" b="0"/>
                      <wp:wrapNone/>
                      <wp:docPr id="131" name="Frame1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00685" cy="175260"/>
                      <wp:effectExtent l="0" t="0" r="0" b="0"/>
                      <wp:wrapNone/>
                      <wp:docPr id="132" name="Frame13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33"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24460" cy="175260"/>
                      <wp:effectExtent l="0" t="0" r="0" b="0"/>
                      <wp:wrapNone/>
                      <wp:docPr id="134" name="Frame1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00685" cy="175260"/>
                      <wp:effectExtent l="0" t="0" r="0" b="0"/>
                      <wp:wrapNone/>
                      <wp:docPr id="135" name="Frame13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36"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24460" cy="175260"/>
                      <wp:effectExtent l="0" t="0" r="0" b="0"/>
                      <wp:wrapNone/>
                      <wp:docPr id="137" name="Frame1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00685" cy="175260"/>
                      <wp:effectExtent l="0" t="0" r="0" b="0"/>
                      <wp:wrapNone/>
                      <wp:docPr id="138" name="Frame13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39"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31800" cy="175260"/>
                      <wp:effectExtent l="0" t="0" r="0" b="0"/>
                      <wp:wrapNone/>
                      <wp:docPr id="140" name="Frame139"/>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6535" cy="175260"/>
                      <wp:effectExtent l="0" t="0" r="0" b="0"/>
                      <wp:wrapNone/>
                      <wp:docPr id="141" name="Frame140"/>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20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Years Ended June 30,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unit and per BOE amounts)</w:t>
            </w:r>
          </w:p>
        </w:tc>
        <w:tc>
          <w:tcPr>
            <w:tcW w:w="346" w:type="dxa"/>
            <w:tcBorders/>
            <w:vAlign w:val="center"/>
          </w:tcPr>
          <w:p>
            <w:pPr>
              <w:pStyle w:val="TableContents"/>
              <w:bidi w:val="0"/>
              <w:spacing w:before="0" w:after="1"/>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46" w:type="dxa"/>
            <w:tcBorders/>
            <w:vAlign w:val="center"/>
          </w:tcPr>
          <w:p>
            <w:pPr>
              <w:pStyle w:val="TableContents"/>
              <w:bidi w:val="0"/>
              <w:spacing w:before="0" w:after="1"/>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 %</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income (loss)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(2,429)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(3,902)</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(264.9)</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Revenues: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50,556</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51,102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(546)</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25,038</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23,516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1,522</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liquids</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10,749</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11,222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(473)</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revenues</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86,343</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85,840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503</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0.6</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costs:</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pPr>
            <w:r>
              <w:rPr/>
              <w:t>​</w:t>
            </w:r>
          </w:p>
        </w:tc>
        <w:tc>
          <w:tcPr>
            <w:tcW w:w="34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Lease operating costs: </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 valorem and production taxes</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4,763</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5,709</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(946)</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Gathering, transportation, and other costs</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11,139</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11,357</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lease operating costs</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34,436</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32,272</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2,164</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Depletion, depreciation, and accretion:</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Depletion of full cost proved oil and natural gas properties</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21,197</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20,374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823</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of asset retirement obligations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1,619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General and administrative expenses: </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pPr>
            <w:r>
              <w:rPr/>
              <w:t>​</w:t>
            </w:r>
          </w:p>
        </w:tc>
        <w:tc>
          <w:tcPr>
            <w:tcW w:w="34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7,401</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7,852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(451)</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2,344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2,482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gain (loss) on derivative contracts</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(2,850)</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(3,323)</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(702.5)</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and other income</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(62.3)</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(3,849)</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(2,970)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(879)</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29.6</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718</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1,114</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(281.3)</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pPr>
            <w:r>
              <w:rPr/>
              <w:t>​</w:t>
            </w:r>
          </w:p>
        </w:tc>
        <w:tc>
          <w:tcPr>
            <w:tcW w:w="34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Production: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 (MBBL)</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759</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(0.9)</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(MMCF)</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8,428</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8,409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liquids (MBBL)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419</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Equivalent (MBOE)</w:t>
            </w:r>
            <w:r>
              <w:rPr>
                <w:rFonts w:ascii="Times New Roman;Times;serif" w:hAnsi="Times New Roman;Times;serif"/>
                <w:i/>
                <w:sz w:val="12"/>
              </w:rPr>
              <w:t>(1)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2,583</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2,582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Average daily production (BOEPD)</w:t>
            </w:r>
            <w:r>
              <w:rPr>
                <w:rFonts w:ascii="Times New Roman;Times;serif" w:hAnsi="Times New Roman;Times;serif"/>
                <w:i/>
                <w:sz w:val="12"/>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7,077</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7,074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b/>
                <w:sz w:val="16"/>
              </w:rPr>
              <w:t>Average price per unit</w:t>
            </w:r>
            <w:r>
              <w:rPr>
                <w:rFonts w:ascii="Times New Roman;Times;serif" w:hAnsi="Times New Roman;Times;serif"/>
                <w:i/>
                <w:sz w:val="12"/>
              </w:rPr>
              <w:t>(2)</w:t>
            </w:r>
            <w:r>
              <w:rPr>
                <w:rFonts w:ascii="Times New Roman;Times;serif" w:hAnsi="Times New Roman;Times;serif"/>
                <w:b/>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 (BBL)</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66.61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66.71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(0.10)</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(MCF)</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0.17</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Liquids (BBL)</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25.65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27.11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Equivalent (BOE)</w:t>
            </w:r>
            <w:r>
              <w:rPr>
                <w:rFonts w:ascii="Times New Roman;Times;serif" w:hAnsi="Times New Roman;Times;serif"/>
                <w:i/>
                <w:sz w:val="12"/>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33.43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33.25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0.18</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0.5</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Average cost per unit: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costs: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Lease operating costs: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 valorem and production taxes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(0.37)</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Gathering, transportation, and other costs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(0.09)</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lease operating costs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0.83</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Depletion of full cost proved oil and natural gas properties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0.32</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General and administrative expenses: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(0.17)</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0.91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0.96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(0.05)</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b/>
                <w:i/>
                <w:sz w:val="15"/>
              </w:rPr>
            </w:pPr>
            <w:r>
              <w:rPr>
                <w:rFonts w:ascii="Times New Roman;Times;serif" w:hAnsi="Times New Roman;Times;serif"/>
                <w:b/>
                <w:i/>
                <w:sz w:val="15"/>
              </w:rPr>
              <w:t>(1)</w:t>
            </w:r>
          </w:p>
        </w:tc>
        <w:tc>
          <w:tcPr>
            <w:tcW w:w="99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b/>
                <w:i/>
                <w:sz w:val="15"/>
              </w:rPr>
            </w:pPr>
            <w:r>
              <w:rPr>
                <w:rFonts w:ascii="Times New Roman;Times;serif" w:hAnsi="Times New Roman;Times;serif"/>
                <w:b/>
                <w:i/>
                <w:sz w:val="15"/>
              </w:rPr>
              <w:t>(2)</w:t>
            </w:r>
          </w:p>
        </w:tc>
        <w:tc>
          <w:tcPr>
            <w:tcW w:w="9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exclude the impact of cash paid or received on the settlement of derivative contracts since we did not elect to apply hedge accounting.</w:t>
            </w:r>
          </w:p>
        </w:tc>
      </w:tr>
    </w:tbl>
    <w:p>
      <w:pPr>
        <w:pStyle w:val="TextBody"/>
        <w:bidi w:val="0"/>
        <w:spacing w:before="0" w:after="0"/>
        <w:ind w:left="36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Crude oil, natural gas and NGL revenues were $86.3 million and $85.8 million for the fiscal years ended June 30, 2026 and 2025, respectively. The increase in revenues is primarily due to the increase in our average realized price per BOE. Our average realized commodity price (excluding the impact of derivative contracts) increased approximately $0.18 per BOE, or 0.5%, for the fiscal year ended June 30, 2026 compared to June 30, 2025. The amount we realize for our production depends predominantly upon commodity prices, which are affected by changes in market demand and supply, as impacted by overall economic activity, weather, inventory storage levels, basis differentials and other factors, such as geopolitics. While our average realized natural gas prices increased 6.1% from the prior fiscal year, our average realized crude oil and NGL prices decreased 0.1% and 5.4% from the prior fiscal year respectively. </w:t>
      </w:r>
      <w:r>
        <w:rPr>
          <w:rFonts w:ascii="Times New Roman;Times;serif" w:hAnsi="Times New Roman;Times;serif"/>
          <w:sz w:val="20"/>
          <w:shd w:fill="FFFFFF" w:val="clear"/>
        </w:rPr>
        <w:t>The current year oil revenue at Delhi Field was also impacted by $1.2 million of prior period adjustments for transportation charges due to a new marketing contract entered into by the operator dating back to December 2024.</w:t>
      </w:r>
      <w:r>
        <w:rPr>
          <w:rFonts w:ascii="Times New Roman;Times;serif" w:hAnsi="Times New Roman;Times;serif"/>
          <w:sz w:val="20"/>
        </w:rPr>
        <w:t xml:space="preserve"> Average daily equivalent production increased slightly from 7,074 BOEPD to 7,077 BOEPD in the current fiscal year as a result of additional production from our SCOOP/STACK Minerals Acquisition in August 2025 and TexMex Acquisition in April 2025 and newly drilled wells at SCOOP/STACK since the prior year end.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Lease Operating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Ad valorem and production taxes were $4.8 million and $5.7 million for the years ended June 30, 2026 and 2025, respectively. The decrease is primarily related to an $0.8 million reduction of calendar years 2024 and 2025 ad valorem taxes which were passed along from the operator of our Barnett Shale natural gas properties in fiscal year 2026. The decrease in ad valorem and production taxes was partially offset by our SCOOP/STACK Minerals Acquisition in August 2025 and our TexMex Acquisition in April 2025. On a per unit basis, ad valorem and production taxes were $1.84 per BOE and $2.21 per BOE for the years ended June 30, 2026 and 2025, respectively.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Gathering, transportation and other costs were $11.1 million for the year ended June 30, 2026 compared to $11.4 million for the year ended June 30, 2025. These costs are gathering, transportation and processing fees we incur primarily for our natural gas producing properties. The decrease is primarily due to the decrease in natural gas sales at Jonah Field. On a per unit basis, gathering, transportation and other costs were $4.31 per BOE and $4.40 per BOE for the years ended June 30, 2026 and 2025, respectively.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Other lease operating costs were $34.4 million for the year ended June 30, 2026 compared to $32.3 million in the prior year. Other lease operating costs increased primarily due to </w:t>
      </w:r>
      <w:r>
        <w:rPr>
          <w:rFonts w:ascii="Times New Roman;Times;serif" w:hAnsi="Times New Roman;Times;serif"/>
          <w:sz w:val="20"/>
          <w:shd w:fill="FFFFFF" w:val="clear"/>
        </w:rPr>
        <w:t>the TexMex Acquisition in April 2025, which increased other lease operating costs by $4.1 million over the prior year period. In addition, the prior year period contained a $1.9 million credit from the operator of one of our Barnett Shale properties due to a joint venture audit. </w:t>
      </w:r>
      <w:r>
        <w:rPr>
          <w:rFonts w:ascii="Times New Roman;Times;serif" w:hAnsi="Times New Roman;Times;serif"/>
          <w:sz w:val="20"/>
        </w:rPr>
        <w:t>Partially offsetting the overall increase in other lease operating costs is the cessation of CO</w:t>
      </w:r>
      <w:r>
        <w:rPr>
          <w:rFonts w:ascii="Times New Roman;Times;serif" w:hAnsi="Times New Roman;Times;serif"/>
          <w:sz w:val="15"/>
        </w:rPr>
        <w:t>2</w:t>
      </w:r>
      <w:r>
        <w:rPr>
          <w:rFonts w:ascii="Times New Roman;Times;serif" w:hAnsi="Times New Roman;Times;serif"/>
          <w:sz w:val="20"/>
        </w:rPr>
        <w:t xml:space="preserve"> purchases at Delhi late in the third fiscal quarter of 2025. We did not purchase CO</w:t>
      </w:r>
      <w:r>
        <w:rPr>
          <w:rFonts w:ascii="Times New Roman;Times;serif" w:hAnsi="Times New Roman;Times;serif"/>
          <w:sz w:val="15"/>
        </w:rPr>
        <w:t xml:space="preserve">2 </w:t>
      </w:r>
      <w:r>
        <w:rPr>
          <w:rFonts w:ascii="Times New Roman;Times;serif" w:hAnsi="Times New Roman;Times;serif"/>
          <w:sz w:val="20"/>
        </w:rPr>
        <w:t>in the current year but purchased $2.6 million of net CO</w:t>
      </w:r>
      <w:r>
        <w:rPr>
          <w:rFonts w:ascii="Times New Roman;Times;serif" w:hAnsi="Times New Roman;Times;serif"/>
          <w:sz w:val="15"/>
        </w:rPr>
        <w:t>2</w:t>
      </w:r>
      <w:r>
        <w:rPr>
          <w:rFonts w:ascii="Times New Roman;Times;serif" w:hAnsi="Times New Roman;Times;serif"/>
          <w:sz w:val="20"/>
        </w:rPr>
        <w:t xml:space="preserve"> in the prior year. On a per unit basis, other lease operating costs increased to $13.33 per BOE in the current year from $12.50 per BOE in the prior year, primarily due to the TexMex Acquisition. Other lease operating costs were elevated during the fiscal year due to the delay in transfer of operatorship from the previous seller to the current operator as well as an extensive workover program in Texas and New Mexico.</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Depletion of Full Cost Proved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Depletion expense increased $0.8 million or 4.0% from $20.4 million for the fiscal year ended June 30, 2025 to $21.2 million for the fiscal year ended June 30, 2026 primarily due to an increase in the depletion rate. </w:t>
      </w:r>
      <w:r>
        <w:rPr>
          <w:rFonts w:ascii="Times New Roman;Times;serif" w:hAnsi="Times New Roman;Times;serif"/>
          <w:sz w:val="20"/>
          <w:shd w:fill="FFFFFF" w:val="clear"/>
        </w:rPr>
        <w:t>On a per unit basis, depletion expense was $8.21 per BOE and $7.89 per BOE for the fiscal years ended June 30, 2026 and 2025, respectively.</w:t>
      </w:r>
      <w:r>
        <w:rPr>
          <w:rFonts w:ascii="Times New Roman;Times;serif" w:hAnsi="Times New Roman;Times;serif"/>
          <w:sz w:val="20"/>
        </w:rPr>
        <w:t xml:space="preserve"> </w:t>
      </w:r>
      <w:r>
        <w:rPr>
          <w:rFonts w:ascii="Times New Roman;Times;serif" w:hAnsi="Times New Roman;Times;serif"/>
          <w:sz w:val="20"/>
          <w:shd w:fill="FFFFFF" w:val="clear"/>
        </w:rPr>
        <w:t>The depletion rate of our unit of production calculation increased primarily due to an overall increase in our depreciable base due to acquisitions since the prior year period.</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expenses for the fiscal year ended June 30, 2026 decreased $0.5 million, or 5.7%, to $7.4 million compared to $7.9 million for the fiscal year ended June 30, 2025. The decrease primarily relates reduced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compensation expense in the current year. On a per unit basis, general and administrative expenses were $2.87 per BOE and $3.04 per BOE for the years ended June 30, 2026 and 2025, respectively. </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Stock-based Compensation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Stock-based compensation decreased to $2.3 million for the year ended June 30, 2026 from $2.5 million the prior period. The decrease is due to a reduction in the awards granted in the current fiscal year compared to the prior fiscal year.</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Net Gain (Loss) on Derivative Contracts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We utilize commodity derivative financial instruments to reduce our exposure to fluctuations in oil and natural gas prices. Financial hedges are a requirement under our Senior Secured Credit Facility and help establish commodity price floors, contributing to stable cash flows when derivative contracts are settled. We have elected not to designate our open derivative contracts for hedge accounting, and accordingly, we recorded the net change in the mark-to-market valuation of the derivative contracts in the consolidated statements of operations. The amounts recorded on the consolidated statements of operations related to derivative contracts represent the (i) gains (losses) related to fair value adjustments on our open, or unrealized, derivative contracts, and (ii) gains (losses) on settlements of derivative contracts for positions that have settled or been realized. The table below summarizes our net realized and unrealized gains (losses) on derivative contracts as well as the impact of net realized (gains) losses on our average realized prices for the periods presented. As a result of our SCOOP/STACK Minerals Acquisition in August 2025, and the corresponding borrowings on our Senior Secured Credit Facility, we were required by terms in our Senior Secured Credit Facility to hedge 75% of our crude oil and natural gas production (excluding NGLs). Subsequently, in March 2026,</w:t>
      </w:r>
      <w:r>
        <w:rPr>
          <w:rFonts w:ascii="Times New Roman;Times;serif" w:hAnsi="Times New Roman;Times;serif"/>
          <w:sz w:val="20"/>
          <w:shd w:fill="FFFFFF" w:val="clear"/>
        </w:rPr>
        <w:t>WTI oil prices reached their highest levels since 2022 due to crude oil disruptions at key oil shipping routes in the Middle East, contributing to considerable commodity price fluctuations and realized losses on our crude oil derivative contracts. Whereas, the decrease in forward commodity prices for natural gas, as of June 30, 2026, resulted in an unrealized gain on the mark-to-market of our hedges.</w:t>
      </w:r>
      <w:r>
        <w:rPr>
          <w:rFonts w:ascii="Times New Roman;Times;serif" w:hAnsi="Times New Roman;Times;serif"/>
          <w:sz w:val="20"/>
        </w:rPr>
        <w:t xml:space="preserve"> As of June 30, 2026, we had a $2.6 million derivative asset, $2.1 million of which was classified as current, and a $3.1 million derivative liability, $2.9 million of which was classified as current. We expect to see continued volatility in the fair value of our derivative contracts as commodity prices fluctuate. </w:t>
      </w:r>
    </w:p>
    <w:tbl>
      <w:tblPr>
        <w:tblW w:w="9567" w:type="dxa"/>
        <w:jc w:val="left"/>
        <w:tblInd w:w="0" w:type="dxa"/>
        <w:tblLayout w:type="fixed"/>
        <w:tblCellMar>
          <w:top w:w="0" w:type="dxa"/>
          <w:left w:w="0" w:type="dxa"/>
          <w:bottom w:w="0" w:type="dxa"/>
          <w:right w:w="0" w:type="dxa"/>
        </w:tblCellMar>
      </w:tblPr>
      <w:tblGrid>
        <w:gridCol w:w="4801"/>
        <w:gridCol w:w="346"/>
        <w:gridCol w:w="196"/>
        <w:gridCol w:w="631"/>
        <w:gridCol w:w="346"/>
        <w:gridCol w:w="196"/>
        <w:gridCol w:w="511"/>
        <w:gridCol w:w="346"/>
        <w:gridCol w:w="196"/>
        <w:gridCol w:w="631"/>
        <w:gridCol w:w="346"/>
        <w:gridCol w:w="680"/>
        <w:gridCol w:w="341"/>
      </w:tblGrid>
      <w:tr>
        <w:trPr/>
        <w:tc>
          <w:tcPr>
            <w:tcW w:w="4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2"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24460" cy="175260"/>
                      <wp:effectExtent l="0" t="0" r="0" b="0"/>
                      <wp:wrapNone/>
                      <wp:docPr id="143" name="Frame1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00685" cy="175260"/>
                      <wp:effectExtent l="0" t="0" r="0" b="0"/>
                      <wp:wrapNone/>
                      <wp:docPr id="144" name="Frame14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45"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24460" cy="175260"/>
                      <wp:effectExtent l="0" t="0" r="0" b="0"/>
                      <wp:wrapNone/>
                      <wp:docPr id="146" name="Frame1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24485" cy="175260"/>
                      <wp:effectExtent l="0" t="0" r="0" b="0"/>
                      <wp:wrapNone/>
                      <wp:docPr id="147" name="Frame14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48"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24460" cy="175260"/>
                      <wp:effectExtent l="0" t="0" r="0" b="0"/>
                      <wp:wrapNone/>
                      <wp:docPr id="149" name="Frame1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00685" cy="175260"/>
                      <wp:effectExtent l="0" t="0" r="0" b="0"/>
                      <wp:wrapNone/>
                      <wp:docPr id="150" name="Frame14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1"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31800" cy="175260"/>
                      <wp:effectExtent l="0" t="0" r="0" b="0"/>
                      <wp:wrapNone/>
                      <wp:docPr id="152" name="Frame151"/>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6535" cy="175260"/>
                      <wp:effectExtent l="0" t="0" r="0" b="0"/>
                      <wp:wrapNone/>
                      <wp:docPr id="153" name="Frame152"/>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Years Ended June 30,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8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unit and per BOE amounts)</w:t>
            </w:r>
          </w:p>
        </w:tc>
        <w:tc>
          <w:tcPr>
            <w:tcW w:w="346" w:type="dxa"/>
            <w:tcBorders/>
            <w:vAlign w:val="center"/>
          </w:tcPr>
          <w:p>
            <w:pPr>
              <w:pStyle w:val="TableContents"/>
              <w:bidi w:val="0"/>
              <w:spacing w:before="0" w:after="1"/>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46" w:type="dxa"/>
            <w:tcBorders/>
            <w:vAlign w:val="center"/>
          </w:tcPr>
          <w:p>
            <w:pPr>
              <w:pStyle w:val="TableContents"/>
              <w:bidi w:val="0"/>
              <w:spacing w:before="0" w:after="1"/>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 %</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Realized gain (loss) on derivative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(3,752)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(4,717)</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(488.8)</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gain (loss) on derivative contracts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1,394</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(283.3)</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net gain (loss) on derivative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(3,323)</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(702.5)</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Average realized crude oil price per BBL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66.61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66.71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(0.10)</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effect of oil derivative contracts per BBL</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0.84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(6.91)</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(822.6)</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 price per Bbl (including impact of realized derivatives)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60.54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67.55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(7.01)</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Average realized natural gas price per MCF</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0.17</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effect of natural gas derivative contracts per MCF</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0.06</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price per Mcf (including impact of realized derivatives)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0.23</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expense increased $0.9 million during the fiscal year ended June 30, 2026 compared to fiscal year 2025 primarily due to borrowings drawn on our Senior Secured Credit Facility to finance our SCOOP/STACK Minerals Acquisition in August 2025. Partially offsetting the increase in interest expense is the decrease in our weighted average interest rate on our borrowings to 6.69% for the fiscal year ended June 30, 2026 compared to 7.48% for fiscal year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tax (expense) provision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year ended June 30, 2026, we recognized an income tax benefit of $0.7 million on losses before income taxes of $3.1 million compared to an income tax expense of $0.4 million on income before income taxes of $1.9 million for the year ended June 30, 2025. The effective tax rates were 22.8% and 21.2% for the years ended June 30, 2026 and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4" w:name="CriticalAccountingPoliciesandEstimates_6"/>
      <w:bookmarkEnd w:id="74"/>
      <w:r>
        <w:rPr>
          <w:rFonts w:ascii="Times New Roman;Times;serif" w:hAnsi="Times New Roman;Times;serif"/>
          <w:b/>
          <w:sz w:val="20"/>
        </w:rPr>
        <w:t>Critical Accounting Policies and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preparation of financial statements in accordance with accounting principles generally accepted in the United States of America requires that we select certain accounting policies and make estimates and assumptions that affect the reported amounts of the assets, liabilities, and disclosures of contingent assets and liabilities as of the date of the balance sheet as well as the reported amounts of revenues and expenses during the reporting period. These policies, together with our estimates, have a significant effect on our consolidated financial statements. Our significant accounting policies are included in Note 1, “</w:t>
      </w:r>
      <w:r>
        <w:rPr>
          <w:rFonts w:ascii="Times New Roman;Times;serif" w:hAnsi="Times New Roman;Times;serif"/>
          <w:i/>
          <w:sz w:val="20"/>
        </w:rPr>
        <w:t xml:space="preserve">Summary of Significant Events and Accounting Policies” </w:t>
      </w:r>
      <w:r>
        <w:rPr>
          <w:rFonts w:ascii="Times New Roman;Times;serif" w:hAnsi="Times New Roman;Times;serif"/>
          <w:sz w:val="20"/>
        </w:rPr>
        <w:t>to our consolidated statements in Item 8. Following is a discussion of our most critical accounting estimates, judgments, and uncertainties that are inherent in the preparation of our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Oil and Natural Gas Properties</w:t>
      </w:r>
      <w:r>
        <w:rPr>
          <w:rFonts w:ascii="Times New Roman;Times;serif" w:hAnsi="Times New Roman;Times;serif"/>
          <w:sz w:val="20"/>
        </w:rPr>
        <w:t>.   Companies engaged in the production of oil and natural gas are required to follow accounting rules that are unique to the oil and natural gas industry. We apply the full cost accounting method for our oil and natural gas properties as prescribed by SEC Regulation S-X Rule 4-10. Under this method of accounting, the costs of unsuccessful and successful, exploration and development activities are capitalized as properties and equipment. This includes any internal costs that are directly related to property acquisition, exploration, and development activities but does not include any costs related to production, general corporate overhead, or similar activities. Gain or loss on the sale or other disposition of oil and natural gas properties is not recognized unless the gain or loss would significantly alter the relationship between capitalized costs and proved reserves. Oil and natural gas properties include costs that are excluded from costs being depleted or amortized. Oil and natural gas property costs excluded represent investments in unevaluated properties. We exclude these costs until the property has been evaluated. Costs are transferred to the full cost pool as the properties are evaluated. As of June 30, 2026 and 2025, we had no unevaluated property costs. Oil and natural gas properties include costs that are excluded from depletion and amortization, which represent investments in unproved and unevaluated properties and include non-producing leasehold, geologic and geophysical costs associated with leasehold or drilling interests, and exploration drilling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 xml:space="preserve">Estimates of Proved Reserves. </w:t>
      </w:r>
      <w:r>
        <w:rPr>
          <w:rFonts w:ascii="Times New Roman;Times;serif" w:hAnsi="Times New Roman;Times;serif"/>
          <w:sz w:val="20"/>
        </w:rPr>
        <w:t>   The estimated quantities of proved oil and natural gas reserves have a significant impact on the underlying financial statements. The estimated quantities of proved reserves are used to calculate depletion expense and the estimated future net cash flows associated with those proved reserves is the basis for determining impairment under the quarterly ceiling test calculation. The process of estimating oil and natural gas reserves is very complex and requires significant decisions in the evaluation of all available geologic, geophysical, engineering, and economic data. Estimated reserves are often subject to future revisions, which could be substantial, based on the availability of additional information; this includes reservoir performance, additional development activity, new geologic and geophysical data, additional drilling, technological advancements, price changes, and other economic factors. As a result, material revisions to existing reserve estimates may occur from time to time. Although every reasonable effort is made to ensure that the reported reserve estimates prepared by our third-party independent engineers represent the most accurate assessments possible, the subjective decisions and variances in available data for the properties make these estimates generally less precise than other estimates included in our financial statements. Material revisions to reserve estimates and/or significant changes in commodity prices could substantially affect our estimated future net cash flows of our proved reserves. These changes could affect our quarterly ceiling test calculation and could significantly affect our depletion rate. Additionally, a 10% decrease in commodity prices used to determine our proved reserves as of June 30, 2026, while all other factors remained constant, would not have resulted in an impairment of our oil and natural gas properties. Holding all other factors constant, a reduction in our proved reserve estimates at June 30, 2026 of 10% would affect depletion, depreciation, and amortization expense by approximately $0.2 million.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December 31, 2008, the SEC issued its final rule on the modernization of reporting oil and natural gas reserves. The rule allows consideration of new technologies in evaluating reserves, generally limits the designation of proved reserves to those projects forecasted to be drilled five years from the initial recognition date of such reserves, allows companies to disclose their probable and possible reserves to investors, requires reporting of oil and natural gas reserves using an average price based on the previous 12-month unweighted arithmetic average first-day-of-the-month price rather than year-end prices, revises the disclosure requirements for oil and natural gas operations, and revises accounting for the limitation on capitalized costs for full cost companies.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Stock-based Compensation</w:t>
      </w:r>
      <w:r>
        <w:rPr>
          <w:rFonts w:ascii="Times New Roman;Times;serif" w:hAnsi="Times New Roman;Times;serif"/>
          <w:sz w:val="20"/>
        </w:rPr>
        <w:t>.   The fair value, and for certain awards the expected vesting period, of our performance-based awards were determined using a Monte Carlo simulation. This technique uses a geometric Brownian motion model with defined variables and randomly generates values for each variable through multiple trials. Variables include stock price volatility, expected term of the award, the expected risk-free interest rate, and the expected dividend yield of our stock. The risk-free interest rate used is the U.S. Treasury yield for bonds matching the expected term of the award on the date of grant. Vesting of performance-based awards is based on our total common stock return compared to a peer group of other companies in our industry with comparable market capitalizations.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Recent Accounting Pronouncements</w:t>
      </w:r>
      <w:r>
        <w:rPr>
          <w:rFonts w:ascii="Times New Roman;Times;serif" w:hAnsi="Times New Roman;Times;serif"/>
          <w:sz w:val="20"/>
        </w:rPr>
        <w:t>.   Refer to Note 1, “</w:t>
      </w:r>
      <w:r>
        <w:rPr>
          <w:rFonts w:ascii="Times New Roman;Times;serif" w:hAnsi="Times New Roman;Times;serif"/>
          <w:i/>
          <w:sz w:val="20"/>
        </w:rPr>
        <w:t xml:space="preserve">Summary of Significant Events and Accounting Policies” </w:t>
      </w:r>
      <w:r>
        <w:rPr>
          <w:rFonts w:ascii="Times New Roman;Times;serif" w:hAnsi="Times New Roman;Times;serif"/>
          <w:sz w:val="20"/>
        </w:rPr>
        <w:t xml:space="preserve">to our consolidated financial statements in Item 8. </w:t>
      </w:r>
      <w:r>
        <w:rPr>
          <w:rFonts w:ascii="Times New Roman;Times;serif" w:hAnsi="Times New Roman;Times;serif"/>
          <w:i/>
          <w:sz w:val="20"/>
        </w:rPr>
        <w:t>Financial Statements and Supplementary Data</w:t>
      </w:r>
      <w:r>
        <w:rPr>
          <w:rFonts w:ascii="Times New Roman;Times;serif" w:hAnsi="Times New Roman;Times;serif"/>
          <w:sz w:val="20"/>
        </w:rPr>
        <w:t xml:space="preserve"> for discussion of the recent accounting pronouncements issued by the Financial Accounting Standards Board.</w:t>
      </w:r>
    </w:p>
    <w:p>
      <w:pPr>
        <w:pStyle w:val="TextBody"/>
        <w:bidi w:val="0"/>
        <w:spacing w:before="0" w:after="240"/>
        <w:ind w:left="0" w:right="0" w:hanging="0"/>
        <w:jc w:val="left"/>
        <w:rPr>
          <w:rFonts w:ascii="Times New Roman;Times;serif" w:hAnsi="Times New Roman;Times;serif"/>
          <w:b/>
          <w:sz w:val="20"/>
        </w:rPr>
      </w:pPr>
      <w:bookmarkStart w:id="75" w:name="Item7AQuantitativeandQualitativeDisclosu"/>
      <w:bookmarkStart w:id="76" w:name="_879c149f_74eb_43aa_afc8_6d1bfb54f569"/>
      <w:bookmarkEnd w:id="75"/>
      <w:bookmarkEnd w:id="76"/>
      <w:r>
        <w:rPr>
          <w:rFonts w:ascii="Times New Roman;Times;serif" w:hAnsi="Times New Roman;Times;serif"/>
          <w:b/>
          <w:sz w:val="20"/>
        </w:rPr>
        <w:t>Item 7A.   Quantitative and Qualitative Disclosures About Market Risks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Derivative Instruments and Hedging Activity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are exposed to various risks, including energy commodity price risk, such as price differentials between the NYMEX commodity price and the index price at the location where our production is sold. When oil, natural gas, and NGL prices decline significantly, our ability to finance our capital budget and operations may be adversely impacted. We expect energy prices to remain volatile and unpredictable, therefore we monitor commodity prices to identify the potential need for the use of derivative financial instruments to provide partial protection against declines in oil and natural gas prices. We do not enter into derivative contracts for speculative trading purposes. In accordance with our Senior Secured Credit Facility, we have been and may be required in the future to enter into hedges if we meet certain utilization levels of the borrowing base under the credit facility. We intend to remain in compliance with these covenants and will enter into derivative contracts from time to time to meet the requirements. </w:t>
      </w:r>
      <w:r>
        <w:rPr>
          <w:rFonts w:ascii="Times New Roman;Times;serif" w:hAnsi="Times New Roman;Times;serif"/>
          <w:sz w:val="20"/>
          <w:shd w:fill="FFFFFF" w:val="clear"/>
        </w:rPr>
        <w:t>As a result of our recent acquisitions and the corresponding borrowings on our Senior Secured Credit Facility, we were required by terms in our Senior Secured Credit Facility to hedge a portion of our production</w:t>
      </w:r>
      <w:r>
        <w:rPr>
          <w:rFonts w:ascii="Times New Roman;Times;serif" w:hAnsi="Times New Roman;Times;serif"/>
          <w:sz w:val="20"/>
        </w:rPr>
        <w:t xml:space="preserve"> Additionally, depending on market conditions, financial and other considerations we may enter into additional hedges to meet our objectives of increasing value to shareholders. We may also, from time to time, restructure existing derivative contracts or enter into new transactions to effectively modify the terms of current contracts in order to improve the pricing parameters in existing contracts.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are exposed to market risk on our open derivative contracts related to potential non-performance by our counterparties. It is our policy to enter into derivative contracts only with counterparties that are creditworthy institutions deemed by management as competitive market makers. For the derivative contracts settled during fiscal 2026 and 2025, we did not post collateral. We account for our derivative activities under the provisions of ASC 815, </w:t>
      </w:r>
      <w:r>
        <w:rPr>
          <w:rFonts w:ascii="Times New Roman;Times;serif" w:hAnsi="Times New Roman;Times;serif"/>
          <w:i/>
          <w:sz w:val="20"/>
        </w:rPr>
        <w:t>Derivatives and Hedging</w:t>
      </w:r>
      <w:r>
        <w:rPr>
          <w:rFonts w:ascii="Times New Roman;Times;serif" w:hAnsi="Times New Roman;Times;serif"/>
          <w:sz w:val="20"/>
        </w:rPr>
        <w:t>, (“ASC 815”). ASC 815 establishes accounting and reporting that every derivative instrument be recorded on the balance sheet as either an asset or liability measured at fair value. See Note 7, “</w:t>
      </w:r>
      <w:r>
        <w:rPr>
          <w:rFonts w:ascii="Times New Roman;Times;serif" w:hAnsi="Times New Roman;Times;serif"/>
          <w:i/>
          <w:sz w:val="20"/>
        </w:rPr>
        <w:t xml:space="preserve">Derivatives” </w:t>
      </w:r>
      <w:r>
        <w:rPr>
          <w:rFonts w:ascii="Times New Roman;Times;serif" w:hAnsi="Times New Roman;Times;serif"/>
          <w:sz w:val="20"/>
        </w:rPr>
        <w:t>to our consolidated financial statements for more details.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Rate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exposed to changes in interest rates. Changes in interest rates affect the interest earned on our cash and cash equivalents. Additionally, any borrowings under the Senior Secured Credit Facility will bear interest, at our option, at either (i) SOFR, subject to a minimum SOFR of 3.25%, plus a credit spread adjustment of 0.05%, or (ii) the Prime Rate, as defined under the Senior Secured Credit Facility, plus 1.00%, plus, in either case of (i) or (ii), an applicable margin of 2.75%. SOFR rates are sensitive to the period of contract and market volatility, as well as changes in forward interest rate yields. Under our current practices, we do not use interest rate derivative instruments to manage exposure to interest rate changes.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7" w:name="Item8ConsolidatedFinancialStatementsandS"/>
      <w:bookmarkStart w:id="78" w:name="_06768558_d834_4a70_8660_4dd82ae1dadb"/>
      <w:bookmarkEnd w:id="77"/>
      <w:bookmarkEnd w:id="78"/>
      <w:r>
        <w:rPr>
          <w:rFonts w:ascii="Times New Roman;Times;serif" w:hAnsi="Times New Roman;Times;serif"/>
          <w:b/>
          <w:sz w:val="20"/>
        </w:rPr>
        <w:t>Item 8.   Consolidated Financial Statements and Supplementary Data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Index to Consolidated Financial Statements</w:t>
      </w:r>
    </w:p>
    <w:tbl>
      <w:tblPr>
        <w:tblW w:w="9186" w:type="dxa"/>
        <w:jc w:val="left"/>
        <w:tblInd w:w="0" w:type="dxa"/>
        <w:tblLayout w:type="fixed"/>
        <w:tblCellMar>
          <w:top w:w="0" w:type="dxa"/>
          <w:left w:w="0" w:type="dxa"/>
          <w:bottom w:w="0" w:type="dxa"/>
          <w:right w:w="0" w:type="dxa"/>
        </w:tblCellMar>
      </w:tblPr>
      <w:tblGrid>
        <w:gridCol w:w="124"/>
        <w:gridCol w:w="8701"/>
        <w:gridCol w:w="36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78740" cy="175260"/>
                      <wp:effectExtent l="0" t="0" r="0" b="0"/>
                      <wp:wrapNone/>
                      <wp:docPr id="154" name="Frame15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0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29235" cy="175260"/>
                      <wp:effectExtent l="0" t="0" r="0" b="0"/>
                      <wp:wrapNone/>
                      <wp:docPr id="155" name="Frame15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8701" w:type="dxa"/>
            <w:tcBorders/>
            <w:vAlign w:val="center"/>
          </w:tcPr>
          <w:p>
            <w:pPr>
              <w:pStyle w:val="TableContents"/>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No. 23)</w:t>
            </w:r>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r>
      <w:tr>
        <w:trPr/>
        <w:tc>
          <w:tcPr>
            <w:tcW w:w="124" w:type="dxa"/>
            <w:tcBorders/>
            <w:vAlign w:val="center"/>
          </w:tcPr>
          <w:p>
            <w:pPr>
              <w:pStyle w:val="TableContents"/>
              <w:bidi w:val="0"/>
              <w:spacing w:before="0" w:after="0"/>
              <w:ind w:left="0" w:right="0" w:hanging="0"/>
              <w:jc w:val="left"/>
              <w:rPr/>
            </w:pPr>
            <w:r>
              <w:rPr/>
              <w:t>​</w:t>
            </w:r>
          </w:p>
        </w:tc>
        <w:tc>
          <w:tcPr>
            <w:tcW w:w="8701" w:type="dxa"/>
            <w:tcBorders/>
            <w:vAlign w:val="center"/>
          </w:tcPr>
          <w:p>
            <w:pPr>
              <w:pStyle w:val="TableContents"/>
              <w:bidi w:val="0"/>
              <w:spacing w:before="0" w:after="0"/>
              <w:ind w:left="0" w:right="0" w:hanging="0"/>
              <w:jc w:val="left"/>
              <w:rPr/>
            </w:pPr>
            <w:hyperlink w:anchor="ConsolidatedBalanceSheet">
              <w:r>
                <w:rPr>
                  <w:rStyle w:val="InternetLink"/>
                  <w:rFonts w:ascii="Times New Roman;Times;serif" w:hAnsi="Times New Roman;Times;serif"/>
                  <w:b w:val="false"/>
                  <w:i w:val="false"/>
                  <w:caps w:val="false"/>
                  <w:smallCaps w:val="false"/>
                  <w:sz w:val="20"/>
                </w:rPr>
                <w:t>Consolidated Balance Sheets as of June 30, 2026 and 2025</w:t>
              </w:r>
            </w:hyperlink>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r>
      <w:tr>
        <w:trPr/>
        <w:tc>
          <w:tcPr>
            <w:tcW w:w="124" w:type="dxa"/>
            <w:tcBorders/>
            <w:vAlign w:val="center"/>
          </w:tcPr>
          <w:p>
            <w:pPr>
              <w:pStyle w:val="TableContents"/>
              <w:bidi w:val="0"/>
              <w:spacing w:before="0" w:after="0"/>
              <w:ind w:left="0" w:right="0" w:hanging="0"/>
              <w:jc w:val="left"/>
              <w:rPr/>
            </w:pPr>
            <w:r>
              <w:rPr/>
              <w:t>​</w:t>
            </w:r>
          </w:p>
        </w:tc>
        <w:tc>
          <w:tcPr>
            <w:tcW w:w="8701" w:type="dxa"/>
            <w:tcBorders/>
            <w:vAlign w:val="center"/>
          </w:tcPr>
          <w:p>
            <w:pPr>
              <w:pStyle w:val="TableContents"/>
              <w:bidi w:val="0"/>
              <w:spacing w:before="0" w:after="0"/>
              <w:ind w:left="0" w:right="0" w:hanging="0"/>
              <w:jc w:val="left"/>
              <w:rPr/>
            </w:pPr>
            <w:hyperlink w:anchor="ConsolidatedStatementsofOperations_56690">
              <w:r>
                <w:rPr>
                  <w:rStyle w:val="InternetLink"/>
                  <w:rFonts w:ascii="Times New Roman;Times;serif" w:hAnsi="Times New Roman;Times;serif"/>
                  <w:b w:val="false"/>
                  <w:i w:val="false"/>
                  <w:caps w:val="false"/>
                  <w:smallCaps w:val="false"/>
                  <w:sz w:val="20"/>
                </w:rPr>
                <w:t>Consolidated Statements of Operations for the Years Ended June 30, 2026 and 2025</w:t>
              </w:r>
            </w:hyperlink>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r>
      <w:tr>
        <w:trPr/>
        <w:tc>
          <w:tcPr>
            <w:tcW w:w="124" w:type="dxa"/>
            <w:tcBorders/>
            <w:vAlign w:val="center"/>
          </w:tcPr>
          <w:p>
            <w:pPr>
              <w:pStyle w:val="TableContents"/>
              <w:bidi w:val="0"/>
              <w:spacing w:before="0" w:after="0"/>
              <w:ind w:left="0" w:right="0" w:hanging="0"/>
              <w:jc w:val="left"/>
              <w:rPr/>
            </w:pPr>
            <w:r>
              <w:rPr/>
              <w:t>​</w:t>
            </w:r>
          </w:p>
        </w:tc>
        <w:tc>
          <w:tcPr>
            <w:tcW w:w="8701" w:type="dxa"/>
            <w:tcBorders/>
            <w:vAlign w:val="center"/>
          </w:tcPr>
          <w:p>
            <w:pPr>
              <w:pStyle w:val="TableContents"/>
              <w:bidi w:val="0"/>
              <w:spacing w:before="0" w:after="0"/>
              <w:ind w:left="0" w:right="0" w:hanging="0"/>
              <w:jc w:val="left"/>
              <w:rPr/>
            </w:pPr>
            <w:hyperlink w:anchor="ConsolidatedStatementsofCashFlows_655074">
              <w:r>
                <w:rPr>
                  <w:rStyle w:val="InternetLink"/>
                  <w:rFonts w:ascii="Times New Roman;Times;serif" w:hAnsi="Times New Roman;Times;serif"/>
                  <w:b w:val="false"/>
                  <w:i w:val="false"/>
                  <w:caps w:val="false"/>
                  <w:smallCaps w:val="false"/>
                  <w:sz w:val="20"/>
                </w:rPr>
                <w:t>Consolidated Statements of Cash Flows for the Years Ended June 30, 2026 and 2025</w:t>
              </w:r>
            </w:hyperlink>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r>
      <w:tr>
        <w:trPr/>
        <w:tc>
          <w:tcPr>
            <w:tcW w:w="124" w:type="dxa"/>
            <w:tcBorders/>
            <w:vAlign w:val="center"/>
          </w:tcPr>
          <w:p>
            <w:pPr>
              <w:pStyle w:val="TableContents"/>
              <w:bidi w:val="0"/>
              <w:spacing w:before="0" w:after="0"/>
              <w:ind w:left="0" w:right="0" w:hanging="0"/>
              <w:jc w:val="left"/>
              <w:rPr/>
            </w:pPr>
            <w:r>
              <w:rPr/>
              <w:t>​</w:t>
            </w:r>
          </w:p>
        </w:tc>
        <w:tc>
          <w:tcPr>
            <w:tcW w:w="8701" w:type="dxa"/>
            <w:tcBorders/>
            <w:vAlign w:val="center"/>
          </w:tcPr>
          <w:p>
            <w:pPr>
              <w:pStyle w:val="TableContents"/>
              <w:bidi w:val="0"/>
              <w:spacing w:before="0" w:after="0"/>
              <w:ind w:left="0" w:right="0" w:hanging="0"/>
              <w:jc w:val="left"/>
              <w:rPr/>
            </w:pPr>
            <w:hyperlink w:anchor="ConsolidatedStatementsofChangesinStockho">
              <w:r>
                <w:rPr>
                  <w:rStyle w:val="InternetLink"/>
                  <w:rFonts w:ascii="Times New Roman;Times;serif" w:hAnsi="Times New Roman;Times;serif"/>
                  <w:b w:val="false"/>
                  <w:i w:val="false"/>
                  <w:caps w:val="false"/>
                  <w:smallCaps w:val="false"/>
                  <w:sz w:val="20"/>
                </w:rPr>
                <w:t>Consolidated Statements of Changes in Stockholders’ Equity for the Years Ended June 30, 2026 and 2025</w:t>
              </w:r>
            </w:hyperlink>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r>
      <w:tr>
        <w:trPr/>
        <w:tc>
          <w:tcPr>
            <w:tcW w:w="124" w:type="dxa"/>
            <w:tcBorders/>
            <w:vAlign w:val="center"/>
          </w:tcPr>
          <w:p>
            <w:pPr>
              <w:pStyle w:val="TableContents"/>
              <w:bidi w:val="0"/>
              <w:spacing w:before="0" w:after="0"/>
              <w:ind w:left="0" w:right="0" w:hanging="0"/>
              <w:jc w:val="left"/>
              <w:rPr/>
            </w:pPr>
            <w:r>
              <w:rPr/>
              <w:t>​</w:t>
            </w:r>
          </w:p>
        </w:tc>
        <w:tc>
          <w:tcPr>
            <w:tcW w:w="8701" w:type="dxa"/>
            <w:tcBorders/>
            <w:vAlign w:val="center"/>
          </w:tcPr>
          <w:p>
            <w:pPr>
              <w:pStyle w:val="TableContents"/>
              <w:bidi w:val="0"/>
              <w:spacing w:before="0" w:after="0"/>
              <w:ind w:left="0" w:right="0" w:hanging="0"/>
              <w:jc w:val="left"/>
              <w:rPr/>
            </w:pPr>
            <w:hyperlink w:anchor="Note1SummaryofSignificantEventsandAccoun">
              <w:r>
                <w:rPr>
                  <w:rStyle w:val="InternetLink"/>
                  <w:rFonts w:ascii="Times New Roman;Times;serif" w:hAnsi="Times New Roman;Times;serif"/>
                  <w:b w:val="false"/>
                  <w:i w:val="false"/>
                  <w:caps w:val="false"/>
                  <w:smallCaps w:val="false"/>
                  <w:sz w:val="20"/>
                </w:rPr>
                <w:t>Notes to Consolidated Financial Statements</w:t>
              </w:r>
            </w:hyperlink>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r>
      <w:tr>
        <w:trPr/>
        <w:tc>
          <w:tcPr>
            <w:tcW w:w="124" w:type="dxa"/>
            <w:tcBorders/>
            <w:vAlign w:val="center"/>
          </w:tcPr>
          <w:p>
            <w:pPr>
              <w:pStyle w:val="TableContents"/>
              <w:bidi w:val="0"/>
              <w:spacing w:before="0" w:after="0"/>
              <w:ind w:left="0" w:right="0" w:hanging="0"/>
              <w:jc w:val="left"/>
              <w:rPr/>
            </w:pPr>
            <w:r>
              <w:rPr/>
              <w:t>​</w:t>
            </w:r>
          </w:p>
        </w:tc>
        <w:tc>
          <w:tcPr>
            <w:tcW w:w="8701" w:type="dxa"/>
            <w:tcBorders/>
            <w:vAlign w:val="center"/>
          </w:tcPr>
          <w:p>
            <w:pPr>
              <w:pStyle w:val="TableContents"/>
              <w:bidi w:val="0"/>
              <w:spacing w:before="0" w:after="0"/>
              <w:ind w:left="0" w:right="0" w:hanging="0"/>
              <w:jc w:val="left"/>
              <w:rPr/>
            </w:pPr>
            <w:hyperlink w:anchor="_Supplemental_Disclosure_about">
              <w:r>
                <w:rPr>
                  <w:rStyle w:val="InternetLink"/>
                  <w:rFonts w:ascii="Times New Roman;Times;serif" w:hAnsi="Times New Roman;Times;serif"/>
                  <w:b w:val="false"/>
                  <w:i w:val="false"/>
                  <w:caps w:val="false"/>
                  <w:smallCaps w:val="false"/>
                  <w:sz w:val="20"/>
                </w:rPr>
                <w:t>Supplemental Disclosure about Oil and Natural Gas Properties (unaudited)</w:t>
              </w:r>
            </w:hyperlink>
          </w:p>
        </w:tc>
        <w:tc>
          <w:tcPr>
            <w:tcW w:w="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9" w:name="REPORTOFINDEPENDENTREGISTEREDPUBLICACCOU"/>
      <w:bookmarkStart w:id="80" w:name="_c3db47e4_4228_4f19_97e8_003930fc94af"/>
      <w:bookmarkEnd w:id="79"/>
      <w:bookmarkEnd w:id="80"/>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the Shareholders and the Board of Directors of</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Evolution Petroleum Corporation</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Opinion on the Financial Statements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We have audited the accompanying consolidated balance sheets of Evolution Petroleum Corporation and subsidiaries (the “Company”) as of June 30, 2026 and 2025, the related consolidated statements of operations, cash flows, and changes in stockholders’ equity for the years then ended, and the related notes (collectively referred to as the “consolidated financial statements”). In our opinion, the consolidated financial statements present fairly, in all material respects, the consolidated financial position of the Company as of June 30, 2026 and 2025, and the consolidated results of its operations and its cash flows for the years then ended, in conformity with accounting principles generally accepted in the United States of America.</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Basis for Opinion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r>
        <w:rPr>
          <w:rFonts w:ascii="Times New Roman;Times;serif" w:hAnsi="Times New Roman;Times;serif"/>
          <w:sz w:val="20"/>
          <w:shd w:fill="FFFFFF" w:val="clear"/>
        </w:rPr>
        <w:t xml:space="preserve"> </w:t>
      </w:r>
      <w:r>
        <w:rPr>
          <w:rFonts w:ascii="Times New Roman;Times;serif" w:hAnsi="Times New Roman;Times;serif"/>
          <w:color w:val="212529"/>
          <w:sz w:val="20"/>
          <w:shd w:fill="FFFFFF" w:val="clear"/>
        </w:rPr>
        <w:t>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Critical Audit Matter</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The Impact of Proved Oil and Natural Gas Reserves on Depletion, Depreciation, and Amortization (“DD&amp;A”) and Full Cost Ceiling Test Impairment Calculation (“Ceiling Test”)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described in Note 1, the Company follows the full cost method of accounting, pursuant to which oil and natural gas properties are amortized using the unit-of-production method over total proved reserves. The Company’s proved oil and natural gas properties are evaluated for impairment by the Ceiling Test utilizing the Company’s proved oil and natural gas reserves in accordance with accounting principles generally accepted in the United States of America and SEC guidelines. For the year ended June 30, 2026, the Company recorded DD&amp;A related to its proved oil and natural gas properties of approximately $21.2 million, and there was no ceiling test impairment.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engages two independent reservoir engineering firms to serve as a management specialist and to assist with the estimation of proved oil and natural gas reserves. To estimate the volume of proved oil and natural gas reserves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and associated future net cash flows, management and their specialists make significant estimates and assumptions including forecasting the production decline rate of producing properties and forecasting the timing and volume of production associated with the Company’s development plan for proved undeveloped properties (“PUDs”). The estimation of proved oil and natural gas reserves is impacted by management’s judgments and estimates regarding the financial performance of wells associated with proved reserves to determine if wells are expected, with reasonable certainty, to be economical under the appropriate pricing assumptions required. Changes in significant assumptions or engineering data could have a significant impact on the amount of DD&amp;A and impairment recorded for the Company’s proved oil and natural gas properties.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We identified the impact of proved oil and natural gas reserves on DD&amp;A and the Ceiling Test as a critical audit matter due to use of significant judgment by management, including the use of specialists, when developing the estimates of proved oil and natural gas reserves. This in turn led to a high degree of auditor judgment, subjectivity, and effort in performing procedures and evaluating audit evidence related to the significant assumptions used in developing those estimates of proved oil and natural gas reserves.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primary procedures we performed to address this critical audit matter included: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knowledge, skill, and ability of the Company’s third-party reservoir engineering specialists and their relationship to the Company, inquiries of those reservoir engineers regarding the process followed and judgments made to estimate the proved reserve volumes and reading the reserve report prepared by the reservoir engineering specialists.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Evaluating significant assumptions used by management and its specialists in developing the estimates of proved oil and natural gas reserves, including pricing differentials, future operations costs, future production rates, and capital expenditures. The procedures performed included tests of the data inputs used by specialists for completeness and accuracy and an evaluation of the specialist’s findings. The procedures performed included: </w:t>
            </w:r>
          </w:p>
        </w:tc>
      </w:tr>
    </w:tbl>
    <w:tbl>
      <w:tblPr>
        <w:tblW w:w="6501" w:type="dxa"/>
        <w:jc w:val="left"/>
        <w:tblInd w:w="0" w:type="dxa"/>
        <w:tblLayout w:type="fixed"/>
        <w:tblCellMar>
          <w:top w:w="28" w:type="dxa"/>
          <w:left w:w="28" w:type="dxa"/>
          <w:bottom w:w="28" w:type="dxa"/>
          <w:right w:w="28" w:type="dxa"/>
        </w:tblCellMar>
      </w:tblPr>
      <w:tblGrid>
        <w:gridCol w:w="124"/>
        <w:gridCol w:w="22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the data inputs used by specialists for completeness and accuracy;</w:t>
            </w:r>
          </w:p>
        </w:tc>
      </w:tr>
    </w:tbl>
    <w:tbl>
      <w:tblPr>
        <w:tblW w:w="5706" w:type="dxa"/>
        <w:jc w:val="left"/>
        <w:tblInd w:w="0" w:type="dxa"/>
        <w:tblLayout w:type="fixed"/>
        <w:tblCellMar>
          <w:top w:w="28" w:type="dxa"/>
          <w:left w:w="28" w:type="dxa"/>
          <w:bottom w:w="28" w:type="dxa"/>
          <w:right w:w="28" w:type="dxa"/>
        </w:tblCellMar>
      </w:tblPr>
      <w:tblGrid>
        <w:gridCol w:w="124"/>
        <w:gridCol w:w="22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Testing the specialists’ findings for mathematical accuracy; and </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Performing analytical procedures on pricing, reserve quantities and cost estimates developed by management and its specialists. Those procedures entailed comparisons of: </w:t>
            </w:r>
          </w:p>
        </w:tc>
      </w:tr>
    </w:tbl>
    <w:tbl>
      <w:tblPr>
        <w:tblW w:w="6321" w:type="dxa"/>
        <w:jc w:val="left"/>
        <w:tblInd w:w="0" w:type="dxa"/>
        <w:tblLayout w:type="fixed"/>
        <w:tblCellMar>
          <w:top w:w="28" w:type="dxa"/>
          <w:left w:w="28" w:type="dxa"/>
          <w:bottom w:w="28" w:type="dxa"/>
          <w:right w:w="28" w:type="dxa"/>
        </w:tblCellMar>
      </w:tblPr>
      <w:tblGrid>
        <w:gridCol w:w="124"/>
        <w:gridCol w:w="28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prices to historical benchmark prices, adjusted for pricing differentials, </w:t>
            </w:r>
          </w:p>
        </w:tc>
      </w:tr>
    </w:tbl>
    <w:tbl>
      <w:tblPr>
        <w:tblW w:w="5346" w:type="dxa"/>
        <w:jc w:val="left"/>
        <w:tblInd w:w="0" w:type="dxa"/>
        <w:tblLayout w:type="fixed"/>
        <w:tblCellMar>
          <w:top w:w="28" w:type="dxa"/>
          <w:left w:w="28" w:type="dxa"/>
          <w:bottom w:w="28" w:type="dxa"/>
          <w:right w:w="28" w:type="dxa"/>
        </w:tblCellMar>
      </w:tblPr>
      <w:tblGrid>
        <w:gridCol w:w="124"/>
        <w:gridCol w:w="28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production forecasts to recent historical actual production, </w:t>
            </w:r>
          </w:p>
        </w:tc>
      </w:tr>
    </w:tbl>
    <w:tbl>
      <w:tblPr>
        <w:tblW w:w="9006" w:type="dxa"/>
        <w:jc w:val="left"/>
        <w:tblInd w:w="0" w:type="dxa"/>
        <w:tblLayout w:type="fixed"/>
        <w:tblCellMar>
          <w:top w:w="28" w:type="dxa"/>
          <w:left w:w="28" w:type="dxa"/>
          <w:bottom w:w="28" w:type="dxa"/>
          <w:right w:w="28" w:type="dxa"/>
        </w:tblCellMar>
      </w:tblPr>
      <w:tblGrid>
        <w:gridCol w:w="124"/>
        <w:gridCol w:w="28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projections of lease operating costs to costs incurred by property during fiscal year ended June 30, 2026,</w:t>
            </w:r>
          </w:p>
        </w:tc>
      </w:tr>
    </w:tbl>
    <w:tbl>
      <w:tblPr>
        <w:tblW w:w="7911" w:type="dxa"/>
        <w:jc w:val="left"/>
        <w:tblInd w:w="0" w:type="dxa"/>
        <w:tblLayout w:type="fixed"/>
        <w:tblCellMar>
          <w:top w:w="28" w:type="dxa"/>
          <w:left w:w="28" w:type="dxa"/>
          <w:bottom w:w="28" w:type="dxa"/>
          <w:right w:w="28" w:type="dxa"/>
        </w:tblCellMar>
      </w:tblPr>
      <w:tblGrid>
        <w:gridCol w:w="124"/>
        <w:gridCol w:w="286"/>
        <w:gridCol w:w="750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7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projected production taxes to recent historical taxes incurred and to statutory tax rates, and</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assessed the reasonableness of forecasted capital expenditures by comparing to recent drilling costs or approval for expenditures.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accuracy of revenue and working interest percentages used in the reserve reports by comparing a sample of such interests to the land records.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Performing retrospective review of historical estimates of proved oil and natural gas reserves to identify potential management bias in estimates.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the mathematical accuracy of the Company’s depletion and impairment calculations that included these proved reserves.</w:t>
            </w:r>
          </w:p>
        </w:tc>
      </w:tr>
    </w:tbl>
    <w:p>
      <w:pPr>
        <w:pStyle w:val="Normal"/>
        <w:bidi w:val="0"/>
        <w:spacing w:before="0" w:after="0"/>
        <w:jc w:val="left"/>
        <w:rPr>
          <w:sz w:val="4"/>
          <w:szCs w:val="4"/>
        </w:rPr>
      </w:pPr>
      <w:r>
        <w:rPr>
          <w:sz w:val="4"/>
          <w:szCs w:val="4"/>
        </w:rPr>
      </w:r>
      <w:bookmarkStart w:id="81" w:name="Tc_e995jWZfvUelg1b5-gKryg_4_0"/>
      <w:bookmarkStart w:id="82" w:name="Tc_cnk8zTl1TUqLuWJnnCeKCg_1_0"/>
      <w:bookmarkStart w:id="83" w:name="_2f673ba7_1378_420f_9ba1_617c95ebc7e8"/>
      <w:bookmarkStart w:id="84" w:name="Tc_e995jWZfvUelg1b5-gKryg_4_0"/>
      <w:bookmarkStart w:id="85" w:name="Tc_cnk8zTl1TUqLuWJnnCeKCg_1_0"/>
      <w:bookmarkStart w:id="86" w:name="_2f673ba7_1378_420f_9ba1_617c95ebc7e8"/>
      <w:bookmarkEnd w:id="84"/>
      <w:bookmarkEnd w:id="85"/>
      <w:bookmarkEnd w:id="86"/>
    </w:p>
    <w:tbl>
      <w:tblPr>
        <w:tblW w:w="2165" w:type="dxa"/>
        <w:jc w:val="left"/>
        <w:tblInd w:w="0" w:type="dxa"/>
        <w:tblLayout w:type="fixed"/>
        <w:tblCellMar>
          <w:top w:w="0" w:type="dxa"/>
          <w:left w:w="0" w:type="dxa"/>
          <w:bottom w:w="0" w:type="dxa"/>
          <w:right w:w="0" w:type="dxa"/>
        </w:tblCellMar>
      </w:tblPr>
      <w:tblGrid>
        <w:gridCol w:w="2011"/>
        <w:gridCol w:w="154"/>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276985" cy="175260"/>
                      <wp:effectExtent l="0" t="0" r="0" b="0"/>
                      <wp:wrapNone/>
                      <wp:docPr id="156" name="Frame155"/>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97790" cy="175260"/>
                      <wp:effectExtent l="0" t="0" r="0" b="0"/>
                      <wp:wrapNone/>
                      <wp:docPr id="157" name="Frame15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/s/ </w:t>
            </w:r>
            <w:r>
              <w:rPr>
                <w:rFonts w:ascii="Times New Roman;Times;serif" w:hAnsi="Times New Roman;Times;serif"/>
                <w:sz w:val="20"/>
              </w:rPr>
              <w:t>Baker Tilly US, LLP</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0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Houston, Texas</w:t>
            </w:r>
          </w:p>
        </w:tc>
        <w:tc>
          <w:tcPr>
            <w:tcW w:w="154" w:type="dxa"/>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16, 2026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2017.</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0"/>
        </w:rPr>
      </w:pPr>
      <w:bookmarkStart w:id="87" w:name="_1f14922c_b6c6_42ce_aa6b_b2a3fcc90873"/>
      <w:bookmarkEnd w:id="87"/>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bookmarkStart w:id="88" w:name="ConsolidatedBalanceSheet"/>
      <w:bookmarkEnd w:id="88"/>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89" w:name="Tc_DkeyvbUdeEqMHbD-J4HL9Q_37_5"/>
      <w:bookmarkStart w:id="90" w:name="Tc_ofc4IzRxWkW0DCotv8J0AA_37_2"/>
      <w:bookmarkStart w:id="91" w:name="Tc_tAMH26TMSkOu3BtVfkTmjQ_37_0"/>
      <w:bookmarkStart w:id="92" w:name="Tc_i6jem4RhN06ln8gmD0OW2A_36_0"/>
      <w:bookmarkStart w:id="93" w:name="Tc_vIr1C5OqS0O7KfUNXVNdUw_35_0"/>
      <w:bookmarkStart w:id="94" w:name="Tc_RsZgkiNPNECk-oKbclDOFg_34_0"/>
      <w:bookmarkStart w:id="95" w:name="Tc_QKzgkBBw2EWCexKx_vqbzQ_33_0"/>
      <w:bookmarkStart w:id="96" w:name="Tc_Zd67qJgYyE29xc3C5qRPxA_32_0"/>
      <w:bookmarkStart w:id="97" w:name="Tc_LODbHzg_X0O9osSGkWsdBQ_31_0"/>
      <w:bookmarkStart w:id="98" w:name="Tc_F-RjIr4WFEqxntwCB1TYQw_30_0"/>
      <w:bookmarkStart w:id="99" w:name="Tc_AoOqf5W7NkmLeB6kMOaAeg_29_0"/>
      <w:bookmarkStart w:id="100" w:name="Tc_jgq5LAusZUS1JV1Lq166FA_28_0"/>
      <w:bookmarkStart w:id="101" w:name="Tc_ziVLZNNrTkiLMu7i0sLh2Q_27_6"/>
      <w:bookmarkStart w:id="102" w:name="Tc_q02Gw6B5_kyxifH9f2LUgw_27_0"/>
      <w:bookmarkStart w:id="103" w:name="Tc_OPfFLgPJL0GzdjqgKQSD4g_26_0"/>
      <w:bookmarkStart w:id="104" w:name="Tc_svL12A2A20OO_lMYDgLhaw_25_0"/>
      <w:bookmarkStart w:id="105" w:name="Tc_8hWodpjOe06X9hVzPPED-g_24_0"/>
      <w:bookmarkStart w:id="106" w:name="Tc_jI4gcj_2aESfxWit7nt1Qg_23_0"/>
      <w:bookmarkStart w:id="107" w:name="Tc_orchNJlrJkGBb2lMHnjy5g_22_0"/>
      <w:bookmarkStart w:id="108" w:name="Tc_5C4RfoUk_EClT2x33ysn8A_21_0"/>
      <w:bookmarkStart w:id="109" w:name="Tc_ZBQOPiMAQE-3UvLGg3F0Bw_20_0"/>
      <w:bookmarkStart w:id="110" w:name="Tc_lMk42xtdpkyrCspf6S-Lqg_19_0"/>
      <w:bookmarkStart w:id="111" w:name="Tc_TgUpGwAFiE2d6kdglBA0Mg_18_5"/>
      <w:bookmarkStart w:id="112" w:name="Tc_HEiEozxvR0eqmr0eLY1gTQ_18_2"/>
      <w:bookmarkStart w:id="113" w:name="Tc_w1m31p-ajkuYLL9B8tpMHA_18_0"/>
      <w:bookmarkStart w:id="114" w:name="Tc_QZbLc_kmvk-fH_LnxN5kwQ_17_0"/>
      <w:bookmarkStart w:id="115" w:name="Tc_CblJZ_Ft60-5mxRKA9kcGg_16_0"/>
      <w:bookmarkStart w:id="116" w:name="Tc_3YDzLtHHOkmJU8Z9ggR3eg_15_5"/>
      <w:bookmarkStart w:id="117" w:name="Tc_OS95d8_0e0qcH-pC0Tvzgw_15_2"/>
      <w:bookmarkStart w:id="118" w:name="Tc_M1LK4GMjK0q6fXz1_iItVw_15_0"/>
      <w:bookmarkStart w:id="119" w:name="Tc_fAa0-TXhKEisiu38i5WHSg_14_0"/>
      <w:bookmarkStart w:id="120" w:name="Tc_DGiQYf3hhU-DkDsUmHIabw_13_0"/>
      <w:bookmarkStart w:id="121" w:name="Tc_vsbHY3eu80ajPrKjp40RlQ_12_0"/>
      <w:bookmarkStart w:id="122" w:name="Tc_BraMC3VlDkeExDJ_AzGXuA_10_0"/>
      <w:bookmarkStart w:id="123" w:name="Tc_tIAty7fMFkCEOPGeEvRh-Q_9_0"/>
      <w:bookmarkStart w:id="124" w:name="Tc_uFPbZN0fQ0C8EJDSkDCPag_8_0"/>
      <w:bookmarkStart w:id="125" w:name="Tc_NqCs2pDo7kKOTZeqSwQ6Pw_7_0"/>
      <w:bookmarkStart w:id="126" w:name="Tc_m-e8qng4qEKOh0Q9UqsNsw_6_0"/>
      <w:bookmarkStart w:id="127" w:name="Tc_K-eSw5l7AEO7vnvgSZfdGQ_5_0"/>
      <w:bookmarkStart w:id="128" w:name="Tc_QFO7jBZeYES98Y3llLZCgw_4_5"/>
      <w:bookmarkStart w:id="129" w:name="Tc_9QiBeRF-pEiajNnu7HrymQ_4_2"/>
      <w:bookmarkStart w:id="130" w:name="Tc_UCX1sRCkTUatoDNVQefqWQ_4_0"/>
      <w:bookmarkStart w:id="131" w:name="Tc_D83KdASLNU-Rny5Bg6HXxg_3_0"/>
      <w:bookmarkStart w:id="132" w:name="Tc_MQmAS_KAz0un30YaelFFzA_2_0"/>
      <w:bookmarkStart w:id="133" w:name="Tc_3p91Nbbb2k-lrcCaXgLo7Q_1_5"/>
      <w:bookmarkStart w:id="134" w:name="Tc_JUXX7wSI6E69vpYGV1PkvQ_1_2"/>
      <w:bookmarkStart w:id="135" w:name="_d0da8c70_80c7_441f_8cda_e895cffc36e0"/>
      <w:bookmarkStart w:id="136" w:name="Tc_DkeyvbUdeEqMHbD-J4HL9Q_37_5"/>
      <w:bookmarkStart w:id="137" w:name="Tc_ofc4IzRxWkW0DCotv8J0AA_37_2"/>
      <w:bookmarkStart w:id="138" w:name="Tc_tAMH26TMSkOu3BtVfkTmjQ_37_0"/>
      <w:bookmarkStart w:id="139" w:name="Tc_i6jem4RhN06ln8gmD0OW2A_36_0"/>
      <w:bookmarkStart w:id="140" w:name="Tc_vIr1C5OqS0O7KfUNXVNdUw_35_0"/>
      <w:bookmarkStart w:id="141" w:name="Tc_RsZgkiNPNECk-oKbclDOFg_34_0"/>
      <w:bookmarkStart w:id="142" w:name="Tc_QKzgkBBw2EWCexKx_vqbzQ_33_0"/>
      <w:bookmarkStart w:id="143" w:name="Tc_Zd67qJgYyE29xc3C5qRPxA_32_0"/>
      <w:bookmarkStart w:id="144" w:name="Tc_LODbHzg_X0O9osSGkWsdBQ_31_0"/>
      <w:bookmarkStart w:id="145" w:name="Tc_F-RjIr4WFEqxntwCB1TYQw_30_0"/>
      <w:bookmarkStart w:id="146" w:name="Tc_AoOqf5W7NkmLeB6kMOaAeg_29_0"/>
      <w:bookmarkStart w:id="147" w:name="Tc_jgq5LAusZUS1JV1Lq166FA_28_0"/>
      <w:bookmarkStart w:id="148" w:name="Tc_ziVLZNNrTkiLMu7i0sLh2Q_27_6"/>
      <w:bookmarkStart w:id="149" w:name="Tc_q02Gw6B5_kyxifH9f2LUgw_27_0"/>
      <w:bookmarkStart w:id="150" w:name="Tc_OPfFLgPJL0GzdjqgKQSD4g_26_0"/>
      <w:bookmarkStart w:id="151" w:name="Tc_svL12A2A20OO_lMYDgLhaw_25_0"/>
      <w:bookmarkStart w:id="152" w:name="Tc_8hWodpjOe06X9hVzPPED-g_24_0"/>
      <w:bookmarkStart w:id="153" w:name="Tc_jI4gcj_2aESfxWit7nt1Qg_23_0"/>
      <w:bookmarkStart w:id="154" w:name="Tc_orchNJlrJkGBb2lMHnjy5g_22_0"/>
      <w:bookmarkStart w:id="155" w:name="Tc_5C4RfoUk_EClT2x33ysn8A_21_0"/>
      <w:bookmarkStart w:id="156" w:name="Tc_ZBQOPiMAQE-3UvLGg3F0Bw_20_0"/>
      <w:bookmarkStart w:id="157" w:name="Tc_lMk42xtdpkyrCspf6S-Lqg_19_0"/>
      <w:bookmarkStart w:id="158" w:name="Tc_TgUpGwAFiE2d6kdglBA0Mg_18_5"/>
      <w:bookmarkStart w:id="159" w:name="Tc_HEiEozxvR0eqmr0eLY1gTQ_18_2"/>
      <w:bookmarkStart w:id="160" w:name="Tc_w1m31p-ajkuYLL9B8tpMHA_18_0"/>
      <w:bookmarkStart w:id="161" w:name="Tc_QZbLc_kmvk-fH_LnxN5kwQ_17_0"/>
      <w:bookmarkStart w:id="162" w:name="Tc_CblJZ_Ft60-5mxRKA9kcGg_16_0"/>
      <w:bookmarkStart w:id="163" w:name="Tc_3YDzLtHHOkmJU8Z9ggR3eg_15_5"/>
      <w:bookmarkStart w:id="164" w:name="Tc_OS95d8_0e0qcH-pC0Tvzgw_15_2"/>
      <w:bookmarkStart w:id="165" w:name="Tc_M1LK4GMjK0q6fXz1_iItVw_15_0"/>
      <w:bookmarkStart w:id="166" w:name="Tc_fAa0-TXhKEisiu38i5WHSg_14_0"/>
      <w:bookmarkStart w:id="167" w:name="Tc_DGiQYf3hhU-DkDsUmHIabw_13_0"/>
      <w:bookmarkStart w:id="168" w:name="Tc_vsbHY3eu80ajPrKjp40RlQ_12_0"/>
      <w:bookmarkStart w:id="169" w:name="Tc_BraMC3VlDkeExDJ_AzGXuA_10_0"/>
      <w:bookmarkStart w:id="170" w:name="Tc_tIAty7fMFkCEOPGeEvRh-Q_9_0"/>
      <w:bookmarkStart w:id="171" w:name="Tc_uFPbZN0fQ0C8EJDSkDCPag_8_0"/>
      <w:bookmarkStart w:id="172" w:name="Tc_NqCs2pDo7kKOTZeqSwQ6Pw_7_0"/>
      <w:bookmarkStart w:id="173" w:name="Tc_m-e8qng4qEKOh0Q9UqsNsw_6_0"/>
      <w:bookmarkStart w:id="174" w:name="Tc_K-eSw5l7AEO7vnvgSZfdGQ_5_0"/>
      <w:bookmarkStart w:id="175" w:name="Tc_QFO7jBZeYES98Y3llLZCgw_4_5"/>
      <w:bookmarkStart w:id="176" w:name="Tc_9QiBeRF-pEiajNnu7HrymQ_4_2"/>
      <w:bookmarkStart w:id="177" w:name="Tc_UCX1sRCkTUatoDNVQefqWQ_4_0"/>
      <w:bookmarkStart w:id="178" w:name="Tc_D83KdASLNU-Rny5Bg6HXxg_3_0"/>
      <w:bookmarkStart w:id="179" w:name="Tc_MQmAS_KAz0un30YaelFFzA_2_0"/>
      <w:bookmarkStart w:id="180" w:name="Tc_3p91Nbbb2k-lrcCaXgLo7Q_1_5"/>
      <w:bookmarkStart w:id="181" w:name="Tc_JUXX7wSI6E69vpYGV1PkvQ_1_2"/>
      <w:bookmarkStart w:id="182" w:name="_d0da8c70_80c7_441f_8cda_e895cffc36e0"/>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tbl>
      <w:tblPr>
        <w:tblW w:w="10205" w:type="dxa"/>
        <w:jc w:val="left"/>
        <w:tblInd w:w="0" w:type="dxa"/>
        <w:tblLayout w:type="fixed"/>
        <w:tblCellMar>
          <w:top w:w="0" w:type="dxa"/>
          <w:left w:w="0" w:type="dxa"/>
          <w:bottom w:w="0" w:type="dxa"/>
          <w:right w:w="0" w:type="dxa"/>
        </w:tblCellMar>
      </w:tblPr>
      <w:tblGrid>
        <w:gridCol w:w="7156"/>
        <w:gridCol w:w="346"/>
        <w:gridCol w:w="255"/>
        <w:gridCol w:w="901"/>
        <w:gridCol w:w="346"/>
        <w:gridCol w:w="237"/>
        <w:gridCol w:w="964"/>
      </w:tblGrid>
      <w:tr>
        <w:trPr/>
        <w:tc>
          <w:tcPr>
            <w:tcW w:w="7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544060" cy="175260"/>
                      <wp:effectExtent l="0" t="0" r="0" b="0"/>
                      <wp:wrapNone/>
                      <wp:docPr id="158" name="Frame157"/>
                      <a:graphic xmlns:a="http://schemas.openxmlformats.org/drawingml/2006/main">
                        <a:graphicData uri="http://schemas.microsoft.com/office/word/2010/wordprocessingShape">
                          <wps:wsp>
                            <wps:cNvSpPr txBox="1"/>
                            <wps:spPr>
                              <a:xfrm>
                                <a:off x="0" y="0"/>
                                <a:ext cx="454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59"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61925" cy="175260"/>
                      <wp:effectExtent l="0" t="0" r="0" b="0"/>
                      <wp:wrapNone/>
                      <wp:docPr id="160" name="Frame159"/>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72135" cy="175260"/>
                      <wp:effectExtent l="0" t="0" r="0" b="0"/>
                      <wp:wrapNone/>
                      <wp:docPr id="161" name="Frame16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2"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50495" cy="175260"/>
                      <wp:effectExtent l="0" t="0" r="0" b="0"/>
                      <wp:wrapNone/>
                      <wp:docPr id="163" name="Frame162"/>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12140" cy="175260"/>
                      <wp:effectExtent l="0" t="0" r="0" b="0"/>
                      <wp:wrapNone/>
                      <wp:docPr id="164" name="Frame163"/>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346" w:type="dxa"/>
            <w:tcBorders/>
            <w:vAlign w:val="center"/>
          </w:tcPr>
          <w:p>
            <w:pPr>
              <w:pStyle w:val="TableContents"/>
              <w:bidi w:val="0"/>
              <w:spacing w:before="0" w:after="0"/>
              <w:ind w:left="0" w:right="0" w:hanging="0"/>
              <w:jc w:val="left"/>
              <w:rPr/>
            </w:pPr>
            <w:r>
              <w:rPr/>
              <w:t>  ​ ​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2025</w:t>
            </w:r>
          </w:p>
        </w:tc>
      </w:tr>
      <w:tr>
        <w:trPr/>
        <w:tc>
          <w:tcPr>
            <w:tcW w:w="7156" w:type="dxa"/>
            <w:tcBorders/>
            <w:shd w:fill="CCEE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left"/>
              <w:rPr/>
            </w:pPr>
            <w:r>
              <w:rPr/>
              <w:t> </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left"/>
              <w:rPr/>
            </w:pPr>
            <w:r>
              <w:rPr/>
              <w:t> </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6,137</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2,507</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Receivables from crude oil, natural gas, and natural gas liquids revenues</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10,089</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10,804</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Derivative contract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2,094</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1,777</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2,199</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2,287</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20,519</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17,375</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 of depletion, depreciation, and impairment</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pPr>
            <w:r>
              <w:rPr/>
              <w:t>​</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Oil and natural gas properties, net — full-cost method of accounting, of which none were excluded from amortization </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146,967</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142,248</w:t>
            </w:r>
          </w:p>
        </w:tc>
      </w:tr>
      <w:tr>
        <w:trPr/>
        <w:tc>
          <w:tcPr>
            <w:tcW w:w="7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pPr>
            <w:r>
              <w:rPr/>
              <w:t>​</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pPr>
            <w:r>
              <w:rPr/>
              <w:t>​</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Derivative contract assets</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478</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734</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431</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168,698</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160,252</w:t>
            </w:r>
          </w:p>
        </w:tc>
      </w:tr>
      <w:tr>
        <w:trPr/>
        <w:tc>
          <w:tcPr>
            <w:tcW w:w="7156" w:type="dxa"/>
            <w:tcBorders/>
            <w:shd w:fill="CCEE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pPr>
            <w:r>
              <w:rPr/>
              <w:t>​</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pPr>
            <w:r>
              <w:rPr/>
              <w:t>​</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13,817</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12,901</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liabilities and other</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5,674</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6,909</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Derivative contract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2,865</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1,577</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22,356</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21,387</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 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pPr>
            <w:r>
              <w:rPr/>
              <w:t>​</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Senior secured credit facility</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56,500</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37,500</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5,271</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6,234</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Asset retirement obligations</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23,626</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21,535</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Derivative contract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1,783</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liability</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351</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108,294</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88,439</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Commitments and contingencies (Note 10)</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pPr>
            <w:r>
              <w:rPr/>
              <w:t>​</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pPr>
            <w:r>
              <w:rPr/>
              <w:t>​</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par value $0.001; 100,000,000 shares authorized: issued and</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pPr>
            <w:r>
              <w:rPr/>
              <w:t>​</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outstanding 35,949,843 and 34,337,188 shares as of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pPr>
            <w:r>
              <w:rPr/>
              <w:t>​</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and 2025, respectively</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6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54,611</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46,650</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5,757</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25,129</w:t>
            </w:r>
          </w:p>
        </w:tc>
      </w:tr>
      <w:tr>
        <w:trPr/>
        <w:tc>
          <w:tcPr>
            <w:tcW w:w="71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60,404</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71,813</w:t>
            </w:r>
          </w:p>
        </w:tc>
      </w:tr>
      <w:tr>
        <w:trPr/>
        <w:tc>
          <w:tcPr>
            <w:tcW w:w="71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168,698</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160,252</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83" w:name="_2b857bb5_3c00_49f7_a0ea_2e4d97d53843"/>
      <w:bookmarkEnd w:id="183"/>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bookmarkStart w:id="184" w:name="ConsolidatedStatementsofOperations_56690"/>
      <w:bookmarkEnd w:id="184"/>
      <w:r>
        <w:rPr>
          <w:rFonts w:ascii="Times New Roman;Times;serif" w:hAnsi="Times New Roman;Times;serif"/>
          <w:b/>
          <w:sz w:val="20"/>
        </w:rPr>
        <w:t>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85" w:name="Tc_5WbbXA-g202umgYnbua0BQ_26_0"/>
      <w:bookmarkStart w:id="186" w:name="Tc_p7-vXV9bcEqRKLocRogehA_25_0"/>
      <w:bookmarkStart w:id="187" w:name="Tc_EJpeBQo7IkWq-tOq3YE_tA_24_0"/>
      <w:bookmarkStart w:id="188" w:name="Tc__e2q4MruIk2PsDzYG5nGMA_23_5"/>
      <w:bookmarkStart w:id="189" w:name="Tc_VPPQT6YbbkS57kDN-uN-Vg_23_2"/>
      <w:bookmarkStart w:id="190" w:name="Tc_n-VfAkqegUCvU9ZUfV-7VA_23_0"/>
      <w:bookmarkStart w:id="191" w:name="Tc_dlFhk0qVAEu1yua-asH8-g_22_5"/>
      <w:bookmarkStart w:id="192" w:name="Tc_fdcA5Me2VU2icCiroEkL-Q_22_2"/>
      <w:bookmarkStart w:id="193" w:name="Tc_4kBlnDdNm0qG8TP-NaOOyA_22_0"/>
      <w:bookmarkStart w:id="194" w:name="Tc_zrm5LTjzJ0G-MAxpyb6x9Q_21_0"/>
      <w:bookmarkStart w:id="195" w:name="Tc_RIQGmegnoEa__Z8vShk9LQ_20_5"/>
      <w:bookmarkStart w:id="196" w:name="Tc_PumpmNxAJUGVG2OdkEBEaA_20_2"/>
      <w:bookmarkStart w:id="197" w:name="Tc_BChgXHjyE0K9cowVu94TYA_20_0"/>
      <w:bookmarkStart w:id="198" w:name="Tc_4Gt0ZXe7Y06Zj9USC-bbCQ_19_0"/>
      <w:bookmarkStart w:id="199" w:name="Tc_QGhctOGVq0GgVLjKQo8Crw_18_0"/>
      <w:bookmarkStart w:id="200" w:name="Tc_QYseDc22t0qDQlIOTXS18Q_17_0"/>
      <w:bookmarkStart w:id="201" w:name="Tc_MRWXLKCQD0ibsGARB_FiuA_16_0"/>
      <w:bookmarkStart w:id="202" w:name="Tc_JeyG5R98LEm2fb5oAu0A8A_15_0"/>
      <w:bookmarkStart w:id="203" w:name="Tc_VE50k-0jGkeRVlSKdwMXQA_14_0"/>
      <w:bookmarkStart w:id="204" w:name="Tc_SnZvkyEwRUiY7XziA0bbRA_13_0"/>
      <w:bookmarkStart w:id="205" w:name="Tc_p2A4V2IL-UelhNzLeZFalA_12_0"/>
      <w:bookmarkStart w:id="206" w:name="Tc_YIxAkpHb_0KGWV9nSb2WKg_11_0"/>
      <w:bookmarkStart w:id="207" w:name="Tc_Dn7sF8iXZkWCGQAOp2-Mjg_10_0"/>
      <w:bookmarkStart w:id="208" w:name="Tc_iQ_mXOpXXEiK8Cvk97jv1A_9_0"/>
      <w:bookmarkStart w:id="209" w:name="Tc_tdwejaWmR0SUcz7uhr1o9w_8_0"/>
      <w:bookmarkStart w:id="210" w:name="Tc_BUz_s9Y0XU25OpbkqJLfoQ_7_0"/>
      <w:bookmarkStart w:id="211" w:name="Tc_hI5O_ZRA8ESEJl0VoVnXIQ_6_0"/>
      <w:bookmarkStart w:id="212" w:name="Tc_-ihnSHZQsE2nmfC7mjdyQw_5_0"/>
      <w:bookmarkStart w:id="213" w:name="Tc_KvLNODRJO0CRODnwE4ijSQ_4_5"/>
      <w:bookmarkStart w:id="214" w:name="Tc_DdlRf49ogECvKn25t_3OSA_4_2"/>
      <w:bookmarkStart w:id="215" w:name="Tc_y04OBKvY8E26iygfYoFelg_4_0"/>
      <w:bookmarkStart w:id="216" w:name="Tc_MW36VWIbyUeKk8Qs6FFZCA_3_0"/>
      <w:bookmarkStart w:id="217" w:name="Tc_JQmP9ZPGsUi-8aPPQpBsfw_2_5"/>
      <w:bookmarkStart w:id="218" w:name="Tc_4sYKcsJ-YUaDsd2KG9OGpg_2_2"/>
      <w:bookmarkStart w:id="219" w:name="Tc_H1G2S3IOPk671jM2ewZqbA_1_2"/>
      <w:bookmarkStart w:id="220" w:name="_4a301768_6af7_468e_a6b1_7b75ccd29365"/>
      <w:bookmarkStart w:id="221" w:name="Tc_5WbbXA-g202umgYnbua0BQ_26_0"/>
      <w:bookmarkStart w:id="222" w:name="Tc_p7-vXV9bcEqRKLocRogehA_25_0"/>
      <w:bookmarkStart w:id="223" w:name="Tc_EJpeBQo7IkWq-tOq3YE_tA_24_0"/>
      <w:bookmarkStart w:id="224" w:name="Tc__e2q4MruIk2PsDzYG5nGMA_23_5"/>
      <w:bookmarkStart w:id="225" w:name="Tc_VPPQT6YbbkS57kDN-uN-Vg_23_2"/>
      <w:bookmarkStart w:id="226" w:name="Tc_n-VfAkqegUCvU9ZUfV-7VA_23_0"/>
      <w:bookmarkStart w:id="227" w:name="Tc_dlFhk0qVAEu1yua-asH8-g_22_5"/>
      <w:bookmarkStart w:id="228" w:name="Tc_fdcA5Me2VU2icCiroEkL-Q_22_2"/>
      <w:bookmarkStart w:id="229" w:name="Tc_4kBlnDdNm0qG8TP-NaOOyA_22_0"/>
      <w:bookmarkStart w:id="230" w:name="Tc_zrm5LTjzJ0G-MAxpyb6x9Q_21_0"/>
      <w:bookmarkStart w:id="231" w:name="Tc_RIQGmegnoEa__Z8vShk9LQ_20_5"/>
      <w:bookmarkStart w:id="232" w:name="Tc_PumpmNxAJUGVG2OdkEBEaA_20_2"/>
      <w:bookmarkStart w:id="233" w:name="Tc_BChgXHjyE0K9cowVu94TYA_20_0"/>
      <w:bookmarkStart w:id="234" w:name="Tc_4Gt0ZXe7Y06Zj9USC-bbCQ_19_0"/>
      <w:bookmarkStart w:id="235" w:name="Tc_QGhctOGVq0GgVLjKQo8Crw_18_0"/>
      <w:bookmarkStart w:id="236" w:name="Tc_QYseDc22t0qDQlIOTXS18Q_17_0"/>
      <w:bookmarkStart w:id="237" w:name="Tc_MRWXLKCQD0ibsGARB_FiuA_16_0"/>
      <w:bookmarkStart w:id="238" w:name="Tc_JeyG5R98LEm2fb5oAu0A8A_15_0"/>
      <w:bookmarkStart w:id="239" w:name="Tc_VE50k-0jGkeRVlSKdwMXQA_14_0"/>
      <w:bookmarkStart w:id="240" w:name="Tc_SnZvkyEwRUiY7XziA0bbRA_13_0"/>
      <w:bookmarkStart w:id="241" w:name="Tc_p2A4V2IL-UelhNzLeZFalA_12_0"/>
      <w:bookmarkStart w:id="242" w:name="Tc_YIxAkpHb_0KGWV9nSb2WKg_11_0"/>
      <w:bookmarkStart w:id="243" w:name="Tc_Dn7sF8iXZkWCGQAOp2-Mjg_10_0"/>
      <w:bookmarkStart w:id="244" w:name="Tc_iQ_mXOpXXEiK8Cvk97jv1A_9_0"/>
      <w:bookmarkStart w:id="245" w:name="Tc_tdwejaWmR0SUcz7uhr1o9w_8_0"/>
      <w:bookmarkStart w:id="246" w:name="Tc_BUz_s9Y0XU25OpbkqJLfoQ_7_0"/>
      <w:bookmarkStart w:id="247" w:name="Tc_hI5O_ZRA8ESEJl0VoVnXIQ_6_0"/>
      <w:bookmarkStart w:id="248" w:name="Tc_-ihnSHZQsE2nmfC7mjdyQw_5_0"/>
      <w:bookmarkStart w:id="249" w:name="Tc_KvLNODRJO0CRODnwE4ijSQ_4_5"/>
      <w:bookmarkStart w:id="250" w:name="Tc_DdlRf49ogECvKn25t_3OSA_4_2"/>
      <w:bookmarkStart w:id="251" w:name="Tc_y04OBKvY8E26iygfYoFelg_4_0"/>
      <w:bookmarkStart w:id="252" w:name="Tc_MW36VWIbyUeKk8Qs6FFZCA_3_0"/>
      <w:bookmarkStart w:id="253" w:name="Tc_JQmP9ZPGsUi-8aPPQpBsfw_2_5"/>
      <w:bookmarkStart w:id="254" w:name="Tc_4sYKcsJ-YUaDsd2KG9OGpg_2_2"/>
      <w:bookmarkStart w:id="255" w:name="Tc_H1G2S3IOPk671jM2ewZqbA_1_2"/>
      <w:bookmarkStart w:id="256" w:name="_4a301768_6af7_468e_a6b1_7b75ccd29365"/>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tbl>
      <w:tblPr>
        <w:tblW w:w="6415" w:type="dxa"/>
        <w:jc w:val="left"/>
        <w:tblInd w:w="0" w:type="dxa"/>
        <w:tblLayout w:type="fixed"/>
        <w:tblCellMar>
          <w:top w:w="0" w:type="dxa"/>
          <w:left w:w="0" w:type="dxa"/>
          <w:bottom w:w="0" w:type="dxa"/>
          <w:right w:w="0" w:type="dxa"/>
        </w:tblCellMar>
      </w:tblPr>
      <w:tblGrid>
        <w:gridCol w:w="4231"/>
        <w:gridCol w:w="109"/>
        <w:gridCol w:w="196"/>
        <w:gridCol w:w="631"/>
        <w:gridCol w:w="346"/>
        <w:gridCol w:w="196"/>
        <w:gridCol w:w="706"/>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686685" cy="175260"/>
                      <wp:effectExtent l="0" t="0" r="0" b="0"/>
                      <wp:wrapNone/>
                      <wp:docPr id="165" name="Frame164"/>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215" cy="175260"/>
                      <wp:effectExtent l="0" t="0" r="0" b="0"/>
                      <wp:wrapNone/>
                      <wp:docPr id="166" name="Frame1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24460" cy="175260"/>
                      <wp:effectExtent l="0" t="0" r="0" b="0"/>
                      <wp:wrapNone/>
                      <wp:docPr id="167" name="Frame1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00685" cy="175260"/>
                      <wp:effectExtent l="0" t="0" r="0" b="0"/>
                      <wp:wrapNone/>
                      <wp:docPr id="168" name="Frame16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69"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24460" cy="175260"/>
                      <wp:effectExtent l="0" t="0" r="0" b="0"/>
                      <wp:wrapNone/>
                      <wp:docPr id="170" name="Frame1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48310" cy="175260"/>
                      <wp:effectExtent l="0" t="0" r="0" b="0"/>
                      <wp:wrapNone/>
                      <wp:docPr id="171" name="Frame170"/>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20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Years Ended June 30, </w:t>
            </w:r>
          </w:p>
        </w:tc>
      </w:tr>
      <w:tr>
        <w:trPr/>
        <w:tc>
          <w:tcPr>
            <w:tcW w:w="423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Crude oil</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50,556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51,102</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Natural gas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23,516</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Natural gas liquids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10,749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11,222</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86,343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85,840</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costs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Lease operating costs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50,338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49,338</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Depletion, depreciation, and accretion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22,780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21,993</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9,745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10,334</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operating costs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82,863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81,665</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(loss)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3,480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4,175</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gain (loss) on derivative contracts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473</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and other income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(3,849)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(2,970)</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(loss) before income taxes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1,869</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(expense) benefit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income (loss) </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1,473</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 per common share: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0.03</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0.03</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 average number of common shares outstanding:</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 </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34,251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33,158</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34,251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33,323</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57" w:name="_d1bb7dd8_e360_4d9f_a72a_a6976719fb2c"/>
      <w:bookmarkEnd w:id="257"/>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bookmarkStart w:id="258" w:name="ConsolidatedStatementsofCashFlows_655074"/>
      <w:bookmarkEnd w:id="258"/>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59" w:name="Tc_bNFe5vdGUk6q2NyvFfIU0w_47_3"/>
      <w:bookmarkStart w:id="260" w:name="Tc_4i5M6Qxo606UrmDGDvdkNw_47_0"/>
      <w:bookmarkStart w:id="261" w:name="Tc_smwDbQBD6ESKtqPstKfB9Q_46_3"/>
      <w:bookmarkStart w:id="262" w:name="Tc_Dx9vVEkHSkuw6rPKrv0YxQ_46_0"/>
      <w:bookmarkStart w:id="263" w:name="Tc_FzGrPa3RQE-h1h4XAugyTg_45_0"/>
      <w:bookmarkStart w:id="264" w:name="Tc_fXrrm0sG6kujhSZi4Y6zhA_44_5"/>
      <w:bookmarkStart w:id="265" w:name="Tc_9qSvblDpW02gpDT0EpZjMQ_44_2"/>
      <w:bookmarkStart w:id="266" w:name="Tc_LZS_pjlMmUq__AZZ1D2Teg_44_0"/>
      <w:bookmarkStart w:id="267" w:name="Tc_QeG1MAtcHUCx5cQu-HSrKw_43_0"/>
      <w:bookmarkStart w:id="268" w:name="Tc_HhIgPQTEZk2ymP-AmMcgcw_41_0"/>
      <w:bookmarkStart w:id="269" w:name="Tc_a236saZFZUycKLnRV9MerA_40_0"/>
      <w:bookmarkStart w:id="270" w:name="Tc_n7wjAG1uyUGZ__U1Dz9U-w_39_5"/>
      <w:bookmarkStart w:id="271" w:name="Tc_QfoNRP7znUC_iq11cr77rQ_39_2"/>
      <w:bookmarkStart w:id="272" w:name="Tc_GTOobO7BE0SmDk_RUsTdDQ_39_0"/>
      <w:bookmarkStart w:id="273" w:name="Tc_BA0SWrvlt0yZJCxio7uk7A_38_0"/>
      <w:bookmarkStart w:id="274" w:name="Tc_vw6_Rb39S0Cb1yKSERz4mQ_36_5"/>
      <w:bookmarkStart w:id="275" w:name="Tc_cTcZVlwgEUy07w7XOBT27Q_36_2"/>
      <w:bookmarkStart w:id="276" w:name="Tc_eiYI3omMt0mI5cbivI0e7A_36_0"/>
      <w:bookmarkStart w:id="277" w:name="Tc_BI8V3yjHZUiGNYOHSWHC7w_35_0"/>
      <w:bookmarkStart w:id="278" w:name="Tc_imKJPdEoIkWYfDdgkqVCUg_34_0"/>
      <w:bookmarkStart w:id="279" w:name="Tc__k09qzvu1E6lviVZxB-r5g_33_0"/>
      <w:bookmarkStart w:id="280" w:name="Tc_Qad1fY7eskmDgEWbKT_lXg_32_0"/>
      <w:bookmarkStart w:id="281" w:name="Tc_LElAw41DI0Cr2nSAXvcW8g_31_0"/>
      <w:bookmarkStart w:id="282" w:name="Tc_UQXllfkcdU2LChs1OuZ6fA_30_0"/>
      <w:bookmarkStart w:id="283" w:name="Tc_SlKya2Dzikq1zjWDGtgcXQ_29_0"/>
      <w:bookmarkStart w:id="284" w:name="Tc_rCsRLFUwPUKsYTAvicO4AA_28_0"/>
      <w:bookmarkStart w:id="285" w:name="Tc_VPO6cprybEi5pMOyu13tBg_27_0"/>
      <w:bookmarkStart w:id="286" w:name="Tc_p7Q3hKriI0a0SOXfCtK-xQ_26_0"/>
      <w:bookmarkStart w:id="287" w:name="Tc_8qQIYw5sqE-GlaYK7wIE8A_25_0"/>
      <w:bookmarkStart w:id="288" w:name="Tc_qLpWJmfr-Ei6rORDkMYd5A_24_0"/>
      <w:bookmarkStart w:id="289" w:name="Tc_4QoEEJiKWUSbFaVfPIwfKA_23_0"/>
      <w:bookmarkStart w:id="290" w:name="Tc_-nW-hJo3y0-aSfG3_xpPKQ_22_6"/>
      <w:bookmarkStart w:id="291" w:name="Tc_wFOYewIHhkioKGUS4QpQIg_22_0"/>
      <w:bookmarkStart w:id="292" w:name="Tc_QnCxBm-mEE2gQPfaR9bz5w_21_0"/>
      <w:bookmarkStart w:id="293" w:name="Tc_dbzgXZ5OsEuSNNRwIeiH2A_20_0"/>
      <w:bookmarkStart w:id="294" w:name="Tc_l88r2REslEyPmZTDx1tdEQ_19_0"/>
      <w:bookmarkStart w:id="295" w:name="Tc_dtFEoVeP90SzUHacTzxVDw_18_3"/>
      <w:bookmarkStart w:id="296" w:name="Tc_3x722JGBeU6etlvgLWCnBg_18_0"/>
      <w:bookmarkStart w:id="297" w:name="Tc_IxS1I4HLR0yXUWQ3ql1LJQ_17_0"/>
      <w:bookmarkStart w:id="298" w:name="Tc_WER3Jl0jw0ea3k9pErSmvQ_16_0"/>
      <w:bookmarkStart w:id="299" w:name="Tc_pCVTkZEuR0qv9EYgToug4Q_15_0"/>
      <w:bookmarkStart w:id="300" w:name="Tc_fzwpb1Ht6UirEL0mC2MmTw_14_0"/>
      <w:bookmarkStart w:id="301" w:name="Tc_nlu94w51dk6r0Jmp02PaFQ_13_0"/>
      <w:bookmarkStart w:id="302" w:name="Tc_nPakLyWL7keD27LH0yEejA_12_6"/>
      <w:bookmarkStart w:id="303" w:name="Tc_020QW2uo7kW0DHDtDlkEmg_12_0"/>
      <w:bookmarkStart w:id="304" w:name="Tc_oTxW8Z_ErkOf8zdyfYwaOg_11_0"/>
      <w:bookmarkStart w:id="305" w:name="Tc_XGv8RA8LyUiexmq87XZ4ig_10_0"/>
      <w:bookmarkStart w:id="306" w:name="Tc_QWoQ3MHi5kq_bKDV6zSbxA_9_0"/>
      <w:bookmarkStart w:id="307" w:name="Tc_6NAw_SSDwUGNENp3Sp1aLQ_8_0"/>
      <w:bookmarkStart w:id="308" w:name="Tc_-LrZCO4RPUWsFu0LPsgB5Q_7_0"/>
      <w:bookmarkStart w:id="309" w:name="Tc_G9d_YMT0wkWNYwnRS_X2Rg_6_0"/>
      <w:bookmarkStart w:id="310" w:name="Tc_vbFBgqWO1UW7wtNcRVdd2Q_5_0"/>
      <w:bookmarkStart w:id="311" w:name="Tc_-AlE1899xk2M8BEQX4LEEw_4_5"/>
      <w:bookmarkStart w:id="312" w:name="Tc_SLfJ2qObNky_fzxMNp8x1A_4_2"/>
      <w:bookmarkStart w:id="313" w:name="Tc_YksSnep5TUeM9ZPz-qoTsw_4_0"/>
      <w:bookmarkStart w:id="314" w:name="Tc_i0Lq3fCiq0uA6UzAPxYarw_3_0"/>
      <w:bookmarkStart w:id="315" w:name="Tc_GeYkIYAoeEGVcAgGKbg9SQ_2_5"/>
      <w:bookmarkStart w:id="316" w:name="Tc_h-MatJ5dhUOaGMVPZGhJMA_2_2"/>
      <w:bookmarkStart w:id="317" w:name="Tc_Dz27H47TLUOUTSSI5zEE4A_1_2"/>
      <w:bookmarkStart w:id="318" w:name="_ada5e4a3_8ec8_4984_8d29_bf712f08e2c2"/>
      <w:bookmarkStart w:id="319" w:name="Tc_bNFe5vdGUk6q2NyvFfIU0w_47_3"/>
      <w:bookmarkStart w:id="320" w:name="Tc_4i5M6Qxo606UrmDGDvdkNw_47_0"/>
      <w:bookmarkStart w:id="321" w:name="Tc_smwDbQBD6ESKtqPstKfB9Q_46_3"/>
      <w:bookmarkStart w:id="322" w:name="Tc_Dx9vVEkHSkuw6rPKrv0YxQ_46_0"/>
      <w:bookmarkStart w:id="323" w:name="Tc_FzGrPa3RQE-h1h4XAugyTg_45_0"/>
      <w:bookmarkStart w:id="324" w:name="Tc_fXrrm0sG6kujhSZi4Y6zhA_44_5"/>
      <w:bookmarkStart w:id="325" w:name="Tc_9qSvblDpW02gpDT0EpZjMQ_44_2"/>
      <w:bookmarkStart w:id="326" w:name="Tc_LZS_pjlMmUq__AZZ1D2Teg_44_0"/>
      <w:bookmarkStart w:id="327" w:name="Tc_QeG1MAtcHUCx5cQu-HSrKw_43_0"/>
      <w:bookmarkStart w:id="328" w:name="Tc_HhIgPQTEZk2ymP-AmMcgcw_41_0"/>
      <w:bookmarkStart w:id="329" w:name="Tc_a236saZFZUycKLnRV9MerA_40_0"/>
      <w:bookmarkStart w:id="330" w:name="Tc_n7wjAG1uyUGZ__U1Dz9U-w_39_5"/>
      <w:bookmarkStart w:id="331" w:name="Tc_QfoNRP7znUC_iq11cr77rQ_39_2"/>
      <w:bookmarkStart w:id="332" w:name="Tc_GTOobO7BE0SmDk_RUsTdDQ_39_0"/>
      <w:bookmarkStart w:id="333" w:name="Tc_BA0SWrvlt0yZJCxio7uk7A_38_0"/>
      <w:bookmarkStart w:id="334" w:name="Tc_vw6_Rb39S0Cb1yKSERz4mQ_36_5"/>
      <w:bookmarkStart w:id="335" w:name="Tc_cTcZVlwgEUy07w7XOBT27Q_36_2"/>
      <w:bookmarkStart w:id="336" w:name="Tc_eiYI3omMt0mI5cbivI0e7A_36_0"/>
      <w:bookmarkStart w:id="337" w:name="Tc_BI8V3yjHZUiGNYOHSWHC7w_35_0"/>
      <w:bookmarkStart w:id="338" w:name="Tc_imKJPdEoIkWYfDdgkqVCUg_34_0"/>
      <w:bookmarkStart w:id="339" w:name="Tc__k09qzvu1E6lviVZxB-r5g_33_0"/>
      <w:bookmarkStart w:id="340" w:name="Tc_Qad1fY7eskmDgEWbKT_lXg_32_0"/>
      <w:bookmarkStart w:id="341" w:name="Tc_LElAw41DI0Cr2nSAXvcW8g_31_0"/>
      <w:bookmarkStart w:id="342" w:name="Tc_UQXllfkcdU2LChs1OuZ6fA_30_0"/>
      <w:bookmarkStart w:id="343" w:name="Tc_SlKya2Dzikq1zjWDGtgcXQ_29_0"/>
      <w:bookmarkStart w:id="344" w:name="Tc_rCsRLFUwPUKsYTAvicO4AA_28_0"/>
      <w:bookmarkStart w:id="345" w:name="Tc_VPO6cprybEi5pMOyu13tBg_27_0"/>
      <w:bookmarkStart w:id="346" w:name="Tc_p7Q3hKriI0a0SOXfCtK-xQ_26_0"/>
      <w:bookmarkStart w:id="347" w:name="Tc_8qQIYw5sqE-GlaYK7wIE8A_25_0"/>
      <w:bookmarkStart w:id="348" w:name="Tc_qLpWJmfr-Ei6rORDkMYd5A_24_0"/>
      <w:bookmarkStart w:id="349" w:name="Tc_4QoEEJiKWUSbFaVfPIwfKA_23_0"/>
      <w:bookmarkStart w:id="350" w:name="Tc_-nW-hJo3y0-aSfG3_xpPKQ_22_6"/>
      <w:bookmarkStart w:id="351" w:name="Tc_wFOYewIHhkioKGUS4QpQIg_22_0"/>
      <w:bookmarkStart w:id="352" w:name="Tc_QnCxBm-mEE2gQPfaR9bz5w_21_0"/>
      <w:bookmarkStart w:id="353" w:name="Tc_dbzgXZ5OsEuSNNRwIeiH2A_20_0"/>
      <w:bookmarkStart w:id="354" w:name="Tc_l88r2REslEyPmZTDx1tdEQ_19_0"/>
      <w:bookmarkStart w:id="355" w:name="Tc_dtFEoVeP90SzUHacTzxVDw_18_3"/>
      <w:bookmarkStart w:id="356" w:name="Tc_3x722JGBeU6etlvgLWCnBg_18_0"/>
      <w:bookmarkStart w:id="357" w:name="Tc_IxS1I4HLR0yXUWQ3ql1LJQ_17_0"/>
      <w:bookmarkStart w:id="358" w:name="Tc_WER3Jl0jw0ea3k9pErSmvQ_16_0"/>
      <w:bookmarkStart w:id="359" w:name="Tc_pCVTkZEuR0qv9EYgToug4Q_15_0"/>
      <w:bookmarkStart w:id="360" w:name="Tc_fzwpb1Ht6UirEL0mC2MmTw_14_0"/>
      <w:bookmarkStart w:id="361" w:name="Tc_nlu94w51dk6r0Jmp02PaFQ_13_0"/>
      <w:bookmarkStart w:id="362" w:name="Tc_nPakLyWL7keD27LH0yEejA_12_6"/>
      <w:bookmarkStart w:id="363" w:name="Tc_020QW2uo7kW0DHDtDlkEmg_12_0"/>
      <w:bookmarkStart w:id="364" w:name="Tc_oTxW8Z_ErkOf8zdyfYwaOg_11_0"/>
      <w:bookmarkStart w:id="365" w:name="Tc_XGv8RA8LyUiexmq87XZ4ig_10_0"/>
      <w:bookmarkStart w:id="366" w:name="Tc_QWoQ3MHi5kq_bKDV6zSbxA_9_0"/>
      <w:bookmarkStart w:id="367" w:name="Tc_6NAw_SSDwUGNENp3Sp1aLQ_8_0"/>
      <w:bookmarkStart w:id="368" w:name="Tc_-LrZCO4RPUWsFu0LPsgB5Q_7_0"/>
      <w:bookmarkStart w:id="369" w:name="Tc_G9d_YMT0wkWNYwnRS_X2Rg_6_0"/>
      <w:bookmarkStart w:id="370" w:name="Tc_vbFBgqWO1UW7wtNcRVdd2Q_5_0"/>
      <w:bookmarkStart w:id="371" w:name="Tc_-AlE1899xk2M8BEQX4LEEw_4_5"/>
      <w:bookmarkStart w:id="372" w:name="Tc_SLfJ2qObNky_fzxMNp8x1A_4_2"/>
      <w:bookmarkStart w:id="373" w:name="Tc_YksSnep5TUeM9ZPz-qoTsw_4_0"/>
      <w:bookmarkStart w:id="374" w:name="Tc_i0Lq3fCiq0uA6UzAPxYarw_3_0"/>
      <w:bookmarkStart w:id="375" w:name="Tc_GeYkIYAoeEGVcAgGKbg9SQ_2_5"/>
      <w:bookmarkStart w:id="376" w:name="Tc_h-MatJ5dhUOaGMVPZGhJMA_2_2"/>
      <w:bookmarkStart w:id="377" w:name="Tc_Dz27H47TLUOUTSSI5zEE4A_1_2"/>
      <w:bookmarkStart w:id="378" w:name="_ada5e4a3_8ec8_4984_8d29_bf712f08e2c2"/>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tbl>
      <w:tblPr>
        <w:tblW w:w="9337" w:type="dxa"/>
        <w:jc w:val="left"/>
        <w:tblInd w:w="0" w:type="dxa"/>
        <w:tblLayout w:type="fixed"/>
        <w:tblCellMar>
          <w:top w:w="0" w:type="dxa"/>
          <w:left w:w="0" w:type="dxa"/>
          <w:bottom w:w="0" w:type="dxa"/>
          <w:right w:w="0" w:type="dxa"/>
        </w:tblCellMar>
      </w:tblPr>
      <w:tblGrid>
        <w:gridCol w:w="6766"/>
        <w:gridCol w:w="346"/>
        <w:gridCol w:w="196"/>
        <w:gridCol w:w="721"/>
        <w:gridCol w:w="346"/>
        <w:gridCol w:w="196"/>
        <w:gridCol w:w="766"/>
      </w:tblGrid>
      <w:tr>
        <w:trPr/>
        <w:tc>
          <w:tcPr>
            <w:tcW w:w="6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296410" cy="175260"/>
                      <wp:effectExtent l="0" t="0" r="0" b="0"/>
                      <wp:wrapNone/>
                      <wp:docPr id="172" name="Frame171"/>
                      <a:graphic xmlns:a="http://schemas.openxmlformats.org/drawingml/2006/main">
                        <a:graphicData uri="http://schemas.microsoft.com/office/word/2010/wordprocessingShape">
                          <wps:wsp>
                            <wps:cNvSpPr txBox="1"/>
                            <wps:spPr>
                              <a:xfrm>
                                <a:off x="0" y="0"/>
                                <a:ext cx="429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73"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24460" cy="175260"/>
                      <wp:effectExtent l="0" t="0" r="0" b="0"/>
                      <wp:wrapNone/>
                      <wp:docPr id="174" name="Frame1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57835" cy="175260"/>
                      <wp:effectExtent l="0" t="0" r="0" b="0"/>
                      <wp:wrapNone/>
                      <wp:docPr id="175" name="Frame17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76"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24460" cy="175260"/>
                      <wp:effectExtent l="0" t="0" r="0" b="0"/>
                      <wp:wrapNone/>
                      <wp:docPr id="177" name="Frame1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86410" cy="175260"/>
                      <wp:effectExtent l="0" t="0" r="0" b="0"/>
                      <wp:wrapNone/>
                      <wp:docPr id="178" name="Frame17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66" w:type="dxa"/>
            <w:tcBorders/>
            <w:vAlign w:val="center"/>
          </w:tcPr>
          <w:p>
            <w:pPr>
              <w:pStyle w:val="TableContents"/>
              <w:bidi w:val="0"/>
              <w:spacing w:before="0" w:after="0"/>
              <w:ind w:left="0" w:right="0" w:hanging="0"/>
              <w:jc w:val="left"/>
              <w:rPr>
                <w:color w:val="0563C1"/>
              </w:rPr>
            </w:pPr>
            <w:r>
              <w:rPr>
                <w:color w:val="0563C1"/>
              </w:rPr>
              <w:t>​</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Years Ended June 30, </w:t>
            </w:r>
          </w:p>
        </w:tc>
      </w:tr>
      <w:tr>
        <w:trPr/>
        <w:tc>
          <w:tcPr>
            <w:tcW w:w="67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 </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income (loss)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1,473</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(loss)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Depletion, depreciation, and accretion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22,780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21,993</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2,482</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Settlement of asset retirement obligations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(385)</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(468)</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 loss on derivative contracts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492</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settlements on derivative contracts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debt issuance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 </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Receivables from crude oil, natural gas, and natural gas liquids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2,925</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and accrued liabilities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4,798</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State and federal taxes payable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33,052</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Acquisitions of oil and natural gas properties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(22,988)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(9,019)</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the sale of unproved oil and natural gas properties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3,093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 expenditures for oil and natural gas properties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(7,280)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(12,623)</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(27,175)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(21,642)</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 </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dividends paid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(16,943)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(16,347)</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repurchases, including stock surrendered for tax withholding</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(442)</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Borrowings under senior secured credit facility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Repayments of senior secured credit facility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(4,000)</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Debt issuance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3,840</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Offering costs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(15,349)</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increase (decrease) in cash and cash equivalents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(3,939)</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6,446</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end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6,137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2,507</w:t>
            </w:r>
          </w:p>
        </w:tc>
      </w:tr>
      <w:tr>
        <w:trPr/>
        <w:tc>
          <w:tcPr>
            <w:tcW w:w="6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disclosures of cash flow information: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interest on senior secured credit facility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3,082</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874</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refunded from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r>
      <w:tr>
        <w:trPr/>
        <w:tc>
          <w:tcPr>
            <w:tcW w:w="6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Non-cash investing and financing transactions: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Increase (decrease) in accrued capital expenditures for oil and natural gas properties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Oil and natural gas property costs attributable to the recognition of asset retirement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800</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debt issuance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w:t>
            </w:r>
          </w:p>
        </w:tc>
      </w:tr>
      <w:tr>
        <w:trPr/>
        <w:tc>
          <w:tcPr>
            <w:tcW w:w="67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offering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379" w:name="_6bebcf7a_b56e_4947_86b4_c40fa6bc922b"/>
      <w:bookmarkEnd w:id="379"/>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bookmarkStart w:id="380" w:name="ConsolidatedStatementsofChangesinStockho"/>
      <w:bookmarkEnd w:id="380"/>
      <w:r>
        <w:rPr>
          <w:rFonts w:ascii="Times New Roman;Times;serif" w:hAnsi="Times New Roman;Times;serif"/>
          <w:b/>
          <w:sz w:val="20"/>
        </w:rPr>
        <w:t>CONSOLIDATED STATEMENTS OF CHANGES IN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81" w:name="Tc_Rckhc2YH_kes4Y5vnMa_bg_24_16"/>
      <w:bookmarkStart w:id="382" w:name="Tc_uFpEmNkPhUaT4npZifafSA_24_14"/>
      <w:bookmarkStart w:id="383" w:name="Tc_QtkY_kChwUijZ8Ym96FqOQ_24_13"/>
      <w:bookmarkStart w:id="384" w:name="Tc_wVD7uB3jd0W_00XyDeVQIw_24_10"/>
      <w:bookmarkStart w:id="385" w:name="Tc_lCsJNIwwPkeMdXuBMZ2TBg_24_7"/>
      <w:bookmarkStart w:id="386" w:name="Tc_Kb9HernuiU-BU51dGmTR5A_24_4"/>
      <w:bookmarkStart w:id="387" w:name="Tc_dHaEVc6e4kuUrH7vMIWzMA_24_0"/>
      <w:bookmarkStart w:id="388" w:name="Tc_tlQRmlrWrUK4pwzo-ZHjSw_23_14"/>
      <w:bookmarkStart w:id="389" w:name="Tc_Tf6EYHALwkuN6bvcpy3N1Q_23_8"/>
      <w:bookmarkStart w:id="390" w:name="Tc_mLH8Wk3cU0qW6j9r-wtHJg_23_5"/>
      <w:bookmarkStart w:id="391" w:name="Tc_qj-_N0SNt0qCVqnCHTOm7w_23_2"/>
      <w:bookmarkStart w:id="392" w:name="Tc_dD5pcwyb_kOma6cnqzfHLg_23_0"/>
      <w:bookmarkStart w:id="393" w:name="Tc_tenZL_zpO0CbimlDa2eTPw_22_14"/>
      <w:bookmarkStart w:id="394" w:name="Tc_VdcAUoMnEUSt0Y1hURXe_w_22_8"/>
      <w:bookmarkStart w:id="395" w:name="Tc_ALlUvmNvnU6KeAoI-Sp3CA_22_5"/>
      <w:bookmarkStart w:id="396" w:name="Tc_2WxxgnEsEkCsNMw28hEkFg_22_2"/>
      <w:bookmarkStart w:id="397" w:name="Tc_ahr13sZPXES8ieVC655OVw_22_0"/>
      <w:bookmarkStart w:id="398" w:name="Tc_veyaPxsp-E6KoT7WhVo1Ug_21_14"/>
      <w:bookmarkStart w:id="399" w:name="Tc_UUDpGnlMHUm1KKfLGhaU7A_21_11"/>
      <w:bookmarkStart w:id="400" w:name="Tc_ucOlp2wX60OiEAhg1WlWIg_21_5"/>
      <w:bookmarkStart w:id="401" w:name="Tc_lBAkiYeYKES3plQnZd8eHw_21_2"/>
      <w:bookmarkStart w:id="402" w:name="Tc_1WzLsjm5FU2GW1etBwK6_A_21_0"/>
      <w:bookmarkStart w:id="403" w:name="Tc_q5AQDM-rrE6RI-R_QYHxMQ_20_14"/>
      <w:bookmarkStart w:id="404" w:name="Tc_1JP-fItF1kuBp_tX2d-vXQ_20_11"/>
      <w:bookmarkStart w:id="405" w:name="Tc_SDW-zmfA0UG4fmxv3wfnMw_20_5"/>
      <w:bookmarkStart w:id="406" w:name="Tc_DEKVs4lb7UKavE6sBOMKPg_20_2"/>
      <w:bookmarkStart w:id="407" w:name="Tc_b7g5Qhde1k6BXDiHX2LeAA_20_0"/>
      <w:bookmarkStart w:id="408" w:name="Tc_f2TT33kJXUynO7djMLpnZQ_19_14"/>
      <w:bookmarkStart w:id="409" w:name="Tc_ueWZgtb8HEeg1YTBTAXZdw_19_11"/>
      <w:bookmarkStart w:id="410" w:name="Tc_PgJi4NEsCEu7fY9u6rCaYA_19_0"/>
      <w:bookmarkStart w:id="411" w:name="Tc_oIyxBZNziUe_MouLch2sQw_18_17"/>
      <w:bookmarkStart w:id="412" w:name="Tc_FR2VgmfarkuNMxFf00XD4g_18_11"/>
      <w:bookmarkStart w:id="413" w:name="Tc_oDcoHn4tYEi_Cuc5uL83Kw_18_5"/>
      <w:bookmarkStart w:id="414" w:name="Tc__V2W_Y84FUC4h0i9I_ROJQ_18_0"/>
      <w:bookmarkStart w:id="415" w:name="Tc_mchENluAOkeO9Vw3tZdzcw_17_11"/>
      <w:bookmarkStart w:id="416" w:name="Tc_IL7LMjhtBU2wGgv1M1b4aQ_17_8"/>
      <w:bookmarkStart w:id="417" w:name="Tc_fAalSX-haECDildufFBNOg_17_5"/>
      <w:bookmarkStart w:id="418" w:name="Tc_15pShxPeXEySeJ8OAAhaJw_17_2"/>
      <w:bookmarkStart w:id="419" w:name="Tc_gQT6Yh_40UyTX5BCAVrTVw_17_0"/>
      <w:bookmarkStart w:id="420" w:name="Tc_wsIr___cc0u7h0KXt-J96g_16_17"/>
      <w:bookmarkStart w:id="421" w:name="Tc_HG7hROZIPEa_VRLbQY2cJw_16_14"/>
      <w:bookmarkStart w:id="422" w:name="Tc_MK31VMYvx0-eJaLhiHGwlA_16_11"/>
      <w:bookmarkStart w:id="423" w:name="Tc_jnDvwD2wb063ZqFfmU7yUw_16_8"/>
      <w:bookmarkStart w:id="424" w:name="Tc_5hZ4042u-UqRJZG-BsVk5A_16_5"/>
      <w:bookmarkStart w:id="425" w:name="Tc_825uiNsyvUGruhwJGpuiNQ_16_0"/>
      <w:bookmarkStart w:id="426" w:name="Tc_WQQJLTrfdEuR6czKNwaXyA_15_17"/>
      <w:bookmarkStart w:id="427" w:name="Tc_IbQ2lHM4N0SMHzqejUKOQg_15_14"/>
      <w:bookmarkStart w:id="428" w:name="Tc_RohOvPI4_U2EkOCU5kIOrw_15_11"/>
      <w:bookmarkStart w:id="429" w:name="Tc_TfeYzFHK4UOYfhAtaw1ehQ_15_0"/>
      <w:bookmarkStart w:id="430" w:name="Tc_at3fWCr4tEeVEj0I071_DQ_14_16"/>
      <w:bookmarkStart w:id="431" w:name="Tc_24dCiJG_L0WujNq47L72AA_14_14"/>
      <w:bookmarkStart w:id="432" w:name="Tc_kb42fZB3vEa9PVZKqW-MbA_14_13"/>
      <w:bookmarkStart w:id="433" w:name="Tc_VIpn0w2c2kO2IMb8nLePmw_14_10"/>
      <w:bookmarkStart w:id="434" w:name="Tc_jDk-c6falk65R57kloi1eg_14_7"/>
      <w:bookmarkStart w:id="435" w:name="Tc_aXcaZ6pKak2lq5DBybpnAA_14_4"/>
      <w:bookmarkStart w:id="436" w:name="Tc_yxFXPtDax0-mkAqAVEzR2w_14_0"/>
      <w:bookmarkStart w:id="437" w:name="Tc_Ls46cSBFS0aYg87FK1iPvw_13_14"/>
      <w:bookmarkStart w:id="438" w:name="Tc_LxEfR1ug5Ue-iqdOraB1ig_13_8"/>
      <w:bookmarkStart w:id="439" w:name="Tc_RNiZSykYUkGV7GO2xNjnSw_13_5"/>
      <w:bookmarkStart w:id="440" w:name="Tc_u60-Tq6WdEGIWPT0VUYeTg_13_2"/>
      <w:bookmarkStart w:id="441" w:name="Tc_S-7CFm3FkUyjDwKTwXv_vg_13_0"/>
      <w:bookmarkStart w:id="442" w:name="Tc_2ISN2e6Q60G9Ko2qIFbJaQ_12_14"/>
      <w:bookmarkStart w:id="443" w:name="Tc_gqOd9eJFhUC6o-CqLjO1ag_12_8"/>
      <w:bookmarkStart w:id="444" w:name="Tc_oyvXkSP3WkuYZTxLg0aSgA_12_5"/>
      <w:bookmarkStart w:id="445" w:name="Tc_AQ8r9YjlC0uLjEuRbCpo-A_12_2"/>
      <w:bookmarkStart w:id="446" w:name="Tc_8zjG8SlkEEanhjitbgJHXA_12_0"/>
      <w:bookmarkStart w:id="447" w:name="Tc_IlFMlCfT-UWiMGRHAADm1w_11_14"/>
      <w:bookmarkStart w:id="448" w:name="Tc_HVMlRw62ukSs6aoVnQJ0mQ_11_11"/>
      <w:bookmarkStart w:id="449" w:name="Tc_P8tr5wwo0UKVWcyQdDUW8g_11_5"/>
      <w:bookmarkStart w:id="450" w:name="Tc_CGqepT9-Yky3o9ytRWj8vQ_11_2"/>
      <w:bookmarkStart w:id="451" w:name="Tc_m67YPEovvUyNQVXL2I9Pvw_11_0"/>
      <w:bookmarkStart w:id="452" w:name="Tc_Vo7YBFA7jkCjDcgIbKY6ag_10_14"/>
      <w:bookmarkStart w:id="453" w:name="Tc_NvlPzHOBckmGWjQFGQWSLg_10_11"/>
      <w:bookmarkStart w:id="454" w:name="Tc_Kdp0aRqfhEq_soVHBvfVFg_10_5"/>
      <w:bookmarkStart w:id="455" w:name="Tc_pBxaTJz7tkSSxzaoAUxOfQ_10_2"/>
      <w:bookmarkStart w:id="456" w:name="Tc_Pj5Z9vZ2IEyHo7er8Smrig_10_0"/>
      <w:bookmarkStart w:id="457" w:name="Tc_J02-pgotz0OFqLb1dmjURQ_9_14"/>
      <w:bookmarkStart w:id="458" w:name="Tc_G9I6_9gUbUKhI2SuCPO-0w_9_11"/>
      <w:bookmarkStart w:id="459" w:name="Tc_tW9XkAXzkUusIo1e7MTSlw_9_0"/>
      <w:bookmarkStart w:id="460" w:name="Tc_fynDKrm3CUuF_w1ZbDrgfQ_8_17"/>
      <w:bookmarkStart w:id="461" w:name="Tc_rXQgMcF-sESbOytk_UhfXw_8_11"/>
      <w:bookmarkStart w:id="462" w:name="Tc_v66F6Btrz0GWVg7bR44Ivg_8_5"/>
      <w:bookmarkStart w:id="463" w:name="Tc_6EKFg1KGTUScST3P9DbP_Q_8_0"/>
      <w:bookmarkStart w:id="464" w:name="Tc_aOGmawTj2US_4iV7plVNgw_7_11"/>
      <w:bookmarkStart w:id="465" w:name="Tc_uYR3WcDsMUCDh4MZXHl2TQ_7_8"/>
      <w:bookmarkStart w:id="466" w:name="Tc_WqvZ_yQys0Cwkm9TP2emlw_7_5"/>
      <w:bookmarkStart w:id="467" w:name="Tc_HtPL_dVTXE6T6C7ZlGTXKw_7_2"/>
      <w:bookmarkStart w:id="468" w:name="Tc_xzAVxR5UGk-Y_vQrak6Azg_7_0"/>
      <w:bookmarkStart w:id="469" w:name="Tc_1Rnjl2N7GUGRxI1-SrEwaA_6_17"/>
      <w:bookmarkStart w:id="470" w:name="Tc_dwB0DQU0hke8PuTMlguv6w_6_14"/>
      <w:bookmarkStart w:id="471" w:name="Tc_rOW8UnROdk2YmPB7T46SuA_6_11"/>
      <w:bookmarkStart w:id="472" w:name="Tc_RxE6walMAkmwdnbsDWnSzw_6_8"/>
      <w:bookmarkStart w:id="473" w:name="Tc_b5Po-jKrukiXExmELy9nEQ_6_5"/>
      <w:bookmarkStart w:id="474" w:name="Tc_YkP9-mH_u0mQO-FLnjldQg_6_0"/>
      <w:bookmarkStart w:id="475" w:name="Tc_32D77hz7_06UlME8_mgOYA_5_17"/>
      <w:bookmarkStart w:id="476" w:name="Tc_Y_5ujI_qBUGoYL11s2fBtA_5_14"/>
      <w:bookmarkStart w:id="477" w:name="Tc_DRXdwRIylU6HczFA6iLM6g_5_11"/>
      <w:bookmarkStart w:id="478" w:name="Tc_bH98ayTb_UyFwtIUCQ8wfQ_5_8"/>
      <w:bookmarkStart w:id="479" w:name="Tc_e9EPvLsKgUeaWP0GjLXEYQ_5_5"/>
      <w:bookmarkStart w:id="480" w:name="Tc_nA6WaCn4G0Ozf3nOQpAVJw_5_0"/>
      <w:bookmarkStart w:id="481" w:name="Tc_JYdOok0J40CBFReWF5GUQQ_4_16"/>
      <w:bookmarkStart w:id="482" w:name="Tc_iwH-dh8G6Uyo1YCLinqx-g_4_14"/>
      <w:bookmarkStart w:id="483" w:name="Tc_panoaRvvlUCRBF3mmM-4cg_4_13"/>
      <w:bookmarkStart w:id="484" w:name="Tc_xuAhSLLgDk2KfbbXvIMQLg_4_10"/>
      <w:bookmarkStart w:id="485" w:name="Tc_FYcXKrJXqEirSBX7SU2rjQ_4_7"/>
      <w:bookmarkStart w:id="486" w:name="Tc_jiKlhJoe8EWkizexNuzWhw_4_4"/>
      <w:bookmarkStart w:id="487" w:name="Tc_g8wFC8cnVEOJenApDjgXww_4_0"/>
      <w:bookmarkStart w:id="488" w:name="Tc_5PYLweHhSkuPo0IjImL17g_3_16"/>
      <w:bookmarkStart w:id="489" w:name="Tc_TBn1BVbs00aYLzk5u2c7Zg_3_13"/>
      <w:bookmarkStart w:id="490" w:name="Tc_orslFnTYlECYASLMdTDEtg_3_10"/>
      <w:bookmarkStart w:id="491" w:name="Tc_6jd3faTJE0mp35X-3EHEDg_3_7"/>
      <w:bookmarkStart w:id="492" w:name="Tc_xcL5DQmogUKrKS2XVUa5ag_3_4"/>
      <w:bookmarkStart w:id="493" w:name="Tc_bimXI6bBFUmIpS55JWnf8w_3_2"/>
      <w:bookmarkStart w:id="494" w:name="Tc_M8UYyAPmdU2LtjrB9ih1PQ_2_16"/>
      <w:bookmarkStart w:id="495" w:name="Tc_VEZY-xDlLEu56vI1wiOP0Q_2_13"/>
      <w:bookmarkStart w:id="496" w:name="Tc_CWrIJyTMx0a74fAf7G1kwQ_2_10"/>
      <w:bookmarkStart w:id="497" w:name="Tc_kYk5-jRRMkaaojOOhn8PtA_2_7"/>
      <w:bookmarkStart w:id="498" w:name="Tc_viUl0-cus0i5UrDEi2Espw_2_2"/>
      <w:bookmarkStart w:id="499" w:name="Tc_jeKFPo3gjEG9-tkPkTPiNg_1_16"/>
      <w:bookmarkStart w:id="500" w:name="Tc_cZW8xATjZ06XfEDLWyPh4Q_1_7"/>
      <w:bookmarkStart w:id="501" w:name="_b30c775b_7da9_4bff_86fd_d954f433bd23"/>
      <w:bookmarkStart w:id="502" w:name="Tc_Rckhc2YH_kes4Y5vnMa_bg_24_16"/>
      <w:bookmarkStart w:id="503" w:name="Tc_uFpEmNkPhUaT4npZifafSA_24_14"/>
      <w:bookmarkStart w:id="504" w:name="Tc_QtkY_kChwUijZ8Ym96FqOQ_24_13"/>
      <w:bookmarkStart w:id="505" w:name="Tc_wVD7uB3jd0W_00XyDeVQIw_24_10"/>
      <w:bookmarkStart w:id="506" w:name="Tc_lCsJNIwwPkeMdXuBMZ2TBg_24_7"/>
      <w:bookmarkStart w:id="507" w:name="Tc_Kb9HernuiU-BU51dGmTR5A_24_4"/>
      <w:bookmarkStart w:id="508" w:name="Tc_dHaEVc6e4kuUrH7vMIWzMA_24_0"/>
      <w:bookmarkStart w:id="509" w:name="Tc_tlQRmlrWrUK4pwzo-ZHjSw_23_14"/>
      <w:bookmarkStart w:id="510" w:name="Tc_Tf6EYHALwkuN6bvcpy3N1Q_23_8"/>
      <w:bookmarkStart w:id="511" w:name="Tc_mLH8Wk3cU0qW6j9r-wtHJg_23_5"/>
      <w:bookmarkStart w:id="512" w:name="Tc_qj-_N0SNt0qCVqnCHTOm7w_23_2"/>
      <w:bookmarkStart w:id="513" w:name="Tc_dD5pcwyb_kOma6cnqzfHLg_23_0"/>
      <w:bookmarkStart w:id="514" w:name="Tc_tenZL_zpO0CbimlDa2eTPw_22_14"/>
      <w:bookmarkStart w:id="515" w:name="Tc_VdcAUoMnEUSt0Y1hURXe_w_22_8"/>
      <w:bookmarkStart w:id="516" w:name="Tc_ALlUvmNvnU6KeAoI-Sp3CA_22_5"/>
      <w:bookmarkStart w:id="517" w:name="Tc_2WxxgnEsEkCsNMw28hEkFg_22_2"/>
      <w:bookmarkStart w:id="518" w:name="Tc_ahr13sZPXES8ieVC655OVw_22_0"/>
      <w:bookmarkStart w:id="519" w:name="Tc_veyaPxsp-E6KoT7WhVo1Ug_21_14"/>
      <w:bookmarkStart w:id="520" w:name="Tc_UUDpGnlMHUm1KKfLGhaU7A_21_11"/>
      <w:bookmarkStart w:id="521" w:name="Tc_ucOlp2wX60OiEAhg1WlWIg_21_5"/>
      <w:bookmarkStart w:id="522" w:name="Tc_lBAkiYeYKES3plQnZd8eHw_21_2"/>
      <w:bookmarkStart w:id="523" w:name="Tc_1WzLsjm5FU2GW1etBwK6_A_21_0"/>
      <w:bookmarkStart w:id="524" w:name="Tc_q5AQDM-rrE6RI-R_QYHxMQ_20_14"/>
      <w:bookmarkStart w:id="525" w:name="Tc_1JP-fItF1kuBp_tX2d-vXQ_20_11"/>
      <w:bookmarkStart w:id="526" w:name="Tc_SDW-zmfA0UG4fmxv3wfnMw_20_5"/>
      <w:bookmarkStart w:id="527" w:name="Tc_DEKVs4lb7UKavE6sBOMKPg_20_2"/>
      <w:bookmarkStart w:id="528" w:name="Tc_b7g5Qhde1k6BXDiHX2LeAA_20_0"/>
      <w:bookmarkStart w:id="529" w:name="Tc_f2TT33kJXUynO7djMLpnZQ_19_14"/>
      <w:bookmarkStart w:id="530" w:name="Tc_ueWZgtb8HEeg1YTBTAXZdw_19_11"/>
      <w:bookmarkStart w:id="531" w:name="Tc_PgJi4NEsCEu7fY9u6rCaYA_19_0"/>
      <w:bookmarkStart w:id="532" w:name="Tc_oIyxBZNziUe_MouLch2sQw_18_17"/>
      <w:bookmarkStart w:id="533" w:name="Tc_FR2VgmfarkuNMxFf00XD4g_18_11"/>
      <w:bookmarkStart w:id="534" w:name="Tc_oDcoHn4tYEi_Cuc5uL83Kw_18_5"/>
      <w:bookmarkStart w:id="535" w:name="Tc__V2W_Y84FUC4h0i9I_ROJQ_18_0"/>
      <w:bookmarkStart w:id="536" w:name="Tc_mchENluAOkeO9Vw3tZdzcw_17_11"/>
      <w:bookmarkStart w:id="537" w:name="Tc_IL7LMjhtBU2wGgv1M1b4aQ_17_8"/>
      <w:bookmarkStart w:id="538" w:name="Tc_fAalSX-haECDildufFBNOg_17_5"/>
      <w:bookmarkStart w:id="539" w:name="Tc_15pShxPeXEySeJ8OAAhaJw_17_2"/>
      <w:bookmarkStart w:id="540" w:name="Tc_gQT6Yh_40UyTX5BCAVrTVw_17_0"/>
      <w:bookmarkStart w:id="541" w:name="Tc_wsIr___cc0u7h0KXt-J96g_16_17"/>
      <w:bookmarkStart w:id="542" w:name="Tc_HG7hROZIPEa_VRLbQY2cJw_16_14"/>
      <w:bookmarkStart w:id="543" w:name="Tc_MK31VMYvx0-eJaLhiHGwlA_16_11"/>
      <w:bookmarkStart w:id="544" w:name="Tc_jnDvwD2wb063ZqFfmU7yUw_16_8"/>
      <w:bookmarkStart w:id="545" w:name="Tc_5hZ4042u-UqRJZG-BsVk5A_16_5"/>
      <w:bookmarkStart w:id="546" w:name="Tc_825uiNsyvUGruhwJGpuiNQ_16_0"/>
      <w:bookmarkStart w:id="547" w:name="Tc_WQQJLTrfdEuR6czKNwaXyA_15_17"/>
      <w:bookmarkStart w:id="548" w:name="Tc_IbQ2lHM4N0SMHzqejUKOQg_15_14"/>
      <w:bookmarkStart w:id="549" w:name="Tc_RohOvPI4_U2EkOCU5kIOrw_15_11"/>
      <w:bookmarkStart w:id="550" w:name="Tc_TfeYzFHK4UOYfhAtaw1ehQ_15_0"/>
      <w:bookmarkStart w:id="551" w:name="Tc_at3fWCr4tEeVEj0I071_DQ_14_16"/>
      <w:bookmarkStart w:id="552" w:name="Tc_24dCiJG_L0WujNq47L72AA_14_14"/>
      <w:bookmarkStart w:id="553" w:name="Tc_kb42fZB3vEa9PVZKqW-MbA_14_13"/>
      <w:bookmarkStart w:id="554" w:name="Tc_VIpn0w2c2kO2IMb8nLePmw_14_10"/>
      <w:bookmarkStart w:id="555" w:name="Tc_jDk-c6falk65R57kloi1eg_14_7"/>
      <w:bookmarkStart w:id="556" w:name="Tc_aXcaZ6pKak2lq5DBybpnAA_14_4"/>
      <w:bookmarkStart w:id="557" w:name="Tc_yxFXPtDax0-mkAqAVEzR2w_14_0"/>
      <w:bookmarkStart w:id="558" w:name="Tc_Ls46cSBFS0aYg87FK1iPvw_13_14"/>
      <w:bookmarkStart w:id="559" w:name="Tc_LxEfR1ug5Ue-iqdOraB1ig_13_8"/>
      <w:bookmarkStart w:id="560" w:name="Tc_RNiZSykYUkGV7GO2xNjnSw_13_5"/>
      <w:bookmarkStart w:id="561" w:name="Tc_u60-Tq6WdEGIWPT0VUYeTg_13_2"/>
      <w:bookmarkStart w:id="562" w:name="Tc_S-7CFm3FkUyjDwKTwXv_vg_13_0"/>
      <w:bookmarkStart w:id="563" w:name="Tc_2ISN2e6Q60G9Ko2qIFbJaQ_12_14"/>
      <w:bookmarkStart w:id="564" w:name="Tc_gqOd9eJFhUC6o-CqLjO1ag_12_8"/>
      <w:bookmarkStart w:id="565" w:name="Tc_oyvXkSP3WkuYZTxLg0aSgA_12_5"/>
      <w:bookmarkStart w:id="566" w:name="Tc_AQ8r9YjlC0uLjEuRbCpo-A_12_2"/>
      <w:bookmarkStart w:id="567" w:name="Tc_8zjG8SlkEEanhjitbgJHXA_12_0"/>
      <w:bookmarkStart w:id="568" w:name="Tc_IlFMlCfT-UWiMGRHAADm1w_11_14"/>
      <w:bookmarkStart w:id="569" w:name="Tc_HVMlRw62ukSs6aoVnQJ0mQ_11_11"/>
      <w:bookmarkStart w:id="570" w:name="Tc_P8tr5wwo0UKVWcyQdDUW8g_11_5"/>
      <w:bookmarkStart w:id="571" w:name="Tc_CGqepT9-Yky3o9ytRWj8vQ_11_2"/>
      <w:bookmarkStart w:id="572" w:name="Tc_m67YPEovvUyNQVXL2I9Pvw_11_0"/>
      <w:bookmarkStart w:id="573" w:name="Tc_Vo7YBFA7jkCjDcgIbKY6ag_10_14"/>
      <w:bookmarkStart w:id="574" w:name="Tc_NvlPzHOBckmGWjQFGQWSLg_10_11"/>
      <w:bookmarkStart w:id="575" w:name="Tc_Kdp0aRqfhEq_soVHBvfVFg_10_5"/>
      <w:bookmarkStart w:id="576" w:name="Tc_pBxaTJz7tkSSxzaoAUxOfQ_10_2"/>
      <w:bookmarkStart w:id="577" w:name="Tc_Pj5Z9vZ2IEyHo7er8Smrig_10_0"/>
      <w:bookmarkStart w:id="578" w:name="Tc_J02-pgotz0OFqLb1dmjURQ_9_14"/>
      <w:bookmarkStart w:id="579" w:name="Tc_G9I6_9gUbUKhI2SuCPO-0w_9_11"/>
      <w:bookmarkStart w:id="580" w:name="Tc_tW9XkAXzkUusIo1e7MTSlw_9_0"/>
      <w:bookmarkStart w:id="581" w:name="Tc_fynDKrm3CUuF_w1ZbDrgfQ_8_17"/>
      <w:bookmarkStart w:id="582" w:name="Tc_rXQgMcF-sESbOytk_UhfXw_8_11"/>
      <w:bookmarkStart w:id="583" w:name="Tc_v66F6Btrz0GWVg7bR44Ivg_8_5"/>
      <w:bookmarkStart w:id="584" w:name="Tc_6EKFg1KGTUScST3P9DbP_Q_8_0"/>
      <w:bookmarkStart w:id="585" w:name="Tc_aOGmawTj2US_4iV7plVNgw_7_11"/>
      <w:bookmarkStart w:id="586" w:name="Tc_uYR3WcDsMUCDh4MZXHl2TQ_7_8"/>
      <w:bookmarkStart w:id="587" w:name="Tc_WqvZ_yQys0Cwkm9TP2emlw_7_5"/>
      <w:bookmarkStart w:id="588" w:name="Tc_HtPL_dVTXE6T6C7ZlGTXKw_7_2"/>
      <w:bookmarkStart w:id="589" w:name="Tc_xzAVxR5UGk-Y_vQrak6Azg_7_0"/>
      <w:bookmarkStart w:id="590" w:name="Tc_1Rnjl2N7GUGRxI1-SrEwaA_6_17"/>
      <w:bookmarkStart w:id="591" w:name="Tc_dwB0DQU0hke8PuTMlguv6w_6_14"/>
      <w:bookmarkStart w:id="592" w:name="Tc_rOW8UnROdk2YmPB7T46SuA_6_11"/>
      <w:bookmarkStart w:id="593" w:name="Tc_RxE6walMAkmwdnbsDWnSzw_6_8"/>
      <w:bookmarkStart w:id="594" w:name="Tc_b5Po-jKrukiXExmELy9nEQ_6_5"/>
      <w:bookmarkStart w:id="595" w:name="Tc_YkP9-mH_u0mQO-FLnjldQg_6_0"/>
      <w:bookmarkStart w:id="596" w:name="Tc_32D77hz7_06UlME8_mgOYA_5_17"/>
      <w:bookmarkStart w:id="597" w:name="Tc_Y_5ujI_qBUGoYL11s2fBtA_5_14"/>
      <w:bookmarkStart w:id="598" w:name="Tc_DRXdwRIylU6HczFA6iLM6g_5_11"/>
      <w:bookmarkStart w:id="599" w:name="Tc_bH98ayTb_UyFwtIUCQ8wfQ_5_8"/>
      <w:bookmarkStart w:id="600" w:name="Tc_e9EPvLsKgUeaWP0GjLXEYQ_5_5"/>
      <w:bookmarkStart w:id="601" w:name="Tc_nA6WaCn4G0Ozf3nOQpAVJw_5_0"/>
      <w:bookmarkStart w:id="602" w:name="Tc_JYdOok0J40CBFReWF5GUQQ_4_16"/>
      <w:bookmarkStart w:id="603" w:name="Tc_iwH-dh8G6Uyo1YCLinqx-g_4_14"/>
      <w:bookmarkStart w:id="604" w:name="Tc_panoaRvvlUCRBF3mmM-4cg_4_13"/>
      <w:bookmarkStart w:id="605" w:name="Tc_xuAhSLLgDk2KfbbXvIMQLg_4_10"/>
      <w:bookmarkStart w:id="606" w:name="Tc_FYcXKrJXqEirSBX7SU2rjQ_4_7"/>
      <w:bookmarkStart w:id="607" w:name="Tc_jiKlhJoe8EWkizexNuzWhw_4_4"/>
      <w:bookmarkStart w:id="608" w:name="Tc_g8wFC8cnVEOJenApDjgXww_4_0"/>
      <w:bookmarkStart w:id="609" w:name="Tc_5PYLweHhSkuPo0IjImL17g_3_16"/>
      <w:bookmarkStart w:id="610" w:name="Tc_TBn1BVbs00aYLzk5u2c7Zg_3_13"/>
      <w:bookmarkStart w:id="611" w:name="Tc_orslFnTYlECYASLMdTDEtg_3_10"/>
      <w:bookmarkStart w:id="612" w:name="Tc_6jd3faTJE0mp35X-3EHEDg_3_7"/>
      <w:bookmarkStart w:id="613" w:name="Tc_xcL5DQmogUKrKS2XVUa5ag_3_4"/>
      <w:bookmarkStart w:id="614" w:name="Tc_bimXI6bBFUmIpS55JWnf8w_3_2"/>
      <w:bookmarkStart w:id="615" w:name="Tc_M8UYyAPmdU2LtjrB9ih1PQ_2_16"/>
      <w:bookmarkStart w:id="616" w:name="Tc_VEZY-xDlLEu56vI1wiOP0Q_2_13"/>
      <w:bookmarkStart w:id="617" w:name="Tc_CWrIJyTMx0a74fAf7G1kwQ_2_10"/>
      <w:bookmarkStart w:id="618" w:name="Tc_kYk5-jRRMkaaojOOhn8PtA_2_7"/>
      <w:bookmarkStart w:id="619" w:name="Tc_viUl0-cus0i5UrDEi2Espw_2_2"/>
      <w:bookmarkStart w:id="620" w:name="Tc_jeKFPo3gjEG9-tkPkTPiNg_1_16"/>
      <w:bookmarkStart w:id="621" w:name="Tc_cZW8xATjZ06XfEDLWyPh4Q_1_7"/>
      <w:bookmarkStart w:id="622" w:name="_b30c775b_7da9_4bff_86fd_d954f433bd23"/>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p>
    <w:tbl>
      <w:tblPr>
        <w:tblW w:w="10205" w:type="dxa"/>
        <w:jc w:val="left"/>
        <w:tblInd w:w="0" w:type="dxa"/>
        <w:tblLayout w:type="fixed"/>
        <w:tblCellMar>
          <w:top w:w="0" w:type="dxa"/>
          <w:left w:w="0" w:type="dxa"/>
          <w:bottom w:w="0" w:type="dxa"/>
          <w:right w:w="0" w:type="dxa"/>
        </w:tblCellMar>
      </w:tblPr>
      <w:tblGrid>
        <w:gridCol w:w="3215"/>
        <w:gridCol w:w="346"/>
        <w:gridCol w:w="601"/>
        <w:gridCol w:w="346"/>
        <w:gridCol w:w="248"/>
        <w:gridCol w:w="438"/>
        <w:gridCol w:w="346"/>
        <w:gridCol w:w="214"/>
        <w:gridCol w:w="657"/>
        <w:gridCol w:w="346"/>
        <w:gridCol w:w="196"/>
        <w:gridCol w:w="690"/>
        <w:gridCol w:w="346"/>
        <w:gridCol w:w="237"/>
        <w:gridCol w:w="529"/>
        <w:gridCol w:w="346"/>
        <w:gridCol w:w="238"/>
        <w:gridCol w:w="866"/>
      </w:tblGrid>
      <w:tr>
        <w:trPr/>
        <w:tc>
          <w:tcPr>
            <w:tcW w:w="3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41525" cy="175260"/>
                      <wp:effectExtent l="0" t="0" r="0" b="0"/>
                      <wp:wrapNone/>
                      <wp:docPr id="179" name="Frame178"/>
                      <a:graphic xmlns:a="http://schemas.openxmlformats.org/drawingml/2006/main">
                        <a:graphicData uri="http://schemas.microsoft.com/office/word/2010/wordprocessingShape">
                          <wps:wsp>
                            <wps:cNvSpPr txBox="1"/>
                            <wps:spPr>
                              <a:xfrm>
                                <a:off x="0" y="0"/>
                                <a:ext cx="2041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0"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381635" cy="175260"/>
                      <wp:effectExtent l="0" t="0" r="0" b="0"/>
                      <wp:wrapNone/>
                      <wp:docPr id="181" name="Frame18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2"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57480" cy="175260"/>
                      <wp:effectExtent l="0" t="0" r="0" b="0"/>
                      <wp:wrapNone/>
                      <wp:docPr id="183" name="Frame182"/>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78130" cy="175260"/>
                      <wp:effectExtent l="0" t="0" r="0" b="0"/>
                      <wp:wrapNone/>
                      <wp:docPr id="184" name="Frame183"/>
                      <a:graphic xmlns:a="http://schemas.openxmlformats.org/drawingml/2006/main">
                        <a:graphicData uri="http://schemas.microsoft.com/office/word/2010/wordprocessingShape">
                          <wps:wsp>
                            <wps:cNvSpPr txBox="1"/>
                            <wps:spPr>
                              <a:xfrm>
                                <a:off x="0" y="0"/>
                                <a:ext cx="278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85"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5890" cy="175260"/>
                      <wp:effectExtent l="0" t="0" r="0" b="0"/>
                      <wp:wrapNone/>
                      <wp:docPr id="186" name="Frame185"/>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17195" cy="175260"/>
                      <wp:effectExtent l="0" t="0" r="0" b="0"/>
                      <wp:wrapNone/>
                      <wp:docPr id="187" name="Frame186"/>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88"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24460" cy="175260"/>
                      <wp:effectExtent l="0" t="0" r="0" b="0"/>
                      <wp:wrapNone/>
                      <wp:docPr id="189" name="Frame1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38150" cy="175260"/>
                      <wp:effectExtent l="0" t="0" r="0" b="0"/>
                      <wp:wrapNone/>
                      <wp:docPr id="190" name="Frame189"/>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1"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50495" cy="175260"/>
                      <wp:effectExtent l="0" t="0" r="0" b="0"/>
                      <wp:wrapNone/>
                      <wp:docPr id="192" name="Frame191"/>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335915" cy="175260"/>
                      <wp:effectExtent l="0" t="0" r="0" b="0"/>
                      <wp:wrapNone/>
                      <wp:docPr id="193" name="Frame192"/>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194"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51130" cy="175260"/>
                      <wp:effectExtent l="0" t="0" r="0" b="0"/>
                      <wp:wrapNone/>
                      <wp:docPr id="195" name="Frame194"/>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49910" cy="175260"/>
                      <wp:effectExtent l="0" t="0" r="0" b="0"/>
                      <wp:wrapNone/>
                      <wp:docPr id="196" name="Frame195"/>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11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1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163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46" w:type="dxa"/>
            <w:tcBorders/>
            <w:vAlign w:val="center"/>
          </w:tcPr>
          <w:p>
            <w:pPr>
              <w:pStyle w:val="TableContents"/>
              <w:bidi w:val="0"/>
              <w:spacing w:before="0" w:after="0"/>
              <w:ind w:left="0" w:right="0" w:hanging="0"/>
              <w:jc w:val="left"/>
              <w:rPr/>
            </w:pPr>
            <w:r>
              <w:rPr/>
              <w:t>​</w:t>
            </w:r>
          </w:p>
        </w:tc>
        <w:tc>
          <w:tcPr>
            <w:tcW w:w="11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2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6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46" w:type="dxa"/>
            <w:tcBorders/>
            <w:vAlign w:val="center"/>
          </w:tcPr>
          <w:p>
            <w:pPr>
              <w:pStyle w:val="TableContents"/>
              <w:bidi w:val="0"/>
              <w:spacing w:before="0" w:after="0"/>
              <w:ind w:left="0" w:right="0" w:hanging="0"/>
              <w:jc w:val="left"/>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left"/>
              <w:rPr/>
            </w:pPr>
            <w:r>
              <w:rPr/>
              <w:t>  ​ ​ ​</w:t>
            </w:r>
          </w:p>
        </w:tc>
        <w:tc>
          <w:tcPr>
            <w:tcW w:w="11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Balances at June 30, 2024</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33,340</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41,091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40,003</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81,127</w:t>
            </w:r>
          </w:p>
        </w:tc>
      </w:tr>
      <w:tr>
        <w:trPr/>
        <w:tc>
          <w:tcPr>
            <w:tcW w:w="321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restricted common stock</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376</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Forfeitures of restricted stock</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pPr>
            <w:r>
              <w:rPr/>
              <w:t>—</w:t>
            </w:r>
          </w:p>
        </w:tc>
      </w:tr>
      <w:tr>
        <w:trPr/>
        <w:tc>
          <w:tcPr>
            <w:tcW w:w="321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repurchases, including stock surrendered for tax withholding</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Retirements of treasury stock</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pPr>
            <w:r>
              <w:rPr/>
              <w:t>—</w:t>
            </w:r>
          </w:p>
        </w:tc>
      </w:tr>
      <w:tr>
        <w:trPr/>
        <w:tc>
          <w:tcPr>
            <w:tcW w:w="321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718</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righ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3,840</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Offering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righ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(320)</w:t>
            </w:r>
          </w:p>
        </w:tc>
      </w:tr>
      <w:tr>
        <w:trPr/>
        <w:tc>
          <w:tcPr>
            <w:tcW w:w="321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2,482</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 (loss) </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1,473</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1,473</w:t>
            </w:r>
          </w:p>
        </w:tc>
      </w:tr>
      <w:tr>
        <w:trPr/>
        <w:tc>
          <w:tcPr>
            <w:tcW w:w="321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dividends paid</w:t>
            </w:r>
          </w:p>
        </w:tc>
        <w:tc>
          <w:tcPr>
            <w:tcW w:w="346"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(16,347)</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(16,347)</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Balances at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34,337</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46,650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25,129</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71,813</w:t>
            </w:r>
          </w:p>
        </w:tc>
      </w:tr>
      <w:tr>
        <w:trPr/>
        <w:tc>
          <w:tcPr>
            <w:tcW w:w="321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restricted common stock</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401</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right"/>
              <w:rPr/>
            </w:pPr>
            <w:r>
              <w:rPr/>
              <w:t>​</w:t>
            </w:r>
          </w:p>
        </w:tc>
        <w:tc>
          <w:tcPr>
            <w:tcW w:w="866" w:type="dxa"/>
            <w:tcBorders/>
            <w:vAlign w:val="center"/>
          </w:tcPr>
          <w:p>
            <w:pPr>
              <w:pStyle w:val="TableContents"/>
              <w:bidi w:val="0"/>
              <w:spacing w:before="0" w:after="0"/>
              <w:ind w:left="0" w:right="0" w:hanging="0"/>
              <w:jc w:val="right"/>
              <w:rPr/>
            </w:pPr>
            <w:r>
              <w:rPr/>
              <w:t>—</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Expiration of restricted stock</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right"/>
              <w:rPr/>
            </w:pPr>
            <w:r>
              <w:rPr/>
              <w:t>​</w:t>
            </w:r>
          </w:p>
        </w:tc>
        <w:tc>
          <w:tcPr>
            <w:tcW w:w="866" w:type="dxa"/>
            <w:tcBorders/>
            <w:shd w:fill="CCEEFF" w:val="clear"/>
            <w:vAlign w:val="center"/>
          </w:tcPr>
          <w:p>
            <w:pPr>
              <w:pStyle w:val="TableContents"/>
              <w:bidi w:val="0"/>
              <w:spacing w:before="0" w:after="0"/>
              <w:ind w:left="0" w:right="0" w:hanging="0"/>
              <w:jc w:val="right"/>
              <w:rPr/>
            </w:pPr>
            <w:r>
              <w:rPr/>
              <w:t>—</w:t>
            </w:r>
          </w:p>
        </w:tc>
      </w:tr>
      <w:tr>
        <w:trPr/>
        <w:tc>
          <w:tcPr>
            <w:tcW w:w="321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repurchases, including stock surrendered for tax withholding</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w:t>
            </w:r>
          </w:p>
        </w:tc>
        <w:tc>
          <w:tcPr>
            <w:tcW w:w="346"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righ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Retirements of treasury stock</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w:t>
            </w:r>
          </w:p>
        </w:tc>
        <w:tc>
          <w:tcPr>
            <w:tcW w:w="346"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right"/>
              <w:rPr/>
            </w:pPr>
            <w:r>
              <w:rPr/>
              <w:t>​</w:t>
            </w:r>
          </w:p>
        </w:tc>
        <w:tc>
          <w:tcPr>
            <w:tcW w:w="866" w:type="dxa"/>
            <w:tcBorders/>
            <w:shd w:fill="CCEEFF" w:val="clear"/>
            <w:vAlign w:val="center"/>
          </w:tcPr>
          <w:p>
            <w:pPr>
              <w:pStyle w:val="TableContents"/>
              <w:bidi w:val="0"/>
              <w:spacing w:before="0" w:after="0"/>
              <w:ind w:left="0" w:right="0" w:hanging="0"/>
              <w:jc w:val="right"/>
              <w:rPr/>
            </w:pPr>
            <w:r>
              <w:rPr/>
              <w:t>—</w:t>
            </w:r>
          </w:p>
        </w:tc>
      </w:tr>
      <w:tr>
        <w:trPr/>
        <w:tc>
          <w:tcPr>
            <w:tcW w:w="321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1,394</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6,069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righ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6,070</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Offering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righ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w:t>
            </w:r>
          </w:p>
        </w:tc>
      </w:tr>
      <w:tr>
        <w:trPr/>
        <w:tc>
          <w:tcPr>
            <w:tcW w:w="321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2,344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2,344</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 (loss) </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(2,429)</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(2,429)</w:t>
            </w:r>
          </w:p>
        </w:tc>
      </w:tr>
      <w:tr>
        <w:trPr/>
        <w:tc>
          <w:tcPr>
            <w:tcW w:w="321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dividends paid</w:t>
            </w:r>
          </w:p>
        </w:tc>
        <w:tc>
          <w:tcPr>
            <w:tcW w:w="346"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(16,943)</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(16,943)</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Balances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35,950</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54,611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5,757</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60,404</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bookmarkStart w:id="623" w:name="Note1SummaryofSignificantEventsandAccoun"/>
      <w:bookmarkEnd w:id="623"/>
      <w:r>
        <w:rPr>
          <w:rFonts w:ascii="Times New Roman;Times;serif" w:hAnsi="Times New Roman;Times;serif"/>
          <w:b/>
          <w:sz w:val="20"/>
        </w:rPr>
        <w:t>Note 1. Summary of Significant Events and Accounting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Nature of Operations. </w:t>
      </w:r>
      <w:r>
        <w:rPr>
          <w:rFonts w:ascii="Times New Roman;Times;serif" w:hAnsi="Times New Roman;Times;serif"/>
          <w:sz w:val="20"/>
        </w:rPr>
        <w:t>  Evolution Petroleum Corporation (“Evolution,” and together with its consolidated subsidiaries, the “Company”) is an independent energy company focused on maximizing returns to shareholders through the ownership of and investment in onshore oil and natural gas properties in the United States. The Company’s long-term goal is to maximize total shareholder return from a diversified portfolio of long-life oil and natural gas properties built through acquisitions and through selective development opportunities, production enhancement, and other exploitation efforts on its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Company’s oil and natural gas properties consist of non-operated working and mineral interests in the following areas: </w:t>
      </w:r>
      <w:r>
        <w:rPr>
          <w:rFonts w:ascii="Times New Roman;Times;serif" w:hAnsi="Times New Roman;Times;serif"/>
          <w:color w:val="333333"/>
          <w:sz w:val="20"/>
        </w:rPr>
        <w:t xml:space="preserve">the SCOOP and STACK plays of the Anadarko Basin located in central Oklahoma; the Chaveroo Field in Chaves and Roosevelt Counties of New Mexico; the Jonah </w:t>
      </w:r>
      <w:r>
        <w:rPr>
          <w:rFonts w:ascii="Times New Roman;Times;serif" w:hAnsi="Times New Roman;Times;serif"/>
          <w:sz w:val="20"/>
        </w:rPr>
        <w:t>Field in Sublette County, Wyoming; the Williston Basin in North Dakota; the Barnett Shale located in North Texas; the Hamilton Dome Field located in Hot Springs County, Wyoming, a secondary oil recovery field utilizing water injection wells to pressurize the reservoir; the Delhi Holt-Bryant Unit in the Delhi Field in Northeast Louisiana, a CO</w:t>
      </w:r>
      <w:r>
        <w:rPr>
          <w:rFonts w:ascii="Times New Roman;Times;serif" w:hAnsi="Times New Roman;Times;serif"/>
          <w:sz w:val="15"/>
        </w:rPr>
        <w:t>2</w:t>
      </w:r>
      <w:r>
        <w:rPr>
          <w:rFonts w:ascii="Times New Roman;Times;serif" w:hAnsi="Times New Roman;Times;serif"/>
          <w:sz w:val="20"/>
        </w:rPr>
        <w:t xml:space="preserve"> enhanced oil recovery project; the TexMex interests located in Lea, Eddy and Chaves Counties, New Mexico and Stephens County, Texas;</w:t>
      </w:r>
      <w:r>
        <w:rPr>
          <w:rFonts w:ascii="Times New Roman;Times;serif" w:hAnsi="Times New Roman;Times;serif"/>
          <w:color w:val="333333"/>
          <w:sz w:val="20"/>
        </w:rPr>
        <w:t xml:space="preserve"> </w:t>
      </w:r>
      <w:r>
        <w:rPr>
          <w:rFonts w:ascii="Times New Roman;Times;serif" w:hAnsi="Times New Roman;Times;serif"/>
          <w:sz w:val="20"/>
        </w:rPr>
        <w:t>as well as small overriding royalty and mineral interests in Texas and Louisiana.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Principles of Consolidation and Reporting. </w:t>
      </w:r>
      <w:r>
        <w:rPr>
          <w:rFonts w:ascii="Times New Roman;Times;serif" w:hAnsi="Times New Roman;Times;serif"/>
          <w:sz w:val="20"/>
        </w:rPr>
        <w:t xml:space="preserve">  The consolidated financial statements include the accounts of Evolution Petroleum Corporation and its wholly-owned subsidiaries. All significant intercompany transactions have been eliminated in consolidation. The consolidated financial statements for the previous year may include certain reclassifications to conform to the current presentation.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Risk and Uncertainties. </w:t>
      </w:r>
      <w:r>
        <w:rPr>
          <w:rFonts w:ascii="Times New Roman;Times;serif" w:hAnsi="Times New Roman;Times;serif"/>
          <w:sz w:val="20"/>
        </w:rPr>
        <w:t>The Company’s oil and natural gas interests are operated by third-party operators and involve other third-party working interest owners. As a result, the Company has limited ability to influence the operation or future development of such properties. However, the Company proactively works with its third-party operators to review the management of capital expenditures for its non-operated working interest.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Use of Estimates. </w:t>
      </w:r>
      <w:r>
        <w:rPr>
          <w:rFonts w:ascii="Times New Roman;Times;serif" w:hAnsi="Times New Roman;Times;serif"/>
          <w:sz w:val="20"/>
        </w:rPr>
        <w:t xml:space="preserve">  The preparation of financial statements in conformity with generally accepted accounting principles in the United States requires the Company to make estimates and assumptions that affect the reported amounts of assets and liabilities and the disclosure of contingent assets and liabilities, if any, at the date of the consolidated financial statements and the reported amounts of revenues and expenses during the respective reporting periods. Significant estimates include (a) reserve quantities and estimated future cash flows associated with proved reserves, which may significantly impact depletion expense and potential impairments of oil and natural gas properties, (b) asset retirement obligations, (c) stock-based compensation, (d) fair values of derivative contract assets and liabilities, (e) income taxes and the valuation of deferred income tax assets, (f) commitments and contingencies, and (g) accruals of crude oil, natural gas, and NGL revenues and operating expenses. The Company analyzes estimates and judgments based on historical experience and various other assumptions and information that are believed to be reasonable. Estimates and assumptions about future events and their effects cannot be predicted with certainty and, accordingly, these estimates may change as additional information is obtained, as new events occur, and as the Company’s environment changes. Actual results may differ from the estimates and assumptions used in the preparation of the Company’s consolidated financial statements.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From time to time, the Company conducts joint venture audits of the operators of its oil and natural gas properties. Any audit findings are reflected in the consolidated financial statements once agreed upon by all parties. In fiscal year 2025, the Company received a credit adjustment of $1.9 million from one its operators at its Barnett Shale properties, recognized as a reduction to “</w:t>
      </w:r>
      <w:r>
        <w:rPr>
          <w:rFonts w:ascii="Times New Roman;Times;serif" w:hAnsi="Times New Roman;Times;serif"/>
          <w:i/>
          <w:sz w:val="20"/>
        </w:rPr>
        <w:t>Lease operating costs</w:t>
      </w:r>
      <w:r>
        <w:rPr>
          <w:rFonts w:ascii="Times New Roman;Times;serif" w:hAnsi="Times New Roman;Times;serif"/>
          <w:sz w:val="20"/>
        </w:rPr>
        <w:t>” on the consolidated statement of operations and “</w:t>
      </w:r>
      <w:r>
        <w:rPr>
          <w:rFonts w:ascii="Times New Roman;Times;serif" w:hAnsi="Times New Roman;Times;serif"/>
          <w:i/>
          <w:sz w:val="20"/>
        </w:rPr>
        <w:t>Accounts payable</w:t>
      </w:r>
      <w:r>
        <w:rPr>
          <w:rFonts w:ascii="Times New Roman;Times;serif" w:hAnsi="Times New Roman;Times;serif"/>
          <w:sz w:val="20"/>
        </w:rPr>
        <w:t xml:space="preserve">” on the consolidated balance sheet for the fiscal year ended June 30, 2025.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Segment Information.</w:t>
      </w:r>
      <w:r>
        <w:rPr>
          <w:rFonts w:ascii="Times New Roman;Times;serif" w:hAnsi="Times New Roman;Times;serif"/>
          <w:sz w:val="20"/>
        </w:rPr>
        <w:t xml:space="preserve"> The Company has one reportable segment, which focuses on the ownership of and investment in onshore oil and natural gas properties in the United States. The segment’s revenues are derived from the Company’s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interests in the sales of crude oil, natural gas, and NGL production to customers in the United States. The Company evaluates performance based on various financial metrics, including but not limited to consolidated income or loss from operations, net revenue, and cash flow from operations. The Company’s chief executive officer, chief operating officer, and chief financial officer together function as the chief operating decision maker (“CODM”). The CODM manages the Company’s business activities as a single operating segment. </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accounting policies of the one reportable segment are identical to accounting policies described for the consolidated Company. The CODM uses income (loss), as reported in the consolidated statement of operations to measure segment profitability, assess performance, and manage strategic capital resources allocations. The measure of segment assets is reported as “Total assets” on the consolidated balance sheets. The significant expense categories regularly provided to and reviewed by the CODM are the expenses categories as noted on the consolidated statements of operations.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Cash and Cash Equivalents. </w:t>
      </w:r>
      <w:r>
        <w:rPr>
          <w:rFonts w:ascii="Times New Roman;Times;serif" w:hAnsi="Times New Roman;Times;serif"/>
          <w:sz w:val="20"/>
        </w:rPr>
        <w:t>  The Company considers all highly liquid investments, with original maturities of 90 days or less when purchased, to be cash and cash equivalents.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Accounts Receivable and Allowance for Doubtful Accounts. </w:t>
      </w:r>
      <w:r>
        <w:rPr>
          <w:rFonts w:ascii="Times New Roman;Times;serif" w:hAnsi="Times New Roman;Times;serif"/>
          <w:sz w:val="20"/>
        </w:rPr>
        <w:t>  Accounts receivable consist of accrued hydrocarbon revenues due under normal trade terms, generally requiring payment within 30 to 60 days of production, and other miscellaneous receivables. No interest is charged on past-due balances. Payments made on accounts receivable are applied to the earliest unpaid items. The Company establishes provisions for losses on accounts receivable if it is determined that collection of all or a part of an outstanding balance is not probable. Collectability is reviewed regularly and an allowance is established or adjusted, as necessary, using the specific identification method. As of June 30, 2026 and 2025, no allowance for doubtful accounts was considered necessary.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Oil and Natural Gas Properties. </w:t>
      </w:r>
      <w:r>
        <w:rPr>
          <w:rFonts w:ascii="Times New Roman;Times;serif" w:hAnsi="Times New Roman;Times;serif"/>
          <w:sz w:val="20"/>
        </w:rPr>
        <w:t xml:space="preserve">  The Company uses the full-cost method of accounting for its investments in oil and natural gas properties. Under this method of accounting, all costs incurred in the acquisition, exploration and development of oil and natural gas properties, including unproductive wells, are capitalized. This includes any internal costs that are directly related to property acquisition, exploration, and development activities but does not include any costs related to production, general corporate overhead, or similar activities. Gain or loss on the sale or other disposition of oil and natural gas properties is not recognized, unless the gain or loss would significantly alter the relationship between capitalized costs and proved reserves.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depreciable base for oil and natural gas properties includes the sum of all capitalized costs net of depletion, estimated future development costs, and asset retirement costs (net of salvage values) not included in oil and natural gas properties, less costs excluded from amortization. The depreciable base of oil and natural gas properties is amortized using the unit-of-production method over total proved reserves.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capitalized costs of the Company’s oil and natural gas properties, net of accumulated amortization and related deferred income taxes are subject to a full cost ceiling limitation in which the costs are not allowed to exceed their related estimated future net revenues discounted at 10%, net of tax considerations. Any excess over the full cost ceiling limitation is charged to expense as an impairment and is reflected as additional accumulated depletion, depreciation, and impairment or as a credit to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Oil and natural gas properties include costs that are excluded from the full-cost pool and depletion and amortization, which represent investments in unproved and unevaluated properties and include non-producing leasehold, geologic and geophysical costs associated with leasehold or drilling interests, and exploration drilling costs. These costs are excluded until the project is evaluated and proved reserves are established or impairment is determined. As of June 30, 2026 and 2025, the Company did not have any costs excluded from its full-cost pool or depletion and amortization.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Other Property and Equipment. </w:t>
      </w:r>
      <w:r>
        <w:rPr>
          <w:rFonts w:ascii="Times New Roman;Times;serif" w:hAnsi="Times New Roman;Times;serif"/>
          <w:sz w:val="20"/>
        </w:rPr>
        <w:t xml:space="preserve">  Other property and equipment includes building leasehold improvements, data processing and telecommunications equipment, office furniture, and office equipment. These items are recorded at cost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and depreciated over expected lives of the individual assets or group of assets, which range from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seven years. The assets are depreciated using the straight-line method. Realization of the carrying value of other property and equipment is reviewed for possible impairment whenever events or changes in circumstances indicate that the carrying amount may not be recoverable. Assets are determined to be impaired if a forecast of undiscounted estimated future net operating cash flows directly related to the asset, including disposal value, if any, is less than the carrying amount of the asset. If any asset is determined to be impaired, the loss is measured as the amount by which the carrying amount of the asset exceeds its fair value. Repair and maintenance costs are expensed in the period incurred.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Asset Retirement Obligations. </w:t>
      </w:r>
      <w:r>
        <w:rPr>
          <w:rFonts w:ascii="Times New Roman;Times;serif" w:hAnsi="Times New Roman;Times;serif"/>
          <w:sz w:val="20"/>
        </w:rPr>
        <w:t>  An asset retirement obligation (“ARO”) associated with the retirement of a tangible long-lived asset is recognized as a liability in the period incurred. It is associated with an increase in the carrying amount of the related long-lived asset, the Company’s oil and natural gas properties. The cost of the tangible asset, including the asset retirement cost, is depleted over the useful life of the asset. The initial recognition or subsequent revision of asset retirement cost is considered a Level 3 fair value measurement. The asset retirement obligation is recorded at its estimated fair value, measured by reference to the expected future cash outflows required to satisfy the retirement obligation discounted at the Company’s credit-adjusted risk-free interest rate. Accretion expense is recognized over time as the discounted liability is accreted to its expected settlement value. If the estimated future cost of the asset retirement obligation changes, an adjustment is recorded to both the asset retirement obligation and the long-lived asset. Revisions to estimated asset retirement obligations can result from changes in retirement cost estimates, revisions to estimated inflation rates, and changes in the estimated timing of abandonment.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Fair Value of Financial Instruments. </w:t>
      </w:r>
      <w:r>
        <w:rPr>
          <w:rFonts w:ascii="Times New Roman;Times;serif" w:hAnsi="Times New Roman;Times;serif"/>
          <w:sz w:val="20"/>
        </w:rPr>
        <w:t>The Company’s financial instruments consist of cash and cash equivalents, accounts receivable, accounts payable, derivative instruments, and debt. Except for derivatives, the carrying amounts of cash and cash equivalents, accounts receivable and accounts payable are short-term instruments and approximate fair value due to their highly liquid nature. The carrying amount of debt approximates fair value as the variable rates on the Senior Secured Credit Facility, as defined in Note 5, “</w:t>
      </w:r>
      <w:r>
        <w:rPr>
          <w:rFonts w:ascii="Times New Roman;Times;serif" w:hAnsi="Times New Roman;Times;serif"/>
          <w:i/>
          <w:sz w:val="20"/>
        </w:rPr>
        <w:t>Senior Secured Credit Facility</w:t>
      </w:r>
      <w:r>
        <w:rPr>
          <w:rFonts w:ascii="Times New Roman;Times;serif" w:hAnsi="Times New Roman;Times;serif"/>
          <w:sz w:val="20"/>
        </w:rPr>
        <w:t>,” are market interest rates. The fair values of the Company’s derivative assets and liabilities are based on a third-party industry-standard pricing model that uses market data obtained from third-party sources, including quoted forward prices for oil and natural gas, discount rates, and volatility factors.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Concentrations of Credit Risk.</w:t>
      </w:r>
      <w:r>
        <w:rPr>
          <w:rFonts w:ascii="Times New Roman;Times;serif" w:hAnsi="Times New Roman;Times;serif"/>
          <w:sz w:val="20"/>
        </w:rPr>
        <w:t> The Company’s primary concentrations of credit risk are the risks of uncollectible accounts receivable, and to a lesser extent, the non-performance by counterparties under the Company’s derivative contracts, and cash and cash equivalent balances in excess of limits federally insured by the Federal Deposit Insurance Corporation.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Substantially all of the Company’s accounts receivable as of June 30, 2026 and 2025 are from crude oil, natural gas, and NGL sales to third-party purchasers in the oil and natural gas industry. The Company holds working interests and mineral interests in crude oil and natural gas properties for which a third-party serves as operator. As a non-operator, the Company primarily markets its production through its field operators, except at the Jonah Field, where the Company takes its natural gas and NGL production in-kind. As a non-operator, the Company is highly dependent on the success of its third-party operators and the decisions made in connection with their operations. With the exception of the Jonah Field, the third-party operator sells the crude oil, natural gas, and NGLs to the purchaser, collects the cash, and distributes the cash to the Company. In the year ended June 30, 2026, three individual operators, Diversified, Denbury (ExxonMobil), and Foundation, each accounted for more than 10% of the Company’s total revenues, collectively representing approximately 46% of the Company’s total revenues for the year. In the year ended June 30, 2025, three individual operators, Denbury (ExxonMobil), Diversified, and Foundation, each accounted for more than 10% of the Company’s total revenues, collectively representing approximately 51% of the Company’s total revenues for the year. The majority of the Company’s crude oil, natural gas, and NGL production is sold to purchasers under short-term (less than 12 months) contracts at market-based prices.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Derivative Instruments. </w:t>
      </w:r>
      <w:r>
        <w:rPr>
          <w:rFonts w:ascii="Times New Roman;Times;serif" w:hAnsi="Times New Roman;Times;serif"/>
          <w:sz w:val="20"/>
        </w:rPr>
        <w:t xml:space="preserve">The Company follows Accounting Standards Codification (“ASC”) 815, </w:t>
      </w:r>
      <w:r>
        <w:rPr>
          <w:rFonts w:ascii="Times New Roman;Times;serif" w:hAnsi="Times New Roman;Times;serif"/>
          <w:i/>
          <w:sz w:val="20"/>
        </w:rPr>
        <w:t>Derivatives and Hedging</w:t>
      </w:r>
      <w:r>
        <w:rPr>
          <w:rFonts w:ascii="Times New Roman;Times;serif" w:hAnsi="Times New Roman;Times;serif"/>
          <w:sz w:val="20"/>
        </w:rPr>
        <w:t xml:space="preserve"> (“ASC 815”). From time to time, in accordance with the Company’s risk management strategy and with certain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covenants under the Senior Secured Credit Facility, it may hedge a portion of its forecasted crude oil, natural gas, and NGL production. All derivative instruments are recorded on the consolidated balance sheet as either an asset or liability measured at fair value. The Company nets its derivative instrument fair value amounts executed with the same counterparty pursuant to an International Swap Dealers Association Master Agreement (“ISDA”); the agreement provides for net settlement over the term of the contract and in the event of default or termination of the contract. Although the derivative instruments provide an economic hedge of the Company’s exposure to commodity price volatility, the Company elected not to meet the criteria to qualify its derivative instruments for hedge accounting treatment. Accordingly, the Company records the net change in the mark-to-market valuation of these positions, as well as payments and receipts on settled contracts, in “</w:t>
      </w:r>
      <w:r>
        <w:rPr>
          <w:rFonts w:ascii="Times New Roman;Times;serif" w:hAnsi="Times New Roman;Times;serif"/>
          <w:i/>
          <w:sz w:val="20"/>
        </w:rPr>
        <w:t>Net gain (loss) on derivative contracts”</w:t>
      </w:r>
      <w:r>
        <w:rPr>
          <w:rFonts w:ascii="Times New Roman;Times;serif" w:hAnsi="Times New Roman;Times;serif"/>
          <w:sz w:val="20"/>
        </w:rPr>
        <w:t xml:space="preserve"> on the consolidated statements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Estimates of Proved Reserves</w:t>
      </w:r>
      <w:r>
        <w:rPr>
          <w:rFonts w:ascii="Times New Roman;Times;serif" w:hAnsi="Times New Roman;Times;serif"/>
          <w:i/>
          <w:sz w:val="20"/>
        </w:rPr>
        <w:t xml:space="preserve">. </w:t>
      </w:r>
      <w:r>
        <w:rPr>
          <w:rFonts w:ascii="Times New Roman;Times;serif" w:hAnsi="Times New Roman;Times;serif"/>
          <w:sz w:val="20"/>
        </w:rPr>
        <w:t>The estimated quantities of proved oil and natural gas reserves have a significant impact on the underlying financial statements. The estimated quantities of proved reserves are used to calculate depletion expense and the estimated future net cash flows associated with those proved reserves is the basis for determining impairment under the quarterly ceiling test calculation. The process of estimating oil and natural gas reserves is very complex and requires significant decisions in the evaluation of all available geologic, geophysical, engineering, and economic data. Estimated reserves are often subject to future revisions, which could be substantial, based on the availability of additional information; this includes reservoir performance, additional development activity, new geologic and geophysical data, additional drilling, technological advancements, price changes, and other economic factors. As a result, material revisions to existing reserve estimates may occur from time to time. Although every reasonable effort is made to ensure that the reported reserve estimates prepared by the Company’s third-party independent engineers represent the most accurate assessments possible, the subjective decisions and variances in available data for the properties make these estimates generally less precise than other estimates included in the Company’s financial statements. Material revisions to reserve estimates and/or significant changes in commodity prices could substantially affect the Company’s estimated future net cash flows of its proved reserves. These changes could affect the Company’s quarterly ceiling test calculation and could significantly affect its depletion 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Income Taxes. </w:t>
      </w:r>
      <w:r>
        <w:rPr>
          <w:rFonts w:ascii="Times New Roman;Times;serif" w:hAnsi="Times New Roman;Times;serif"/>
          <w:sz w:val="20"/>
        </w:rPr>
        <w:t>  The Company recognizes deferred income tax assets and liabilities based on the differences between the tax basis of assets and liabilities and its reported amounts in the financial statements that may result in taxable or deductible amounts in future years. The measurement of deferred income tax assets may be reduced by a valuation allowance based upon management’s assessment of available evidence if it is deemed more likely than not that some or all of the deferred income tax assets will not be realizable. The Company recognizes a tax benefit from an uncertain position when it is more likely than not that the position will be sustained upon examination which is based on the technical merits of the position. The Company records the largest amount of tax benefit that is greater than 50% likely of being realized upon settlement with a taxing authority. The Company classifies any interest and penalties associated with income taxes as income tax expense.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Earnings (Loss) Per Share. </w:t>
      </w:r>
      <w:r>
        <w:rPr>
          <w:rFonts w:ascii="Times New Roman;Times;serif" w:hAnsi="Times New Roman;Times;serif"/>
          <w:sz w:val="20"/>
        </w:rPr>
        <w:t>   The Company grants restricted stock awards which entitle the recipient to all of the rights of a shareholder of the Company including non-forfeitable rights to receive all dividends or other distributions paid with respect to such share; therefore, it applies the two-class method of calculating basic and diluted earnings (loss) per share (“EPS”) in accordance with ASC 260, </w:t>
      </w:r>
      <w:r>
        <w:rPr>
          <w:rFonts w:ascii="Times New Roman;Times;serif" w:hAnsi="Times New Roman;Times;serif"/>
          <w:i/>
          <w:sz w:val="20"/>
        </w:rPr>
        <w:t>Earnings Per Share</w:t>
      </w:r>
      <w:r>
        <w:rPr>
          <w:rFonts w:ascii="Times New Roman;Times;serif" w:hAnsi="Times New Roman;Times;serif"/>
          <w:sz w:val="20"/>
        </w:rPr>
        <w:t xml:space="preserve"> (“ASC 260”). Basic EPS is computed by dividing earnings or loss available to common stockholders, after allocating undistributed earnings to participating securities, by the weighted-average number of common shares outstanding during the period. The computation of diluted EPS is similar to the computation of basic EPS, except that the denominator is increased to include the number of additional common shares that would have been outstanding if potentially dilutive common shares had been issued. Unvested performance-based restricted stock awards and unvested contingent restricted share units are only potentially dilutive if the awards meet their respective performance criteria as of the period end. The Company uses the treasury stock method to determine the effect of potentially dilutive common shares on diluted EPS, unless the effect would be anti-dilutive. The unamortized stock-based compensation expense related to unvested awards is assumed to be used to repurchase shares of common stock at the average market price during the period. The incremental shares (the difference between the number of shares assumed issued and the number of shares assumed repurchased) are included in the denominator of the diluted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EPS computation. Awards with performance-based vesting restrictions are included in the computation of diluted shares, if dilutive, when the underlying performance conditions either (i) were satisfied as of the end of the reporting period or (ii) would be considered satisfied if the end of the reporting period were the end of the related contingency period.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July 2025, the FASB issued ASU 2025-05, </w:t>
      </w:r>
      <w:r>
        <w:rPr>
          <w:rFonts w:ascii="Times New Roman;Times;serif" w:hAnsi="Times New Roman;Times;serif"/>
          <w:i/>
          <w:sz w:val="20"/>
        </w:rPr>
        <w:t>Financial Instruments – Credit Losses (Topic 326): Measurement of Credit Losses for Accounts Receivable and Contract Assets</w:t>
      </w:r>
      <w:r>
        <w:rPr>
          <w:rFonts w:ascii="Times New Roman;Times;serif" w:hAnsi="Times New Roman;Times;serif"/>
          <w:sz w:val="20"/>
        </w:rPr>
        <w:t xml:space="preserve"> (“ASU 2025-05”). ASU 2025-05 permits companies to apply a practical expedient which assumes that current conditions as of the balance sheet date do not change for the remaining life of the asset when developing estimates for credit losses for accounts receivable and contract assets under Topic 606, </w:t>
      </w:r>
      <w:r>
        <w:rPr>
          <w:rFonts w:ascii="Times New Roman;Times;serif" w:hAnsi="Times New Roman;Times;serif"/>
          <w:i/>
          <w:sz w:val="20"/>
        </w:rPr>
        <w:t>Revenue from Contracts with Customers</w:t>
      </w:r>
      <w:r>
        <w:rPr>
          <w:rFonts w:ascii="Times New Roman;Times;serif" w:hAnsi="Times New Roman;Times;serif"/>
          <w:sz w:val="20"/>
        </w:rPr>
        <w:t>. ASU 2025-05 is effective prospectively for annual reporting periods beginning after December 15, 2025, and interim reporting periods within those annual reporting periods, with early adoption permitted. The Company is currently evaluating ASU 2025-05 and the impact it may have on the Company’s financial position, results of operations, cash flow, or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Disaggregation of Income Statement Expenses</w:t>
      </w:r>
      <w:r>
        <w:rPr>
          <w:rFonts w:ascii="Times New Roman;Times;serif" w:hAnsi="Times New Roman;Times;serif"/>
          <w:sz w:val="20"/>
        </w:rPr>
        <w:t xml:space="preserve"> (“ASU 2024-03”). ASU 2024-03 increases the transparency of expense information presented in the statement of operations through disclosures of expanded disaggregation of relevant expense captions, including purchases of inventory, employee compensation, depletion, depreciation, and amortization. ASU 2024-03 is effective for annual periods beginning after December 15, 2026, and interim periods within fiscal years beginning after December 15, 2027, with early adoption permitted. The Company is currently evaluating ASU 2024-03 and the impact it may have to the Company’s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December 2023, the FASB issued ASU 2023-09, </w:t>
      </w:r>
      <w:r>
        <w:rPr>
          <w:rFonts w:ascii="Times New Roman;Times;serif" w:hAnsi="Times New Roman;Times;serif"/>
          <w:i/>
          <w:sz w:val="20"/>
        </w:rPr>
        <w:t>Improvements to</w:t>
      </w:r>
      <w:r>
        <w:rPr>
          <w:rFonts w:ascii="Times New Roman;Times;serif" w:hAnsi="Times New Roman;Times;serif"/>
          <w:sz w:val="20"/>
        </w:rPr>
        <w:t xml:space="preserve"> </w:t>
      </w:r>
      <w:r>
        <w:rPr>
          <w:rFonts w:ascii="Times New Roman;Times;serif" w:hAnsi="Times New Roman;Times;serif"/>
          <w:i/>
          <w:sz w:val="20"/>
        </w:rPr>
        <w:t xml:space="preserve">Income Tax Disclosures </w:t>
      </w:r>
      <w:r>
        <w:rPr>
          <w:rFonts w:ascii="Times New Roman;Times;serif" w:hAnsi="Times New Roman;Times;serif"/>
          <w:sz w:val="20"/>
        </w:rPr>
        <w:t>(“ASU 2023-09”). ASU 2023-09 enhances the transparency of income tax disclosures by expanding the income tax rate reconciliation disclosure and income taxes paid information. ASU 2023-09 also includes certain other amendments to improve the effectiveness of income tax disclosures. ASU 2023-09 is effective for annual periods beginning after December 15, 2024, and can be implemented either prospectively or retrospectively. As such, the Company adopted ASU 2023-09 prospectively, effective July 1, 2025, and has included applicable enhanced disclosures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accounting pronouncements that have recently been issued by the FASB or other standards-setting bodies are not expected to have a material impact on the Company’s financial position, results of operations, cash flows or disclosures.</w:t>
      </w:r>
    </w:p>
    <w:p>
      <w:pPr>
        <w:pStyle w:val="TextBody"/>
        <w:bidi w:val="0"/>
        <w:spacing w:before="0" w:after="240"/>
        <w:ind w:left="0" w:right="0" w:hanging="0"/>
        <w:jc w:val="left"/>
        <w:rPr>
          <w:rFonts w:ascii="Times New Roman;Times;serif" w:hAnsi="Times New Roman;Times;serif"/>
          <w:b/>
          <w:sz w:val="20"/>
        </w:rPr>
      </w:pPr>
      <w:bookmarkStart w:id="624" w:name="Tc_5YKv1yoRiEmRtbuwihg0Wg_7_5"/>
      <w:bookmarkStart w:id="625" w:name="Tc_BZl0Za6u_ESJvy0EKTZ-YQ_7_2"/>
      <w:bookmarkStart w:id="626" w:name="Tc_-JOeO-jZ50KASBm4oadanA_7_0"/>
      <w:bookmarkStart w:id="627" w:name="Tc_Q-IF7VPXgkSVs6AoyTtq2A_6_0"/>
      <w:bookmarkStart w:id="628" w:name="Tc_AQKkKxmRJ0SoY4WLFTxhfw_5_0"/>
      <w:bookmarkStart w:id="629" w:name="Tc_vjfKwDMztECmajIzLGSSNA_4_5"/>
      <w:bookmarkStart w:id="630" w:name="Tc_tYDSh_fToUu3r_P6xNWM6g_4_2"/>
      <w:bookmarkStart w:id="631" w:name="Tc_DjRtlrmax0GYciT-zKGtnA_4_0"/>
      <w:bookmarkStart w:id="632" w:name="Tc_pXZboQM4SEmOK5NrScgd1g_3_0"/>
      <w:bookmarkStart w:id="633" w:name="Tc_hQk80gyj9ESFFNqVJ6fs7w_2_5"/>
      <w:bookmarkStart w:id="634" w:name="Tc_1VCBjRisMUKp70E5ta3WEQ_2_2"/>
      <w:bookmarkStart w:id="635" w:name="Tc_-5an674sfkqqpSqTk4JfRQ_1_2"/>
      <w:bookmarkEnd w:id="624"/>
      <w:bookmarkEnd w:id="625"/>
      <w:bookmarkEnd w:id="626"/>
      <w:bookmarkEnd w:id="627"/>
      <w:bookmarkEnd w:id="628"/>
      <w:bookmarkEnd w:id="629"/>
      <w:bookmarkEnd w:id="630"/>
      <w:bookmarkEnd w:id="631"/>
      <w:bookmarkEnd w:id="632"/>
      <w:bookmarkEnd w:id="633"/>
      <w:bookmarkEnd w:id="634"/>
      <w:bookmarkEnd w:id="635"/>
      <w:r>
        <w:rPr>
          <w:rFonts w:ascii="Times New Roman;Times;serif" w:hAnsi="Times New Roman;Times;serif"/>
          <w:b/>
          <w:sz w:val="20"/>
        </w:rPr>
        <w:t>Note 2. Revenue Recognition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revenues are primarily generated from its crude oil, natural gas and NGL production from the SCOOP and STACK plays in central Oklahoma; the Chaveroo Field in Chaves and Roosevelt Counties of New Mexico; the Jonah Field in Sublette County, Wyoming; the Williston Basin in North Dakota; the Barnett Shale located in North Texas; the Hamilton Dome Field in Wyoming; the Delhi Field in Northeast Louisiana; and the TexMex interests located in Lea, Eddy and Chaves Counties, New Mexico and Stephens County, Texas;. Additionally, the Company has small overriding royalty and mineral interests in Texas and Louisiana. The following table disaggregates the Company’s revenues by major product for the years ended June 30, 2026 and 2025 (in thousands):</w:t>
      </w:r>
    </w:p>
    <w:p>
      <w:pPr>
        <w:pStyle w:val="TextBody"/>
        <w:bidi w:val="0"/>
        <w:spacing w:before="0" w:after="240"/>
        <w:ind w:left="0" w:right="0" w:hanging="0"/>
        <w:jc w:val="left"/>
        <w:rPr/>
      </w:pPr>
      <w:r>
        <w:rPr/>
        <w:t>​</w:t>
      </w:r>
    </w:p>
    <w:tbl>
      <w:tblPr>
        <w:tblW w:w="3610" w:type="dxa"/>
        <w:jc w:val="left"/>
        <w:tblInd w:w="0" w:type="dxa"/>
        <w:tblLayout w:type="fixed"/>
        <w:tblCellMar>
          <w:top w:w="0" w:type="dxa"/>
          <w:left w:w="0" w:type="dxa"/>
          <w:bottom w:w="0" w:type="dxa"/>
          <w:right w:w="0" w:type="dxa"/>
        </w:tblCellMar>
      </w:tblPr>
      <w:tblGrid>
        <w:gridCol w:w="1456"/>
        <w:gridCol w:w="109"/>
        <w:gridCol w:w="196"/>
        <w:gridCol w:w="601"/>
        <w:gridCol w:w="346"/>
        <w:gridCol w:w="196"/>
        <w:gridCol w:w="706"/>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924560" cy="175260"/>
                      <wp:effectExtent l="0" t="0" r="0" b="0"/>
                      <wp:wrapNone/>
                      <wp:docPr id="197" name="Frame196"/>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9215" cy="175260"/>
                      <wp:effectExtent l="0" t="0" r="0" b="0"/>
                      <wp:wrapNone/>
                      <wp:docPr id="198" name="Frame1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24460" cy="175260"/>
                      <wp:effectExtent l="0" t="0" r="0" b="0"/>
                      <wp:wrapNone/>
                      <wp:docPr id="199" name="Frame19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381635" cy="175260"/>
                      <wp:effectExtent l="0" t="0" r="0" b="0"/>
                      <wp:wrapNone/>
                      <wp:docPr id="200" name="Frame19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1"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24460" cy="175260"/>
                      <wp:effectExtent l="0" t="0" r="0" b="0"/>
                      <wp:wrapNone/>
                      <wp:docPr id="202" name="Frame2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48310" cy="175260"/>
                      <wp:effectExtent l="0" t="0" r="0" b="0"/>
                      <wp:wrapNone/>
                      <wp:docPr id="203" name="Frame202"/>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20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Years Ended June 30, </w:t>
            </w:r>
          </w:p>
        </w:tc>
      </w:tr>
      <w:tr>
        <w:trPr/>
        <w:tc>
          <w:tcPr>
            <w:tcW w:w="145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left"/>
              <w:rPr/>
            </w:pPr>
            <w:r>
              <w:rPr/>
              <w:t>​</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Crude oil</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50,556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51,102</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Natural gas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23,516</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Natural gas liquids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10,749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11,222</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86,343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85,840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Jonah Field, the Company has elected to take its natural gas and NGL working interest production in-kind and markets its NGL production to Enterprise Products Partners L.P. (“Enterprise”) and its natural gas production to different purchasers.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does not take production in-kind at any of its other properties and does not negotiate contracts with customers for such production. The Company recognizes crude oil, natural gas, and NGL production revenue at the point in time when custody and title (“control”) of the product transfers to the customer. The sales of oil and natural gas are made under contracts which the Company’s third-party operators of its wells have negotiated with customers, which typically include variable consideration that is based on pricing tied to local indices and volumes delivered in the current month. The Company typically receives payment from the sale of oil and natural gas production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two months after delivery.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Judgments made in applying the guidance in ASC 606, </w:t>
      </w:r>
      <w:r>
        <w:rPr>
          <w:rFonts w:ascii="Times New Roman;Times;serif" w:hAnsi="Times New Roman;Times;serif"/>
          <w:i/>
          <w:sz w:val="20"/>
        </w:rPr>
        <w:t>Revenue from Contracts with Customers</w:t>
      </w:r>
      <w:r>
        <w:rPr>
          <w:rFonts w:ascii="Times New Roman;Times;serif" w:hAnsi="Times New Roman;Times;serif"/>
          <w:sz w:val="20"/>
        </w:rPr>
        <w:t>, relate primarily to determining the point in time when control of products transfers to the customer. The Company does not believe that significant judgments are required with respect to the determination of the transaction price, including amounts that represent variable consideration, as volume and price carry a low level of estimation uncertainty given the precision of volumetric measurements and the use of index pricing with predictable differentials. Accordingly, the Company does not consider estimates of variable consideration to be constrained.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contractual performance obligations arise upon the production of hydrocarbons from wells in which the Company has an ownership interest. The performance obligations are considered satisfied upon the transfer of control of produced hydrocarbons to a customer at a specified delivery point. Consideration is allocated to completed performance obligations at the end of an accounting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Revenue is recorded in the month when contractual performance obligations are satisfied. However, settlement statements from the purchasers of hydrocarbons and the related cash consideration are received by field operators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two months before the Company receives payment and documentation from the operator, which is typical in the oil and natural gas industry. As a result, the Company must estimate the amount of production delivered to the customer and the consideration that will ultimately be received for the sale of the product. To estimate accounts receivable from operators’ contracts with customers, the Company uses knowledge of its properties, information from field operators, historical performance, contractual arrangements, index pricing, quality and transportation differentials, and other factors. Because the contractual performance obligations have been satisfied and an unconditional right to consideration exists as of the balance sheet date, the Company recognized amounts due from contracts with field operators as “</w:t>
      </w:r>
      <w:r>
        <w:rPr>
          <w:rFonts w:ascii="Times New Roman;Times;serif" w:hAnsi="Times New Roman;Times;serif"/>
          <w:i/>
          <w:sz w:val="20"/>
        </w:rPr>
        <w:t>Receivables from crude oil, natural gas, and natural gas liquids revenues”</w:t>
      </w:r>
      <w:r>
        <w:rPr>
          <w:rFonts w:ascii="Times New Roman;Times;serif" w:hAnsi="Times New Roman;Times;serif"/>
          <w:sz w:val="20"/>
        </w:rPr>
        <w:t xml:space="preserve"> on the consolidated balance sheets. Differences between estimates and actual amounts received for product sales are recorded in the month that payments received from purchasers are remitted to the Company by field operators.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Acquisitions and Divestitures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Purchase of Louisiana Minerals</w:t>
      </w:r>
    </w:p>
    <w:p>
      <w:pPr>
        <w:pStyle w:val="TextBody"/>
        <w:bidi w:val="0"/>
        <w:spacing w:before="0" w:after="240"/>
        <w:ind w:left="0" w:right="0" w:hanging="0"/>
        <w:jc w:val="left"/>
        <w:rPr>
          <w:rFonts w:ascii="Times New Roman;Times;serif" w:hAnsi="Times New Roman;Times;serif"/>
          <w:sz w:val="20"/>
        </w:rPr>
      </w:pPr>
      <w:r>
        <w:rPr>
          <w:rFonts w:ascii="TimesNewRomanRegular" w:hAnsi="TimesNewRomanRegular"/>
          <w:sz w:val="20"/>
        </w:rPr>
        <w:t>From December 2025 through June 2026, the Company acquired mineral and royalty interests in multiple parishes across Louisiana from various private sellers for cash consideration totaling $6.2</w:t>
      </w:r>
      <w:r>
        <w:rPr>
          <w:rFonts w:ascii="Times New Roman;Times;serif" w:hAnsi="Times New Roman;Times;serif"/>
          <w:sz w:val="20"/>
        </w:rPr>
        <w:t xml:space="preserve"> </w:t>
      </w:r>
      <w:r>
        <w:rPr>
          <w:rFonts w:ascii="TimesNewRomanRegular" w:hAnsi="TimesNewRomanRegular"/>
          <w:sz w:val="20"/>
        </w:rPr>
        <w:t>million, including capitalized direct transaction costs. The mineral acreage in Louisiana primarily consists of proved undeveloped acreage targeting the Bossier/Haynesville Shales and is currently being actively developed by operators in the area. These acquisitions were each considered asset acquisitions and funded with cash on hand and sales from the Company’s ATM Sales Agreements.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SCOOP/STACK Minerals Transactions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August 4, 2025, the Company </w:t>
      </w:r>
      <w:r>
        <w:rPr>
          <w:rFonts w:ascii="Times New Roman;Times;serif" w:hAnsi="Times New Roman;Times;serif"/>
          <w:sz w:val="20"/>
          <w:shd w:fill="FFFFFF" w:val="clear"/>
        </w:rPr>
        <w:t>completed the acquisition of certain mineral and royalty interests in the SCOOP and STACK plays in Oklahoma from a non-affiliated private seller (the “SCOOP/STACK Minerals Acquisition”) in a cash transaction valued at approximately $16.3 million, including customary post-closing adjustments of $0.8 million. The SCOOP/STACK Minerals Acquisition had an effective date of May 1, 2025. The Company accounted for the transaction as an asset acquisition, allocating $12.5 million of the purchase price to proved oil and natural gas properties, subject to amortization, and $3.8 million to unproved properties. The Company funded the purchase price for the SCOOP/STACK Minerals Acquisition with a combination of $15.0 million in borrowings under its Senior Secured Credit Facility and cash on hand. The acquired assets include an average royalty interest of 0.6% across approximately 5,500 net royalty acres located primarily in Grady and Canadian Counties, Oklahoma</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June 30, 2026, the Company completed the divestiture of a portion of its non-core, non-producing net mineral acres in the SCOOP/STACK with a private buyer. The total sale price for the acreage was approximately $3.1 million, before customary post-closing adjustments.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TexMex Acquisition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April 14, 2025, the Company closed the acquisition of non-operated working interests in certain oil and natural gas wells located primarily in Lea, Eddy, and Chaves Counties, New Mexico, and Stephens County, Texas (the “TexMex Acquisition”) from a private seller. The total purchase price for the TexMex Acquisition was approximately $8.9 million including customary post-closing adjustments of $0.3 million, with an effective date of February 1, 2025. The Company funded the purchase price for the TexMex Acquisition through a combination of cash on hand and borrowings under its Senior Secured Credit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TexMex Acquisition includes an average working interest of 42% and an average revenue interest of 35% in approximately 600 gross wells.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accordance with the FASB’s authoritative guidance on asset acquisitions, the Company allocated the cost of the above acquisitions to the assets acquired and liabilities assumed based on a relative fair value basis of the assets acquired and liabilities assumed, with no recognition of goodwill or bargain purchase </w:t>
      </w:r>
      <w:r>
        <w:rPr>
          <w:rFonts w:ascii="Times New Roman;Times;serif" w:hAnsi="Times New Roman;Times;serif"/>
          <w:b w:val="false"/>
          <w:i w:val="false"/>
          <w:caps w:val="false"/>
          <w:smallCaps w:val="false"/>
          <w:sz w:val="20"/>
        </w:rPr>
        <w:t>gain</w:t>
      </w:r>
      <w:r>
        <w:rPr>
          <w:rFonts w:ascii="Times New Roman;Times;serif" w:hAnsi="Times New Roman;Times;serif"/>
          <w:sz w:val="20"/>
        </w:rPr>
        <w:t xml:space="preserve"> recorded. Incremental legal and professional fees related directly to the acquisitions were capitalized as part of the acquisition cost. The fair value is the price that would be received to sell an asset or paid to transfer a liability in an orderly transaction between market participants at the measurement date (exit price). Fair value measurements also utilize market assumptions of market participants.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Purchase of Permian Minerals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Subsequent to fiscal year-end, in August 2026, the Company closed on an acquisition of certain mineral and royalty interests in the core Midland Basin of the Permian Basin. See Note 15, “</w:t>
      </w:r>
      <w:r>
        <w:rPr>
          <w:rFonts w:ascii="Times New Roman;Times;serif" w:hAnsi="Times New Roman;Times;serif"/>
          <w:i/>
          <w:sz w:val="20"/>
        </w:rPr>
        <w:t>Subsequent Events,”</w:t>
      </w:r>
      <w:r>
        <w:rPr>
          <w:rFonts w:ascii="Times New Roman;Times;serif" w:hAnsi="Times New Roman;Times;serif"/>
          <w:sz w:val="20"/>
        </w:rPr>
        <w:t xml:space="preserve"> for further details. </w:t>
      </w:r>
    </w:p>
    <w:p>
      <w:pPr>
        <w:pStyle w:val="TextBody"/>
        <w:bidi w:val="0"/>
        <w:spacing w:before="0" w:after="240"/>
        <w:ind w:left="0" w:right="0" w:hanging="0"/>
        <w:jc w:val="left"/>
        <w:rPr>
          <w:rFonts w:ascii="Times New Roman;Times;serif" w:hAnsi="Times New Roman;Times;serif"/>
          <w:b/>
          <w:sz w:val="20"/>
        </w:rPr>
      </w:pPr>
      <w:bookmarkStart w:id="636" w:name="Tc_8H8qxXe30UeXfwdY_b67Gg_5_5"/>
      <w:bookmarkStart w:id="637" w:name="Tc_tja237wIak2hKhSiN468zw_5_2"/>
      <w:bookmarkStart w:id="638" w:name="Tc_-gFsfSPLy0eVusyxs57eGw_5_0"/>
      <w:bookmarkStart w:id="639" w:name="Tc_Liel-Cq8IE-E5iKusVXb0Q_4_0"/>
      <w:bookmarkStart w:id="640" w:name="Tc_t4C85KLJskW5wxH10PJcsw_3_5"/>
      <w:bookmarkStart w:id="641" w:name="Tc_r-_GH9VVOkeWfH-dOkZqlQ_3_2"/>
      <w:bookmarkStart w:id="642" w:name="Tc_Lr2qP3ofvE-4FmnYbT4MUQ_3_0"/>
      <w:bookmarkStart w:id="643" w:name="Tc_bZWlj5OLZ0q5EfybgKPeqA_2_0"/>
      <w:bookmarkStart w:id="644" w:name="Tc_UtZaLzTSXE2VHMz5DGNWpA_1_5"/>
      <w:bookmarkStart w:id="645" w:name="Tc__TGxOOA1skS8n5QnsoJDOQ_1_2"/>
      <w:bookmarkStart w:id="646" w:name="_fed34fe6_1962_48c5_b717_32848120dcfe"/>
      <w:bookmarkEnd w:id="636"/>
      <w:bookmarkEnd w:id="637"/>
      <w:bookmarkEnd w:id="638"/>
      <w:bookmarkEnd w:id="639"/>
      <w:bookmarkEnd w:id="640"/>
      <w:bookmarkEnd w:id="641"/>
      <w:bookmarkEnd w:id="642"/>
      <w:bookmarkEnd w:id="643"/>
      <w:bookmarkEnd w:id="644"/>
      <w:bookmarkEnd w:id="645"/>
      <w:bookmarkEnd w:id="646"/>
      <w:r>
        <w:rPr>
          <w:rFonts w:ascii="Times New Roman;Times;serif" w:hAnsi="Times New Roman;Times;serif"/>
          <w:b/>
          <w:sz w:val="20"/>
        </w:rPr>
        <w:t>Note 4. Property and Equipment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as of June 30, 2026 and 2025 consisted of the following (in thousands):</w:t>
      </w:r>
    </w:p>
    <w:p>
      <w:pPr>
        <w:pStyle w:val="TextBody"/>
        <w:bidi w:val="0"/>
        <w:spacing w:before="0" w:after="240"/>
        <w:ind w:left="0" w:right="0" w:hanging="0"/>
        <w:jc w:val="left"/>
        <w:rPr/>
      </w:pPr>
      <w:r>
        <w:rPr/>
        <w:t>​</w:t>
      </w:r>
    </w:p>
    <w:tbl>
      <w:tblPr>
        <w:tblW w:w="7340" w:type="dxa"/>
        <w:jc w:val="left"/>
        <w:tblInd w:w="0" w:type="dxa"/>
        <w:tblLayout w:type="fixed"/>
        <w:tblCellMar>
          <w:top w:w="0" w:type="dxa"/>
          <w:left w:w="0" w:type="dxa"/>
          <w:bottom w:w="0" w:type="dxa"/>
          <w:right w:w="0" w:type="dxa"/>
        </w:tblCellMar>
      </w:tblPr>
      <w:tblGrid>
        <w:gridCol w:w="4291"/>
        <w:gridCol w:w="346"/>
        <w:gridCol w:w="239"/>
        <w:gridCol w:w="917"/>
        <w:gridCol w:w="346"/>
        <w:gridCol w:w="237"/>
        <w:gridCol w:w="964"/>
      </w:tblGrid>
      <w:tr>
        <w:trPr/>
        <w:tc>
          <w:tcPr>
            <w:tcW w:w="4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724785" cy="175260"/>
                      <wp:effectExtent l="0" t="0" r="0" b="0"/>
                      <wp:wrapNone/>
                      <wp:docPr id="204" name="Frame203"/>
                      <a:graphic xmlns:a="http://schemas.openxmlformats.org/drawingml/2006/main">
                        <a:graphicData uri="http://schemas.microsoft.com/office/word/2010/wordprocessingShape">
                          <wps:wsp>
                            <wps:cNvSpPr txBox="1"/>
                            <wps:spPr>
                              <a:xfrm>
                                <a:off x="0" y="0"/>
                                <a:ext cx="2724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05"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51765" cy="175260"/>
                      <wp:effectExtent l="0" t="0" r="0" b="0"/>
                      <wp:wrapNone/>
                      <wp:docPr id="206" name="Frame20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82295" cy="175260"/>
                      <wp:effectExtent l="0" t="0" r="0" b="0"/>
                      <wp:wrapNone/>
                      <wp:docPr id="207" name="Frame206"/>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08"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50495" cy="175260"/>
                      <wp:effectExtent l="0" t="0" r="0" b="0"/>
                      <wp:wrapNone/>
                      <wp:docPr id="209" name="Frame208"/>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12140" cy="175260"/>
                      <wp:effectExtent l="0" t="0" r="0" b="0"/>
                      <wp:wrapNone/>
                      <wp:docPr id="210" name="Frame209"/>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91"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  ​ ​ ​</w:t>
            </w:r>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346" w:type="dxa"/>
            <w:tcBorders/>
            <w:shd w:fill="FFFFFF" w:val="clear"/>
            <w:vAlign w:val="center"/>
          </w:tcPr>
          <w:p>
            <w:pPr>
              <w:pStyle w:val="TableContents"/>
              <w:bidi w:val="0"/>
              <w:spacing w:before="0" w:after="1"/>
              <w:ind w:left="0" w:right="0" w:hanging="0"/>
              <w:jc w:val="left"/>
              <w:rPr/>
            </w:pPr>
            <w:r>
              <w:rPr/>
              <w:t>  ​ ​ ​</w:t>
            </w:r>
          </w:p>
        </w:tc>
        <w:tc>
          <w:tcPr>
            <w:tcW w:w="1201"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2025</w:t>
            </w:r>
          </w:p>
        </w:tc>
      </w:tr>
      <w:tr>
        <w:trPr/>
        <w:tc>
          <w:tcPr>
            <w:tcW w:w="429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Oil and natural gas properties</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left"/>
              <w:rPr/>
            </w:pPr>
            <w:r>
              <w:rPr/>
              <w:t> </w:t>
            </w:r>
          </w:p>
        </w:tc>
      </w:tr>
      <w:tr>
        <w:trPr/>
        <w:tc>
          <w:tcPr>
            <w:tcW w:w="42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costs subject to amortization</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298,413</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272,496</w:t>
            </w:r>
          </w:p>
        </w:tc>
      </w:tr>
      <w:tr>
        <w:trPr/>
        <w:tc>
          <w:tcPr>
            <w:tcW w:w="42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Accumulated depletion, depreciation, and impairment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(151,446)</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(130,248)</w:t>
            </w:r>
          </w:p>
        </w:tc>
      </w:tr>
      <w:tr>
        <w:trPr/>
        <w:tc>
          <w:tcPr>
            <w:tcW w:w="42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properties, net</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146,967</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142,248</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uses the full cost method of accounting for its investments in oil and natural gas properties. All costs of acquisition, exploration, and development of oil and natural gas reserves are capitalized as the cost of oil and natural gas properties when incurred. To the extent capitalized costs of evaluated oil and natural gas properties, net of accumulated depletion, exceed the discounted future net revenues of proved oil and natural gas reserves, net of deferred taxes, such excess capitalized costs would be charged to expense as a write-down of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Additionally, the Company assesses all properties classified as unproved property on a quarterly basis for possible impairment. The Company assesses properties on an individual basis or as a group, if properties are individually insignificant. The assessment includes consideration of the following factors, among others: intent to drill; remaining lease term; geological and geophysical evaluations; drilling results and activity; the assignment of proved reserves; and the economic viability of development if proved reserves are assigned. During any period in which these factors indicate impairment, the cumulative drilling costs incurred to date for such property and all or a portion of the associated leasehold costs are transferred to the full cost pool and are then subject to depletion and the full cost ceiling test limitation.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of June 30, 2026 and 2025, all oil and natural gas property costs were subject to amortization. Depletion on oil and natural gas properties was $21.2 million and $20.4 million for the years ended June 30, 2026 and 2025, respectively. During the years ended June 30, 2026 and 2025, the Company incurred development capital expenditures of $5.5 million and $13.2 million, respectively.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June 30, 2026, the ceiling test value of the Company’s reserves was calculated based on the first-day-of-the-month average for the 12-months ended June 30, 2026 of the West Texas Intermediate (“WTI”) crude oil spot price of $72.93 per barrel and Henry Hub natural gas spot price of $3.62 per MMBtu, adjusted by market differentials by field. The net price per barrel of NGLs was $27.50, which was based on historical differentials to WTI as NGLs do not have any single comparable reference index price. Using these prices, at June 30, 2026 the cost center ceiling was higher than the capitalized costs of oil and natural gas properties, subject to amortization, and, as a result, no write-down was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At June 30, 2025, the ceiling test value of the Company’s reserves was calculated based on the first-day-of-the-month average for the 12-months ended June 30, 2025 of the WTI crude oil spot price of $71.20 per barrel and Henry Hub natural gas spot price of $2.87 per MMBtu, adjusted by market differentials by field. The net price per barrel of NGLs was $25.24, which was based on historical differentials to WTI as NGLs do not have any single comparable reference index price. Using these prices, at June 30, 2025 the cost center ceiling was higher than the capitalized costs of oil and natural gas properties, subject to amortization, and, as a result, no write-down was applicable.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5. Senior Secured Credit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April 11, 2016, the Company entered into a senior secured reserve-based credit facility with MidFirst Bank in an amount up to $50.0 million. On June 30, 2025, the Company entered into a syndicated amended and restated senior secured reserve-based credit facility (the “Senior Secured Credit Facility”) with MidFirst Bank, as administrative agent for the lenders party, thereto, in an amount up to $200.0 million with an initial borrowing base of $65.0 million, maturing on June 30, 2028. As of June 30, 2026, the borrowing base was $65.0 million. The borrowing base will be redetermined semiannually, with the lenders and the Company each having the right to one interim unscheduled redetermination between any two consecutive semi-annual redeterminations. The borrowing base takes into account the estimated value of the Company’s oil and natural gas properties, proved reserves, total indebtedness, and other relevant factors consistent with customary oil and natural gas lending criteria. The Senior Secured Credit Facility carries a commitment fee of 0.25% per annum on the undrawn portion of the borrowing base. Any borrowings under the Senior Secured Credit Facility will bear interest, at the Company’s option, at either (i) the Secured Overnight Financing Rate (“SOFR”), subject to a minimum SOFR of 3.25%, plus a credit spread adjustment of 0.05%, or (ii) the Prime Rate, as defined under the Senior Secured Credit Facility, plus 1.00%, plus, in either case of (i) or (ii), an applicable margin of 2.75%.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may elect, at its option, to prepay any borrowings outstanding under the Senior Secured Credit Facility without premium or penalty. Amounts outstanding under the Senior Secured Credit Facility are guaranteed by the Company’s direct and indirect subsidiaries and secured by a security interest in substantially all of the properties of the Company and its subsidiaries. Borrowings under the Senior Secured Credit Facility may be used for the acquisition and for the drilling and development of oil and natural gas properties, investments in cash flow generating properties complimentary to the production of oil and natural gas, and for letters of credit or other general corporate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Senior Secured Credit Facility contains certain events of default, including non-payment; breaches of representation and warranties; non-compliance with covenants; cross-defaults to material indebtedness; voluntary or involuntary bankruptcy; judgments and change in control. The Senior Secured Credit Facility also contains financial covenants including a requirement that the Company maintain, as of the last day of each fiscal quarter, (i) a maximum total leverage ratio of not more than 3.00 to 1.00, (ii) a current ratio of not less than 1.00 to 1.00, and (iii) a consolidated tangible net worth of not less than $40.0 million, each as defined in the Senior Secured Credit Facility. </w:t>
      </w:r>
      <w:r>
        <w:rPr>
          <w:rFonts w:ascii="Times New Roman;Times;serif" w:hAnsi="Times New Roman;Times;serif"/>
          <w:sz w:val="20"/>
          <w:shd w:fill="FFFFFF" w:val="clear"/>
        </w:rPr>
        <w:t>In addition, the Senior Secured Credit Facility contains hedging requirements that apply when utilization is greater than 25% of (x) the Margined Collateral Value, as defined under the Senior Secured Credit Facility, at any time when the leverage ratio is less than 2.25 to 1.00, or (y) the borrowing base, at any time when the leverage ratio is greater than or equal to 2.25 to 1.00.</w:t>
      </w:r>
      <w:r>
        <w:rPr>
          <w:rFonts w:ascii="Times New Roman;Times;serif" w:hAnsi="Times New Roman;Times;serif"/>
          <w:sz w:val="20"/>
        </w:rPr>
        <w:t xml:space="preserve"> As of June 30, 2026, the Company had $56.5 million borrowings outstanding and $0.8 million in letters of credit outstanding under its Senior Secured Credit Facility, resulting in $7.7 million of available borrowing capacity. For the years ended June 30, 2025 and 2024, the weighted average interest rate on borrowings under the Senior Secured Credit Facility was 6.69% and 7.48%, respectively.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November 28, 2025, the Company entered into a letter agreement with MidFirst Bank pursuant to which Margined Collateral Value, as defined under the Senior Secured Credit Facility, was modified to $65.0 million. In addition, it granted the Company additional time to enter into further commodity hedges to meet the hedging requirements under the Senior Secured Credit Facility.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August 29, 2025, the Company entered into the first amendment of its Senior Secured Credit Facility with MidFirst Bank, pursuant to which it was determined for purposes of the hedge covenant that total crude oil and natural gas volumes from proved developed producing reserves will be combined on a barrels of oil equivalent basis to determine compliance with the required hedging covenant.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7, 2025, the Company entered into a letter agreement with MidFirst Bank, which allows for the option to hedge 72% of expected natural gas production rather than hedging 25% of expected crude oil production in each month of the calendar year ending December, 31, 2026, as long as the Company remains in the 25% required hedging tier. See Note 7, “</w:t>
      </w:r>
      <w:r>
        <w:rPr>
          <w:rFonts w:ascii="Times New Roman;Times;serif" w:hAnsi="Times New Roman;Times;serif"/>
          <w:i/>
          <w:sz w:val="20"/>
        </w:rPr>
        <w:t>Derivatives,”</w:t>
      </w:r>
      <w:r>
        <w:rPr>
          <w:rFonts w:ascii="Times New Roman;Times;serif" w:hAnsi="Times New Roman;Times;serif"/>
          <w:sz w:val="20"/>
        </w:rPr>
        <w:t xml:space="preserve"> for a listing of all crude oil and natural gas derivative contracts the Company has entered into.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2026, the Company was in compliance with all covenants under the Senior Secured Credit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capitalizes certain direct costs associated with its Senior Secured Credit Facility and amortizes these costs over the life of the facility. For the year ended June 30, 2026, the Company amortized $0.2 million and capitalized $0.1 million of debt issuance costs in conjunction with amending and restating the Senior Secured Credit Facility. The debt issuance costs are presented in “</w:t>
      </w:r>
      <w:r>
        <w:rPr>
          <w:rFonts w:ascii="Times New Roman;Times;serif" w:hAnsi="Times New Roman;Times;serif"/>
          <w:i/>
          <w:sz w:val="20"/>
        </w:rPr>
        <w:t>Other Assets, net</w:t>
      </w:r>
      <w:r>
        <w:rPr>
          <w:rFonts w:ascii="Times New Roman;Times;serif" w:hAnsi="Times New Roman;Times;serif"/>
          <w:sz w:val="20"/>
        </w:rPr>
        <w:t>” on the consolidated balance sheets</w:t>
      </w:r>
      <w:r>
        <w:rPr>
          <w:rFonts w:ascii="Times" w:hAnsi="Times"/>
          <w:sz w:val="20"/>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Subsequent to fiscal year end, on August 20, 2026, the Company entered into a letter agreement with MidFirst Bank pursuant to which the borrowing base on its Senior Secured Credit Facility was temporarily increased from $65.0 million to $73.0 million from August 20, 2026 until October 20, 2026, unless redetermined in accordance with the terms of the credit agreement.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bookmarkStart w:id="647" w:name="Tc_Rurok0A_gU-VxzAgQhmaYA_10_5"/>
      <w:bookmarkStart w:id="648" w:name="Tc_6Hor2fzFgEOrEmFCIuL9CA_10_2"/>
      <w:bookmarkStart w:id="649" w:name="Tc_-XsEHW8YlECvwthGhmQCKA_10_0"/>
      <w:bookmarkStart w:id="650" w:name="Tc_qSGEiKWCGUGv9FczUvTMtQ_9_0"/>
      <w:bookmarkStart w:id="651" w:name="Tc_WFnsVNkTmk66PxqMLJjcOQ_8_0"/>
      <w:bookmarkStart w:id="652" w:name="Tc_4HpSsDLVuEGzA8vXuyKQdg_7_0"/>
      <w:bookmarkStart w:id="653" w:name="Tc_V1f-OQKpjkiLiGLYDLMFag_6_0"/>
      <w:bookmarkStart w:id="654" w:name="Tc_7hAp1p9zkE2J837rl4Jxfw_5_0"/>
      <w:bookmarkStart w:id="655" w:name="Tc_OFUe313sakWtAUlZCwMqeQ_4_0"/>
      <w:bookmarkStart w:id="656" w:name="Tc_xTl_pKBysEalVd-WsCC8eA_3_5"/>
      <w:bookmarkStart w:id="657" w:name="Tc_UBgwStfGsEyGQPktCJIVRw_3_2"/>
      <w:bookmarkStart w:id="658" w:name="Tc_oYptIUTpUkyrmRGHw00dMQ_3_0"/>
      <w:bookmarkStart w:id="659" w:name="Tc_G2xmHHbPtECB9nk0RhgbbA_2_0"/>
      <w:bookmarkStart w:id="660" w:name="Tc_f08s-IdW30GGUJE97zNxkA_1_5"/>
      <w:bookmarkStart w:id="661" w:name="Tc_gZyWsfysK0KCrGHiJorXlg_1_2"/>
      <w:bookmarkStart w:id="662" w:name="_9edb2247_d950_4a63_a596_4f2f6209bf01"/>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r>
        <w:rPr>
          <w:rFonts w:ascii="Times New Roman;Times;serif" w:hAnsi="Times New Roman;Times;serif"/>
          <w:b/>
          <w:sz w:val="20"/>
        </w:rPr>
        <w:t>Note 6. Income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files a consolidated federal income tax return in the United States and various combined and separate filings in several state and local jurisdictions in a timely manner.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were no unrecognized tax benefits, nor any accrued interest or penalties associated with unrecognized tax benefits during the years ended June 30, 2026 and 2025. The Company believes that it has appropriate support for the income tax positions taken and to be taken on the Company’s tax returns and that the accruals for tax liabilities are adequate for all open years based on its assessment of many factors including past experience and interpretations of tax law applied to the facts of each matter. The Company’s federal and state income tax returns are open to audit under the statute of limitations for the fiscal years ended June 30, 2022 through June 30, 2025 for federal tax purposes and for the fiscal years ended June 30, 2021 through June 30, 2025 for state tax purposes. To the extent the Company utilizes net operating losses (“NOLs”) generated in earlier years, such earlier years may also be subject to audit.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 for the years ended June 30, 2026 and 2025 is comprised of the following (in thousands):</w:t>
      </w:r>
    </w:p>
    <w:p>
      <w:pPr>
        <w:pStyle w:val="TextBody"/>
        <w:bidi w:val="0"/>
        <w:spacing w:before="0" w:after="240"/>
        <w:ind w:left="0" w:right="0" w:hanging="0"/>
        <w:jc w:val="left"/>
        <w:rPr/>
      </w:pPr>
      <w:r>
        <w:rPr/>
        <w:t>​</w:t>
      </w:r>
    </w:p>
    <w:tbl>
      <w:tblPr>
        <w:tblW w:w="6230" w:type="dxa"/>
        <w:jc w:val="left"/>
        <w:tblInd w:w="0" w:type="dxa"/>
        <w:tblLayout w:type="fixed"/>
        <w:tblCellMar>
          <w:top w:w="0" w:type="dxa"/>
          <w:left w:w="0" w:type="dxa"/>
          <w:bottom w:w="0" w:type="dxa"/>
          <w:right w:w="0" w:type="dxa"/>
        </w:tblCellMar>
      </w:tblPr>
      <w:tblGrid>
        <w:gridCol w:w="3181"/>
        <w:gridCol w:w="346"/>
        <w:gridCol w:w="320"/>
        <w:gridCol w:w="836"/>
        <w:gridCol w:w="346"/>
        <w:gridCol w:w="347"/>
        <w:gridCol w:w="854"/>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19935" cy="175260"/>
                      <wp:effectExtent l="0" t="0" r="0" b="0"/>
                      <wp:wrapNone/>
                      <wp:docPr id="211" name="Frame210"/>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2"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3200" cy="175260"/>
                      <wp:effectExtent l="0" t="0" r="0" b="0"/>
                      <wp:wrapNone/>
                      <wp:docPr id="213" name="Frame212"/>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30860" cy="175260"/>
                      <wp:effectExtent l="0" t="0" r="0" b="0"/>
                      <wp:wrapNone/>
                      <wp:docPr id="214" name="Frame213"/>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15"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20345" cy="175260"/>
                      <wp:effectExtent l="0" t="0" r="0" b="0"/>
                      <wp:wrapNone/>
                      <wp:docPr id="216" name="Frame215"/>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542290" cy="175260"/>
                      <wp:effectExtent l="0" t="0" r="0" b="0"/>
                      <wp:wrapNone/>
                      <wp:docPr id="217" name="Frame216"/>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346" w:type="dxa"/>
            <w:tcBorders/>
            <w:vAlign w:val="center"/>
          </w:tcPr>
          <w:p>
            <w:pPr>
              <w:pStyle w:val="TableContents"/>
              <w:bidi w:val="0"/>
              <w:spacing w:before="0" w:after="1"/>
              <w:ind w:left="0" w:right="0" w:hanging="0"/>
              <w:jc w:val="left"/>
              <w:rPr/>
            </w:pPr>
            <w:r>
              <w:rPr/>
              <w:t>  ​ ​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2025</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Current:</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left"/>
              <w:rPr/>
            </w:pPr>
            <w:r>
              <w:rPr/>
              <w:t> </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Federal</w:t>
            </w:r>
          </w:p>
        </w:tc>
        <w:tc>
          <w:tcPr>
            <w:tcW w:w="34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w:t>
            </w:r>
          </w:p>
        </w:tc>
        <w:tc>
          <w:tcPr>
            <w:tcW w:w="346"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(462)</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State</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(241)</w:t>
            </w:r>
          </w:p>
        </w:tc>
        <w:tc>
          <w:tcPr>
            <w:tcW w:w="346" w:type="dxa"/>
            <w:tcBorders/>
            <w:shd w:fill="CCEEFF" w:val="clear"/>
            <w:vAlign w:val="center"/>
          </w:tcPr>
          <w:p>
            <w:pPr>
              <w:pStyle w:val="TableContents"/>
              <w:bidi w:val="0"/>
              <w:spacing w:before="0" w:after="1"/>
              <w:ind w:left="0" w:right="0" w:hanging="0"/>
              <w:jc w:val="left"/>
              <w:rPr/>
            </w:pPr>
            <w:r>
              <w:rPr/>
              <w:t>​</w:t>
            </w:r>
          </w:p>
        </w:tc>
        <w:tc>
          <w:tcPr>
            <w:tcW w:w="3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(402)</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income tax (expense) benefit</w:t>
            </w:r>
          </w:p>
        </w:tc>
        <w:tc>
          <w:tcPr>
            <w:tcW w:w="34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(245)</w:t>
            </w:r>
          </w:p>
        </w:tc>
        <w:tc>
          <w:tcPr>
            <w:tcW w:w="346" w:type="dxa"/>
            <w:tcBorders/>
            <w:vAlign w:val="center"/>
          </w:tcPr>
          <w:p>
            <w:pPr>
              <w:pStyle w:val="TableContents"/>
              <w:bidi w:val="0"/>
              <w:spacing w:before="0" w:after="1"/>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(864)</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Deferred:</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left"/>
              <w:rPr/>
            </w:pPr>
            <w:r>
              <w:rPr/>
              <w:t> </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Federal</w:t>
            </w:r>
          </w:p>
        </w:tc>
        <w:tc>
          <w:tcPr>
            <w:tcW w:w="34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1,053</w:t>
            </w:r>
          </w:p>
        </w:tc>
        <w:tc>
          <w:tcPr>
            <w:tcW w:w="346"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pPr>
            <w:r>
              <w:rPr/>
              <w:t>​</w:t>
            </w:r>
          </w:p>
        </w:tc>
        <w:tc>
          <w:tcPr>
            <w:tcW w:w="85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584</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State</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w:t>
            </w:r>
          </w:p>
        </w:tc>
        <w:tc>
          <w:tcPr>
            <w:tcW w:w="346" w:type="dxa"/>
            <w:tcBorders/>
            <w:shd w:fill="CCEEFF" w:val="clear"/>
            <w:vAlign w:val="center"/>
          </w:tcPr>
          <w:p>
            <w:pPr>
              <w:pStyle w:val="TableContents"/>
              <w:bidi w:val="0"/>
              <w:spacing w:before="0" w:after="1"/>
              <w:ind w:left="0" w:right="0" w:hanging="0"/>
              <w:jc w:val="left"/>
              <w:rPr/>
            </w:pPr>
            <w:r>
              <w:rPr/>
              <w:t>​</w:t>
            </w:r>
          </w:p>
        </w:tc>
        <w:tc>
          <w:tcPr>
            <w:tcW w:w="3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deferred income tax (expense) benefit</w:t>
            </w:r>
          </w:p>
        </w:tc>
        <w:tc>
          <w:tcPr>
            <w:tcW w:w="34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963</w:t>
            </w:r>
          </w:p>
        </w:tc>
        <w:tc>
          <w:tcPr>
            <w:tcW w:w="346" w:type="dxa"/>
            <w:tcBorders/>
            <w:vAlign w:val="center"/>
          </w:tcPr>
          <w:p>
            <w:pPr>
              <w:pStyle w:val="TableContents"/>
              <w:bidi w:val="0"/>
              <w:spacing w:before="0" w:after="1"/>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468</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income tax (expense) benefit</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718</w:t>
            </w:r>
          </w:p>
        </w:tc>
        <w:tc>
          <w:tcPr>
            <w:tcW w:w="346" w:type="dxa"/>
            <w:tcBorders/>
            <w:shd w:fill="CCEEFF" w:val="clear"/>
            <w:vAlign w:val="center"/>
          </w:tcPr>
          <w:p>
            <w:pPr>
              <w:pStyle w:val="TableContents"/>
              <w:bidi w:val="0"/>
              <w:spacing w:before="0" w:after="1"/>
              <w:ind w:left="0" w:right="0" w:hanging="0"/>
              <w:jc w:val="left"/>
              <w:rPr/>
            </w:pPr>
            <w:r>
              <w:rPr/>
              <w:t>​</w:t>
            </w:r>
          </w:p>
        </w:tc>
        <w:tc>
          <w:tcPr>
            <w:tcW w:w="34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year ended June 30, 2026 the Company recognized an income tax benefit of $0.7 million and had an effective tax rate of 22.8% compared to income tax expense of $0.4 million and an effective tax rate of 21.2% for the year ended June 30, 2025. During each of the years ended June 30, 2026 and 2025, the Company recognized an income tax benefit of $0.1 million related to the vesting of restricted stock awards.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July 4, 2025, President Trump signed into law the One Big Beautiful Bill Act ("OBBBA"). The OBBBA makes permanent key elements of the Tax Cuts and Jobs Act of 2017, including 100% bonus depreciation and the business interest expense limitation, as well as other provisions. The Company’s consolidated financial statements for the year ended June 30, 2026, include the OBBBA’s effect for the period beginning July 1, 2025, through June 30, 2026. Some of the provisions in the OBBBA were effective for periods before July 1, 2025, and thus when the Company filed its June 30, 2025 tax return on April 15, 2026, the Company was able to reduce its fiscal year tax liability and defer current cash taxes owed, due to the 100% bonus depreciation allowed in the OBBBA. The tax effects related to fiscal year 2025 were recorded in the financial statements as a return to provision adjustment during the year ended June 30, 2026, once the effects were identified and quantifiable.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rFonts w:ascii="Times New Roman;Times;serif" w:hAnsi="Times New Roman;Times;serif"/>
          <w:sz w:val="20"/>
        </w:rPr>
      </w:pPr>
      <w:bookmarkStart w:id="663" w:name="Tc_kaN3iu4iF0CG-gpENbeofQ_12_5"/>
      <w:bookmarkStart w:id="664" w:name="Tc_z8P4FRdz9kKSCZg5wGe9cw_12_2"/>
      <w:bookmarkStart w:id="665" w:name="Tc_u2448Uw-Z02S8DNgvb8WUw_12_0"/>
      <w:bookmarkStart w:id="666" w:name="Tc_Iqk2FK9leUqMNhX0KsIN4w_11_0"/>
      <w:bookmarkStart w:id="667" w:name="Tc_QVx5WOBK9k-4s-ieTh3WzQ_10_0"/>
      <w:bookmarkStart w:id="668" w:name="Tc_cTbck6Wtxki7W7gHzQ09jg_9_0"/>
      <w:bookmarkStart w:id="669" w:name="Tc_4o2VnF6PwUWUsgMkSNXKYw_8_0"/>
      <w:bookmarkStart w:id="670" w:name="Tc_GjG0iEOIGkeyT0XTo8MlfQ_7_0"/>
      <w:bookmarkStart w:id="671" w:name="Tc_oF0K94rA2Uqd-7ajtmQYZQ_6_0"/>
      <w:bookmarkStart w:id="672" w:name="Tc_AuTyU3o4bEuVvvuAKChB9g_5_0"/>
      <w:bookmarkStart w:id="673" w:name="Tc_RNeMZQdWOUOlenKhkApKsQ_4_0"/>
      <w:bookmarkStart w:id="674" w:name="Tc_J9Tg2ru_z0WS2vNdxGpqTA_3_5"/>
      <w:bookmarkStart w:id="675" w:name="Tc_erUyi1p1CkiQU1ST7-PW5A_3_2"/>
      <w:bookmarkStart w:id="676" w:name="Tc_nQOsiEtvNkq8yRCxkYVqWg_3_0"/>
      <w:bookmarkStart w:id="677" w:name="Tc_xOngPjjy2kaWshr5jbAb2Q_2_0"/>
      <w:bookmarkStart w:id="678" w:name="Tc_m4hSn_lWHEa1PQeh3VapPQ_1_5"/>
      <w:bookmarkStart w:id="679" w:name="Tc_4EwSrMxO6kOopckIoiO_fw_1_2"/>
      <w:bookmarkStart w:id="680" w:name="Tc_VEaIzitzJ0W80g_YORnt3Q_13_12"/>
      <w:bookmarkStart w:id="681" w:name="Tc_7N667CAK1kCKj_VKUuMWAA_13_8"/>
      <w:bookmarkStart w:id="682" w:name="Tc_JoxBUE3bLEKrIIp27YdMSA_13_7"/>
      <w:bookmarkStart w:id="683" w:name="Tc_GbMD0Ehk8UCasv_ipX-iGw_13_2"/>
      <w:bookmarkStart w:id="684" w:name="Tc_vsrp_2UmhU2zfQdpb5d7Eg_12_12"/>
      <w:bookmarkStart w:id="685" w:name="Tc_pqn6RDY4fkemEhgUlUWxOA_12_7"/>
      <w:bookmarkStart w:id="686" w:name="Tc_6Skmu7p_r0GJ9djiOOWTow_12_0"/>
      <w:bookmarkStart w:id="687" w:name="Tc_K5S0OZBguUC_7zOkaY056w_11_12"/>
      <w:bookmarkStart w:id="688" w:name="Tc_CbtN-HqdmE-OQhjlwul4CA_11_7"/>
      <w:bookmarkStart w:id="689" w:name="Tc_x-cKPZKhfEaK10H-XaCq5w_11_0"/>
      <w:bookmarkStart w:id="690" w:name="Tc_FGBuJGmSokK9SZosNfWM-A_10_12"/>
      <w:bookmarkStart w:id="691" w:name="Tc_nF9tLn10gUa8ejvdi3IXlg_10_7"/>
      <w:bookmarkStart w:id="692" w:name="Tc_2t9AdULzLUqr_x4KFaSwYw_10_6"/>
      <w:bookmarkStart w:id="693" w:name="Tc_pK5vjQ88I06iDvTgDtSVvA_10_3"/>
      <w:bookmarkStart w:id="694" w:name="Tc_1w0F5hyQZkaJ82yNG0XFpw_10_0"/>
      <w:bookmarkStart w:id="695" w:name="Tc_hEbb0ojJQUeUxvGo2nOYSw_9_12"/>
      <w:bookmarkStart w:id="696" w:name="Tc_KFAKN-Cfk0qKNL4ZBoMJWA_9_7"/>
      <w:bookmarkStart w:id="697" w:name="Tc_GTXBuyR_nU2XkvemLC4xlQ_9_0"/>
      <w:bookmarkStart w:id="698" w:name="Tc__-n28zoJkUu66qoTh6wJIw_8_12"/>
      <w:bookmarkStart w:id="699" w:name="Tc_42uSw3SVO0mqLqsaUxE-nw_8_7"/>
      <w:bookmarkStart w:id="700" w:name="Tc_2xo75qOuPkuqsdDzjwn3mg_8_0"/>
      <w:bookmarkStart w:id="701" w:name="Tc_-j6KEKnZ80OwYn6ilMNTZA_7_12"/>
      <w:bookmarkStart w:id="702" w:name="Tc_K-Dl0x6A4EamySOGyLWzfQ_7_7"/>
      <w:bookmarkStart w:id="703" w:name="Tc_oyvatSvJpEq2cFvsYsEc2g_7_0"/>
      <w:bookmarkStart w:id="704" w:name="Tc_AwFixpur8EON7zizPApN_A_6_12"/>
      <w:bookmarkStart w:id="705" w:name="Tc_bJa2fZtRFEq4P65NqBhf9A_6_7"/>
      <w:bookmarkStart w:id="706" w:name="Tc_w4fcKuRaQkekdaX_WdPHCQ_6_6"/>
      <w:bookmarkStart w:id="707" w:name="Tc_d0EmOZrLmUaLfSRuRKfgrw_6_3"/>
      <w:bookmarkStart w:id="708" w:name="Tc_rCoOqvwlDkaxi21aO_EZVA_6_0"/>
      <w:bookmarkStart w:id="709" w:name="Tc_AvevSzg-mUGLpYe5oUS7LQ_5_0"/>
      <w:bookmarkStart w:id="710" w:name="Tc_6ZWXU-PbD0WgHR1oQQlR5Q_4_12"/>
      <w:bookmarkStart w:id="711" w:name="Tc_r78drCbkvkmhG0xxgnxrdw_4_8"/>
      <w:bookmarkStart w:id="712" w:name="Tc_B1Heub7dLUm5nk2ADtQUHg_4_7"/>
      <w:bookmarkStart w:id="713" w:name="Tc_8sf3hhQs6UazrA8tj92ycg_4_2"/>
      <w:bookmarkStart w:id="714" w:name="Tc_ZGAcUjWt50ycGC0th593zg_4_0"/>
      <w:bookmarkStart w:id="715" w:name="Tc_OmQtt6RzPEuqZfKHRLN-ew_3_11"/>
      <w:bookmarkStart w:id="716" w:name="Tc_eybmuC4w90GY0QfwPfCcCA_3_8"/>
      <w:bookmarkStart w:id="717" w:name="Tc_scLrJNWeU0SR4mp4Pd1NpQ_3_5"/>
      <w:bookmarkStart w:id="718" w:name="Tc_N94c0uCyTk2A6CQ2sF4nKQ_3_2"/>
      <w:bookmarkStart w:id="719" w:name="Tc_8OrWL4A88E-6fnUReUBfkA_2_11"/>
      <w:bookmarkStart w:id="720" w:name="Tc_9dx5PrE7IECjp7Urs7K98Q_2_5"/>
      <w:bookmarkStart w:id="721" w:name="Tc_Lf2JVvkXVEur-Y-7BqJkzQ_1_11"/>
      <w:bookmarkStart w:id="722" w:name="Tc_0CFdWhLhRkiaw_40J81rMw_1_5"/>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r>
        <w:rPr>
          <w:rFonts w:ascii="Times New Roman;Times;serif" w:hAnsi="Times New Roman;Times;serif"/>
          <w:sz w:val="20"/>
        </w:rPr>
        <w:t>The Company’s effective tax rate will typically differ from the statutory federal rate as a result of state income taxes, primarily in the states of Louisiana, North Dakota, and Texas, due to percentage depletion in excess of basis, and other permanent differences including federal tax credits expected from production on marginal natural gas wells. The following table presents the reconciliation of the Company’s income taxes calculated at the statutory federal tax rate to the income tax (expense) benefit (in thousands):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66"/>
        <w:gridCol w:w="346"/>
        <w:gridCol w:w="358"/>
        <w:gridCol w:w="798"/>
        <w:gridCol w:w="346"/>
        <w:gridCol w:w="240"/>
        <w:gridCol w:w="931"/>
        <w:gridCol w:w="346"/>
        <w:gridCol w:w="358"/>
        <w:gridCol w:w="798"/>
        <w:gridCol w:w="346"/>
        <w:gridCol w:w="1171"/>
        <w:gridCol w:w="301"/>
      </w:tblGrid>
      <w:tr>
        <w:trPr/>
        <w:tc>
          <w:tcPr>
            <w:tcW w:w="3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454910" cy="175260"/>
                      <wp:effectExtent l="0" t="0" r="0" b="0"/>
                      <wp:wrapNone/>
                      <wp:docPr id="218" name="Frame217"/>
                      <a:graphic xmlns:a="http://schemas.openxmlformats.org/drawingml/2006/main">
                        <a:graphicData uri="http://schemas.microsoft.com/office/word/2010/wordprocessingShape">
                          <wps:wsp>
                            <wps:cNvSpPr txBox="1"/>
                            <wps:spPr>
                              <a:xfrm>
                                <a:off x="0" y="0"/>
                                <a:ext cx="2454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19"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27330" cy="175260"/>
                      <wp:effectExtent l="0" t="0" r="0" b="0"/>
                      <wp:wrapNone/>
                      <wp:docPr id="220" name="Frame219"/>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06730" cy="175260"/>
                      <wp:effectExtent l="0" t="0" r="0" b="0"/>
                      <wp:wrapNone/>
                      <wp:docPr id="221" name="Frame220"/>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2"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52400" cy="175260"/>
                      <wp:effectExtent l="0" t="0" r="0" b="0"/>
                      <wp:wrapNone/>
                      <wp:docPr id="223" name="Frame222"/>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91185" cy="175260"/>
                      <wp:effectExtent l="0" t="0" r="0" b="0"/>
                      <wp:wrapNone/>
                      <wp:docPr id="224" name="Frame22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25"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27330" cy="175260"/>
                      <wp:effectExtent l="0" t="0" r="0" b="0"/>
                      <wp:wrapNone/>
                      <wp:docPr id="226" name="Frame225"/>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506730" cy="175260"/>
                      <wp:effectExtent l="0" t="0" r="0" b="0"/>
                      <wp:wrapNone/>
                      <wp:docPr id="227" name="Frame226"/>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28"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743585" cy="175260"/>
                      <wp:effectExtent l="0" t="0" r="0" b="0"/>
                      <wp:wrapNone/>
                      <wp:docPr id="229" name="Frame228"/>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91135" cy="175260"/>
                      <wp:effectExtent l="0" t="0" r="0" b="0"/>
                      <wp:wrapNone/>
                      <wp:docPr id="230" name="Frame229"/>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66" w:type="dxa"/>
            <w:tcBorders/>
            <w:vAlign w:val="center"/>
          </w:tcPr>
          <w:p>
            <w:pPr>
              <w:pStyle w:val="TableContents"/>
              <w:bidi w:val="0"/>
              <w:spacing w:before="0" w:after="0"/>
              <w:ind w:left="0" w:right="0" w:hanging="0"/>
              <w:jc w:val="left"/>
              <w:rPr>
                <w:color w:val="0563C1"/>
              </w:rPr>
            </w:pPr>
            <w:r>
              <w:rPr>
                <w:color w:val="0563C1"/>
              </w:rPr>
              <w:t>​</w:t>
            </w:r>
          </w:p>
        </w:tc>
        <w:tc>
          <w:tcPr>
            <w:tcW w:w="34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of Income</w:t>
            </w:r>
          </w:p>
        </w:tc>
        <w:tc>
          <w:tcPr>
            <w:tcW w:w="34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of Income</w:t>
            </w:r>
          </w:p>
        </w:tc>
        <w:tc>
          <w:tcPr>
            <w:tcW w:w="301" w:type="dxa"/>
            <w:tcBorders/>
            <w:vAlign w:val="center"/>
          </w:tcPr>
          <w:p>
            <w:pPr>
              <w:pStyle w:val="TableContents"/>
              <w:bidi w:val="0"/>
              <w:spacing w:before="0" w:after="0"/>
              <w:ind w:left="0" w:right="0" w:hanging="0"/>
              <w:jc w:val="left"/>
              <w:rPr/>
            </w:pPr>
            <w:r>
              <w:rPr/>
              <w:t>​</w:t>
            </w:r>
          </w:p>
        </w:tc>
      </w:tr>
      <w:tr>
        <w:trPr/>
        <w:tc>
          <w:tcPr>
            <w:tcW w:w="3866" w:type="dxa"/>
            <w:tcBorders/>
            <w:vAlign w:val="center"/>
          </w:tcPr>
          <w:p>
            <w:pPr>
              <w:pStyle w:val="TableContents"/>
              <w:bidi w:val="0"/>
              <w:spacing w:before="0" w:after="0"/>
              <w:ind w:left="0" w:right="0" w:hanging="0"/>
              <w:jc w:val="left"/>
              <w:rPr>
                <w:color w:val="0563C1"/>
              </w:rPr>
            </w:pPr>
            <w:r>
              <w:rPr>
                <w:color w:val="0563C1"/>
              </w:rPr>
              <w:t>​</w:t>
            </w:r>
          </w:p>
        </w:tc>
        <w:tc>
          <w:tcPr>
            <w:tcW w:w="34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Before</w:t>
            </w:r>
          </w:p>
        </w:tc>
        <w:tc>
          <w:tcPr>
            <w:tcW w:w="34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Before</w:t>
            </w:r>
          </w:p>
        </w:tc>
        <w:tc>
          <w:tcPr>
            <w:tcW w:w="301" w:type="dxa"/>
            <w:tcBorders/>
            <w:vAlign w:val="center"/>
          </w:tcPr>
          <w:p>
            <w:pPr>
              <w:pStyle w:val="TableContents"/>
              <w:bidi w:val="0"/>
              <w:spacing w:before="0" w:after="0"/>
              <w:ind w:left="0" w:right="0" w:hanging="0"/>
              <w:jc w:val="left"/>
              <w:rPr/>
            </w:pPr>
            <w:r>
              <w:rPr/>
              <w:t>​</w:t>
            </w:r>
          </w:p>
        </w:tc>
      </w:tr>
      <w:tr>
        <w:trPr/>
        <w:tc>
          <w:tcPr>
            <w:tcW w:w="3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346" w:type="dxa"/>
            <w:tcBorders/>
            <w:vAlign w:val="center"/>
          </w:tcPr>
          <w:p>
            <w:pPr>
              <w:pStyle w:val="TableContents"/>
              <w:bidi w:val="0"/>
              <w:spacing w:before="0" w:after="0"/>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Income Taxes</w:t>
            </w:r>
          </w:p>
        </w:tc>
        <w:tc>
          <w:tcPr>
            <w:tcW w:w="346" w:type="dxa"/>
            <w:tcBorders/>
            <w:vAlign w:val="center"/>
          </w:tcPr>
          <w:p>
            <w:pPr>
              <w:pStyle w:val="TableContents"/>
              <w:bidi w:val="0"/>
              <w:spacing w:before="0" w:after="0"/>
              <w:ind w:left="0" w:right="0" w:hanging="0"/>
              <w:jc w:val="left"/>
              <w:rPr/>
            </w:pPr>
            <w:r>
              <w:rPr/>
              <w:t>  ​ ​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2025</w:t>
            </w:r>
          </w:p>
        </w:tc>
        <w:tc>
          <w:tcPr>
            <w:tcW w:w="346" w:type="dxa"/>
            <w:tcBorders/>
            <w:vAlign w:val="center"/>
          </w:tcPr>
          <w:p>
            <w:pPr>
              <w:pStyle w:val="TableContents"/>
              <w:bidi w:val="0"/>
              <w:spacing w:before="0" w:after="0"/>
              <w:ind w:left="0" w:right="0" w:hanging="0"/>
              <w:jc w:val="left"/>
              <w:rPr/>
            </w:pPr>
            <w:r>
              <w:rPr/>
              <w:t>  ​ ​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Income Taxes</w:t>
            </w:r>
          </w:p>
        </w:tc>
        <w:tc>
          <w:tcPr>
            <w:tcW w:w="301" w:type="dxa"/>
            <w:tcBorders/>
            <w:vAlign w:val="center"/>
          </w:tcPr>
          <w:p>
            <w:pPr>
              <w:pStyle w:val="TableContents"/>
              <w:bidi w:val="0"/>
              <w:spacing w:before="0" w:after="0"/>
              <w:ind w:left="0" w:right="0" w:hanging="0"/>
              <w:jc w:val="left"/>
              <w:rPr/>
            </w:pPr>
            <w:r>
              <w:rPr/>
              <w:t>​</w:t>
            </w:r>
          </w:p>
        </w:tc>
      </w:tr>
      <w:tr>
        <w:trPr/>
        <w:tc>
          <w:tcPr>
            <w:tcW w:w="386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Income tax (expense) benefit computed at the statutory federal rate:</w:t>
            </w:r>
          </w:p>
        </w:tc>
        <w:tc>
          <w:tcPr>
            <w:tcW w:w="346"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661</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(392)</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Reconciling items:</w:t>
            </w:r>
          </w:p>
        </w:tc>
        <w:tc>
          <w:tcPr>
            <w:tcW w:w="34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r>
      <w:tr>
        <w:trPr/>
        <w:tc>
          <w:tcPr>
            <w:tcW w:w="38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Return to provision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58"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Depletion in excess of tax basis</w:t>
            </w:r>
          </w:p>
        </w:tc>
        <w:tc>
          <w:tcPr>
            <w:tcW w:w="34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58"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State income taxes, net of federal tax benefit</w:t>
            </w:r>
          </w:p>
        </w:tc>
        <w:tc>
          <w:tcPr>
            <w:tcW w:w="346"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(270)</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58"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(548)</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29.3</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Permanent differences related to stock-based compensation and other </w:t>
            </w:r>
          </w:p>
        </w:tc>
        <w:tc>
          <w:tcPr>
            <w:tcW w:w="34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58"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State valuation allowance</w:t>
            </w:r>
          </w:p>
        </w:tc>
        <w:tc>
          <w:tcPr>
            <w:tcW w:w="346"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58"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Marginal well credit</w:t>
            </w:r>
          </w:p>
        </w:tc>
        <w:tc>
          <w:tcPr>
            <w:tcW w:w="34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484</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58"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408</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866"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Income tax (expense) benefit</w:t>
            </w:r>
          </w:p>
        </w:tc>
        <w:tc>
          <w:tcPr>
            <w:tcW w:w="346" w:type="dxa"/>
            <w:tcBorders/>
            <w:vAlign w:val="center"/>
          </w:tcPr>
          <w:p>
            <w:pPr>
              <w:pStyle w:val="TableContents"/>
              <w:bidi w:val="0"/>
              <w:spacing w:before="0" w:after="0"/>
              <w:ind w:left="0" w:right="0" w:hanging="0"/>
              <w:jc w:val="left"/>
              <w:rPr/>
            </w:pPr>
            <w:r>
              <w:rPr/>
              <w:t>​</w:t>
            </w:r>
          </w:p>
        </w:tc>
        <w:tc>
          <w:tcPr>
            <w:tcW w:w="3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718</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center"/>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w:t>
            </w:r>
          </w:p>
        </w:tc>
        <w:tc>
          <w:tcPr>
            <w:tcW w:w="346" w:type="dxa"/>
            <w:tcBorders/>
            <w:vAlign w:val="center"/>
          </w:tcPr>
          <w:p>
            <w:pPr>
              <w:pStyle w:val="TableContents"/>
              <w:bidi w:val="0"/>
              <w:spacing w:before="0" w:after="0"/>
              <w:ind w:left="0" w:right="0" w:hanging="0"/>
              <w:jc w:val="left"/>
              <w:rPr/>
            </w:pPr>
            <w:r>
              <w:rPr/>
              <w:t>​</w:t>
            </w:r>
          </w:p>
        </w:tc>
        <w:tc>
          <w:tcPr>
            <w:tcW w:w="11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income taxes primarily represent the net tax effect of temporary differences between the carrying amounts of assets and liabilities for financial reporting purposes and the amounts used for income tax purposes. The components of net deferred income tax assets (liabilities) recognized are as follows (in thousands): </w:t>
      </w:r>
    </w:p>
    <w:p>
      <w:pPr>
        <w:pStyle w:val="TextBody"/>
        <w:bidi w:val="0"/>
        <w:spacing w:before="0" w:after="240"/>
        <w:ind w:left="0" w:right="0" w:hanging="0"/>
        <w:jc w:val="left"/>
        <w:rPr/>
      </w:pPr>
      <w:r>
        <w:rPr/>
        <w:t>​</w:t>
      </w:r>
    </w:p>
    <w:tbl>
      <w:tblPr>
        <w:tblW w:w="7385" w:type="dxa"/>
        <w:jc w:val="left"/>
        <w:tblInd w:w="0" w:type="dxa"/>
        <w:tblLayout w:type="fixed"/>
        <w:tblCellMar>
          <w:top w:w="0" w:type="dxa"/>
          <w:left w:w="0" w:type="dxa"/>
          <w:bottom w:w="0" w:type="dxa"/>
          <w:right w:w="0" w:type="dxa"/>
        </w:tblCellMar>
      </w:tblPr>
      <w:tblGrid>
        <w:gridCol w:w="4336"/>
        <w:gridCol w:w="346"/>
        <w:gridCol w:w="264"/>
        <w:gridCol w:w="892"/>
        <w:gridCol w:w="346"/>
        <w:gridCol w:w="260"/>
        <w:gridCol w:w="941"/>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753360" cy="175260"/>
                      <wp:effectExtent l="0" t="0" r="0" b="0"/>
                      <wp:wrapNone/>
                      <wp:docPr id="231" name="Frame230"/>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2"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67640" cy="175260"/>
                      <wp:effectExtent l="0" t="0" r="0" b="0"/>
                      <wp:wrapNone/>
                      <wp:docPr id="233" name="Frame232"/>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566420" cy="175260"/>
                      <wp:effectExtent l="0" t="0" r="0" b="0"/>
                      <wp:wrapNone/>
                      <wp:docPr id="234" name="Frame233"/>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35"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65100" cy="175260"/>
                      <wp:effectExtent l="0" t="0" r="0" b="0"/>
                      <wp:wrapNone/>
                      <wp:docPr id="236" name="Frame235"/>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597535" cy="175260"/>
                      <wp:effectExtent l="0" t="0" r="0" b="0"/>
                      <wp:wrapNone/>
                      <wp:docPr id="237" name="Frame236"/>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346" w:type="dxa"/>
            <w:tcBorders/>
            <w:vAlign w:val="center"/>
          </w:tcPr>
          <w:p>
            <w:pPr>
              <w:pStyle w:val="TableContents"/>
              <w:bidi w:val="0"/>
              <w:spacing w:before="0" w:after="1"/>
              <w:ind w:left="0" w:right="0" w:hanging="0"/>
              <w:jc w:val="left"/>
              <w:rPr/>
            </w:pPr>
            <w:r>
              <w:rPr/>
              <w:t>  ​ ​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2025</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Deferred tax assets:</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left"/>
              <w:rPr/>
            </w:pPr>
            <w:r>
              <w:rPr/>
              <w:t> </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Non-qualified stock-based compensation</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818</w:t>
            </w:r>
          </w:p>
        </w:tc>
        <w:tc>
          <w:tcPr>
            <w:tcW w:w="3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599</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operating loss carry-forwards and other carry-forwards</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496</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losses</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w:t>
            </w:r>
          </w:p>
        </w:tc>
        <w:tc>
          <w:tcPr>
            <w:tcW w:w="3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298</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retirement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5,497</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4,982</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deferred tax assets</w:t>
            </w:r>
          </w:p>
        </w:tc>
        <w:tc>
          <w:tcPr>
            <w:tcW w:w="346"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w:t>
            </w:r>
          </w:p>
        </w:tc>
        <w:tc>
          <w:tcPr>
            <w:tcW w:w="346"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481</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deferred tax assets</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7,023</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6,508</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Deferred tax liabilities:</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pPr>
            <w:r>
              <w:rPr/>
              <w:t> </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properties</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(12,294)</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(12,742)</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deferred tax liabilities</w:t>
            </w:r>
          </w:p>
        </w:tc>
        <w:tc>
          <w:tcPr>
            <w:tcW w:w="346"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(12,294)</w:t>
            </w:r>
          </w:p>
        </w:tc>
        <w:tc>
          <w:tcPr>
            <w:tcW w:w="346"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(12,742)</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deferred tax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(5,271)</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(6,234)</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 xml:space="preserve">Evolution Petroleum OK, Inc., a wholly-owned subsidiary of the Company, had a prior year carryforward of NOLs of $8.9 million generated during tax years 2011 through 2017. In fiscal year 2024, in conjunction with the acquisition of oil and natural gas properties in Oklahoma by Evolution Petroleum OK, Inc., a deferred tax asset was recorded for a portion of this NOL carryforward. In fiscal year 2025, the valuation allowance of $0.1 million was released.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bookmarkStart w:id="723" w:name="Tc_aXjD88zXXka30wDfCmtbXw_10_5"/>
      <w:bookmarkStart w:id="724" w:name="Tc_37PyKs5xqUWlCPzQjbnRWQ_10_2"/>
      <w:bookmarkStart w:id="725" w:name="Tc_24y3cVsBc0ag13wThAVOWw_10_0"/>
      <w:bookmarkStart w:id="726" w:name="Tc_wJbTHeNulECgynGFn7t-Pw_9_0"/>
      <w:bookmarkStart w:id="727" w:name="Tc_pPSYOU0UPE6yKPSi2_WnUg_8_0"/>
      <w:bookmarkStart w:id="728" w:name="Tc_riUuo3DkbkWmDdAHOW10QQ_7_3"/>
      <w:bookmarkStart w:id="729" w:name="Tc_Rvnf8H-QfkOmcGVjba4WNw_7_0"/>
      <w:bookmarkStart w:id="730" w:name="Tc_grInO6S6HEeMWwvgdDcwsA_6_0"/>
      <w:bookmarkStart w:id="731" w:name="Tc_51av1E2tkEmWw7Gxdr-MZA_5_0"/>
      <w:bookmarkStart w:id="732" w:name="Tc_LJt1UTbRQk-eVTnL_-e4TQ_4_0"/>
      <w:bookmarkStart w:id="733" w:name="Tc_sa5-mfNI10aOrFkQoAD49Q_3_5"/>
      <w:bookmarkStart w:id="734" w:name="Tc_H8iEcHY3skSwyEeIadECaQ_3_2"/>
      <w:bookmarkStart w:id="735" w:name="Tc_e2FbR3ONbky4GVmk4nqfhw_3_0"/>
      <w:bookmarkStart w:id="736" w:name="Tc_1I75jTOnxUit7sb2eSJ88g_1_5"/>
      <w:bookmarkStart w:id="737" w:name="Tc_p1kQGhQizk2h5XEvBUoWGA_1_2"/>
      <w:bookmarkStart w:id="738" w:name="_108acb21_c8dd_40d0_969f_7ef476447bf4"/>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r>
        <w:rPr>
          <w:rFonts w:ascii="Times New Roman;Times;serif" w:hAnsi="Times New Roman;Times;serif"/>
          <w:sz w:val="20"/>
        </w:rPr>
        <w:t>The Company’s cash paid for income taxes, net of refunds received, during the years ended June 30, 2026 and 2025 are as follows (in thousands):</w:t>
      </w:r>
    </w:p>
    <w:tbl>
      <w:tblPr>
        <w:tblW w:w="4145" w:type="dxa"/>
        <w:jc w:val="left"/>
        <w:tblInd w:w="0" w:type="dxa"/>
        <w:tblLayout w:type="fixed"/>
        <w:tblCellMar>
          <w:top w:w="0" w:type="dxa"/>
          <w:left w:w="0" w:type="dxa"/>
          <w:bottom w:w="0" w:type="dxa"/>
          <w:right w:w="0" w:type="dxa"/>
        </w:tblCellMar>
      </w:tblPr>
      <w:tblGrid>
        <w:gridCol w:w="1096"/>
        <w:gridCol w:w="346"/>
        <w:gridCol w:w="358"/>
        <w:gridCol w:w="798"/>
        <w:gridCol w:w="346"/>
        <w:gridCol w:w="347"/>
        <w:gridCol w:w="854"/>
      </w:tblGrid>
      <w:tr>
        <w:trPr/>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95960" cy="175260"/>
                      <wp:effectExtent l="0" t="0" r="0" b="0"/>
                      <wp:wrapNone/>
                      <wp:docPr id="238" name="Frame23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39"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27330" cy="175260"/>
                      <wp:effectExtent l="0" t="0" r="0" b="0"/>
                      <wp:wrapNone/>
                      <wp:docPr id="240" name="Frame239"/>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06730" cy="175260"/>
                      <wp:effectExtent l="0" t="0" r="0" b="0"/>
                      <wp:wrapNone/>
                      <wp:docPr id="241" name="Frame240"/>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2"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20345" cy="175260"/>
                      <wp:effectExtent l="0" t="0" r="0" b="0"/>
                      <wp:wrapNone/>
                      <wp:docPr id="243" name="Frame242"/>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542290" cy="175260"/>
                      <wp:effectExtent l="0" t="0" r="0" b="0"/>
                      <wp:wrapNone/>
                      <wp:docPr id="244" name="Frame243"/>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346" w:type="dxa"/>
            <w:tcBorders/>
            <w:vAlign w:val="center"/>
          </w:tcPr>
          <w:p>
            <w:pPr>
              <w:pStyle w:val="TableContents"/>
              <w:bidi w:val="0"/>
              <w:spacing w:before="0" w:after="1"/>
              <w:ind w:left="0" w:right="0" w:hanging="0"/>
              <w:jc w:val="left"/>
              <w:rPr/>
            </w:pPr>
            <w:r>
              <w:rPr/>
              <w:t>  ​ ​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2025</w:t>
            </w:r>
          </w:p>
        </w:tc>
      </w:tr>
      <w:tr>
        <w:trPr/>
        <w:tc>
          <w:tcPr>
            <w:tcW w:w="1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1"/>
              <w:ind w:left="0" w:right="0" w:hanging="0"/>
              <w:jc w:val="center"/>
              <w:rPr/>
            </w:pPr>
            <w:r>
              <w:rPr/>
              <w:t>​</w:t>
            </w:r>
          </w:p>
        </w:tc>
        <w:tc>
          <w:tcPr>
            <w:tcW w:w="79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center"/>
              <w:rPr/>
            </w:pPr>
            <w:r>
              <w:rPr/>
              <w:t>​</w:t>
            </w:r>
          </w:p>
        </w:tc>
        <w:tc>
          <w:tcPr>
            <w:tcW w:w="854" w:type="dxa"/>
            <w:tcBorders/>
            <w:vAlign w:val="center"/>
          </w:tcPr>
          <w:p>
            <w:pPr>
              <w:pStyle w:val="TableContents"/>
              <w:bidi w:val="0"/>
              <w:spacing w:before="0" w:after="1"/>
              <w:ind w:left="0" w:right="0" w:hanging="0"/>
              <w:jc w:val="center"/>
              <w:rPr/>
            </w:pPr>
            <w:r>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Federal</w:t>
            </w:r>
          </w:p>
        </w:tc>
        <w:tc>
          <w:tcPr>
            <w:tcW w:w="346"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w:t>
            </w:r>
          </w:p>
        </w:tc>
        <w:tc>
          <w:tcPr>
            <w:tcW w:w="346"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(670)</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State:</w:t>
            </w:r>
          </w:p>
        </w:tc>
        <w:tc>
          <w:tcPr>
            <w:tcW w:w="346"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1"/>
              <w:ind w:left="0" w:right="0" w:hanging="0"/>
              <w:jc w:val="left"/>
              <w:rPr/>
            </w:pPr>
            <w:r>
              <w:rPr/>
              <w:t>​</w:t>
            </w:r>
          </w:p>
        </w:tc>
        <w:tc>
          <w:tcPr>
            <w:tcW w:w="79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pPr>
            <w:r>
              <w:rPr/>
              <w:t>​</w:t>
            </w:r>
          </w:p>
        </w:tc>
        <w:tc>
          <w:tcPr>
            <w:tcW w:w="854" w:type="dxa"/>
            <w:tcBorders/>
            <w:vAlign w:val="center"/>
          </w:tcPr>
          <w:p>
            <w:pPr>
              <w:pStyle w:val="TableContents"/>
              <w:bidi w:val="0"/>
              <w:spacing w:before="0" w:after="1"/>
              <w:ind w:left="0" w:right="0" w:hanging="0"/>
              <w:jc w:val="left"/>
              <w:rPr/>
            </w:pPr>
            <w:r>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North Dakota</w:t>
            </w:r>
          </w:p>
        </w:tc>
        <w:tc>
          <w:tcPr>
            <w:tcW w:w="346"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left"/>
              <w:rPr/>
            </w:pPr>
            <w:r>
              <w:rPr/>
              <w:t>​</w:t>
            </w:r>
          </w:p>
        </w:tc>
        <w:tc>
          <w:tcPr>
            <w:tcW w:w="79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w:t>
            </w:r>
          </w:p>
        </w:tc>
        <w:tc>
          <w:tcPr>
            <w:tcW w:w="346"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Louisiana</w:t>
            </w:r>
          </w:p>
        </w:tc>
        <w:tc>
          <w:tcPr>
            <w:tcW w:w="346"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1"/>
              <w:ind w:left="0" w:right="0" w:hanging="0"/>
              <w:jc w:val="left"/>
              <w:rPr/>
            </w:pPr>
            <w:r>
              <w:rPr/>
              <w:t>​</w:t>
            </w:r>
          </w:p>
        </w:tc>
        <w:tc>
          <w:tcPr>
            <w:tcW w:w="79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343</w:t>
            </w:r>
          </w:p>
        </w:tc>
        <w:tc>
          <w:tcPr>
            <w:tcW w:w="346"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pPr>
            <w:r>
              <w:rPr/>
              <w:t>​</w:t>
            </w:r>
          </w:p>
        </w:tc>
        <w:tc>
          <w:tcPr>
            <w:tcW w:w="85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386</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Texas</w:t>
            </w:r>
          </w:p>
        </w:tc>
        <w:tc>
          <w:tcPr>
            <w:tcW w:w="346"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left"/>
              <w:rPr/>
            </w:pPr>
            <w:r>
              <w:rPr/>
              <w:t>​</w:t>
            </w:r>
          </w:p>
        </w:tc>
        <w:tc>
          <w:tcPr>
            <w:tcW w:w="79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New Mexico</w:t>
            </w:r>
          </w:p>
        </w:tc>
        <w:tc>
          <w:tcPr>
            <w:tcW w:w="346"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1"/>
              <w:ind w:left="0" w:right="0" w:hanging="0"/>
              <w:jc w:val="left"/>
              <w:rPr/>
            </w:pPr>
            <w:r>
              <w:rPr/>
              <w:t>​</w:t>
            </w:r>
          </w:p>
        </w:tc>
        <w:tc>
          <w:tcPr>
            <w:tcW w:w="79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w:t>
            </w:r>
          </w:p>
        </w:tc>
        <w:tc>
          <w:tcPr>
            <w:tcW w:w="346"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pPr>
            <w:r>
              <w:rPr/>
              <w:t>​</w:t>
            </w:r>
          </w:p>
        </w:tc>
        <w:tc>
          <w:tcPr>
            <w:tcW w:w="85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Oklahoma</w:t>
            </w:r>
          </w:p>
        </w:tc>
        <w:tc>
          <w:tcPr>
            <w:tcW w:w="346" w:type="dxa"/>
            <w:tcBorders/>
            <w:shd w:fill="CCEEFF" w:val="clear"/>
            <w:vAlign w:val="center"/>
          </w:tcPr>
          <w:p>
            <w:pPr>
              <w:pStyle w:val="TableContents"/>
              <w:bidi w:val="0"/>
              <w:spacing w:before="0" w:after="1"/>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w:t>
            </w:r>
          </w:p>
        </w:tc>
        <w:tc>
          <w:tcPr>
            <w:tcW w:w="346" w:type="dxa"/>
            <w:tcBorders/>
            <w:shd w:fill="CCEEFF" w:val="clear"/>
            <w:vAlign w:val="center"/>
          </w:tcPr>
          <w:p>
            <w:pPr>
              <w:pStyle w:val="TableContents"/>
              <w:bidi w:val="0"/>
              <w:spacing w:before="0" w:after="1"/>
              <w:ind w:left="0" w:right="0" w:hanging="0"/>
              <w:jc w:val="right"/>
              <w:rPr/>
            </w:pPr>
            <w:r>
              <w:rPr/>
              <w:t>​</w:t>
            </w:r>
          </w:p>
        </w:tc>
        <w:tc>
          <w:tcPr>
            <w:tcW w:w="3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w:t>
            </w:r>
          </w:p>
        </w:tc>
        <w:tc>
          <w:tcPr>
            <w:tcW w:w="346" w:type="dxa"/>
            <w:tcBorders/>
            <w:vAlign w:val="center"/>
          </w:tcPr>
          <w:p>
            <w:pPr>
              <w:pStyle w:val="TableContents"/>
              <w:bidi w:val="0"/>
              <w:spacing w:before="0" w:after="1"/>
              <w:ind w:left="0" w:right="0" w:hanging="0"/>
              <w:jc w:val="left"/>
              <w:rPr/>
            </w:pPr>
            <w:r>
              <w:rPr/>
              <w:t>​</w:t>
            </w:r>
          </w:p>
        </w:tc>
        <w:tc>
          <w:tcPr>
            <w:tcW w:w="3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503</w:t>
            </w:r>
          </w:p>
        </w:tc>
        <w:tc>
          <w:tcPr>
            <w:tcW w:w="346" w:type="dxa"/>
            <w:tcBorders/>
            <w:vAlign w:val="center"/>
          </w:tcPr>
          <w:p>
            <w:pPr>
              <w:pStyle w:val="TableContents"/>
              <w:bidi w:val="0"/>
              <w:spacing w:before="0" w:after="1"/>
              <w:ind w:left="0" w:right="0" w:hanging="0"/>
              <w:jc w:val="left"/>
              <w:rPr/>
            </w:pPr>
            <w:r>
              <w:rPr/>
              <w:t>​</w:t>
            </w:r>
          </w:p>
        </w:tc>
        <w:tc>
          <w:tcPr>
            <w:tcW w:w="34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7. Derivatives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exposed to certain risks relating to its ongoing business operations, including commodity price risk and interest rate risk. In accordance with the Company’s strategy and the requirements under the Senior Secured Credit Facility (as discussed in Note 5, “</w:t>
      </w:r>
      <w:r>
        <w:rPr>
          <w:rFonts w:ascii="Times New Roman;Times;serif" w:hAnsi="Times New Roman;Times;serif"/>
          <w:i/>
          <w:sz w:val="20"/>
        </w:rPr>
        <w:t>Senior Secured Credit Facility”</w:t>
      </w:r>
      <w:r>
        <w:rPr>
          <w:rFonts w:ascii="Times New Roman;Times;serif" w:hAnsi="Times New Roman;Times;serif"/>
          <w:sz w:val="20"/>
        </w:rPr>
        <w:t>), it may hedge or may be required to hedge a varying portion of anticipated oil and natural gas production for future periods. Derivatives are carried at fair value on the consolidated balance sheets as assets or liabilities, with the changes in the fair value included in the consolidated statements of operations for the period in which the change occurs. The Company’s hedge strategies and objectives may change significantly as its operational profile changes or as required under the Senior Secured Credit Facility. The Company does not enter into derivative contracts for speculative trading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It is the Company’s policy to enter into derivative contracts only with counterparties that are creditworthy financial or commodity hedging institutions deemed by management as competent and competitive market makers. As of June 30, 2026, the Company did not post collateral under any of its derivative contracts during the periods in which contracts were open as they were secured under the Company’s Senior Secured Credit Facility.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When the Company utilizes commodity derivative contracts, it expects to enter into deferred premium puts, costless put/call collars including two-way and three-way collars, fixed-price swaps, and/or basis swaps to hedge a portion of its anticipated future production. A two-way costless collar consists of a sold call, which establishes a maximum price the Company will receive for the volumes under contract, and a purchased put that establishes a minimum price. Three-way collars are designed to establish a minimum price (floor), unless the market price falls below the sold put (sub-floor), at which point the minimum price would be the index price plus the difference between the purchased put and the sold put strike price. The sold call establishes a maximum price (ceiling) for the volumes under contract. Fixed-price swaps are designed so that the Company receives or makes payments based on a differential between fixed and variable prices for the volumes under contract. Basis swaps effectively lock in a price differential between regional prices (i.e., Inside FERC’s Northwest Pipeline Corp Rocky Mountains) where the product is sold and the relevant pricing index under which the natural gas production is hedged (i.e., NYMEX Henry Hub). The Company may, from time to time, restructure existing derivative contracts or enter into new transactions to effectively modify the terms of current contracts in order to improve the pricing parameters in existing contracts. The Company has elected not to designate its open derivative contracts for hedge accounting. Accordingly, the Company records the net change in the mark-to-market valuation of the derivative contracts and all payments and receipts on settled derivative contracts in “</w:t>
      </w:r>
      <w:r>
        <w:rPr>
          <w:rFonts w:ascii="Times New Roman;Times;serif" w:hAnsi="Times New Roman;Times;serif"/>
          <w:i/>
          <w:sz w:val="20"/>
        </w:rPr>
        <w:t>Net gain (loss) on derivative contracts</w:t>
      </w:r>
      <w:r>
        <w:rPr>
          <w:rFonts w:ascii="Times New Roman;Times;serif" w:hAnsi="Times New Roman;Times;serif"/>
          <w:sz w:val="20"/>
        </w:rPr>
        <w:t>” on the consolidated statements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All derivative contracts are recorded at fair market value in accordance with ASC 815 and ASC 820, </w:t>
      </w:r>
      <w:r>
        <w:rPr>
          <w:rFonts w:ascii="Times New Roman;Times;serif" w:hAnsi="Times New Roman;Times;serif"/>
          <w:i/>
          <w:sz w:val="20"/>
        </w:rPr>
        <w:t>Fair Value Measurement</w:t>
      </w:r>
      <w:r>
        <w:rPr>
          <w:rFonts w:ascii="Times New Roman;Times;serif" w:hAnsi="Times New Roman;Times;serif"/>
          <w:sz w:val="20"/>
        </w:rPr>
        <w:t xml:space="preserve"> (“ASC 820”) and included in the consolidated balance sheets as assets or liabilities. The “</w:t>
      </w:r>
      <w:r>
        <w:rPr>
          <w:rFonts w:ascii="Times New Roman;Times;serif" w:hAnsi="Times New Roman;Times;serif"/>
          <w:i/>
          <w:sz w:val="20"/>
        </w:rPr>
        <w:t>Derivative contract assets”</w:t>
      </w:r>
      <w:r>
        <w:rPr>
          <w:rFonts w:ascii="Times New Roman;Times;serif" w:hAnsi="Times New Roman;Times;serif"/>
          <w:sz w:val="20"/>
        </w:rPr>
        <w:t xml:space="preserve"> and “</w:t>
      </w:r>
      <w:r>
        <w:rPr>
          <w:rFonts w:ascii="Times New Roman;Times;serif" w:hAnsi="Times New Roman;Times;serif"/>
          <w:i/>
          <w:sz w:val="20"/>
        </w:rPr>
        <w:t>Derivative contract liabilities”</w:t>
      </w:r>
      <w:r>
        <w:rPr>
          <w:rFonts w:ascii="Times New Roman;Times;serif" w:hAnsi="Times New Roman;Times;serif"/>
          <w:sz w:val="20"/>
        </w:rPr>
        <w:t xml:space="preserve"> represent the difference between the market commodity prices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rFonts w:ascii="Times New Roman;Times;serif" w:hAnsi="Times New Roman;Times;serif"/>
          <w:sz w:val="20"/>
        </w:rPr>
      </w:pPr>
      <w:bookmarkStart w:id="739" w:name="Tc_XYOxpEB6sUy_LiZiokVdqw_11_4"/>
      <w:bookmarkStart w:id="740" w:name="Tc_gS5rvwK0lE6cOjJwOZ1tLQ_11_2"/>
      <w:bookmarkStart w:id="741" w:name="Tc_nla1MCh7yUam68HfktjD5Q_11_0"/>
      <w:bookmarkStart w:id="742" w:name="Tc_PCW9Z2K8Z0SlmNsV1W65rA_10_4"/>
      <w:bookmarkStart w:id="743" w:name="Tc_ocF-TJWdZEGCjiKai3hfAw_10_2"/>
      <w:bookmarkStart w:id="744" w:name="Tc_FM7K2d7W5EaK04bFTrKaew_10_0"/>
      <w:bookmarkStart w:id="745" w:name="Tc_U9yPAyeS8Ea8Z_6wd-Pbsw_9_4"/>
      <w:bookmarkStart w:id="746" w:name="Tc_2cqYTiRe6UOaXTxnZZvepQ_9_2"/>
      <w:bookmarkStart w:id="747" w:name="Tc_XX88b0QHi0qanS51MSAswA_9_0"/>
      <w:bookmarkStart w:id="748" w:name="Tc_fYjpgOQ9-0q2QYAlAhj1IA_8_4"/>
      <w:bookmarkStart w:id="749" w:name="Tc_JFU8L01KZ0OtLwjaja9NEQ_8_2"/>
      <w:bookmarkStart w:id="750" w:name="Tc_Ffc5vQG4okKasKsdYS0s_g_8_0"/>
      <w:bookmarkStart w:id="751" w:name="Tc_1iEd4IXbdkSrUhqfZsm3rA_7_11"/>
      <w:bookmarkStart w:id="752" w:name="Tc_5zkWsc7oHkO7C4pfsQBw7Q_7_4"/>
      <w:bookmarkStart w:id="753" w:name="Tc_pgrueMOFqU69t_N1Y14Lxw_7_2"/>
      <w:bookmarkStart w:id="754" w:name="Tc_M49A_idYd02T3u6c1ul5fA_7_0"/>
      <w:bookmarkStart w:id="755" w:name="Tc_HO2-gY57FU65sRPBIQ0XTQ_6_4"/>
      <w:bookmarkStart w:id="756" w:name="Tc_WVWeDzrlmEqy0oMPQEpUqg_6_2"/>
      <w:bookmarkStart w:id="757" w:name="Tc_b9JLkxObpkOz5orVFJlJow_6_0"/>
      <w:bookmarkStart w:id="758" w:name="Tc_nQmD5dPs3UqUhqUCIfufAQ_5_17"/>
      <w:bookmarkStart w:id="759" w:name="Tc_YrCz95PuD0qY2F25l0-Vqg_5_14"/>
      <w:bookmarkStart w:id="760" w:name="Tc_TMxUyYVYQ0C_V8gl0-Qvjg_5_4"/>
      <w:bookmarkStart w:id="761" w:name="Tc_Wmh2OUQ3oUK4SM9S5JSL3w_5_2"/>
      <w:bookmarkStart w:id="762" w:name="Tc_lgWNBYXWmkCbTT39g6Wy0Q_5_0"/>
      <w:bookmarkStart w:id="763" w:name="Tc_5Dkqw1-Mvk-XrsqZYTx85A_4_4"/>
      <w:bookmarkStart w:id="764" w:name="Tc_LSbwulr4T0WiervfADsdQQ_4_2"/>
      <w:bookmarkStart w:id="765" w:name="Tc_XM5SW5mSq0ufJbHMQw9YXg_4_0"/>
      <w:bookmarkStart w:id="766" w:name="Tc_N0YPoHB4kUOuMhMgHLk4IQ_3_8"/>
      <w:bookmarkStart w:id="767" w:name="Tc_dHavbWg9WES9oU213fSIfA_3_4"/>
      <w:bookmarkStart w:id="768" w:name="Tc_NKHyS9IFpEyJuUGBiYlAOg_3_2"/>
      <w:bookmarkStart w:id="769" w:name="Tc_FQdoUvlCbEKp_R0WxMSn2Q_3_0"/>
      <w:bookmarkStart w:id="770" w:name="Tc_tw3MAswlH0CT0QXMDAnz2Q_2_17"/>
      <w:bookmarkStart w:id="771" w:name="Tc_YdBZTPUwm06ed1DCx-GxXg_2_14"/>
      <w:bookmarkStart w:id="772" w:name="Tc_LhRFRCaKM06_lEUOhq3jrg_2_11"/>
      <w:bookmarkStart w:id="773" w:name="Tc_6j56WMOnKUyBLBJgpf4OpQ_2_8"/>
      <w:bookmarkStart w:id="774" w:name="Tc_yja1VAGPOU6udJyiQ-36cg_2_6"/>
      <w:bookmarkStart w:id="775" w:name="Tc_z9XHhD8eI0qxfeQ4gGy6qA_2_4"/>
      <w:bookmarkStart w:id="776" w:name="Tc_qULEenVs7E6SRSWNEdoLTA_2_2"/>
      <w:bookmarkStart w:id="777" w:name="Tc_yQ9GbM0zO0aIZwshBlN3FA_2_0"/>
      <w:bookmarkStart w:id="778" w:name="Tc_OEgKq22SNEy6YPLbB6-1VA_1_8"/>
      <w:bookmarkStart w:id="779" w:name="Tc_LfBZObySa0GZtIWIm9X5hQ_1_6"/>
      <w:bookmarkStart w:id="780" w:name="_b74d42fd_1086_4d06_bb5a_9be7fbb61491"/>
      <w:bookmarkStart w:id="781" w:name="Tc_zHYWjgP4bUGs5pEbo53Jkg_7_7"/>
      <w:bookmarkStart w:id="782" w:name="Tc_GPteQ2dPGEuKFlvttkBPMw_7_4"/>
      <w:bookmarkStart w:id="783" w:name="Tc_b6v0IoDn9UKOuBXXNpmKTQ_7_0"/>
      <w:bookmarkStart w:id="784" w:name="Tc_yXXql5Q-BkWUrtBcUyrgEA_6_2"/>
      <w:bookmarkStart w:id="785" w:name="Tc_WPh7ly-G10GPFg6iOHMWfg_6_0"/>
      <w:bookmarkStart w:id="786" w:name="Tc_ROYLyJjrPUSIkOUqgbhYWw_5_7"/>
      <w:bookmarkStart w:id="787" w:name="Tc_y8-NOEmRg0CYjbjdQOnrzg_5_4"/>
      <w:bookmarkStart w:id="788" w:name="Tc_WE7LyJ-XFUGXhfSiEKzo-Q_5_2"/>
      <w:bookmarkStart w:id="789" w:name="Tc_Waa1B7LtBkqGxJH7ENAO8g_5_0"/>
      <w:bookmarkStart w:id="790" w:name="Tc_ZtiTXKjTHU25eRf_02chTw_4_0"/>
      <w:bookmarkStart w:id="791" w:name="Tc_yzwxqgeyaUaUn_NQJzH7TA_3_7"/>
      <w:bookmarkStart w:id="792" w:name="Tc_grVJkRKyZkW9rXI2S_xY9g_3_4"/>
      <w:bookmarkStart w:id="793" w:name="Tc_cWdssSfDcUi2Uwxl6A8e9g_3_2"/>
      <w:bookmarkStart w:id="794" w:name="Tc_jgNE5hScdUKaxUjnjjLCBQ_3_0"/>
      <w:bookmarkStart w:id="795" w:name="Tc_6YmlEgiRNUq8YSv5f7cq_Q_2_4"/>
      <w:bookmarkStart w:id="796" w:name="Tc_SLCH7H2kYkKLQunRYyY0UA_2_2"/>
      <w:bookmarkStart w:id="797" w:name="Tc_heYTbmgSEEODnoxvVVTfyA_2_0"/>
      <w:bookmarkStart w:id="798" w:name="Tc_6U03mksu80SRHFILu12oRA_1_2"/>
      <w:bookmarkStart w:id="799" w:name="Tc_UD0uP1dWYEWIYJeHbOZ8BQ_1_0"/>
      <w:bookmarkStart w:id="800" w:name="Tc_rEABKlDLxk2dB90_E0ziNw_6_15"/>
      <w:bookmarkStart w:id="801" w:name="Tc_ANzh9Siwz0yGsjK69bXl7w_6_12"/>
      <w:bookmarkStart w:id="802" w:name="Tc_WpnsVQ_9aki-hdqk5eF29A_6_7"/>
      <w:bookmarkStart w:id="803" w:name="Tc_gnzz-RYctkKzBN_dpMff9w_6_4"/>
      <w:bookmarkStart w:id="804" w:name="Tc_YG_dVoQauEOA7bZX6nT5Ag_6_0"/>
      <w:bookmarkStart w:id="805" w:name="Tc_MnU8szKHUU6zAD02Ew5Pig_5_10"/>
      <w:bookmarkStart w:id="806" w:name="Tc_p0RGPK5VuEqv4sDv1MdBtg_5_2"/>
      <w:bookmarkStart w:id="807" w:name="Tc__dEZRiEMvUSvyc2AujcaUA_5_0"/>
      <w:bookmarkStart w:id="808" w:name="Tc_fe4jJTvrDUyhOuvLGTTlZQ_4_15"/>
      <w:bookmarkStart w:id="809" w:name="Tc_hkGkqt0zqkinjVFP5o7iHw_4_12"/>
      <w:bookmarkStart w:id="810" w:name="Tc_6yxBvSKBsESbpNfMLb-bVg_4_10"/>
      <w:bookmarkStart w:id="811" w:name="Tc_T-WzJJtxbUONz3epxaa4FQ_4_7"/>
      <w:bookmarkStart w:id="812" w:name="Tc_X7GrgVMhT02bWZW9RFbYuw_4_4"/>
      <w:bookmarkStart w:id="813" w:name="Tc_msd53T6fSUe_HdjkqA0IOQ_4_2"/>
      <w:bookmarkStart w:id="814" w:name="Tc_XKVJV-QIo02Va-y3zKWMyQ_4_0"/>
      <w:bookmarkStart w:id="815" w:name="Tc_pFbnHmFH80qxBx1sqINzkw_3_15"/>
      <w:bookmarkStart w:id="816" w:name="Tc_87Fvpi8dX0mNVFkhu9M-2g_3_12"/>
      <w:bookmarkStart w:id="817" w:name="Tc_ks_W2BC2v0-S0p8a-g5lVg_3_10"/>
      <w:bookmarkStart w:id="818" w:name="Tc_NzdORLDwnEm_C5IMt86-_Q_3_7"/>
      <w:bookmarkStart w:id="819" w:name="Tc_3xO7n6PRx068Gt0yRrUtMw_3_4"/>
      <w:bookmarkStart w:id="820" w:name="Tc_njKi2NLDBU69bPVDjAVkdA_3_2"/>
      <w:bookmarkStart w:id="821" w:name="Tc_mJhFsUE2mU2dFln7C-U10g_3_0"/>
      <w:bookmarkStart w:id="822" w:name="Tc_cyzZ7MrRe0yiJ6tC6DJtEQ_2_12"/>
      <w:bookmarkStart w:id="823" w:name="Tc_HtZ4KkVYyUqPKleaSnub1Q_2_10"/>
      <w:bookmarkStart w:id="824" w:name="Tc_MDkrMJwob0ywlo-2Hb0JcA_2_4"/>
      <w:bookmarkStart w:id="825" w:name="Tc_wvJsBK99akmPbKtYwCziEg_2_2"/>
      <w:bookmarkStart w:id="826" w:name="Tc_nBM_dWAuV0SR1xKsy8onSA_2_0"/>
      <w:bookmarkStart w:id="827" w:name="Tc_0Kbwx1Q9wEi9G36FJeOwQw_1_0"/>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r>
        <w:rPr>
          <w:rFonts w:ascii="Times New Roman;Times;serif" w:hAnsi="Times New Roman;Times;serif"/>
          <w:sz w:val="20"/>
        </w:rPr>
        <w:t xml:space="preserve">the hedged prices for the remaining volumes of production hedges as of June 30, 2026 and 2025 (the “mark-to-market valuation”).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the location and fair value amounts of all derivative contracts in the consolidated balance sheets as of June 30, 2026 and 2025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319"/>
        <w:gridCol w:w="346"/>
        <w:gridCol w:w="1090"/>
        <w:gridCol w:w="346"/>
        <w:gridCol w:w="312"/>
        <w:gridCol w:w="814"/>
        <w:gridCol w:w="351"/>
        <w:gridCol w:w="312"/>
        <w:gridCol w:w="814"/>
        <w:gridCol w:w="346"/>
        <w:gridCol w:w="1155"/>
        <w:gridCol w:w="346"/>
        <w:gridCol w:w="312"/>
        <w:gridCol w:w="814"/>
        <w:gridCol w:w="354"/>
        <w:gridCol w:w="282"/>
        <w:gridCol w:w="892"/>
      </w:tblGrid>
      <w:tr>
        <w:trPr/>
        <w:tc>
          <w:tcPr>
            <w:tcW w:w="1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837565" cy="175260"/>
                      <wp:effectExtent l="0" t="0" r="0" b="0"/>
                      <wp:wrapNone/>
                      <wp:docPr id="245" name="Frame244"/>
                      <a:graphic xmlns:a="http://schemas.openxmlformats.org/drawingml/2006/main">
                        <a:graphicData uri="http://schemas.microsoft.com/office/word/2010/wordprocessingShape">
                          <wps:wsp>
                            <wps:cNvSpPr txBox="1"/>
                            <wps:spPr>
                              <a:xfrm>
                                <a:off x="0" y="0"/>
                                <a:ext cx="837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46" name="Frame2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92150" cy="175260"/>
                      <wp:effectExtent l="0" t="0" r="0" b="0"/>
                      <wp:wrapNone/>
                      <wp:docPr id="247" name="Frame246"/>
                      <a:graphic xmlns:a="http://schemas.openxmlformats.org/drawingml/2006/main">
                        <a:graphicData uri="http://schemas.microsoft.com/office/word/2010/wordprocessingShape">
                          <wps:wsp>
                            <wps:cNvSpPr txBox="1"/>
                            <wps:spPr>
                              <a:xfrm>
                                <a:off x="0" y="0"/>
                                <a:ext cx="692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48"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98120" cy="175260"/>
                      <wp:effectExtent l="0" t="0" r="0" b="0"/>
                      <wp:wrapNone/>
                      <wp:docPr id="249" name="Frame248"/>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516890" cy="175260"/>
                      <wp:effectExtent l="0" t="0" r="0" b="0"/>
                      <wp:wrapNone/>
                      <wp:docPr id="250" name="Frame249"/>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22885" cy="175260"/>
                      <wp:effectExtent l="0" t="0" r="0" b="0"/>
                      <wp:wrapNone/>
                      <wp:docPr id="251" name="Frame250"/>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98120" cy="175260"/>
                      <wp:effectExtent l="0" t="0" r="0" b="0"/>
                      <wp:wrapNone/>
                      <wp:docPr id="252" name="Frame251"/>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516890" cy="175260"/>
                      <wp:effectExtent l="0" t="0" r="0" b="0"/>
                      <wp:wrapNone/>
                      <wp:docPr id="253" name="Frame252"/>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54"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733425" cy="175260"/>
                      <wp:effectExtent l="0" t="0" r="0" b="0"/>
                      <wp:wrapNone/>
                      <wp:docPr id="255" name="Frame254"/>
                      <a:graphic xmlns:a="http://schemas.openxmlformats.org/drawingml/2006/main">
                        <a:graphicData uri="http://schemas.microsoft.com/office/word/2010/wordprocessingShape">
                          <wps:wsp>
                            <wps:cNvSpPr txBox="1"/>
                            <wps:spPr>
                              <a:xfrm>
                                <a:off x="0" y="0"/>
                                <a:ext cx="733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56"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98120" cy="175260"/>
                      <wp:effectExtent l="0" t="0" r="0" b="0"/>
                      <wp:wrapNone/>
                      <wp:docPr id="257" name="Frame256"/>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516890" cy="175260"/>
                      <wp:effectExtent l="0" t="0" r="0" b="0"/>
                      <wp:wrapNone/>
                      <wp:docPr id="258" name="Frame257"/>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24790" cy="175260"/>
                      <wp:effectExtent l="0" t="0" r="0" b="0"/>
                      <wp:wrapNone/>
                      <wp:docPr id="259" name="Frame258"/>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79070" cy="175260"/>
                      <wp:effectExtent l="0" t="0" r="0" b="0"/>
                      <wp:wrapNone/>
                      <wp:docPr id="260" name="Frame259"/>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566420" cy="175260"/>
                      <wp:effectExtent l="0" t="0" r="0" b="0"/>
                      <wp:wrapNone/>
                      <wp:docPr id="261" name="Frame260"/>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19" w:type="dxa"/>
            <w:tcBorders/>
            <w:shd w:fill="FFFF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Derivatives not designated </w:t>
            </w:r>
          </w:p>
        </w:tc>
        <w:tc>
          <w:tcPr>
            <w:tcW w:w="346" w:type="dxa"/>
            <w:tcBorders/>
            <w:shd w:fill="FFFFFF" w:val="clear"/>
            <w:vAlign w:val="center"/>
          </w:tcPr>
          <w:p>
            <w:pPr>
              <w:pStyle w:val="TableContents"/>
              <w:bidi w:val="0"/>
              <w:spacing w:before="0" w:after="1"/>
              <w:ind w:left="0" w:right="0" w:hanging="0"/>
              <w:jc w:val="left"/>
              <w:rPr/>
            </w:pPr>
            <w:r>
              <w:rPr/>
              <w:t>​</w:t>
            </w:r>
          </w:p>
        </w:tc>
        <w:tc>
          <w:tcPr>
            <w:tcW w:w="1090" w:type="dxa"/>
            <w:tcBorders/>
            <w:shd w:fill="FFFFFF" w:val="clear"/>
            <w:vAlign w:val="center"/>
          </w:tcPr>
          <w:p>
            <w:pPr>
              <w:pStyle w:val="TableContents"/>
              <w:bidi w:val="0"/>
              <w:spacing w:before="0" w:after="1"/>
              <w:ind w:left="0" w:right="0" w:hanging="0"/>
              <w:jc w:val="center"/>
              <w:rPr/>
            </w:pPr>
            <w:r>
              <w:rPr/>
              <w:t>​</w:t>
            </w:r>
          </w:p>
        </w:tc>
        <w:tc>
          <w:tcPr>
            <w:tcW w:w="346" w:type="dxa"/>
            <w:tcBorders/>
            <w:shd w:fill="FFFFFF" w:val="clear"/>
            <w:vAlign w:val="center"/>
          </w:tcPr>
          <w:p>
            <w:pPr>
              <w:pStyle w:val="TableContents"/>
              <w:bidi w:val="0"/>
              <w:spacing w:before="0" w:after="1"/>
              <w:ind w:left="0" w:right="0" w:hanging="0"/>
              <w:jc w:val="left"/>
              <w:rPr/>
            </w:pPr>
            <w:r>
              <w:rPr/>
              <w:t>​</w:t>
            </w:r>
          </w:p>
        </w:tc>
        <w:tc>
          <w:tcPr>
            <w:tcW w:w="2603" w:type="dxa"/>
            <w:gridSpan w:val="5"/>
            <w:tcBorders/>
            <w:shd w:fill="FFFFFF" w:val="clear"/>
            <w:vAlign w:val="center"/>
          </w:tcPr>
          <w:p>
            <w:pPr>
              <w:pStyle w:val="TableContents"/>
              <w:bidi w:val="0"/>
              <w:spacing w:before="0" w:after="1"/>
              <w:ind w:left="0" w:right="0" w:hanging="0"/>
              <w:jc w:val="center"/>
              <w:rPr/>
            </w:pPr>
            <w:r>
              <w:rPr/>
              <w:t>​</w:t>
            </w:r>
          </w:p>
        </w:tc>
        <w:tc>
          <w:tcPr>
            <w:tcW w:w="346" w:type="dxa"/>
            <w:tcBorders/>
            <w:shd w:fill="FFFFFF" w:val="clear"/>
            <w:vAlign w:val="center"/>
          </w:tcPr>
          <w:p>
            <w:pPr>
              <w:pStyle w:val="TableContents"/>
              <w:bidi w:val="0"/>
              <w:spacing w:before="0" w:after="1"/>
              <w:ind w:left="0" w:right="0" w:hanging="0"/>
              <w:jc w:val="left"/>
              <w:rPr/>
            </w:pPr>
            <w:r>
              <w:rPr/>
              <w:t>​</w:t>
            </w:r>
          </w:p>
        </w:tc>
        <w:tc>
          <w:tcPr>
            <w:tcW w:w="1155" w:type="dxa"/>
            <w:tcBorders/>
            <w:shd w:fill="FFFFFF" w:val="clear"/>
            <w:vAlign w:val="center"/>
          </w:tcPr>
          <w:p>
            <w:pPr>
              <w:pStyle w:val="TableContents"/>
              <w:bidi w:val="0"/>
              <w:spacing w:before="0" w:after="1"/>
              <w:ind w:left="0" w:right="0" w:hanging="0"/>
              <w:jc w:val="center"/>
              <w:rPr/>
            </w:pPr>
            <w:r>
              <w:rPr/>
              <w:t>​</w:t>
            </w:r>
          </w:p>
        </w:tc>
        <w:tc>
          <w:tcPr>
            <w:tcW w:w="346" w:type="dxa"/>
            <w:tcBorders/>
            <w:shd w:fill="FFFFFF" w:val="clear"/>
            <w:vAlign w:val="center"/>
          </w:tcPr>
          <w:p>
            <w:pPr>
              <w:pStyle w:val="TableContents"/>
              <w:bidi w:val="0"/>
              <w:spacing w:before="0" w:after="1"/>
              <w:ind w:left="0" w:right="0" w:hanging="0"/>
              <w:jc w:val="left"/>
              <w:rPr/>
            </w:pPr>
            <w:r>
              <w:rPr/>
              <w:t>​</w:t>
            </w:r>
          </w:p>
        </w:tc>
        <w:tc>
          <w:tcPr>
            <w:tcW w:w="2654" w:type="dxa"/>
            <w:gridSpan w:val="5"/>
            <w:tcBorders/>
            <w:shd w:fill="FFFFFF" w:val="clear"/>
            <w:vAlign w:val="center"/>
          </w:tcPr>
          <w:p>
            <w:pPr>
              <w:pStyle w:val="TableContents"/>
              <w:bidi w:val="0"/>
              <w:spacing w:before="0" w:after="1"/>
              <w:ind w:left="0" w:right="0" w:hanging="0"/>
              <w:jc w:val="center"/>
              <w:rPr/>
            </w:pPr>
            <w:r>
              <w:rPr/>
              <w:t>​</w:t>
            </w:r>
          </w:p>
        </w:tc>
      </w:tr>
      <w:tr>
        <w:trPr/>
        <w:tc>
          <w:tcPr>
            <w:tcW w:w="1319" w:type="dxa"/>
            <w:tcBorders/>
            <w:shd w:fill="FFFF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hedging contracts</w:t>
            </w:r>
          </w:p>
        </w:tc>
        <w:tc>
          <w:tcPr>
            <w:tcW w:w="346" w:type="dxa"/>
            <w:tcBorders/>
            <w:shd w:fill="FFFFFF" w:val="clear"/>
            <w:vAlign w:val="center"/>
          </w:tcPr>
          <w:p>
            <w:pPr>
              <w:pStyle w:val="TableContents"/>
              <w:bidi w:val="0"/>
              <w:spacing w:before="0" w:after="1"/>
              <w:ind w:left="0" w:right="0" w:hanging="0"/>
              <w:jc w:val="left"/>
              <w:rPr/>
            </w:pPr>
            <w:r>
              <w:rPr/>
              <w:t>​</w:t>
            </w:r>
          </w:p>
        </w:tc>
        <w:tc>
          <w:tcPr>
            <w:tcW w:w="1090" w:type="dxa"/>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sheet</w:t>
            </w:r>
          </w:p>
        </w:tc>
        <w:tc>
          <w:tcPr>
            <w:tcW w:w="346" w:type="dxa"/>
            <w:tcBorders/>
            <w:shd w:fill="FFFFFF" w:val="clear"/>
            <w:vAlign w:val="center"/>
          </w:tcPr>
          <w:p>
            <w:pPr>
              <w:pStyle w:val="TableContents"/>
              <w:bidi w:val="0"/>
              <w:spacing w:before="0" w:after="1"/>
              <w:ind w:left="0" w:right="0" w:hanging="0"/>
              <w:jc w:val="left"/>
              <w:rPr/>
            </w:pPr>
            <w:r>
              <w:rPr/>
              <w:t>​</w:t>
            </w:r>
          </w:p>
        </w:tc>
        <w:tc>
          <w:tcPr>
            <w:tcW w:w="2603" w:type="dxa"/>
            <w:gridSpan w:val="5"/>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 Contract Assets</w:t>
            </w:r>
          </w:p>
        </w:tc>
        <w:tc>
          <w:tcPr>
            <w:tcW w:w="346" w:type="dxa"/>
            <w:tcBorders/>
            <w:shd w:fill="FFFFFF" w:val="clear"/>
            <w:vAlign w:val="center"/>
          </w:tcPr>
          <w:p>
            <w:pPr>
              <w:pStyle w:val="TableContents"/>
              <w:bidi w:val="0"/>
              <w:spacing w:before="0" w:after="1"/>
              <w:ind w:left="0" w:right="0" w:hanging="0"/>
              <w:jc w:val="left"/>
              <w:rPr/>
            </w:pPr>
            <w:r>
              <w:rPr/>
              <w:t>​</w:t>
            </w:r>
          </w:p>
        </w:tc>
        <w:tc>
          <w:tcPr>
            <w:tcW w:w="1155" w:type="dxa"/>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sheet</w:t>
            </w:r>
          </w:p>
        </w:tc>
        <w:tc>
          <w:tcPr>
            <w:tcW w:w="346" w:type="dxa"/>
            <w:tcBorders/>
            <w:shd w:fill="FFFFFF" w:val="clear"/>
            <w:vAlign w:val="center"/>
          </w:tcPr>
          <w:p>
            <w:pPr>
              <w:pStyle w:val="TableContents"/>
              <w:bidi w:val="0"/>
              <w:spacing w:before="0" w:after="1"/>
              <w:ind w:left="0" w:right="0" w:hanging="0"/>
              <w:jc w:val="left"/>
              <w:rPr/>
            </w:pPr>
            <w:r>
              <w:rPr/>
              <w:t>​</w:t>
            </w:r>
          </w:p>
        </w:tc>
        <w:tc>
          <w:tcPr>
            <w:tcW w:w="2654" w:type="dxa"/>
            <w:gridSpan w:val="5"/>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 Contract Liabilities</w:t>
            </w:r>
          </w:p>
        </w:tc>
      </w:tr>
      <w:tr>
        <w:trPr/>
        <w:tc>
          <w:tcPr>
            <w:tcW w:w="1319"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under ASC 815</w:t>
            </w:r>
          </w:p>
        </w:tc>
        <w:tc>
          <w:tcPr>
            <w:tcW w:w="346" w:type="dxa"/>
            <w:tcBorders/>
            <w:shd w:fill="FFFFFF" w:val="clear"/>
            <w:vAlign w:val="center"/>
          </w:tcPr>
          <w:p>
            <w:pPr>
              <w:pStyle w:val="TableContents"/>
              <w:bidi w:val="0"/>
              <w:spacing w:before="0" w:after="1"/>
              <w:ind w:left="0" w:right="0" w:hanging="0"/>
              <w:jc w:val="left"/>
              <w:rPr/>
            </w:pPr>
            <w:r>
              <w:rPr/>
              <w:t>  ​ ​ ​</w:t>
            </w:r>
          </w:p>
        </w:tc>
        <w:tc>
          <w:tcPr>
            <w:tcW w:w="1090"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46" w:type="dxa"/>
            <w:tcBorders/>
            <w:shd w:fill="FFFFFF" w:val="clear"/>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51" w:type="dxa"/>
            <w:tcBorders/>
            <w:shd w:fill="FFFFFF" w:val="clear"/>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46" w:type="dxa"/>
            <w:tcBorders/>
            <w:shd w:fill="FFFFFF" w:val="clear"/>
            <w:vAlign w:val="center"/>
          </w:tcPr>
          <w:p>
            <w:pPr>
              <w:pStyle w:val="TableContents"/>
              <w:bidi w:val="0"/>
              <w:spacing w:before="0" w:after="1"/>
              <w:ind w:left="0" w:right="0" w:hanging="0"/>
              <w:jc w:val="left"/>
              <w:rPr/>
            </w:pPr>
            <w:r>
              <w:rPr/>
              <w:t>  ​ ​ ​</w:t>
            </w:r>
          </w:p>
        </w:tc>
        <w:tc>
          <w:tcPr>
            <w:tcW w:w="1155"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46" w:type="dxa"/>
            <w:tcBorders/>
            <w:shd w:fill="FFFFFF" w:val="clear"/>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54" w:type="dxa"/>
            <w:tcBorders/>
            <w:shd w:fill="FFFFFF" w:val="clear"/>
            <w:vAlign w:val="center"/>
          </w:tcPr>
          <w:p>
            <w:pPr>
              <w:pStyle w:val="TableContents"/>
              <w:bidi w:val="0"/>
              <w:spacing w:before="0" w:after="1"/>
              <w:ind w:left="0" w:right="0" w:hanging="0"/>
              <w:jc w:val="left"/>
              <w:rPr/>
            </w:pPr>
            <w:r>
              <w:rPr/>
              <w:t>  ​ ​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131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Commodity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109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assets - derivative contract assets</w:t>
            </w:r>
          </w:p>
        </w:tc>
        <w:tc>
          <w:tcPr>
            <w:tcW w:w="34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2,094</w:t>
            </w:r>
          </w:p>
        </w:tc>
        <w:tc>
          <w:tcPr>
            <w:tcW w:w="351"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1,777</w:t>
            </w:r>
          </w:p>
        </w:tc>
        <w:tc>
          <w:tcPr>
            <w:tcW w:w="346" w:type="dxa"/>
            <w:tcBorders/>
            <w:shd w:fill="CCEEFF" w:val="clear"/>
            <w:vAlign w:val="center"/>
          </w:tcPr>
          <w:p>
            <w:pPr>
              <w:pStyle w:val="TableContents"/>
              <w:bidi w:val="0"/>
              <w:spacing w:before="0" w:after="1"/>
              <w:ind w:left="0" w:right="0" w:hanging="0"/>
              <w:jc w:val="left"/>
              <w:rPr/>
            </w:pPr>
            <w:r>
              <w:rPr/>
              <w:t>​</w:t>
            </w:r>
          </w:p>
        </w:tc>
        <w:tc>
          <w:tcPr>
            <w:tcW w:w="115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liabilities - derivative contract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2,865</w:t>
            </w:r>
          </w:p>
        </w:tc>
        <w:tc>
          <w:tcPr>
            <w:tcW w:w="354"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1,577</w:t>
            </w:r>
          </w:p>
        </w:tc>
      </w:tr>
      <w:tr>
        <w:trPr/>
        <w:tc>
          <w:tcPr>
            <w:tcW w:w="131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Commodity contracts</w:t>
            </w:r>
          </w:p>
        </w:tc>
        <w:tc>
          <w:tcPr>
            <w:tcW w:w="346" w:type="dxa"/>
            <w:tcBorders/>
            <w:vAlign w:val="center"/>
          </w:tcPr>
          <w:p>
            <w:pPr>
              <w:pStyle w:val="TableContents"/>
              <w:bidi w:val="0"/>
              <w:spacing w:before="0" w:after="1"/>
              <w:ind w:left="0" w:right="0" w:hanging="0"/>
              <w:jc w:val="left"/>
              <w:rPr/>
            </w:pPr>
            <w:r>
              <w:rPr/>
              <w:t>​</w:t>
            </w:r>
          </w:p>
        </w:tc>
        <w:tc>
          <w:tcPr>
            <w:tcW w:w="109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assets - derivative contract assets</w:t>
            </w:r>
          </w:p>
        </w:tc>
        <w:tc>
          <w:tcPr>
            <w:tcW w:w="346" w:type="dxa"/>
            <w:tcBorders/>
            <w:vAlign w:val="center"/>
          </w:tcPr>
          <w:p>
            <w:pPr>
              <w:pStyle w:val="TableContents"/>
              <w:bidi w:val="0"/>
              <w:spacing w:before="0" w:after="1"/>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478</w:t>
            </w:r>
          </w:p>
        </w:tc>
        <w:tc>
          <w:tcPr>
            <w:tcW w:w="351" w:type="dxa"/>
            <w:tcBorders/>
            <w:vAlign w:val="center"/>
          </w:tcPr>
          <w:p>
            <w:pPr>
              <w:pStyle w:val="TableContents"/>
              <w:bidi w:val="0"/>
              <w:spacing w:before="0" w:after="1"/>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w:t>
            </w:r>
          </w:p>
        </w:tc>
        <w:tc>
          <w:tcPr>
            <w:tcW w:w="346" w:type="dxa"/>
            <w:tcBorders/>
            <w:vAlign w:val="center"/>
          </w:tcPr>
          <w:p>
            <w:pPr>
              <w:pStyle w:val="TableContents"/>
              <w:bidi w:val="0"/>
              <w:spacing w:before="0" w:after="1"/>
              <w:ind w:left="0" w:right="0" w:hanging="0"/>
              <w:jc w:val="left"/>
              <w:rPr/>
            </w:pPr>
            <w:r>
              <w:rPr/>
              <w:t>​</w:t>
            </w:r>
          </w:p>
        </w:tc>
        <w:tc>
          <w:tcPr>
            <w:tcW w:w="115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 term liabilities - derivative contract liabilities</w:t>
            </w:r>
          </w:p>
        </w:tc>
        <w:tc>
          <w:tcPr>
            <w:tcW w:w="346" w:type="dxa"/>
            <w:tcBorders/>
            <w:vAlign w:val="center"/>
          </w:tcPr>
          <w:p>
            <w:pPr>
              <w:pStyle w:val="TableContents"/>
              <w:bidi w:val="0"/>
              <w:spacing w:before="0" w:after="1"/>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w:t>
            </w:r>
          </w:p>
        </w:tc>
        <w:tc>
          <w:tcPr>
            <w:tcW w:w="354" w:type="dxa"/>
            <w:tcBorders/>
            <w:vAlign w:val="center"/>
          </w:tcPr>
          <w:p>
            <w:pPr>
              <w:pStyle w:val="TableContents"/>
              <w:bidi w:val="0"/>
              <w:spacing w:before="0" w:after="1"/>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1,783</w:t>
            </w:r>
          </w:p>
        </w:tc>
      </w:tr>
      <w:tr>
        <w:trPr/>
        <w:tc>
          <w:tcPr>
            <w:tcW w:w="131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derivatives not designated as hedging contracts under ASC 815</w:t>
            </w:r>
          </w:p>
        </w:tc>
        <w:tc>
          <w:tcPr>
            <w:tcW w:w="346" w:type="dxa"/>
            <w:tcBorders/>
            <w:shd w:fill="CCEEFF" w:val="clear"/>
            <w:vAlign w:val="center"/>
          </w:tcPr>
          <w:p>
            <w:pPr>
              <w:pStyle w:val="TableContents"/>
              <w:bidi w:val="0"/>
              <w:spacing w:before="0" w:after="1"/>
              <w:ind w:left="0" w:right="0" w:hanging="0"/>
              <w:jc w:val="left"/>
              <w:rPr/>
            </w:pPr>
            <w:r>
              <w:rPr/>
              <w:t>​</w:t>
            </w:r>
          </w:p>
        </w:tc>
        <w:tc>
          <w:tcPr>
            <w:tcW w:w="109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2,572</w:t>
            </w:r>
          </w:p>
        </w:tc>
        <w:tc>
          <w:tcPr>
            <w:tcW w:w="351" w:type="dxa"/>
            <w:tcBorders/>
            <w:shd w:fill="CCEEFF" w:val="clear"/>
            <w:vAlign w:val="center"/>
          </w:tcPr>
          <w:p>
            <w:pPr>
              <w:pStyle w:val="TableContents"/>
              <w:bidi w:val="0"/>
              <w:spacing w:before="0" w:after="1"/>
              <w:ind w:left="0" w:right="0" w:hanging="0"/>
              <w:jc w:val="left"/>
              <w:rPr/>
            </w:pPr>
            <w:r>
              <w:rPr/>
              <w:t>​</w:t>
            </w:r>
          </w:p>
        </w:tc>
        <w:tc>
          <w:tcPr>
            <w:tcW w:w="31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1,975</w:t>
            </w:r>
          </w:p>
        </w:tc>
        <w:tc>
          <w:tcPr>
            <w:tcW w:w="346" w:type="dxa"/>
            <w:tcBorders/>
            <w:shd w:fill="CCEEFF" w:val="clear"/>
            <w:vAlign w:val="center"/>
          </w:tcPr>
          <w:p>
            <w:pPr>
              <w:pStyle w:val="TableContents"/>
              <w:bidi w:val="0"/>
              <w:spacing w:before="0" w:after="1"/>
              <w:ind w:left="0" w:right="0" w:hanging="0"/>
              <w:jc w:val="left"/>
              <w:rPr/>
            </w:pPr>
            <w:r>
              <w:rPr/>
              <w:t>​</w:t>
            </w:r>
          </w:p>
        </w:tc>
        <w:tc>
          <w:tcPr>
            <w:tcW w:w="115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3,055</w:t>
            </w:r>
          </w:p>
        </w:tc>
        <w:tc>
          <w:tcPr>
            <w:tcW w:w="354" w:type="dxa"/>
            <w:tcBorders/>
            <w:shd w:fill="CCEEFF" w:val="clear"/>
            <w:vAlign w:val="center"/>
          </w:tcPr>
          <w:p>
            <w:pPr>
              <w:pStyle w:val="TableContents"/>
              <w:bidi w:val="0"/>
              <w:spacing w:before="0" w:after="1"/>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3,360</w:t>
            </w:r>
          </w:p>
        </w:tc>
      </w:tr>
    </w:tbl>
    <w:p>
      <w:pPr>
        <w:pStyle w:val="TextBody"/>
        <w:bidi w:val="0"/>
        <w:spacing w:before="0" w:after="240"/>
        <w:ind w:left="0" w:right="0" w:hanging="0"/>
        <w:jc w:val="left"/>
        <w:rPr/>
      </w:pPr>
      <w:r>
        <w:rPr/>
        <w:t>​</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the location and amounts of the Company’s realized and unrealized gains and losses on derivative contracts in the Company’s consolidated statements of operations for the years ended June 30, 2026 and 2025 (in thousands). “</w:t>
      </w:r>
      <w:r>
        <w:rPr>
          <w:rFonts w:ascii="Times New Roman;Times;serif" w:hAnsi="Times New Roman;Times;serif"/>
          <w:i/>
          <w:sz w:val="20"/>
        </w:rPr>
        <w:t>Realized gain (loss) on derivative contracts”</w:t>
      </w:r>
      <w:r>
        <w:rPr>
          <w:rFonts w:ascii="Times New Roman;Times;serif" w:hAnsi="Times New Roman;Times;serif"/>
          <w:sz w:val="20"/>
        </w:rPr>
        <w:t xml:space="preserve"> represents all receipts (payments) on derivative contracts settled during the period. “</w:t>
      </w:r>
      <w:r>
        <w:rPr>
          <w:rFonts w:ascii="Times New Roman;Times;serif" w:hAnsi="Times New Roman;Times;serif"/>
          <w:i/>
          <w:sz w:val="20"/>
        </w:rPr>
        <w:t xml:space="preserve">Unrealized gain (loss) on derivative contracts” </w:t>
      </w:r>
      <w:r>
        <w:rPr>
          <w:rFonts w:ascii="Times New Roman;Times;serif" w:hAnsi="Times New Roman;Times;serif"/>
          <w:sz w:val="20"/>
        </w:rPr>
        <w:t>represents the net change in the mark-to-market valuation of the derivative contracts.</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93"/>
        <w:gridCol w:w="346"/>
        <w:gridCol w:w="4649"/>
        <w:gridCol w:w="109"/>
        <w:gridCol w:w="196"/>
        <w:gridCol w:w="629"/>
        <w:gridCol w:w="346"/>
        <w:gridCol w:w="196"/>
        <w:gridCol w:w="541"/>
      </w:tblGrid>
      <w:tr>
        <w:trPr/>
        <w:tc>
          <w:tcPr>
            <w:tcW w:w="3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27555" cy="175260"/>
                      <wp:effectExtent l="0" t="0" r="0" b="0"/>
                      <wp:wrapNone/>
                      <wp:docPr id="262" name="Frame261"/>
                      <a:graphic xmlns:a="http://schemas.openxmlformats.org/drawingml/2006/main">
                        <a:graphicData uri="http://schemas.microsoft.com/office/word/2010/wordprocessingShape">
                          <wps:wsp>
                            <wps:cNvSpPr txBox="1"/>
                            <wps:spPr>
                              <a:xfrm>
                                <a:off x="0" y="0"/>
                                <a:ext cx="2027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63"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952115" cy="175260"/>
                      <wp:effectExtent l="0" t="0" r="0" b="0"/>
                      <wp:wrapNone/>
                      <wp:docPr id="264" name="Frame263"/>
                      <a:graphic xmlns:a="http://schemas.openxmlformats.org/drawingml/2006/main">
                        <a:graphicData uri="http://schemas.microsoft.com/office/word/2010/wordprocessingShape">
                          <wps:wsp>
                            <wps:cNvSpPr txBox="1"/>
                            <wps:spPr>
                              <a:xfrm>
                                <a:off x="0" y="0"/>
                                <a:ext cx="2952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9215" cy="175260"/>
                      <wp:effectExtent l="0" t="0" r="0" b="0"/>
                      <wp:wrapNone/>
                      <wp:docPr id="265" name="Frame2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24460" cy="175260"/>
                      <wp:effectExtent l="0" t="0" r="0" b="0"/>
                      <wp:wrapNone/>
                      <wp:docPr id="266" name="Frame2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399415" cy="175260"/>
                      <wp:effectExtent l="0" t="0" r="0" b="0"/>
                      <wp:wrapNone/>
                      <wp:docPr id="267" name="Frame266"/>
                      <a:graphic xmlns:a="http://schemas.openxmlformats.org/drawingml/2006/main">
                        <a:graphicData uri="http://schemas.microsoft.com/office/word/2010/wordprocessingShape">
                          <wps:wsp>
                            <wps:cNvSpPr txBox="1"/>
                            <wps:spPr>
                              <a:xfrm>
                                <a:off x="0" y="0"/>
                                <a:ext cx="399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68"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24460" cy="175260"/>
                      <wp:effectExtent l="0" t="0" r="0" b="0"/>
                      <wp:wrapNone/>
                      <wp:docPr id="269" name="Frame26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343535" cy="175260"/>
                      <wp:effectExtent l="0" t="0" r="0" b="0"/>
                      <wp:wrapNone/>
                      <wp:docPr id="270" name="Frame26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3" w:type="dxa"/>
            <w:tcBorders/>
            <w:shd w:fill="FFFF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Derivatives not designated </w:t>
            </w:r>
          </w:p>
        </w:tc>
        <w:tc>
          <w:tcPr>
            <w:tcW w:w="346" w:type="dxa"/>
            <w:tcBorders/>
            <w:shd w:fill="FFFFFF" w:val="clear"/>
            <w:vAlign w:val="center"/>
          </w:tcPr>
          <w:p>
            <w:pPr>
              <w:pStyle w:val="TableContents"/>
              <w:bidi w:val="0"/>
              <w:spacing w:before="0" w:after="0"/>
              <w:ind w:left="0" w:right="0" w:hanging="0"/>
              <w:jc w:val="left"/>
              <w:rPr/>
            </w:pPr>
            <w:r>
              <w:rPr/>
              <w:t>​</w:t>
            </w:r>
          </w:p>
        </w:tc>
        <w:tc>
          <w:tcPr>
            <w:tcW w:w="4649" w:type="dxa"/>
            <w:tcBorders/>
            <w:shd w:fill="FFFF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Location of gain (loss)</w:t>
            </w:r>
          </w:p>
        </w:tc>
        <w:tc>
          <w:tcPr>
            <w:tcW w:w="109" w:type="dxa"/>
            <w:tcBorders/>
            <w:shd w:fill="FFFFFF" w:val="clear"/>
            <w:vAlign w:val="center"/>
          </w:tcPr>
          <w:p>
            <w:pPr>
              <w:pStyle w:val="TableContents"/>
              <w:bidi w:val="0"/>
              <w:spacing w:before="0" w:after="0"/>
              <w:ind w:left="0" w:right="0" w:hanging="0"/>
              <w:jc w:val="left"/>
              <w:rPr/>
            </w:pPr>
            <w:r>
              <w:rPr/>
              <w:t>​</w:t>
            </w:r>
          </w:p>
        </w:tc>
        <w:tc>
          <w:tcPr>
            <w:tcW w:w="196" w:type="dxa"/>
            <w:tcBorders/>
            <w:shd w:fill="FFFFFF" w:val="clear"/>
            <w:vAlign w:val="center"/>
          </w:tcPr>
          <w:p>
            <w:pPr>
              <w:pStyle w:val="TableContents"/>
              <w:bidi w:val="0"/>
              <w:spacing w:before="0" w:after="0"/>
              <w:ind w:left="0" w:right="0" w:hanging="0"/>
              <w:jc w:val="left"/>
              <w:rPr/>
            </w:pPr>
            <w:r>
              <w:rPr/>
              <w:t>​</w:t>
            </w:r>
          </w:p>
        </w:tc>
        <w:tc>
          <w:tcPr>
            <w:tcW w:w="629"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196" w:type="dxa"/>
            <w:tcBorders/>
            <w:shd w:fill="FFFFFF" w:val="clear"/>
            <w:vAlign w:val="center"/>
          </w:tcPr>
          <w:p>
            <w:pPr>
              <w:pStyle w:val="TableContents"/>
              <w:bidi w:val="0"/>
              <w:spacing w:before="0" w:after="0"/>
              <w:ind w:left="0" w:right="0" w:hanging="0"/>
              <w:jc w:val="left"/>
              <w:rPr/>
            </w:pPr>
            <w:r>
              <w:rPr/>
              <w:t>​</w:t>
            </w:r>
          </w:p>
        </w:tc>
        <w:tc>
          <w:tcPr>
            <w:tcW w:w="541" w:type="dxa"/>
            <w:tcBorders/>
            <w:shd w:fill="FFFFFF" w:val="clear"/>
            <w:vAlign w:val="center"/>
          </w:tcPr>
          <w:p>
            <w:pPr>
              <w:pStyle w:val="TableContents"/>
              <w:bidi w:val="0"/>
              <w:spacing w:before="0" w:after="0"/>
              <w:ind w:left="0" w:right="0" w:hanging="0"/>
              <w:jc w:val="left"/>
              <w:rPr/>
            </w:pPr>
            <w:r>
              <w:rPr/>
              <w:t>​</w:t>
            </w:r>
          </w:p>
        </w:tc>
      </w:tr>
      <w:tr>
        <w:trPr/>
        <w:tc>
          <w:tcPr>
            <w:tcW w:w="3193" w:type="dxa"/>
            <w:tcBorders/>
            <w:shd w:fill="FFFF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 hedging contracts</w:t>
            </w:r>
          </w:p>
        </w:tc>
        <w:tc>
          <w:tcPr>
            <w:tcW w:w="346" w:type="dxa"/>
            <w:tcBorders/>
            <w:shd w:fill="FFFFFF" w:val="clear"/>
            <w:vAlign w:val="center"/>
          </w:tcPr>
          <w:p>
            <w:pPr>
              <w:pStyle w:val="TableContents"/>
              <w:bidi w:val="0"/>
              <w:spacing w:before="0" w:after="0"/>
              <w:ind w:left="0" w:right="0" w:hanging="0"/>
              <w:jc w:val="left"/>
              <w:rPr/>
            </w:pPr>
            <w:r>
              <w:rPr/>
              <w:t>​</w:t>
            </w:r>
          </w:p>
        </w:tc>
        <w:tc>
          <w:tcPr>
            <w:tcW w:w="4649" w:type="dxa"/>
            <w:tcBorders/>
            <w:shd w:fill="FFFF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recognized in income on </w:t>
            </w:r>
          </w:p>
        </w:tc>
        <w:tc>
          <w:tcPr>
            <w:tcW w:w="109" w:type="dxa"/>
            <w:tcBorders/>
            <w:shd w:fill="FFFFFF" w:val="clear"/>
            <w:vAlign w:val="center"/>
          </w:tcPr>
          <w:p>
            <w:pPr>
              <w:pStyle w:val="TableContents"/>
              <w:bidi w:val="0"/>
              <w:spacing w:before="0" w:after="0"/>
              <w:ind w:left="0" w:right="0" w:hanging="0"/>
              <w:jc w:val="left"/>
              <w:rPr/>
            </w:pPr>
            <w:r>
              <w:rPr/>
              <w:t>​</w:t>
            </w:r>
          </w:p>
        </w:tc>
        <w:tc>
          <w:tcPr>
            <w:tcW w:w="1908"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June 30, </w:t>
            </w:r>
          </w:p>
        </w:tc>
      </w:tr>
      <w:tr>
        <w:trPr/>
        <w:tc>
          <w:tcPr>
            <w:tcW w:w="319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under ASC 815</w:t>
            </w:r>
          </w:p>
        </w:tc>
        <w:tc>
          <w:tcPr>
            <w:tcW w:w="346" w:type="dxa"/>
            <w:tcBorders/>
            <w:shd w:fill="FFFFFF" w:val="clear"/>
            <w:vAlign w:val="center"/>
          </w:tcPr>
          <w:p>
            <w:pPr>
              <w:pStyle w:val="TableContents"/>
              <w:bidi w:val="0"/>
              <w:spacing w:before="0" w:after="0"/>
              <w:ind w:left="0" w:right="0" w:hanging="0"/>
              <w:jc w:val="left"/>
              <w:rPr/>
            </w:pPr>
            <w:r>
              <w:rPr/>
              <w:t>  ​ ​ ​</w:t>
            </w:r>
          </w:p>
        </w:tc>
        <w:tc>
          <w:tcPr>
            <w:tcW w:w="46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derivative contracts</w:t>
            </w:r>
          </w:p>
        </w:tc>
        <w:tc>
          <w:tcPr>
            <w:tcW w:w="109" w:type="dxa"/>
            <w:tcBorders/>
            <w:shd w:fill="FFFFFF" w:val="clear"/>
            <w:vAlign w:val="center"/>
          </w:tcPr>
          <w:p>
            <w:pPr>
              <w:pStyle w:val="TableContents"/>
              <w:bidi w:val="0"/>
              <w:spacing w:before="0" w:after="0"/>
              <w:ind w:left="0" w:right="0" w:hanging="0"/>
              <w:jc w:val="left"/>
              <w:rPr/>
            </w:pPr>
            <w:r>
              <w:rPr/>
              <w:t>​</w:t>
            </w:r>
          </w:p>
        </w:tc>
        <w:tc>
          <w:tcPr>
            <w:tcW w:w="8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shd w:fill="FFFFFF" w:val="clear"/>
            <w:vAlign w:val="center"/>
          </w:tcPr>
          <w:p>
            <w:pPr>
              <w:pStyle w:val="TableContents"/>
              <w:bidi w:val="0"/>
              <w:spacing w:before="0" w:after="0"/>
              <w:ind w:left="0" w:right="0" w:hanging="0"/>
              <w:jc w:val="left"/>
              <w:rPr/>
            </w:pPr>
            <w:r>
              <w:rPr/>
              <w:t>  ​ ​ ​</w:t>
            </w:r>
          </w:p>
        </w:tc>
        <w:tc>
          <w:tcPr>
            <w:tcW w:w="7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193" w:type="dxa"/>
            <w:tcBorders/>
            <w:shd w:fill="FFFF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Commodity contracts:</w:t>
            </w:r>
          </w:p>
        </w:tc>
        <w:tc>
          <w:tcPr>
            <w:tcW w:w="346" w:type="dxa"/>
            <w:tcBorders/>
            <w:shd w:fill="FFFFFF" w:val="clear"/>
            <w:vAlign w:val="center"/>
          </w:tcPr>
          <w:p>
            <w:pPr>
              <w:pStyle w:val="TableContents"/>
              <w:bidi w:val="0"/>
              <w:spacing w:before="0" w:after="0"/>
              <w:ind w:left="0" w:right="0" w:hanging="0"/>
              <w:jc w:val="left"/>
              <w:rPr/>
            </w:pPr>
            <w:r>
              <w:rPr/>
              <w:t>​</w:t>
            </w:r>
          </w:p>
        </w:tc>
        <w:tc>
          <w:tcPr>
            <w:tcW w:w="4649"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196" w:type="dxa"/>
            <w:tcBorders/>
            <w:shd w:fill="FFFFFF" w:val="clear"/>
            <w:vAlign w:val="center"/>
          </w:tcPr>
          <w:p>
            <w:pPr>
              <w:pStyle w:val="TableContents"/>
              <w:bidi w:val="0"/>
              <w:spacing w:before="0" w:after="0"/>
              <w:ind w:left="0" w:right="0" w:hanging="0"/>
              <w:jc w:val="left"/>
              <w:rPr/>
            </w:pPr>
            <w:r>
              <w:rPr/>
              <w:t>​</w:t>
            </w:r>
          </w:p>
        </w:tc>
        <w:tc>
          <w:tcPr>
            <w:tcW w:w="629"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196" w:type="dxa"/>
            <w:tcBorders/>
            <w:shd w:fill="FFFFFF" w:val="clear"/>
            <w:vAlign w:val="center"/>
          </w:tcPr>
          <w:p>
            <w:pPr>
              <w:pStyle w:val="TableContents"/>
              <w:bidi w:val="0"/>
              <w:spacing w:before="0" w:after="0"/>
              <w:ind w:left="0" w:right="0" w:hanging="0"/>
              <w:jc w:val="left"/>
              <w:rPr/>
            </w:pPr>
            <w:r>
              <w:rPr/>
              <w:t>​</w:t>
            </w:r>
          </w:p>
        </w:tc>
        <w:tc>
          <w:tcPr>
            <w:tcW w:w="541" w:type="dxa"/>
            <w:tcBorders/>
            <w:shd w:fill="FFFFFF" w:val="clear"/>
            <w:vAlign w:val="center"/>
          </w:tcPr>
          <w:p>
            <w:pPr>
              <w:pStyle w:val="TableContents"/>
              <w:bidi w:val="0"/>
              <w:spacing w:before="0" w:after="0"/>
              <w:ind w:left="0" w:right="0" w:hanging="0"/>
              <w:jc w:val="left"/>
              <w:rPr/>
            </w:pPr>
            <w:r>
              <w:rPr/>
              <w:t>​</w:t>
            </w:r>
          </w:p>
        </w:tc>
      </w:tr>
      <w:tr>
        <w:trPr/>
        <w:tc>
          <w:tcPr>
            <w:tcW w:w="31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Realized gain (loss) on derivative contracts </w:t>
            </w:r>
          </w:p>
        </w:tc>
        <w:tc>
          <w:tcPr>
            <w:tcW w:w="346" w:type="dxa"/>
            <w:tcBorders/>
            <w:shd w:fill="CCEEFF" w:val="clear"/>
            <w:vAlign w:val="center"/>
          </w:tcPr>
          <w:p>
            <w:pPr>
              <w:pStyle w:val="TableContents"/>
              <w:bidi w:val="0"/>
              <w:spacing w:before="0" w:after="0"/>
              <w:ind w:left="0" w:right="0" w:hanging="0"/>
              <w:jc w:val="left"/>
              <w:rPr/>
            </w:pPr>
            <w:r>
              <w:rPr/>
              <w:t>​</w:t>
            </w:r>
          </w:p>
        </w:tc>
        <w:tc>
          <w:tcPr>
            <w:tcW w:w="46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and expenses - net gain (loss) on derivative contracts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965</w:t>
            </w:r>
          </w:p>
        </w:tc>
      </w:tr>
      <w:tr>
        <w:trPr/>
        <w:tc>
          <w:tcPr>
            <w:tcW w:w="31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(loss) on derivative contracts</w:t>
            </w:r>
          </w:p>
        </w:tc>
        <w:tc>
          <w:tcPr>
            <w:tcW w:w="346" w:type="dxa"/>
            <w:tcBorders/>
            <w:vAlign w:val="center"/>
          </w:tcPr>
          <w:p>
            <w:pPr>
              <w:pStyle w:val="TableContents"/>
              <w:bidi w:val="0"/>
              <w:spacing w:before="0" w:after="0"/>
              <w:ind w:left="0" w:right="0" w:hanging="0"/>
              <w:jc w:val="left"/>
              <w:rPr/>
            </w:pPr>
            <w:r>
              <w:rPr/>
              <w:t>​</w:t>
            </w:r>
          </w:p>
        </w:tc>
        <w:tc>
          <w:tcPr>
            <w:tcW w:w="464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and expenses - net gain (loss) on derivative contracts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(492)</w:t>
            </w:r>
          </w:p>
        </w:tc>
      </w:tr>
      <w:tr>
        <w:trPr/>
        <w:tc>
          <w:tcPr>
            <w:tcW w:w="31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net gain (loss) on derivative contracts</w:t>
            </w:r>
          </w:p>
        </w:tc>
        <w:tc>
          <w:tcPr>
            <w:tcW w:w="346" w:type="dxa"/>
            <w:tcBorders/>
            <w:shd w:fill="CCEEFF" w:val="clear"/>
            <w:vAlign w:val="center"/>
          </w:tcPr>
          <w:p>
            <w:pPr>
              <w:pStyle w:val="TableContents"/>
              <w:bidi w:val="0"/>
              <w:spacing w:before="0" w:after="0"/>
              <w:ind w:left="0" w:right="0" w:hanging="0"/>
              <w:jc w:val="left"/>
              <w:rPr/>
            </w:pPr>
            <w:r>
              <w:rPr/>
              <w:t>​</w:t>
            </w:r>
          </w:p>
        </w:tc>
        <w:tc>
          <w:tcPr>
            <w:tcW w:w="464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473</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As of June 30, 2026, the Company had the following open crude oil and natural gas derivative contracts:</w:t>
      </w:r>
    </w:p>
    <w:tbl>
      <w:tblPr>
        <w:tblW w:w="9893" w:type="dxa"/>
        <w:jc w:val="left"/>
        <w:tblInd w:w="0" w:type="dxa"/>
        <w:tblLayout w:type="fixed"/>
        <w:tblCellMar>
          <w:top w:w="0" w:type="dxa"/>
          <w:left w:w="0" w:type="dxa"/>
          <w:bottom w:w="0" w:type="dxa"/>
          <w:right w:w="0" w:type="dxa"/>
        </w:tblCellMar>
      </w:tblPr>
      <w:tblGrid>
        <w:gridCol w:w="2161"/>
        <w:gridCol w:w="346"/>
        <w:gridCol w:w="856"/>
        <w:gridCol w:w="346"/>
        <w:gridCol w:w="1171"/>
        <w:gridCol w:w="346"/>
        <w:gridCol w:w="1051"/>
        <w:gridCol w:w="109"/>
        <w:gridCol w:w="181"/>
        <w:gridCol w:w="451"/>
        <w:gridCol w:w="346"/>
        <w:gridCol w:w="219"/>
        <w:gridCol w:w="546"/>
        <w:gridCol w:w="346"/>
        <w:gridCol w:w="181"/>
        <w:gridCol w:w="451"/>
        <w:gridCol w:w="109"/>
        <w:gridCol w:w="181"/>
        <w:gridCol w:w="49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372235" cy="175260"/>
                      <wp:effectExtent l="0" t="0" r="0" b="0"/>
                      <wp:wrapNone/>
                      <wp:docPr id="271" name="Frame270"/>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2"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543560" cy="175260"/>
                      <wp:effectExtent l="0" t="0" r="0" b="0"/>
                      <wp:wrapNone/>
                      <wp:docPr id="273" name="Frame272"/>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74" name="Frame2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743585" cy="175260"/>
                      <wp:effectExtent l="0" t="0" r="0" b="0"/>
                      <wp:wrapNone/>
                      <wp:docPr id="275" name="Frame274"/>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76"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67385" cy="175260"/>
                      <wp:effectExtent l="0" t="0" r="0" b="0"/>
                      <wp:wrapNone/>
                      <wp:docPr id="277" name="Frame27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9215" cy="175260"/>
                      <wp:effectExtent l="0" t="0" r="0" b="0"/>
                      <wp:wrapNone/>
                      <wp:docPr id="278" name="Frame2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14935" cy="175260"/>
                      <wp:effectExtent l="0" t="0" r="0" b="0"/>
                      <wp:wrapNone/>
                      <wp:docPr id="279" name="Frame27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86385" cy="175260"/>
                      <wp:effectExtent l="0" t="0" r="0" b="0"/>
                      <wp:wrapNone/>
                      <wp:docPr id="280" name="Frame279"/>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1"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9065" cy="175260"/>
                      <wp:effectExtent l="0" t="0" r="0" b="0"/>
                      <wp:wrapNone/>
                      <wp:docPr id="282" name="Frame281"/>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346710" cy="175260"/>
                      <wp:effectExtent l="0" t="0" r="0" b="0"/>
                      <wp:wrapNone/>
                      <wp:docPr id="283" name="Frame282"/>
                      <a:graphic xmlns:a="http://schemas.openxmlformats.org/drawingml/2006/main">
                        <a:graphicData uri="http://schemas.microsoft.com/office/word/2010/wordprocessingShape">
                          <wps:wsp>
                            <wps:cNvSpPr txBox="1"/>
                            <wps:spPr>
                              <a:xfrm>
                                <a:off x="0" y="0"/>
                                <a:ext cx="346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84" name="Frame2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14935" cy="175260"/>
                      <wp:effectExtent l="0" t="0" r="0" b="0"/>
                      <wp:wrapNone/>
                      <wp:docPr id="285" name="Frame28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86385" cy="175260"/>
                      <wp:effectExtent l="0" t="0" r="0" b="0"/>
                      <wp:wrapNone/>
                      <wp:docPr id="286" name="Frame285"/>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9215" cy="175260"/>
                      <wp:effectExtent l="0" t="0" r="0" b="0"/>
                      <wp:wrapNone/>
                      <wp:docPr id="287" name="Frame2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14935" cy="175260"/>
                      <wp:effectExtent l="0" t="0" r="0" b="0"/>
                      <wp:wrapNone/>
                      <wp:docPr id="288" name="Frame28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314960" cy="175260"/>
                      <wp:effectExtent l="0" t="0" r="0" b="0"/>
                      <wp:wrapNone/>
                      <wp:docPr id="289" name="Frame288"/>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Volumes in</w:t>
            </w:r>
          </w:p>
        </w:tc>
        <w:tc>
          <w:tcPr>
            <w:tcW w:w="109" w:type="dxa"/>
            <w:tcBorders/>
            <w:vAlign w:val="center"/>
          </w:tcPr>
          <w:p>
            <w:pPr>
              <w:pStyle w:val="TableContents"/>
              <w:bidi w:val="0"/>
              <w:spacing w:before="0" w:after="1"/>
              <w:ind w:left="0" w:right="0" w:hanging="0"/>
              <w:jc w:val="left"/>
              <w:rPr/>
            </w:pPr>
            <w:r>
              <w:rPr/>
              <w:t>​</w:t>
            </w:r>
          </w:p>
        </w:tc>
        <w:tc>
          <w:tcPr>
            <w:tcW w:w="350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Weighted Average Price per MMBTU/BBL</w:t>
            </w:r>
          </w:p>
        </w:tc>
      </w:tr>
      <w:tr>
        <w:trPr/>
        <w:tc>
          <w:tcPr>
            <w:tcW w:w="21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Period</w:t>
            </w:r>
          </w:p>
        </w:tc>
        <w:tc>
          <w:tcPr>
            <w:tcW w:w="346" w:type="dxa"/>
            <w:tcBorders/>
            <w:vAlign w:val="center"/>
          </w:tcPr>
          <w:p>
            <w:pPr>
              <w:pStyle w:val="TableContents"/>
              <w:bidi w:val="0"/>
              <w:spacing w:before="0" w:after="1"/>
              <w:ind w:left="0" w:right="0" w:hanging="0"/>
              <w:jc w:val="left"/>
              <w:rPr/>
            </w:pPr>
            <w:r>
              <w:rPr/>
              <w:t>  ​ ​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Commodity</w:t>
            </w:r>
          </w:p>
        </w:tc>
        <w:tc>
          <w:tcPr>
            <w:tcW w:w="346" w:type="dxa"/>
            <w:tcBorders/>
            <w:vAlign w:val="center"/>
          </w:tcPr>
          <w:p>
            <w:pPr>
              <w:pStyle w:val="TableContents"/>
              <w:bidi w:val="0"/>
              <w:spacing w:before="0" w:after="1"/>
              <w:ind w:left="0" w:right="0" w:hanging="0"/>
              <w:jc w:val="left"/>
              <w:rPr/>
            </w:pPr>
            <w:r>
              <w:rPr/>
              <w:t>  ​ ​ ​</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Instrument</w:t>
            </w:r>
          </w:p>
        </w:tc>
        <w:tc>
          <w:tcPr>
            <w:tcW w:w="346" w:type="dxa"/>
            <w:tcBorders/>
            <w:vAlign w:val="center"/>
          </w:tcPr>
          <w:p>
            <w:pPr>
              <w:pStyle w:val="TableContents"/>
              <w:bidi w:val="0"/>
              <w:spacing w:before="0" w:after="1"/>
              <w:ind w:left="0" w:right="0" w:hanging="0"/>
              <w:jc w:val="left"/>
              <w:rPr/>
            </w:pPr>
            <w:r>
              <w:rPr/>
              <w:t>  ​ ​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MMBTU/BBL</w:t>
            </w:r>
          </w:p>
        </w:tc>
        <w:tc>
          <w:tcPr>
            <w:tcW w:w="109" w:type="dxa"/>
            <w:tcBorders/>
            <w:vAlign w:val="center"/>
          </w:tcPr>
          <w:p>
            <w:pPr>
              <w:pStyle w:val="TableContents"/>
              <w:bidi w:val="0"/>
              <w:spacing w:before="0" w:after="1"/>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Swap</w:t>
            </w:r>
          </w:p>
        </w:tc>
        <w:tc>
          <w:tcPr>
            <w:tcW w:w="346" w:type="dxa"/>
            <w:tcBorders/>
            <w:vAlign w:val="center"/>
          </w:tcPr>
          <w:p>
            <w:pPr>
              <w:pStyle w:val="TableContents"/>
              <w:bidi w:val="0"/>
              <w:spacing w:before="0" w:after="1"/>
              <w:ind w:left="0" w:right="0" w:hanging="0"/>
              <w:jc w:val="left"/>
              <w:rPr/>
            </w:pPr>
            <w:r>
              <w:rPr/>
              <w:t>  ​ ​ ​</w:t>
            </w:r>
          </w:p>
        </w:tc>
        <w:tc>
          <w:tcPr>
            <w:tcW w:w="7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Sub Floor</w:t>
            </w:r>
          </w:p>
        </w:tc>
        <w:tc>
          <w:tcPr>
            <w:tcW w:w="346" w:type="dxa"/>
            <w:tcBorders/>
            <w:vAlign w:val="center"/>
          </w:tcPr>
          <w:p>
            <w:pPr>
              <w:pStyle w:val="TableContents"/>
              <w:bidi w:val="0"/>
              <w:spacing w:before="0" w:after="1"/>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Floor</w:t>
            </w:r>
          </w:p>
        </w:tc>
        <w:tc>
          <w:tcPr>
            <w:tcW w:w="109" w:type="dxa"/>
            <w:tcBorders/>
            <w:vAlign w:val="center"/>
          </w:tcPr>
          <w:p>
            <w:pPr>
              <w:pStyle w:val="TableContents"/>
              <w:bidi w:val="0"/>
              <w:spacing w:before="0" w:after="1"/>
              <w:ind w:left="0" w:right="0" w:hanging="0"/>
              <w:jc w:val="left"/>
              <w:rPr/>
            </w:pPr>
            <w:r>
              <w:rPr/>
              <w:t>​</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Ceiling</w:t>
            </w:r>
          </w:p>
        </w:tc>
      </w:tr>
      <w:tr>
        <w:trPr/>
        <w:tc>
          <w:tcPr>
            <w:tcW w:w="2161"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July 2026 - September 2026</w:t>
            </w:r>
          </w:p>
        </w:tc>
        <w:tc>
          <w:tcPr>
            <w:tcW w:w="34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Fixed-Price Swap</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43,870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60.77</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5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w:t>
            </w:r>
          </w:p>
        </w:tc>
      </w:tr>
      <w:tr>
        <w:trPr/>
        <w:tc>
          <w:tcPr>
            <w:tcW w:w="2161"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January 2027 - December 2027</w:t>
            </w:r>
          </w:p>
        </w:tc>
        <w:tc>
          <w:tcPr>
            <w:tcW w:w="34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Fixed-Price Swap</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108,222</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65.12</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w:t>
            </w:r>
          </w:p>
        </w:tc>
      </w:tr>
      <w:tr>
        <w:trPr/>
        <w:tc>
          <w:tcPr>
            <w:tcW w:w="2161"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July 2026 - December 2026</w:t>
            </w:r>
          </w:p>
        </w:tc>
        <w:tc>
          <w:tcPr>
            <w:tcW w:w="34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Two-Way Collar</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83,979</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5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55.73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63.86</w:t>
            </w:r>
          </w:p>
        </w:tc>
      </w:tr>
      <w:tr>
        <w:trPr/>
        <w:tc>
          <w:tcPr>
            <w:tcW w:w="2161"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January 2027 - December 2027</w:t>
            </w:r>
          </w:p>
        </w:tc>
        <w:tc>
          <w:tcPr>
            <w:tcW w:w="34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Two-Way Collar</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138,157</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58.13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69.37</w:t>
            </w:r>
          </w:p>
        </w:tc>
      </w:tr>
      <w:tr>
        <w:trPr/>
        <w:tc>
          <w:tcPr>
            <w:tcW w:w="2161"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September 2026 - December 2026</w:t>
            </w:r>
          </w:p>
        </w:tc>
        <w:tc>
          <w:tcPr>
            <w:tcW w:w="34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Three-Way Collar</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67,002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4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50.00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58.83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70.36</w:t>
            </w:r>
          </w:p>
        </w:tc>
      </w:tr>
      <w:tr>
        <w:trPr/>
        <w:tc>
          <w:tcPr>
            <w:tcW w:w="2161"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July 2026 - December 2026</w:t>
            </w:r>
          </w:p>
        </w:tc>
        <w:tc>
          <w:tcPr>
            <w:tcW w:w="34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Natural Gas</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Fixed-Price Swap</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1,745,693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3.63</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w:t>
            </w:r>
          </w:p>
        </w:tc>
      </w:tr>
      <w:tr>
        <w:trPr/>
        <w:tc>
          <w:tcPr>
            <w:tcW w:w="2161"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January 2027 - December 2027</w:t>
            </w:r>
          </w:p>
        </w:tc>
        <w:tc>
          <w:tcPr>
            <w:tcW w:w="34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Natural Gas</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Fixed-Price Swap</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1,537,008</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3.54</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5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w:t>
            </w:r>
          </w:p>
        </w:tc>
      </w:tr>
      <w:tr>
        <w:trPr/>
        <w:tc>
          <w:tcPr>
            <w:tcW w:w="2161"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July 2026 - December 2026</w:t>
            </w:r>
          </w:p>
        </w:tc>
        <w:tc>
          <w:tcPr>
            <w:tcW w:w="34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Natural Gas</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Two-Way Collar</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1,177,472</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3.57</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4.71</w:t>
            </w:r>
          </w:p>
        </w:tc>
      </w:tr>
      <w:tr>
        <w:trPr/>
        <w:tc>
          <w:tcPr>
            <w:tcW w:w="2161"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January 2027 - March 2027</w:t>
            </w:r>
          </w:p>
        </w:tc>
        <w:tc>
          <w:tcPr>
            <w:tcW w:w="34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Natural Gas</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Two-Way Collar</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850,794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5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45" w:hanging="0"/>
              <w:jc w:val="right"/>
              <w:rPr>
                <w:rFonts w:ascii="Times New Roman;Times;serif" w:hAnsi="Times New Roman;Times;serif"/>
                <w:sz w:val="15"/>
              </w:rPr>
            </w:pPr>
            <w:r>
              <w:rPr>
                <w:rFonts w:ascii="Times New Roman;Times;serif" w:hAnsi="Times New Roman;Times;serif"/>
                <w:sz w:val="15"/>
              </w:rPr>
              <w:t>5.60</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120"/>
        <w:ind w:left="0" w:right="0" w:hanging="0"/>
        <w:jc w:val="left"/>
        <w:rPr>
          <w:rFonts w:ascii="Times New Roman;Times;serif" w:hAnsi="Times New Roman;Times;serif"/>
          <w:sz w:val="20"/>
        </w:rPr>
      </w:pPr>
      <w:bookmarkStart w:id="828" w:name="Tc_Hu1ZtmNkw0eWRY1XwomMAQ_5_11"/>
      <w:bookmarkStart w:id="829" w:name="Tc_BUJFq4X2Mk-p-m5Txj_Hdg_5_8"/>
      <w:bookmarkStart w:id="830" w:name="Tc_aCRGsfxFhke-yc5PzBKsGQ_5_5"/>
      <w:bookmarkStart w:id="831" w:name="Tc_PRTBozpIr0KaMWpee0OYAA_5_2"/>
      <w:bookmarkStart w:id="832" w:name="Tc_aKC8OiZApEmLk_aLTrxm2Q_5_0"/>
      <w:bookmarkStart w:id="833" w:name="Tc_K0HErHiufEejXbb-Iq1RAw_4_0"/>
      <w:bookmarkStart w:id="834" w:name="Tc_pu_8OXzvWkSJufDaz7jzdg_3_11"/>
      <w:bookmarkStart w:id="835" w:name="Tc_zsqg3vcj-k6LW-UbYv73FA_3_8"/>
      <w:bookmarkStart w:id="836" w:name="Tc_681oc7M-WkmBiiYNQUYazQ_3_5"/>
      <w:bookmarkStart w:id="837" w:name="Tc_zLLdGBq6pkONXaCxpTqJTA_3_2"/>
      <w:bookmarkStart w:id="838" w:name="Tc_WMH-CYPIGE6AC72VUogXXA_3_0"/>
      <w:bookmarkStart w:id="839" w:name="Tc_LYYTxgy5gEWM0JXTHZFsPA_2_11"/>
      <w:bookmarkStart w:id="840" w:name="Tc_evZwhWh74kSVg5ms77sPBQ_2_8"/>
      <w:bookmarkStart w:id="841" w:name="Tc_GPxQcmjKOEGSyAR-etwNXQ_2_5"/>
      <w:bookmarkStart w:id="842" w:name="Tc_za5lePRSc0m_b_crlJxKZg_2_2"/>
      <w:bookmarkStart w:id="843" w:name="Tc_4HCR3wxm4kq4dwX2GHp6lw_2_0"/>
      <w:bookmarkStart w:id="844" w:name="Tc_JEF5b-1LGU6MfUm48mg1kw_1_8"/>
      <w:bookmarkStart w:id="845" w:name="Tc_REEqAdixeEONFsMGMpnAjA_1_2"/>
      <w:bookmarkStart w:id="846" w:name="Tc_JKxn_dWE9kWubNu2Podd6g_7_4"/>
      <w:bookmarkStart w:id="847" w:name="Tc__jJ_pd08HUGLFXFeLU9-PA_7_2"/>
      <w:bookmarkStart w:id="848" w:name="Tc_yYmgbf5CfE6NWRIQSHsXpQ_7_0"/>
      <w:bookmarkStart w:id="849" w:name="Tc_90bJPgvJ302TfxrqzL8RNQ_6_4"/>
      <w:bookmarkStart w:id="850" w:name="Tc_TbJCcn340UGJBMu1P5UySg_6_2"/>
      <w:bookmarkStart w:id="851" w:name="Tc_q98r2cp5q0uE-K2E1gqU8A_6_0"/>
      <w:bookmarkStart w:id="852" w:name="Tc_9budPCVIAUGXBnDdNOZGZw_5_4"/>
      <w:bookmarkStart w:id="853" w:name="Tc_VPHx6lzuFkGDB5r4P97g4g_5_2"/>
      <w:bookmarkStart w:id="854" w:name="Tc_RFH6IQuwZ0WBN0GKB4WnDw_5_0"/>
      <w:bookmarkStart w:id="855" w:name="Tc_PPWKbLrzV0S_eJSLBg3vqw_4_17"/>
      <w:bookmarkStart w:id="856" w:name="Tc_kv4zIOXdGEq2A0tVS_K1Jg_4_14"/>
      <w:bookmarkStart w:id="857" w:name="Tc_tfsoHyJEl0SAeafvLU9BXw_4_4"/>
      <w:bookmarkStart w:id="858" w:name="Tc_nrxwGHC-JE2IzRE3awxQeQ_4_2"/>
      <w:bookmarkStart w:id="859" w:name="Tc_EWXwqI940U2QdorSHnwEBQ_4_0"/>
      <w:bookmarkStart w:id="860" w:name="Tc_XcHSeCC7b0awYOjQBtelXg_3_8"/>
      <w:bookmarkStart w:id="861" w:name="Tc_Bv1AyxeNW0mu2nR9MBTteg_3_4"/>
      <w:bookmarkStart w:id="862" w:name="Tc_a0pkhg3MS0Wfugf-WRDPGQ_3_2"/>
      <w:bookmarkStart w:id="863" w:name="Tc_Y2XGF2v4WkKOaeFQLQvR4g_3_0"/>
      <w:bookmarkStart w:id="864" w:name="Tc_jiiHM69mtU2lvTTlsJbhSA_2_17"/>
      <w:bookmarkStart w:id="865" w:name="Tc_5MmKgcZg8kyk1j4aHskO5g_2_14"/>
      <w:bookmarkStart w:id="866" w:name="Tc_2dSxPSSZhU6t-hLICNxLbA_2_11"/>
      <w:bookmarkStart w:id="867" w:name="Tc_D_qv4VIQdkOWIUpYewIUTA_2_8"/>
      <w:bookmarkStart w:id="868" w:name="Tc_nUcESpHXlUGwAV2quVtHMg_2_6"/>
      <w:bookmarkStart w:id="869" w:name="Tc_9l098HxPRE-WZCvnshqLDw_2_4"/>
      <w:bookmarkStart w:id="870" w:name="Tc_oo_9ThQjSEKbrdBqETBSoQ_2_2"/>
      <w:bookmarkStart w:id="871" w:name="Tc_AtMwIaeqLUuemLWmqlUHkA_2_0"/>
      <w:bookmarkStart w:id="872" w:name="Tc_dhgil2feJkyNv8JymQ6h2g_1_8"/>
      <w:bookmarkStart w:id="873" w:name="Tc_WWRPb-fHgUaSurWyDESSjw_1_6"/>
      <w:bookmarkStart w:id="874" w:name="_a49e1f90_3312_4ddf_bffe_b5b6ef3dd920"/>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r>
        <w:rPr>
          <w:rFonts w:ascii="Times New Roman;Times;serif" w:hAnsi="Times New Roman;Times;serif"/>
          <w:sz w:val="20"/>
        </w:rPr>
        <w:t xml:space="preserve">Subsequent to June 30, 2026, the Company entered into the following new crude oil and natural gas derivative contracts: </w:t>
      </w:r>
    </w:p>
    <w:tbl>
      <w:tblPr>
        <w:tblW w:w="9728" w:type="dxa"/>
        <w:jc w:val="left"/>
        <w:tblInd w:w="0" w:type="dxa"/>
        <w:tblLayout w:type="fixed"/>
        <w:tblCellMar>
          <w:top w:w="0" w:type="dxa"/>
          <w:left w:w="0" w:type="dxa"/>
          <w:bottom w:w="0" w:type="dxa"/>
          <w:right w:w="0" w:type="dxa"/>
        </w:tblCellMar>
      </w:tblPr>
      <w:tblGrid>
        <w:gridCol w:w="1996"/>
        <w:gridCol w:w="346"/>
        <w:gridCol w:w="856"/>
        <w:gridCol w:w="346"/>
        <w:gridCol w:w="1171"/>
        <w:gridCol w:w="346"/>
        <w:gridCol w:w="1051"/>
        <w:gridCol w:w="109"/>
        <w:gridCol w:w="181"/>
        <w:gridCol w:w="451"/>
        <w:gridCol w:w="346"/>
        <w:gridCol w:w="382"/>
        <w:gridCol w:w="383"/>
        <w:gridCol w:w="346"/>
        <w:gridCol w:w="181"/>
        <w:gridCol w:w="451"/>
        <w:gridCol w:w="109"/>
        <w:gridCol w:w="181"/>
        <w:gridCol w:w="49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267460" cy="175260"/>
                      <wp:effectExtent l="0" t="0" r="0" b="0"/>
                      <wp:wrapNone/>
                      <wp:docPr id="290" name="Frame289"/>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91"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543560" cy="175260"/>
                      <wp:effectExtent l="0" t="0" r="0" b="0"/>
                      <wp:wrapNone/>
                      <wp:docPr id="292" name="Frame291"/>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293"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743585" cy="175260"/>
                      <wp:effectExtent l="0" t="0" r="0" b="0"/>
                      <wp:wrapNone/>
                      <wp:docPr id="294" name="Frame293"/>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175260"/>
                      <wp:effectExtent l="0" t="0" r="0" b="0"/>
                      <wp:wrapNone/>
                      <wp:docPr id="295" name="Frame2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67385" cy="175260"/>
                      <wp:effectExtent l="0" t="0" r="0" b="0"/>
                      <wp:wrapNone/>
                      <wp:docPr id="296" name="Frame29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9215" cy="175260"/>
                      <wp:effectExtent l="0" t="0" r="0" b="0"/>
                      <wp:wrapNone/>
                      <wp:docPr id="297" name="Frame2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14935" cy="175260"/>
                      <wp:effectExtent l="0" t="0" r="0" b="0"/>
                      <wp:wrapNone/>
                      <wp:docPr id="298" name="Frame29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86385" cy="175260"/>
                      <wp:effectExtent l="0" t="0" r="0" b="0"/>
                      <wp:wrapNone/>
                      <wp:docPr id="299" name="Frame298"/>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0"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42570" cy="175260"/>
                      <wp:effectExtent l="0" t="0" r="0" b="0"/>
                      <wp:wrapNone/>
                      <wp:docPr id="301" name="Frame300"/>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43205" cy="175260"/>
                      <wp:effectExtent l="0" t="0" r="0" b="0"/>
                      <wp:wrapNone/>
                      <wp:docPr id="302" name="Frame301"/>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03"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14935" cy="175260"/>
                      <wp:effectExtent l="0" t="0" r="0" b="0"/>
                      <wp:wrapNone/>
                      <wp:docPr id="304" name="Frame30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86385" cy="175260"/>
                      <wp:effectExtent l="0" t="0" r="0" b="0"/>
                      <wp:wrapNone/>
                      <wp:docPr id="305" name="Frame304"/>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9215" cy="175260"/>
                      <wp:effectExtent l="0" t="0" r="0" b="0"/>
                      <wp:wrapNone/>
                      <wp:docPr id="306" name="Frame3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14935" cy="175260"/>
                      <wp:effectExtent l="0" t="0" r="0" b="0"/>
                      <wp:wrapNone/>
                      <wp:docPr id="307" name="Frame30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314960" cy="175260"/>
                      <wp:effectExtent l="0" t="0" r="0" b="0"/>
                      <wp:wrapNone/>
                      <wp:docPr id="308" name="Frame307"/>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Volumes in</w:t>
            </w:r>
          </w:p>
        </w:tc>
        <w:tc>
          <w:tcPr>
            <w:tcW w:w="109" w:type="dxa"/>
            <w:tcBorders/>
            <w:vAlign w:val="center"/>
          </w:tcPr>
          <w:p>
            <w:pPr>
              <w:pStyle w:val="TableContents"/>
              <w:bidi w:val="0"/>
              <w:spacing w:before="0" w:after="1"/>
              <w:ind w:left="0" w:right="0" w:hanging="0"/>
              <w:jc w:val="left"/>
              <w:rPr/>
            </w:pPr>
            <w:r>
              <w:rPr/>
              <w:t>​</w:t>
            </w:r>
          </w:p>
        </w:tc>
        <w:tc>
          <w:tcPr>
            <w:tcW w:w="350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Weighted Average Price per MMBTU/BBL</w:t>
            </w:r>
          </w:p>
        </w:tc>
      </w:tr>
      <w:tr>
        <w:trPr/>
        <w:tc>
          <w:tcPr>
            <w:tcW w:w="19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Period</w:t>
            </w:r>
          </w:p>
        </w:tc>
        <w:tc>
          <w:tcPr>
            <w:tcW w:w="346" w:type="dxa"/>
            <w:tcBorders/>
            <w:vAlign w:val="center"/>
          </w:tcPr>
          <w:p>
            <w:pPr>
              <w:pStyle w:val="TableContents"/>
              <w:bidi w:val="0"/>
              <w:spacing w:before="0" w:after="1"/>
              <w:ind w:left="0" w:right="0" w:hanging="0"/>
              <w:jc w:val="left"/>
              <w:rPr/>
            </w:pPr>
            <w:r>
              <w:rPr/>
              <w:t>  ​ ​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Commodity</w:t>
            </w:r>
          </w:p>
        </w:tc>
        <w:tc>
          <w:tcPr>
            <w:tcW w:w="346" w:type="dxa"/>
            <w:tcBorders/>
            <w:vAlign w:val="center"/>
          </w:tcPr>
          <w:p>
            <w:pPr>
              <w:pStyle w:val="TableContents"/>
              <w:bidi w:val="0"/>
              <w:spacing w:before="0" w:after="1"/>
              <w:ind w:left="0" w:right="0" w:hanging="0"/>
              <w:jc w:val="left"/>
              <w:rPr/>
            </w:pPr>
            <w:r>
              <w:rPr/>
              <w:t>  ​ ​ ​</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Instrument</w:t>
            </w:r>
          </w:p>
        </w:tc>
        <w:tc>
          <w:tcPr>
            <w:tcW w:w="346" w:type="dxa"/>
            <w:tcBorders/>
            <w:vAlign w:val="center"/>
          </w:tcPr>
          <w:p>
            <w:pPr>
              <w:pStyle w:val="TableContents"/>
              <w:bidi w:val="0"/>
              <w:spacing w:before="0" w:after="1"/>
              <w:ind w:left="0" w:right="0" w:hanging="0"/>
              <w:jc w:val="left"/>
              <w:rPr/>
            </w:pPr>
            <w:r>
              <w:rPr/>
              <w:t>  ​ ​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MMBTU/BBL</w:t>
            </w:r>
          </w:p>
        </w:tc>
        <w:tc>
          <w:tcPr>
            <w:tcW w:w="109" w:type="dxa"/>
            <w:tcBorders/>
            <w:vAlign w:val="center"/>
          </w:tcPr>
          <w:p>
            <w:pPr>
              <w:pStyle w:val="TableContents"/>
              <w:bidi w:val="0"/>
              <w:spacing w:before="0" w:after="1"/>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Swap</w:t>
            </w:r>
          </w:p>
        </w:tc>
        <w:tc>
          <w:tcPr>
            <w:tcW w:w="346" w:type="dxa"/>
            <w:tcBorders/>
            <w:vAlign w:val="center"/>
          </w:tcPr>
          <w:p>
            <w:pPr>
              <w:pStyle w:val="TableContents"/>
              <w:bidi w:val="0"/>
              <w:spacing w:before="0" w:after="1"/>
              <w:ind w:left="0" w:right="0" w:hanging="0"/>
              <w:jc w:val="left"/>
              <w:rPr/>
            </w:pPr>
            <w:r>
              <w:rPr/>
              <w:t>  ​ ​ ​</w:t>
            </w:r>
          </w:p>
        </w:tc>
        <w:tc>
          <w:tcPr>
            <w:tcW w:w="7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Sub Floor</w:t>
            </w:r>
          </w:p>
        </w:tc>
        <w:tc>
          <w:tcPr>
            <w:tcW w:w="346" w:type="dxa"/>
            <w:tcBorders/>
            <w:vAlign w:val="center"/>
          </w:tcPr>
          <w:p>
            <w:pPr>
              <w:pStyle w:val="TableContents"/>
              <w:bidi w:val="0"/>
              <w:spacing w:before="0" w:after="1"/>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Floor</w:t>
            </w:r>
          </w:p>
        </w:tc>
        <w:tc>
          <w:tcPr>
            <w:tcW w:w="109" w:type="dxa"/>
            <w:tcBorders/>
            <w:vAlign w:val="center"/>
          </w:tcPr>
          <w:p>
            <w:pPr>
              <w:pStyle w:val="TableContents"/>
              <w:bidi w:val="0"/>
              <w:spacing w:before="0" w:after="1"/>
              <w:ind w:left="0" w:right="0" w:hanging="0"/>
              <w:jc w:val="left"/>
              <w:rPr/>
            </w:pPr>
            <w:r>
              <w:rPr/>
              <w:t>​</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Ceiling</w:t>
            </w:r>
          </w:p>
        </w:tc>
      </w:tr>
      <w:tr>
        <w:trPr/>
        <w:tc>
          <w:tcPr>
            <w:tcW w:w="199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January 2027 - December 2027</w:t>
            </w:r>
          </w:p>
        </w:tc>
        <w:tc>
          <w:tcPr>
            <w:tcW w:w="34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Fixed-Price Swap</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91,440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72.35</w:t>
            </w:r>
          </w:p>
        </w:tc>
        <w:tc>
          <w:tcPr>
            <w:tcW w:w="346" w:type="dxa"/>
            <w:tcBorders/>
            <w:shd w:fill="CCEEFF" w:val="clear"/>
            <w:vAlign w:val="center"/>
          </w:tcPr>
          <w:p>
            <w:pPr>
              <w:pStyle w:val="TableContents"/>
              <w:bidi w:val="0"/>
              <w:spacing w:before="0" w:after="1"/>
              <w:ind w:left="0" w:right="0" w:hanging="0"/>
              <w:jc w:val="left"/>
              <w:rPr/>
            </w:pPr>
            <w:r>
              <w:rPr/>
              <w:t>​</w:t>
            </w:r>
          </w:p>
        </w:tc>
        <w:tc>
          <w:tcPr>
            <w:tcW w:w="382"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w:t>
            </w:r>
          </w:p>
        </w:tc>
      </w:tr>
      <w:tr>
        <w:trPr/>
        <w:tc>
          <w:tcPr>
            <w:tcW w:w="199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October 2026 - December 2026</w:t>
            </w:r>
          </w:p>
        </w:tc>
        <w:tc>
          <w:tcPr>
            <w:tcW w:w="34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Two-Way Collar</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37,913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80.00</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94.08</w:t>
            </w:r>
          </w:p>
        </w:tc>
      </w:tr>
      <w:tr>
        <w:trPr/>
        <w:tc>
          <w:tcPr>
            <w:tcW w:w="199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January 2027 - December 2027</w:t>
            </w:r>
          </w:p>
        </w:tc>
        <w:tc>
          <w:tcPr>
            <w:tcW w:w="34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Two-Way Collar</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135,682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82"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66.51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79.86</w:t>
            </w:r>
          </w:p>
        </w:tc>
      </w:tr>
      <w:tr>
        <w:trPr/>
        <w:tc>
          <w:tcPr>
            <w:tcW w:w="199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April 2027 - June 2027</w:t>
            </w:r>
          </w:p>
        </w:tc>
        <w:tc>
          <w:tcPr>
            <w:tcW w:w="34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Natural Gas</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Fixed-Price Swap</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409,277</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2.89</w:t>
            </w:r>
          </w:p>
        </w:tc>
        <w:tc>
          <w:tcPr>
            <w:tcW w:w="346"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w:t>
            </w:r>
          </w:p>
        </w:tc>
      </w:tr>
      <w:tr>
        <w:trPr/>
        <w:tc>
          <w:tcPr>
            <w:tcW w:w="199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April 2027 - June 2027</w:t>
            </w:r>
          </w:p>
        </w:tc>
        <w:tc>
          <w:tcPr>
            <w:tcW w:w="34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Natural Gas</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Two-Way Collar</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384,810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82"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2.50</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45" w:hanging="0"/>
              <w:jc w:val="right"/>
              <w:rPr>
                <w:rFonts w:ascii="Times New Roman;Times;serif" w:hAnsi="Times New Roman;Times;serif"/>
                <w:sz w:val="15"/>
              </w:rPr>
            </w:pPr>
            <w:r>
              <w:rPr>
                <w:rFonts w:ascii="Times New Roman;Times;serif" w:hAnsi="Times New Roman;Times;serif"/>
                <w:sz w:val="15"/>
              </w:rPr>
              <w:t>3.41</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presents the fair value of its derivative contracts at the gross amounts in the consolidated balance sheets. The following table shows the potential effects of master netting arrangements on the fair value of the Company’s derivative contracts as of June 30, 2026 and 2025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208"/>
        <w:gridCol w:w="346"/>
        <w:gridCol w:w="287"/>
        <w:gridCol w:w="839"/>
        <w:gridCol w:w="354"/>
        <w:gridCol w:w="287"/>
        <w:gridCol w:w="839"/>
        <w:gridCol w:w="346"/>
        <w:gridCol w:w="287"/>
        <w:gridCol w:w="839"/>
        <w:gridCol w:w="400"/>
        <w:gridCol w:w="282"/>
        <w:gridCol w:w="891"/>
      </w:tblGrid>
      <w:tr>
        <w:trPr/>
        <w:tc>
          <w:tcPr>
            <w:tcW w:w="4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672080" cy="175260"/>
                      <wp:effectExtent l="0" t="0" r="0" b="0"/>
                      <wp:wrapNone/>
                      <wp:docPr id="309" name="Frame308"/>
                      <a:graphic xmlns:a="http://schemas.openxmlformats.org/drawingml/2006/main">
                        <a:graphicData uri="http://schemas.microsoft.com/office/word/2010/wordprocessingShape">
                          <wps:wsp>
                            <wps:cNvSpPr txBox="1"/>
                            <wps:spPr>
                              <a:xfrm>
                                <a:off x="0" y="0"/>
                                <a:ext cx="2672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710" cy="175260"/>
                      <wp:effectExtent l="0" t="0" r="0" b="0"/>
                      <wp:wrapNone/>
                      <wp:docPr id="310"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82245" cy="175260"/>
                      <wp:effectExtent l="0" t="0" r="0" b="0"/>
                      <wp:wrapNone/>
                      <wp:docPr id="311" name="Frame310"/>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532765" cy="175260"/>
                      <wp:effectExtent l="0" t="0" r="0" b="0"/>
                      <wp:wrapNone/>
                      <wp:docPr id="312" name="Frame311"/>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24790" cy="175260"/>
                      <wp:effectExtent l="0" t="0" r="0" b="0"/>
                      <wp:wrapNone/>
                      <wp:docPr id="313" name="Frame312"/>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82245" cy="175260"/>
                      <wp:effectExtent l="0" t="0" r="0" b="0"/>
                      <wp:wrapNone/>
                      <wp:docPr id="314" name="Frame313"/>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532765" cy="175260"/>
                      <wp:effectExtent l="0" t="0" r="0" b="0"/>
                      <wp:wrapNone/>
                      <wp:docPr id="315" name="Frame314"/>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16" name="Frame3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82245" cy="175260"/>
                      <wp:effectExtent l="0" t="0" r="0" b="0"/>
                      <wp:wrapNone/>
                      <wp:docPr id="317" name="Frame316"/>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532765" cy="175260"/>
                      <wp:effectExtent l="0" t="0" r="0" b="0"/>
                      <wp:wrapNone/>
                      <wp:docPr id="318" name="Frame317"/>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54000" cy="175260"/>
                      <wp:effectExtent l="0" t="0" r="0" b="0"/>
                      <wp:wrapNone/>
                      <wp:docPr id="319" name="Frame318"/>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79070" cy="175260"/>
                      <wp:effectExtent l="0" t="0" r="0" b="0"/>
                      <wp:wrapNone/>
                      <wp:docPr id="320" name="Frame319"/>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565785" cy="175260"/>
                      <wp:effectExtent l="0" t="0" r="0" b="0"/>
                      <wp:wrapNone/>
                      <wp:docPr id="321" name="Frame320"/>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06" w:type="dxa"/>
            <w:gridSpan w:val="5"/>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 Contract Assets</w:t>
            </w:r>
          </w:p>
        </w:tc>
        <w:tc>
          <w:tcPr>
            <w:tcW w:w="346" w:type="dxa"/>
            <w:tcBorders/>
            <w:vAlign w:val="center"/>
          </w:tcPr>
          <w:p>
            <w:pPr>
              <w:pStyle w:val="TableContents"/>
              <w:bidi w:val="0"/>
              <w:spacing w:before="0" w:after="1"/>
              <w:ind w:left="0" w:right="0" w:hanging="0"/>
              <w:jc w:val="left"/>
              <w:rPr/>
            </w:pPr>
            <w:r>
              <w:rPr/>
              <w:t>​</w:t>
            </w:r>
          </w:p>
        </w:tc>
        <w:tc>
          <w:tcPr>
            <w:tcW w:w="2699" w:type="dxa"/>
            <w:gridSpan w:val="5"/>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 Contract Liabilities</w:t>
            </w:r>
          </w:p>
        </w:tc>
      </w:tr>
      <w:tr>
        <w:trPr/>
        <w:tc>
          <w:tcPr>
            <w:tcW w:w="420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Offsetting of Derivative Assets and Liabilities</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54" w:type="dxa"/>
            <w:tcBorders/>
            <w:shd w:fill="FFFFFF" w:val="clear"/>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400" w:type="dxa"/>
            <w:tcBorders/>
            <w:shd w:fill="FFFFFF" w:val="clear"/>
            <w:vAlign w:val="center"/>
          </w:tcPr>
          <w:p>
            <w:pPr>
              <w:pStyle w:val="TableContents"/>
              <w:bidi w:val="0"/>
              <w:spacing w:before="0" w:after="1"/>
              <w:ind w:left="0" w:right="0" w:hanging="0"/>
              <w:jc w:val="left"/>
              <w:rPr/>
            </w:pPr>
            <w:r>
              <w:rPr/>
              <w:t>  ​ ​ ​</w:t>
            </w:r>
          </w:p>
        </w:tc>
        <w:tc>
          <w:tcPr>
            <w:tcW w:w="1173"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420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Gross amounts presented in the Consolidated Balance Sheet</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2,572</w:t>
            </w:r>
          </w:p>
        </w:tc>
        <w:tc>
          <w:tcPr>
            <w:tcW w:w="354"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1,975</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3,055</w:t>
            </w:r>
          </w:p>
        </w:tc>
        <w:tc>
          <w:tcPr>
            <w:tcW w:w="400"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3,360</w:t>
            </w:r>
          </w:p>
        </w:tc>
      </w:tr>
      <w:tr>
        <w:trPr/>
        <w:tc>
          <w:tcPr>
            <w:tcW w:w="420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Amounts not offset in the Consolidated Balance Sheet</w:t>
            </w:r>
          </w:p>
        </w:tc>
        <w:tc>
          <w:tcPr>
            <w:tcW w:w="346" w:type="dxa"/>
            <w:tcBorders/>
            <w:vAlign w:val="center"/>
          </w:tcPr>
          <w:p>
            <w:pPr>
              <w:pStyle w:val="TableContents"/>
              <w:bidi w:val="0"/>
              <w:spacing w:before="0" w:after="1"/>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(1,914)</w:t>
            </w:r>
          </w:p>
        </w:tc>
        <w:tc>
          <w:tcPr>
            <w:tcW w:w="354" w:type="dxa"/>
            <w:tcBorders/>
            <w:vAlign w:val="center"/>
          </w:tcPr>
          <w:p>
            <w:pPr>
              <w:pStyle w:val="TableContents"/>
              <w:bidi w:val="0"/>
              <w:spacing w:before="0" w:after="1"/>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(1,774)</w:t>
            </w:r>
          </w:p>
        </w:tc>
        <w:tc>
          <w:tcPr>
            <w:tcW w:w="346" w:type="dxa"/>
            <w:tcBorders/>
            <w:vAlign w:val="center"/>
          </w:tcPr>
          <w:p>
            <w:pPr>
              <w:pStyle w:val="TableContents"/>
              <w:bidi w:val="0"/>
              <w:spacing w:before="0" w:after="1"/>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(1,914)</w:t>
            </w:r>
          </w:p>
        </w:tc>
        <w:tc>
          <w:tcPr>
            <w:tcW w:w="400" w:type="dxa"/>
            <w:tcBorders/>
            <w:vAlign w:val="center"/>
          </w:tcPr>
          <w:p>
            <w:pPr>
              <w:pStyle w:val="TableContents"/>
              <w:bidi w:val="0"/>
              <w:spacing w:before="0" w:after="1"/>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(1,774)</w:t>
            </w:r>
          </w:p>
        </w:tc>
      </w:tr>
      <w:tr>
        <w:trPr/>
        <w:tc>
          <w:tcPr>
            <w:tcW w:w="420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amount</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658</w:t>
            </w:r>
          </w:p>
        </w:tc>
        <w:tc>
          <w:tcPr>
            <w:tcW w:w="354" w:type="dxa"/>
            <w:tcBorders/>
            <w:shd w:fill="CCEEFF" w:val="clear"/>
            <w:vAlign w:val="center"/>
          </w:tcPr>
          <w:p>
            <w:pPr>
              <w:pStyle w:val="TableContents"/>
              <w:bidi w:val="0"/>
              <w:spacing w:before="0" w:after="1"/>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201</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1,141</w:t>
            </w:r>
          </w:p>
        </w:tc>
        <w:tc>
          <w:tcPr>
            <w:tcW w:w="400" w:type="dxa"/>
            <w:tcBorders/>
            <w:shd w:fill="CCEEFF" w:val="clear"/>
            <w:vAlign w:val="center"/>
          </w:tcPr>
          <w:p>
            <w:pPr>
              <w:pStyle w:val="TableContents"/>
              <w:bidi w:val="0"/>
              <w:spacing w:before="0" w:after="1"/>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1,586</w:t>
            </w:r>
          </w:p>
        </w:tc>
      </w:tr>
    </w:tbl>
    <w:p>
      <w:pPr>
        <w:pStyle w:val="TextBody"/>
        <w:bidi w:val="0"/>
        <w:spacing w:before="0" w:after="0"/>
        <w:ind w:left="0" w:right="0" w:hanging="0"/>
        <w:jc w:val="left"/>
        <w:rPr/>
      </w:pPr>
      <w:r>
        <w:rPr/>
        <w:t>​</w:t>
      </w:r>
    </w:p>
    <w:p>
      <w:pPr>
        <w:pStyle w:val="TextBody"/>
        <w:bidi w:val="0"/>
        <w:spacing w:before="280" w:after="240"/>
        <w:ind w:left="0" w:right="0" w:hanging="0"/>
        <w:jc w:val="left"/>
        <w:rPr>
          <w:rFonts w:ascii="Times New Roman;Times;serif" w:hAnsi="Times New Roman;Times;serif"/>
          <w:sz w:val="20"/>
        </w:rPr>
      </w:pPr>
      <w:r>
        <w:rPr>
          <w:rFonts w:ascii="Times New Roman;Times;serif" w:hAnsi="Times New Roman;Times;serif"/>
          <w:sz w:val="20"/>
        </w:rPr>
        <w:t>The Company enters into an ISDA with each counterparty prior to a derivative contract with such counterparty. The ISDA is a standard contract that governs all derivative contracts entered into between the Company and the respective counterparty. The ISDA allows for offsetting of amounts payable or receivable between the Company and the counterparty, at the election of both parties, for transactions that occur on the same date and in the same currency.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8. Fair Value Measurement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Accounting guidelines for measuring fair value establish a three-level valuation hierarchy for disclosure of fair value measurements. The valuation hierarchy categorizes assets and liabilities measured at fair value into one of three different levels depending on the observability of the inputs employed in the measurement.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three levels are defined as follows:</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Level 1—Observable inputs such as quoted prices in active markets at the measurement date for identical, unrestricted assets or liabilities.</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Level 2—Other inputs that are observable directly or indirectly, such as quoted prices in markets that are not active or inputs which are observable, either directly or indirectly, for substantially the full term of the asset or liability.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Level 3—Unobservable inputs for which there are little or no market data and which the Company makes its own assumptions about how market participants would price the assets and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Fair Value of Derivative Instruments.</w:t>
      </w:r>
      <w:r>
        <w:rPr>
          <w:rFonts w:ascii="Times New Roman;Times;serif" w:hAnsi="Times New Roman;Times;serif"/>
          <w:sz w:val="20"/>
        </w:rPr>
        <w:t> The Company’s determination of fair value incorporates not only the credit standing of the counterparties involved in transactions with the Company resulting in receivables on the Company’s consolidated balance sheets, but also the impact of the Company’s nonperformance risk on its own liabilities. Fair value is defined as the price that would be received to sell an asset or paid to transfer a liability in an orderly transaction between market participants at the measurement date. ASC 820 establishes a fair value hierarchy that prioritizes the inputs to valuation techniques used to measure fair value. The Company utilizes market data or assumptions that market participants would use in pricing the asset or liability, including assumptions about risk and the risks inherent in the inputs to the valuation technique. These inputs can be readily observable (Level 1) market corroborated (Level 2), or generally unobservable (Level 3). The Company classifies fair value balances based on observability of those inputs.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rFonts w:ascii="Times New Roman;Times;serif" w:hAnsi="Times New Roman;Times;serif"/>
          <w:sz w:val="20"/>
        </w:rPr>
      </w:pPr>
      <w:bookmarkStart w:id="875" w:name="Tc_pZPBz4QPYk-mBL0aPc9dng_7_11"/>
      <w:bookmarkStart w:id="876" w:name="Tc_rq68yAs8GUKAOW6xIpE_Fg_7_9"/>
      <w:bookmarkStart w:id="877" w:name="Tc_9KIg3eNrt0SoEWiyh3dGcg_7_8"/>
      <w:bookmarkStart w:id="878" w:name="Tc_pkWtpDDSNkOMh1N6-QHWSg_7_5"/>
      <w:bookmarkStart w:id="879" w:name="Tc_0J0UvOHGkEazRM2fkAi5hQ_7_3"/>
      <w:bookmarkStart w:id="880" w:name="Tc_yLdqL7Xd9UKF1kV8tU9zUA_7_2"/>
      <w:bookmarkStart w:id="881" w:name="Tc_3W7NZfmclUy67QfB5RG1Mw_7_0"/>
      <w:bookmarkStart w:id="882" w:name="Tc_Bs9n12rIoEK052jZ7uoZRw_6_0"/>
      <w:bookmarkStart w:id="883" w:name="Tc_ch4HgJLr_0q4o022yvlrcQ_4_11"/>
      <w:bookmarkStart w:id="884" w:name="Tc_4p4XePLdb0yjVOJ38BuBZw_4_9"/>
      <w:bookmarkStart w:id="885" w:name="Tc_eKgKTfVqJkqB_e8rZ7p98g_4_8"/>
      <w:bookmarkStart w:id="886" w:name="Tc_iBmi_FA4Pk2VnyBSe0wXCw_4_5"/>
      <w:bookmarkStart w:id="887" w:name="Tc_1D1mp0VJDEaq6gNtm8vuoQ_4_3"/>
      <w:bookmarkStart w:id="888" w:name="Tc_-piEpg3axkGYrozcL_rfow_4_2"/>
      <w:bookmarkStart w:id="889" w:name="Tc_oLaGaZEsUEejRLaMM-pVqg_4_0"/>
      <w:bookmarkStart w:id="890" w:name="Tc_g1oUWMyHNUuK5bTtdBhBdA_3_0"/>
      <w:bookmarkStart w:id="891" w:name="Tc_awvi1_-J3k6xVH-nzC5PRw_2_11"/>
      <w:bookmarkStart w:id="892" w:name="Tc_cZn-6UGe8EauIXVwy1SIOQ_2_8"/>
      <w:bookmarkStart w:id="893" w:name="Tc_a0FNMOxPKkKvi-s-9hBulw_2_5"/>
      <w:bookmarkStart w:id="894" w:name="Tc_-pC0uS_Qz02pNPpidQwdKQ_2_2"/>
      <w:bookmarkStart w:id="895" w:name="Tc_LfwtDjB6206mbqPZmP0i8A_1_2"/>
      <w:bookmarkStart w:id="896" w:name="_33fe4148_3b9b_4dcd_8a72_8191081b543f"/>
      <w:bookmarkStart w:id="897" w:name="Tc_8eJBQiJI90um0bX8T5E7hw_7_11"/>
      <w:bookmarkStart w:id="898" w:name="Tc_CCvbe5bz2EekHHgiC373RA_7_9"/>
      <w:bookmarkStart w:id="899" w:name="Tc_ptqBGoVu1UybEe_vy9WvtA_7_8"/>
      <w:bookmarkStart w:id="900" w:name="Tc_T4S8_7gSDkC5Qrs5F0WlFg_7_5"/>
      <w:bookmarkStart w:id="901" w:name="Tc_NZnChe9Bk06zYwu4uYJtGA_7_3"/>
      <w:bookmarkStart w:id="902" w:name="Tc_bifu2CT-tUiXxGIljTAL-Q_7_2"/>
      <w:bookmarkStart w:id="903" w:name="Tc_MsWO1RTir0Orw_syOw0V4Q_7_0"/>
      <w:bookmarkStart w:id="904" w:name="Tc_n5v5UE-w_kGnYINZx8_-Aw_6_0"/>
      <w:bookmarkStart w:id="905" w:name="Tc_3bvTMOof1U2vktYIsGwqYw_4_11"/>
      <w:bookmarkStart w:id="906" w:name="Tc_rHTyxTatS06eyoLxJnhHiA_4_9"/>
      <w:bookmarkStart w:id="907" w:name="Tc_LaE-GrnBS0ujZ_eXx0ue0g_4_8"/>
      <w:bookmarkStart w:id="908" w:name="Tc_oXIq8gP6OE-YTx-WNh-vgA_4_5"/>
      <w:bookmarkStart w:id="909" w:name="Tc_WphxoyiJL02-IwQbUEv03w_4_3"/>
      <w:bookmarkStart w:id="910" w:name="Tc_8B9-HWFt1kulYGjaZDlHiA_4_2"/>
      <w:bookmarkStart w:id="911" w:name="Tc_NJJ3pMU0cE6qVYC5D0aksw_4_0"/>
      <w:bookmarkStart w:id="912" w:name="Tc_TY4PmBGfMUaI5wQS8HGqRQ_3_0"/>
      <w:bookmarkStart w:id="913" w:name="Tc_h2kKsYoEIkajU_Zuuw1uqg_2_11"/>
      <w:bookmarkStart w:id="914" w:name="Tc_tPX226h2YEauqq5oRUtR5g_2_8"/>
      <w:bookmarkStart w:id="915" w:name="Tc_5Lyq9WWynkmWYIKe-AwWJg_2_5"/>
      <w:bookmarkStart w:id="916" w:name="Tc_BQwE8of3O0q0XGW5SBFkJQ_2_2"/>
      <w:bookmarkStart w:id="917" w:name="Tc_dPNz8sF5q0SPTvE2PyeBDw_1_2"/>
      <w:bookmarkStart w:id="918" w:name="_f8a9e397_6211_436b_a445_f4d396852050"/>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r>
        <w:rPr>
          <w:rFonts w:ascii="Times New Roman;Times;serif" w:hAnsi="Times New Roman;Times;serif"/>
          <w:sz w:val="20"/>
        </w:rPr>
        <w:t>As required by ASC 820, a financial instrument’s level within the fair value hierarchy is based on the lowest level of input that is significant to the fair value measurement. The Company’s assessment of the significance of a particular input to the fair value measurement requires judgement and may affect the valuation of fair value assets and liabilities and their placement within the fair value hierarchy levels. There were no transfers between fair value hierarchy levels for any period presented in this report. The following table, set forth by level within the fair value hierarchy, shows the Company’s financial assets and liabilities that were accounted for at fair value as of June 30, 2026 and 2025 (in thousands).</w:t>
      </w:r>
    </w:p>
    <w:p>
      <w:pPr>
        <w:pStyle w:val="TextBody"/>
        <w:bidi w:val="0"/>
        <w:spacing w:before="0" w:after="0"/>
        <w:ind w:left="0" w:right="0" w:hanging="0"/>
        <w:jc w:val="left"/>
        <w:rPr/>
      </w:pPr>
      <w:r>
        <w:rPr/>
        <w:t>​</w:t>
      </w:r>
    </w:p>
    <w:tbl>
      <w:tblPr>
        <w:tblW w:w="6324" w:type="dxa"/>
        <w:jc w:val="left"/>
        <w:tblInd w:w="0" w:type="dxa"/>
        <w:tblLayout w:type="fixed"/>
        <w:tblCellMar>
          <w:top w:w="0" w:type="dxa"/>
          <w:left w:w="0" w:type="dxa"/>
          <w:bottom w:w="0" w:type="dxa"/>
          <w:right w:w="0" w:type="dxa"/>
        </w:tblCellMar>
      </w:tblPr>
      <w:tblGrid>
        <w:gridCol w:w="2131"/>
        <w:gridCol w:w="346"/>
        <w:gridCol w:w="233"/>
        <w:gridCol w:w="412"/>
        <w:gridCol w:w="346"/>
        <w:gridCol w:w="196"/>
        <w:gridCol w:w="511"/>
        <w:gridCol w:w="346"/>
        <w:gridCol w:w="233"/>
        <w:gridCol w:w="412"/>
        <w:gridCol w:w="346"/>
        <w:gridCol w:w="196"/>
        <w:gridCol w:w="6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353185" cy="175260"/>
                      <wp:effectExtent l="0" t="0" r="0" b="0"/>
                      <wp:wrapNone/>
                      <wp:docPr id="322" name="Frame321"/>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9710" cy="175260"/>
                      <wp:effectExtent l="0" t="0" r="0" b="0"/>
                      <wp:wrapNone/>
                      <wp:docPr id="323" name="Frame3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47955" cy="175260"/>
                      <wp:effectExtent l="0" t="0" r="0" b="0"/>
                      <wp:wrapNone/>
                      <wp:docPr id="324" name="Frame323"/>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61620" cy="175260"/>
                      <wp:effectExtent l="0" t="0" r="0" b="0"/>
                      <wp:wrapNone/>
                      <wp:docPr id="325" name="Frame324"/>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19710" cy="175260"/>
                      <wp:effectExtent l="0" t="0" r="0" b="0"/>
                      <wp:wrapNone/>
                      <wp:docPr id="326" name="Frame3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24460" cy="175260"/>
                      <wp:effectExtent l="0" t="0" r="0" b="0"/>
                      <wp:wrapNone/>
                      <wp:docPr id="327" name="Frame3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324485" cy="175260"/>
                      <wp:effectExtent l="0" t="0" r="0" b="0"/>
                      <wp:wrapNone/>
                      <wp:docPr id="328" name="Frame32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19710" cy="175260"/>
                      <wp:effectExtent l="0" t="0" r="0" b="0"/>
                      <wp:wrapNone/>
                      <wp:docPr id="329" name="Frame3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47955" cy="175260"/>
                      <wp:effectExtent l="0" t="0" r="0" b="0"/>
                      <wp:wrapNone/>
                      <wp:docPr id="330" name="Frame329"/>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61620" cy="175260"/>
                      <wp:effectExtent l="0" t="0" r="0" b="0"/>
                      <wp:wrapNone/>
                      <wp:docPr id="331" name="Frame330"/>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19710" cy="175260"/>
                      <wp:effectExtent l="0" t="0" r="0" b="0"/>
                      <wp:wrapNone/>
                      <wp:docPr id="332" name="Frame3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24460" cy="175260"/>
                      <wp:effectExtent l="0" t="0" r="0" b="0"/>
                      <wp:wrapNone/>
                      <wp:docPr id="333" name="Frame3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391160" cy="175260"/>
                      <wp:effectExtent l="0" t="0" r="0" b="0"/>
                      <wp:wrapNone/>
                      <wp:docPr id="334" name="Frame33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4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2026</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1</w:t>
            </w:r>
          </w:p>
        </w:tc>
        <w:tc>
          <w:tcPr>
            <w:tcW w:w="346" w:type="dxa"/>
            <w:tcBorders/>
            <w:vAlign w:val="center"/>
          </w:tcPr>
          <w:p>
            <w:pPr>
              <w:pStyle w:val="TableContents"/>
              <w:bidi w:val="0"/>
              <w:spacing w:before="0" w:after="1"/>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2</w:t>
            </w:r>
          </w:p>
        </w:tc>
        <w:tc>
          <w:tcPr>
            <w:tcW w:w="346" w:type="dxa"/>
            <w:tcBorders/>
            <w:vAlign w:val="center"/>
          </w:tcPr>
          <w:p>
            <w:pPr>
              <w:pStyle w:val="TableContents"/>
              <w:bidi w:val="0"/>
              <w:spacing w:before="0" w:after="1"/>
              <w:ind w:left="0" w:right="0" w:hanging="0"/>
              <w:jc w:val="left"/>
              <w:rPr/>
            </w:pPr>
            <w:r>
              <w:rPr/>
              <w:t>  ​ ​ ​</w:t>
            </w:r>
          </w:p>
        </w:tc>
        <w:tc>
          <w:tcPr>
            <w:tcW w:w="6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3</w:t>
            </w:r>
          </w:p>
        </w:tc>
        <w:tc>
          <w:tcPr>
            <w:tcW w:w="346" w:type="dxa"/>
            <w:tcBorders/>
            <w:vAlign w:val="center"/>
          </w:tcPr>
          <w:p>
            <w:pPr>
              <w:pStyle w:val="TableContents"/>
              <w:bidi w:val="0"/>
              <w:spacing w:before="0" w:after="1"/>
              <w:ind w:left="0" w:right="0" w:hanging="0"/>
              <w:jc w:val="left"/>
              <w:rPr/>
            </w:pPr>
            <w:r>
              <w:rPr/>
              <w:t>  ​ ​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Assets</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2,572</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2,572</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liabilities</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3,055</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3,055</w:t>
            </w:r>
          </w:p>
        </w:tc>
      </w:tr>
    </w:tbl>
    <w:p>
      <w:pPr>
        <w:pStyle w:val="TextBody"/>
        <w:bidi w:val="0"/>
        <w:spacing w:before="0" w:after="240"/>
        <w:ind w:left="0" w:right="0" w:hanging="0"/>
        <w:jc w:val="left"/>
        <w:rPr/>
      </w:pPr>
      <w:r>
        <w:rPr/>
        <w:t>​</w:t>
      </w:r>
    </w:p>
    <w:tbl>
      <w:tblPr>
        <w:tblW w:w="6324" w:type="dxa"/>
        <w:jc w:val="left"/>
        <w:tblInd w:w="0" w:type="dxa"/>
        <w:tblLayout w:type="fixed"/>
        <w:tblCellMar>
          <w:top w:w="0" w:type="dxa"/>
          <w:left w:w="0" w:type="dxa"/>
          <w:bottom w:w="0" w:type="dxa"/>
          <w:right w:w="0" w:type="dxa"/>
        </w:tblCellMar>
      </w:tblPr>
      <w:tblGrid>
        <w:gridCol w:w="2131"/>
        <w:gridCol w:w="346"/>
        <w:gridCol w:w="233"/>
        <w:gridCol w:w="412"/>
        <w:gridCol w:w="346"/>
        <w:gridCol w:w="196"/>
        <w:gridCol w:w="511"/>
        <w:gridCol w:w="346"/>
        <w:gridCol w:w="233"/>
        <w:gridCol w:w="412"/>
        <w:gridCol w:w="346"/>
        <w:gridCol w:w="196"/>
        <w:gridCol w:w="6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353185" cy="175260"/>
                      <wp:effectExtent l="0" t="0" r="0" b="0"/>
                      <wp:wrapNone/>
                      <wp:docPr id="335" name="Frame334"/>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36" name="Frame3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47955" cy="175260"/>
                      <wp:effectExtent l="0" t="0" r="0" b="0"/>
                      <wp:wrapNone/>
                      <wp:docPr id="337" name="Frame336"/>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61620" cy="175260"/>
                      <wp:effectExtent l="0" t="0" r="0" b="0"/>
                      <wp:wrapNone/>
                      <wp:docPr id="338" name="Frame337"/>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19710" cy="175260"/>
                      <wp:effectExtent l="0" t="0" r="0" b="0"/>
                      <wp:wrapNone/>
                      <wp:docPr id="339"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24460" cy="175260"/>
                      <wp:effectExtent l="0" t="0" r="0" b="0"/>
                      <wp:wrapNone/>
                      <wp:docPr id="340" name="Frame3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324485" cy="175260"/>
                      <wp:effectExtent l="0" t="0" r="0" b="0"/>
                      <wp:wrapNone/>
                      <wp:docPr id="341" name="Frame34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19710" cy="175260"/>
                      <wp:effectExtent l="0" t="0" r="0" b="0"/>
                      <wp:wrapNone/>
                      <wp:docPr id="342" name="Frame3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47955" cy="175260"/>
                      <wp:effectExtent l="0" t="0" r="0" b="0"/>
                      <wp:wrapNone/>
                      <wp:docPr id="343" name="Frame342"/>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61620" cy="175260"/>
                      <wp:effectExtent l="0" t="0" r="0" b="0"/>
                      <wp:wrapNone/>
                      <wp:docPr id="344" name="Frame343"/>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45" name="Frame3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24460" cy="175260"/>
                      <wp:effectExtent l="0" t="0" r="0" b="0"/>
                      <wp:wrapNone/>
                      <wp:docPr id="346" name="Frame3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391160" cy="175260"/>
                      <wp:effectExtent l="0" t="0" r="0" b="0"/>
                      <wp:wrapNone/>
                      <wp:docPr id="347" name="Frame346"/>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4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2025</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1</w:t>
            </w:r>
          </w:p>
        </w:tc>
        <w:tc>
          <w:tcPr>
            <w:tcW w:w="346" w:type="dxa"/>
            <w:tcBorders/>
            <w:vAlign w:val="center"/>
          </w:tcPr>
          <w:p>
            <w:pPr>
              <w:pStyle w:val="TableContents"/>
              <w:bidi w:val="0"/>
              <w:spacing w:before="0" w:after="1"/>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2</w:t>
            </w:r>
          </w:p>
        </w:tc>
        <w:tc>
          <w:tcPr>
            <w:tcW w:w="346" w:type="dxa"/>
            <w:tcBorders/>
            <w:vAlign w:val="center"/>
          </w:tcPr>
          <w:p>
            <w:pPr>
              <w:pStyle w:val="TableContents"/>
              <w:bidi w:val="0"/>
              <w:spacing w:before="0" w:after="1"/>
              <w:ind w:left="0" w:right="0" w:hanging="0"/>
              <w:jc w:val="left"/>
              <w:rPr/>
            </w:pPr>
            <w:r>
              <w:rPr/>
              <w:t>  ​ ​ ​</w:t>
            </w:r>
          </w:p>
        </w:tc>
        <w:tc>
          <w:tcPr>
            <w:tcW w:w="6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3</w:t>
            </w:r>
          </w:p>
        </w:tc>
        <w:tc>
          <w:tcPr>
            <w:tcW w:w="346" w:type="dxa"/>
            <w:tcBorders/>
            <w:vAlign w:val="center"/>
          </w:tcPr>
          <w:p>
            <w:pPr>
              <w:pStyle w:val="TableContents"/>
              <w:bidi w:val="0"/>
              <w:spacing w:before="0" w:after="1"/>
              <w:ind w:left="0" w:right="0" w:hanging="0"/>
              <w:jc w:val="left"/>
              <w:rPr/>
            </w:pPr>
            <w:r>
              <w:rPr/>
              <w:t>  ​ ​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Assets</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1,975</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1,975</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liabilities</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3,360</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3,360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Derivative contracts listed above as Level 2 include fixed-price swaps and costless put/call collars that are carried at fair value. The Company records the net change in fair value of these positions in “</w:t>
      </w:r>
      <w:r>
        <w:rPr>
          <w:rFonts w:ascii="Times New Roman;Times;serif" w:hAnsi="Times New Roman;Times;serif"/>
          <w:i/>
          <w:sz w:val="20"/>
        </w:rPr>
        <w:t>Net gain (loss) on derivative contracts”</w:t>
      </w:r>
      <w:r>
        <w:rPr>
          <w:rFonts w:ascii="Times New Roman;Times;serif" w:hAnsi="Times New Roman;Times;serif"/>
          <w:sz w:val="20"/>
        </w:rPr>
        <w:t xml:space="preserve"> in the Company’s consolidated statements of operations. The Company is able to value the assets and liabilities based on observable market data for similar instruments, which resulted in the Company reporting its derivatives as Level 2. This observable data includes the forward curves for commodity prices based on quoted market prices and implied volatility factors related to changes in the forward curves. See Note 7, “</w:t>
      </w:r>
      <w:r>
        <w:rPr>
          <w:rFonts w:ascii="Times New Roman;Times;serif" w:hAnsi="Times New Roman;Times;serif"/>
          <w:i/>
          <w:sz w:val="20"/>
        </w:rPr>
        <w:t>Derivatives</w:t>
      </w:r>
      <w:r>
        <w:rPr>
          <w:rFonts w:ascii="Times New Roman;Times;serif" w:hAnsi="Times New Roman;Times;serif"/>
          <w:sz w:val="20"/>
        </w:rPr>
        <w:t>,” for additional discussion of derivatives.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derivative contracts are with large utilities with investment grade credit ratings which are believed to have minimal credit risk. As such, the Company is exposed to credit risk to the extent of nonperformance by the counterparties in the derivative contracts; however, the Company does not expect such nonperformance.</w:t>
      </w:r>
    </w:p>
    <w:p>
      <w:pPr>
        <w:pStyle w:val="TextBody"/>
        <w:bidi w:val="0"/>
        <w:spacing w:before="0" w:after="0"/>
        <w:ind w:left="0" w:right="0" w:hanging="0"/>
        <w:jc w:val="left"/>
        <w:rPr/>
      </w:pPr>
      <w:r>
        <w:rPr/>
        <w:t>​</w:t>
      </w:r>
      <w:r>
        <w:rPr>
          <w:rFonts w:ascii="Times New Roman;Times;serif" w:hAnsi="Times New Roman;Times;serif"/>
          <w:i/>
          <w:sz w:val="20"/>
        </w:rPr>
        <w:br/>
        <w:t>Other Fair Value Measurements.</w:t>
      </w:r>
      <w:r>
        <w:rPr>
          <w:rFonts w:ascii="Times New Roman;Times;serif" w:hAnsi="Times New Roman;Times;serif"/>
          <w:sz w:val="20"/>
        </w:rPr>
        <w:t xml:space="preserve"> The following disclosure of the estimated fair value of financial instruments is made in accordance with the requirements of ASC 825, </w:t>
      </w:r>
      <w:r>
        <w:rPr>
          <w:rFonts w:ascii="Times New Roman;Times;serif" w:hAnsi="Times New Roman;Times;serif"/>
          <w:i/>
          <w:sz w:val="20"/>
        </w:rPr>
        <w:t>Financial Instruments</w:t>
      </w:r>
      <w:r>
        <w:rPr>
          <w:rFonts w:ascii="Times New Roman;Times;serif" w:hAnsi="Times New Roman;Times;serif"/>
          <w:sz w:val="20"/>
        </w:rPr>
        <w:t>. The estimated fair value amounts have been determined at discrete points in time based on relevant market information. These estimates involve uncertainties and cannot be determined with precision. The estimated fair value of cash and cash equivalents, accounts receivable, and accounts payable approximates their carrying value due to their short-term nature. The estimated fair value of the Company’s Senior Secured Credit Facility approximates carrying value because the interest rates approximate current market rates.</w:t>
        <w:b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follows the provisions of ASC 820, for nonfinancial assets and liabilities measured at fair value on a non-recurring basis. These provisions apply to the Company’s initial measurement and any subsequent revision of ARO for which fair value is calculated using discounted future cash flows derived from historical costs and management’s expectations of future cost environments. Significant Level 3 inputs used in the calculation of ARO include the costs of plugging and abandoning wells, surface restoration, and reserve lives. Subsequent to initial recognition, revisions to estimated asset retirement obligations are made when changes occur for input values. See Note 9, “</w:t>
      </w:r>
      <w:r>
        <w:rPr>
          <w:rFonts w:ascii="Times New Roman;Times;serif" w:hAnsi="Times New Roman;Times;serif"/>
          <w:i/>
          <w:sz w:val="20"/>
        </w:rPr>
        <w:t>Asset Retirement Obligations</w:t>
      </w:r>
      <w:r>
        <w:rPr>
          <w:rFonts w:ascii="Times New Roman;Times;serif" w:hAnsi="Times New Roman;Times;serif"/>
          <w:sz w:val="20"/>
        </w:rPr>
        <w:t>,” for a reconciliation of the beginning and ending balances of the liability for the Company’s ARO.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bookmarkStart w:id="919" w:name="Tc_l5Fk9nE5JU-KKZNWemZ_fQ_10_5"/>
      <w:bookmarkStart w:id="920" w:name="Tc_2xa3CNtW4E-BK4jAPX_C7Q_10_2"/>
      <w:bookmarkStart w:id="921" w:name="Tc_SZpSNbPlFU6ClAhZIAh-PQ_10_0"/>
      <w:bookmarkStart w:id="922" w:name="Tc_-Kb6aQY5yk-n_k-GgrRyuw_9_0"/>
      <w:bookmarkStart w:id="923" w:name="Tc_jMwwpp3fWkCkOVKRl6XEwA_8_0"/>
      <w:bookmarkStart w:id="924" w:name="Tc_V0s7x7Cx-U2CxYCgvz9egA_7_0"/>
      <w:bookmarkStart w:id="925" w:name="Tc_hzUvn8VW80SStnCJM4usag_6_0"/>
      <w:bookmarkStart w:id="926" w:name="Tc_6J7PuLtjBkmvFX4mUVxAwQ_5_3"/>
      <w:bookmarkStart w:id="927" w:name="Tc_QPBjsvOkY0uFrXS2t-kYQA_5_0"/>
      <w:bookmarkStart w:id="928" w:name="Tc_8X73MZ9atkG2TabcsxiIeg_4_0"/>
      <w:bookmarkStart w:id="929" w:name="Tc_G00VCNL3j0GeOZV0mZsCMQ_3_0"/>
      <w:bookmarkStart w:id="930" w:name="Tc_F1zdzFgP_0yVq7vfDkm6MQ_2_5"/>
      <w:bookmarkStart w:id="931" w:name="Tc_hlkPHQ8pREebpGKqiQgncQ_2_2"/>
      <w:bookmarkStart w:id="932" w:name="Tc_z7kbDGLX4Uq9JVMORbOm0Q_2_0"/>
      <w:bookmarkStart w:id="933" w:name="Tc_OnWBzxGiPUaMnaMyYHpxng_1_5"/>
      <w:bookmarkStart w:id="934" w:name="Tc_ymCw22VtNEq2ZIuTDTke_g_1_2"/>
      <w:bookmarkStart w:id="935" w:name="_9ffce1a7_e1bb_49c7_a9fa_47f2e7f607b5"/>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r>
        <w:rPr>
          <w:rFonts w:ascii="Times New Roman;Times;serif" w:hAnsi="Times New Roman;Times;serif"/>
          <w:b/>
          <w:sz w:val="20"/>
        </w:rPr>
        <w:t>Note 9. Asset Retirement Obligations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ARO represents the estimated present value of the amount expected to be incurred to plug, abandon, and remediate its oil and natural gas properties at the end of their productive lives in accordance with applicable laws and regulations. The Company records the ARO liability on the consolidated balance sheets and capitalizes the cost in “</w:t>
      </w:r>
      <w:r>
        <w:rPr>
          <w:rFonts w:ascii="Times New Roman;Times;serif" w:hAnsi="Times New Roman;Times;serif"/>
          <w:i/>
          <w:sz w:val="20"/>
        </w:rPr>
        <w:t xml:space="preserve">Oil and natural gas properties, subject to amortization, net” </w:t>
      </w:r>
      <w:r>
        <w:rPr>
          <w:rFonts w:ascii="Times New Roman;Times;serif" w:hAnsi="Times New Roman;Times;serif"/>
          <w:sz w:val="20"/>
        </w:rPr>
        <w:t>during the period in which the obligation is incurred. The Company records the accretion of its ARO liabilities in “</w:t>
      </w:r>
      <w:r>
        <w:rPr>
          <w:rFonts w:ascii="Times New Roman;Times;serif" w:hAnsi="Times New Roman;Times;serif"/>
          <w:i/>
          <w:sz w:val="20"/>
        </w:rPr>
        <w:t xml:space="preserve">Depletion, depreciation and accretion” </w:t>
      </w:r>
      <w:r>
        <w:rPr>
          <w:rFonts w:ascii="Times New Roman;Times;serif" w:hAnsi="Times New Roman;Times;serif"/>
          <w:sz w:val="20"/>
        </w:rPr>
        <w:t xml:space="preserve">expense in the consolidated statements of operations. </w:t>
      </w:r>
    </w:p>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following is a reconciliation of the activity related to the Company’s ARO liability (inclusive of the current portion) for the years ended June 30, 2026 and 2025 (in thousands):</w:t>
      </w:r>
    </w:p>
    <w:tbl>
      <w:tblPr>
        <w:tblW w:w="6815" w:type="dxa"/>
        <w:jc w:val="left"/>
        <w:tblInd w:w="0" w:type="dxa"/>
        <w:tblLayout w:type="fixed"/>
        <w:tblCellMar>
          <w:top w:w="0" w:type="dxa"/>
          <w:left w:w="0" w:type="dxa"/>
          <w:bottom w:w="0" w:type="dxa"/>
          <w:right w:w="0" w:type="dxa"/>
        </w:tblCellMar>
      </w:tblPr>
      <w:tblGrid>
        <w:gridCol w:w="3766"/>
        <w:gridCol w:w="346"/>
        <w:gridCol w:w="284"/>
        <w:gridCol w:w="872"/>
        <w:gridCol w:w="346"/>
        <w:gridCol w:w="260"/>
        <w:gridCol w:w="941"/>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391410" cy="175260"/>
                      <wp:effectExtent l="0" t="0" r="0" b="0"/>
                      <wp:wrapNone/>
                      <wp:docPr id="348" name="Frame347"/>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49"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80340" cy="175260"/>
                      <wp:effectExtent l="0" t="0" r="0" b="0"/>
                      <wp:wrapNone/>
                      <wp:docPr id="350" name="Frame349"/>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553720" cy="175260"/>
                      <wp:effectExtent l="0" t="0" r="0" b="0"/>
                      <wp:wrapNone/>
                      <wp:docPr id="351" name="Frame350"/>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19710" cy="175260"/>
                      <wp:effectExtent l="0" t="0" r="0" b="0"/>
                      <wp:wrapNone/>
                      <wp:docPr id="352" name="Frame3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65100" cy="175260"/>
                      <wp:effectExtent l="0" t="0" r="0" b="0"/>
                      <wp:wrapNone/>
                      <wp:docPr id="353" name="Frame352"/>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597535" cy="175260"/>
                      <wp:effectExtent l="0" t="0" r="0" b="0"/>
                      <wp:wrapNone/>
                      <wp:docPr id="354" name="Frame353"/>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  ​ ​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346" w:type="dxa"/>
            <w:tcBorders/>
            <w:vAlign w:val="center"/>
          </w:tcPr>
          <w:p>
            <w:pPr>
              <w:pStyle w:val="TableContents"/>
              <w:bidi w:val="0"/>
              <w:spacing w:before="0" w:after="1"/>
              <w:ind w:left="0" w:right="0" w:hanging="0"/>
              <w:jc w:val="left"/>
              <w:rPr/>
            </w:pPr>
            <w:r>
              <w:rPr/>
              <w:t>  ​ ​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2025</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retirement obligations —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21,830</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19,411</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Liabilities incurred</w:t>
            </w:r>
          </w:p>
        </w:tc>
        <w:tc>
          <w:tcPr>
            <w:tcW w:w="34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w:t>
            </w:r>
          </w:p>
        </w:tc>
        <w:tc>
          <w:tcPr>
            <w:tcW w:w="3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Liabilities settled</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(236)</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w:t>
            </w:r>
          </w:p>
        </w:tc>
      </w:tr>
      <w:tr>
        <w:trPr/>
        <w:tc>
          <w:tcPr>
            <w:tcW w:w="3766"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Liabilities acquired</w:t>
            </w:r>
            <w:r>
              <w:rPr>
                <w:rFonts w:ascii="Times New Roman;Times;serif" w:hAnsi="Times New Roman;Times;serif"/>
                <w:i/>
                <w:sz w:val="14"/>
              </w:rPr>
              <w:t>(1)</w:t>
            </w:r>
          </w:p>
        </w:tc>
        <w:tc>
          <w:tcPr>
            <w:tcW w:w="34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303</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Accretion of discount</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1,583</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1,619</w:t>
            </w:r>
          </w:p>
        </w:tc>
      </w:tr>
      <w:tr>
        <w:trPr/>
        <w:tc>
          <w:tcPr>
            <w:tcW w:w="3766"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Revisions of previous estimates</w:t>
            </w:r>
            <w:r>
              <w:rPr>
                <w:rFonts w:ascii="Times New Roman;Times;serif" w:hAnsi="Times New Roman;Times;serif"/>
                <w:i/>
                <w:sz w:val="14"/>
              </w:rPr>
              <w:t>(2)</w:t>
            </w:r>
          </w:p>
        </w:tc>
        <w:tc>
          <w:tcPr>
            <w:tcW w:w="346"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636</w:t>
            </w:r>
          </w:p>
        </w:tc>
        <w:tc>
          <w:tcPr>
            <w:tcW w:w="346"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718</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retirement obligations —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23,824</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21,830</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current asset retirement obligations</w:t>
            </w:r>
          </w:p>
        </w:tc>
        <w:tc>
          <w:tcPr>
            <w:tcW w:w="346"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w:t>
            </w:r>
          </w:p>
        </w:tc>
        <w:tc>
          <w:tcPr>
            <w:tcW w:w="346"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(295)</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Long-term portion of asset retirement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23,626</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21,535</w:t>
            </w:r>
          </w:p>
        </w:tc>
      </w:tr>
    </w:tbl>
    <w:tbl>
      <w:tblPr>
        <w:tblW w:w="8387" w:type="dxa"/>
        <w:jc w:val="left"/>
        <w:tblInd w:w="0" w:type="dxa"/>
        <w:tblLayout w:type="fixed"/>
        <w:tblCellMar>
          <w:top w:w="0" w:type="dxa"/>
          <w:left w:w="0" w:type="dxa"/>
          <w:bottom w:w="0" w:type="dxa"/>
          <w:right w:w="0" w:type="dxa"/>
        </w:tblCellMar>
      </w:tblPr>
      <w:tblGrid>
        <w:gridCol w:w="286"/>
        <w:gridCol w:w="8101"/>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810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See Note 3, </w:t>
            </w:r>
            <w:r>
              <w:rPr/>
              <w:t>“</w:t>
            </w:r>
            <w:r>
              <w:rPr>
                <w:rFonts w:ascii="Times New Roman;Times;serif" w:hAnsi="Times New Roman;Times;serif"/>
                <w:b w:val="false"/>
                <w:i/>
                <w:sz w:val="18"/>
              </w:rPr>
              <w:t>Acquisitions and Divestitures</w:t>
            </w:r>
            <w:r>
              <w:rPr>
                <w:rFonts w:ascii="Times New Roman;Times;serif" w:hAnsi="Times New Roman;Times;serif"/>
                <w:b w:val="false"/>
                <w:i w:val="false"/>
                <w:caps w:val="false"/>
                <w:smallCaps w:val="false"/>
                <w:sz w:val="18"/>
              </w:rPr>
              <w:t>,</w:t>
            </w:r>
            <w:r>
              <w:rPr/>
              <w:t>”</w:t>
            </w:r>
            <w:r>
              <w:rPr>
                <w:caps w:val="false"/>
                <w:smallCaps w:val="false"/>
              </w:rPr>
              <w:t xml:space="preserve"> </w:t>
            </w:r>
            <w:r>
              <w:rPr>
                <w:rFonts w:ascii="Times New Roman;Times;serif" w:hAnsi="Times New Roman;Times;serif"/>
                <w:b w:val="false"/>
                <w:i w:val="false"/>
                <w:caps w:val="false"/>
                <w:smallCaps w:val="false"/>
                <w:sz w:val="18"/>
              </w:rPr>
              <w:t>for additional information on the Company’s acquisition activities.</w:t>
            </w:r>
          </w:p>
        </w:tc>
      </w:tr>
    </w:tbl>
    <w:tbl>
      <w:tblPr>
        <w:tblW w:w="8237" w:type="dxa"/>
        <w:jc w:val="left"/>
        <w:tblInd w:w="0" w:type="dxa"/>
        <w:tblLayout w:type="fixed"/>
        <w:tblCellMar>
          <w:top w:w="0" w:type="dxa"/>
          <w:left w:w="0" w:type="dxa"/>
          <w:bottom w:w="0" w:type="dxa"/>
          <w:right w:w="0" w:type="dxa"/>
        </w:tblCellMar>
      </w:tblPr>
      <w:tblGrid>
        <w:gridCol w:w="286"/>
        <w:gridCol w:w="7951"/>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(2)</w:t>
            </w:r>
          </w:p>
        </w:tc>
        <w:tc>
          <w:tcPr>
            <w:tcW w:w="79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Primarily related to upward revisions for increased cost estimates for the years ended June 30, 2026 and 2025.</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10. Commitments and Contingencies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subject to various claims and contingencies in the normal course of business. In addition, from time to time, the Company receives communications from government or regulatory agencies concerning investigations or allegations of noncompliance with laws or regulations in jurisdictions in which the Company operates. The Company discloses such matters if it believes there is a reasonable possibility that a future event or events will confirm a material loss through impairment of an asset or the incurrence of a material liability. The Company accrues a material loss if it believes it probable that a future event or events will confirm a loss and the loss is reasonably subject to estimation. Furthermore, the Company will disclose any matter that is unasserted if it considers it probable that a claim will be asserted and there is a reasonable possibility that the outcome will be unfavorable and material in amount. The Company expenses legal defense costs as they are incurred.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11. Stockholders’ Equity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2026, the Company had 35,949,843 shares of common stock outstanding.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began paying quarterly cash dividends on common stock in December 2013. As of June 30, 2026, the Company has cumulatively paid over $151.7 million in cash dividends. The Company paid dividends of $16.9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rFonts w:ascii="Times New Roman;Times;serif" w:hAnsi="Times New Roman;Times;serif"/>
          <w:sz w:val="20"/>
        </w:rPr>
      </w:pPr>
      <w:bookmarkStart w:id="936" w:name="Tc_hmLrAJ1XjU6isn8GxeGwyg_5_5"/>
      <w:bookmarkStart w:id="937" w:name="Tc_k2XPBRL9CE-U02ex724Abg_5_2"/>
      <w:bookmarkStart w:id="938" w:name="Tc_TwI3b-0RjkuhH2nCMO_ELA_5_0"/>
      <w:bookmarkStart w:id="939" w:name="Tc_lji88yN1XkWNAcs5wEUAgA_4_5"/>
      <w:bookmarkStart w:id="940" w:name="Tc_72_jmdPOXkS4gpcKcrO3tA_4_2"/>
      <w:bookmarkStart w:id="941" w:name="Tc_sZn7CH77X0u2DG-4JUok8w_4_0"/>
      <w:bookmarkStart w:id="942" w:name="Tc_uxrgyUkuOUuJIlnjorM2MA_3_0"/>
      <w:bookmarkStart w:id="943" w:name="Tc_0Cd2kJEPg0O4QpjbcvBowg_2_5"/>
      <w:bookmarkStart w:id="944" w:name="Tc_rjWUaII7-UyP1tE5a066sQ_2_2"/>
      <w:bookmarkStart w:id="945" w:name="Tc_p7D23VzhOECITskpKSGPRQ_1_2"/>
      <w:bookmarkStart w:id="946" w:name="Tc_VSWiF-7pykSkED_fyOE_fA_6_0"/>
      <w:bookmarkStart w:id="947" w:name="Tc_ZTB7O6Cg0UK_L2rUJ9d0nA_5_0"/>
      <w:bookmarkStart w:id="948" w:name="Tc_AjjPd7YsWkyiwnV3WrgRpw_4_0"/>
      <w:bookmarkStart w:id="949" w:name="Tc_33XBeMzZzU6bkK8F8VX9AQ_3_5"/>
      <w:bookmarkStart w:id="950" w:name="Tc_SOqIOyWov0KDP_6tjJFNLQ_3_2"/>
      <w:bookmarkStart w:id="951" w:name="Tc_1mkCm0uDekWeNjqsfJ6Lag_3_0"/>
      <w:bookmarkStart w:id="952" w:name="Tc_BGzGfzE_W0iKpDrGmvfs-g_2_5"/>
      <w:bookmarkStart w:id="953" w:name="Tc_VSBzEzZS1EiOguNDm_Z5KA_2_2"/>
      <w:bookmarkStart w:id="954" w:name="Tc_Wdbs51LZWE-mUtFiHdqBGg_1_2"/>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r>
        <w:rPr>
          <w:rFonts w:ascii="Times New Roman;Times;serif" w:hAnsi="Times New Roman;Times;serif"/>
          <w:sz w:val="20"/>
        </w:rPr>
        <w:t>and $16.3 million to its common stockholders during the years ended June 30, 2026 and 2025, respectively. The following table reflects the dividends paid per share within the respective quarterly periods:</w:t>
      </w:r>
    </w:p>
    <w:p>
      <w:pPr>
        <w:pStyle w:val="TextBody"/>
        <w:bidi w:val="0"/>
        <w:spacing w:before="0" w:after="240"/>
        <w:ind w:left="0" w:right="0" w:hanging="0"/>
        <w:jc w:val="left"/>
        <w:rPr/>
      </w:pPr>
      <w:r>
        <w:rPr/>
        <w:t>​</w:t>
      </w:r>
    </w:p>
    <w:tbl>
      <w:tblPr>
        <w:tblW w:w="3637" w:type="dxa"/>
        <w:jc w:val="left"/>
        <w:tblInd w:w="0" w:type="dxa"/>
        <w:tblLayout w:type="fixed"/>
        <w:tblCellMar>
          <w:top w:w="0" w:type="dxa"/>
          <w:left w:w="0" w:type="dxa"/>
          <w:bottom w:w="0" w:type="dxa"/>
          <w:right w:w="0" w:type="dxa"/>
        </w:tblCellMar>
      </w:tblPr>
      <w:tblGrid>
        <w:gridCol w:w="1606"/>
        <w:gridCol w:w="346"/>
        <w:gridCol w:w="196"/>
        <w:gridCol w:w="421"/>
        <w:gridCol w:w="346"/>
        <w:gridCol w:w="196"/>
        <w:gridCol w:w="526"/>
      </w:tblGrid>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019810" cy="175260"/>
                      <wp:effectExtent l="0" t="0" r="0" b="0"/>
                      <wp:wrapNone/>
                      <wp:docPr id="355" name="Frame354"/>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56" name="Frame3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24460" cy="175260"/>
                      <wp:effectExtent l="0" t="0" r="0" b="0"/>
                      <wp:wrapNone/>
                      <wp:docPr id="357" name="Frame3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67335" cy="175260"/>
                      <wp:effectExtent l="0" t="0" r="0" b="0"/>
                      <wp:wrapNone/>
                      <wp:docPr id="358" name="Frame357"/>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9710" cy="175260"/>
                      <wp:effectExtent l="0" t="0" r="0" b="0"/>
                      <wp:wrapNone/>
                      <wp:docPr id="359"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24460" cy="175260"/>
                      <wp:effectExtent l="0" t="0" r="0" b="0"/>
                      <wp:wrapNone/>
                      <wp:docPr id="360" name="Frame3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334010" cy="175260"/>
                      <wp:effectExtent l="0" t="0" r="0" b="0"/>
                      <wp:wrapNone/>
                      <wp:docPr id="361" name="Frame360"/>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w:t>
            </w:r>
          </w:p>
        </w:tc>
      </w:tr>
      <w:tr>
        <w:trPr/>
        <w:tc>
          <w:tcPr>
            <w:tcW w:w="16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7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16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Fourth fiscal quarter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w:t>
            </w:r>
          </w:p>
        </w:tc>
      </w:tr>
      <w:tr>
        <w:trPr/>
        <w:tc>
          <w:tcPr>
            <w:tcW w:w="16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Third fiscal quarter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w:t>
            </w:r>
          </w:p>
        </w:tc>
      </w:tr>
      <w:tr>
        <w:trPr/>
        <w:tc>
          <w:tcPr>
            <w:tcW w:w="16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Second fiscal quarter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w:t>
            </w:r>
          </w:p>
        </w:tc>
      </w:tr>
      <w:tr>
        <w:trPr/>
        <w:tc>
          <w:tcPr>
            <w:tcW w:w="16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First fiscal quarter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0.12</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September 10, 2026, Evolution’s Board of Directors approved and declared a quarterly dividend of $0.12 per common share payable September 30, 2026. Refer to Note 15, “</w:t>
      </w:r>
      <w:r>
        <w:rPr>
          <w:rFonts w:ascii="Times New Roman;Times;serif" w:hAnsi="Times New Roman;Times;serif"/>
          <w:i/>
          <w:sz w:val="20"/>
        </w:rPr>
        <w:t xml:space="preserve">Subsequent Events,” </w:t>
      </w:r>
      <w:r>
        <w:rPr>
          <w:rFonts w:ascii="Times New Roman;Times;serif" w:hAnsi="Times New Roman;Times;serif"/>
          <w:sz w:val="20"/>
        </w:rPr>
        <w:t>for a further discussion.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color w:val="212529"/>
          <w:sz w:val="20"/>
          <w:shd w:fill="FFFFFF" w:val="clear"/>
        </w:rPr>
        <w:t xml:space="preserve">On August 20, 2026, the Company completed a public offering issuing an aggregate of 4.3 million shares of its common stock. </w:t>
      </w:r>
      <w:r>
        <w:rPr>
          <w:rFonts w:ascii="Times New Roman;Times;serif" w:hAnsi="Times New Roman;Times;serif"/>
          <w:sz w:val="20"/>
        </w:rPr>
        <w:t>See Note 15, “</w:t>
      </w:r>
      <w:r>
        <w:rPr>
          <w:rFonts w:ascii="Times New Roman;Times;serif" w:hAnsi="Times New Roman;Times;serif"/>
          <w:i/>
          <w:sz w:val="20"/>
        </w:rPr>
        <w:t>Subsequent Events,”</w:t>
      </w:r>
      <w:r>
        <w:rPr>
          <w:rFonts w:ascii="Times New Roman;Times;serif" w:hAnsi="Times New Roman;Times;serif"/>
          <w:sz w:val="20"/>
        </w:rPr>
        <w:t xml:space="preserve"> for further details.</w:t>
      </w:r>
    </w:p>
    <w:p>
      <w:pPr>
        <w:pStyle w:val="TextBody"/>
        <w:bidi w:val="0"/>
        <w:spacing w:before="0" w:after="0"/>
        <w:ind w:left="0" w:right="0" w:hanging="0"/>
        <w:jc w:val="left"/>
        <w:rPr>
          <w:color w:val="212529"/>
          <w:shd w:fill="FFFFFF" w:val="clear"/>
        </w:rPr>
      </w:pPr>
      <w:r>
        <w:rPr>
          <w:color w:val="212529"/>
          <w:shd w:fill="FFFFFF" w:val="clear"/>
        </w:rPr>
        <w:t>​</w:t>
      </w:r>
    </w:p>
    <w:p>
      <w:pPr>
        <w:pStyle w:val="TextBody"/>
        <w:bidi w:val="0"/>
        <w:spacing w:before="0" w:after="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 xml:space="preserve">On October 21, 2024, the Company entered into an At-the-Market (“ATM”) equity Sales Agreement with Roth Capital Partners, LLC (the “Lead Agent”), Northland Securities Inc., and A.G.P./Alliance Global Partners pursuant to which the Company may issue and sell, from time to time, up to $30.0 million of shares of common stock through or to the Lead Agent, acting as agent or principal to facilitate acquisitions and other general corporate purposes. On February 11, 2026, the Company executed a new ATM equity Sales Agreement, substantially consistent with the original October 2024 agreement (the “ATM Sales Agreements”) restoring the $30.0 million common stock sales capacity. For the year ended June 30, 2026, the Company sold a total of approximately 1.4 million shares of its common stock under the ATM Sales Agreements for net proceeds of approximately $5.8 million, net of $0.2 million of offering costs incurred. For the year ended June 30, 2025, the Company sold a total of approximately 0.7 million shares of its common stock under the ATM Sales Agreements for net proceeds of approximately $3.5 million, after deducting $0.3 million in offering costs. Net proceeds from the sales of common stock were used to fund a portion of our Louisiana Minerals acquisitions and for general corporate purposes.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September 8, 2022, the Board of Directors approved a share repurchase program, under which the Company was authorized to repurchase up to $25.0 million of its common stock in the open market through December 31, 2024. The Company funded repurchases from working capital and cash provided by operating activities. The share repurchase program was complimentary to the existing dividend policy and was a tax efficient means to further improve shareholder return. The shares were repurchased in open market transactions, through privately negotiated transactions or by other means in accordance with federal securities laws. The Company did not repurchase any shares of common stock under the plan during the six months ended December 31, 2024, the plan’s termination date. While the plan was in effect, a total of 0.8 million shares of the Company’s common stock were repurchased under the program at a total cost of approximately $4.6 million, including incremental direct transaction costs.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years ended June 30, 2026 and 2025, the Company acquired treasury stock upon the ordinary course of scheduled vestings of employee stock-based awards to fund payroll tax withholding obligations. These treasury shares were subsequently cancelled. Such shares were valued at fair market value on the date of vesting. The following table summarizes all treasury stock purchases in the years ended June 30, 2026 and 2025 (in thousands, except per share amounts):</w:t>
      </w:r>
    </w:p>
    <w:p>
      <w:pPr>
        <w:pStyle w:val="TextBody"/>
        <w:bidi w:val="0"/>
        <w:spacing w:before="0" w:after="0"/>
        <w:ind w:left="0" w:right="0" w:hanging="0"/>
        <w:jc w:val="left"/>
        <w:rPr/>
      </w:pPr>
      <w:r>
        <w:rPr/>
        <w:t>​</w:t>
      </w:r>
    </w:p>
    <w:tbl>
      <w:tblPr>
        <w:tblW w:w="4876" w:type="dxa"/>
        <w:jc w:val="left"/>
        <w:tblInd w:w="0" w:type="dxa"/>
        <w:tblLayout w:type="fixed"/>
        <w:tblCellMar>
          <w:top w:w="0" w:type="dxa"/>
          <w:left w:w="0" w:type="dxa"/>
          <w:bottom w:w="0" w:type="dxa"/>
          <w:right w:w="0" w:type="dxa"/>
        </w:tblCellMar>
      </w:tblPr>
      <w:tblGrid>
        <w:gridCol w:w="2761"/>
        <w:gridCol w:w="346"/>
        <w:gridCol w:w="247"/>
        <w:gridCol w:w="531"/>
        <w:gridCol w:w="137"/>
        <w:gridCol w:w="247"/>
        <w:gridCol w:w="607"/>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753235" cy="175260"/>
                      <wp:effectExtent l="0" t="0" r="0" b="0"/>
                      <wp:wrapNone/>
                      <wp:docPr id="362" name="Frame361"/>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19710" cy="175260"/>
                      <wp:effectExtent l="0" t="0" r="0" b="0"/>
                      <wp:wrapNone/>
                      <wp:docPr id="363" name="Frame3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56845" cy="175260"/>
                      <wp:effectExtent l="0" t="0" r="0" b="0"/>
                      <wp:wrapNone/>
                      <wp:docPr id="364" name="Frame363"/>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337185" cy="175260"/>
                      <wp:effectExtent l="0" t="0" r="0" b="0"/>
                      <wp:wrapNone/>
                      <wp:docPr id="365" name="Frame364"/>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86995" cy="175260"/>
                      <wp:effectExtent l="0" t="0" r="0" b="0"/>
                      <wp:wrapNone/>
                      <wp:docPr id="366" name="Frame365"/>
                      <a:graphic xmlns:a="http://schemas.openxmlformats.org/drawingml/2006/main">
                        <a:graphicData uri="http://schemas.microsoft.com/office/word/2010/wordprocessingShape">
                          <wps:wsp>
                            <wps:cNvSpPr txBox="1"/>
                            <wps:spPr>
                              <a:xfrm>
                                <a:off x="0" y="0"/>
                                <a:ext cx="86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56845" cy="175260"/>
                      <wp:effectExtent l="0" t="0" r="0" b="0"/>
                      <wp:wrapNone/>
                      <wp:docPr id="367" name="Frame366"/>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385445" cy="175260"/>
                      <wp:effectExtent l="0" t="0" r="0" b="0"/>
                      <wp:wrapNone/>
                      <wp:docPr id="368" name="Frame367"/>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6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June 30, </w:t>
            </w:r>
          </w:p>
        </w:tc>
      </w:tr>
      <w:tr>
        <w:trPr/>
        <w:tc>
          <w:tcPr>
            <w:tcW w:w="27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7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37" w:type="dxa"/>
            <w:tcBorders/>
            <w:vAlign w:val="center"/>
          </w:tcPr>
          <w:p>
            <w:pPr>
              <w:pStyle w:val="TableContents"/>
              <w:bidi w:val="0"/>
              <w:spacing w:before="0" w:after="1"/>
              <w:ind w:left="0" w:right="0" w:hanging="0"/>
              <w:jc w:val="left"/>
              <w:rPr/>
            </w:pPr>
            <w:r>
              <w:rPr/>
              <w:t>​</w:t>
            </w:r>
          </w:p>
        </w:tc>
        <w:tc>
          <w:tcPr>
            <w:tcW w:w="85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Number of treasury shares acquired</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w:t>
            </w:r>
          </w:p>
        </w:tc>
        <w:tc>
          <w:tcPr>
            <w:tcW w:w="137"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60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Average cost per share</w:t>
            </w:r>
          </w:p>
        </w:tc>
        <w:tc>
          <w:tcPr>
            <w:tcW w:w="346" w:type="dxa"/>
            <w:tcBorders/>
            <w:vAlign w:val="center"/>
          </w:tcPr>
          <w:p>
            <w:pPr>
              <w:pStyle w:val="TableContents"/>
              <w:bidi w:val="0"/>
              <w:spacing w:before="0" w:after="1"/>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4.82</w:t>
            </w:r>
          </w:p>
        </w:tc>
        <w:tc>
          <w:tcPr>
            <w:tcW w:w="137" w:type="dxa"/>
            <w:tcBorders/>
            <w:vAlign w:val="center"/>
          </w:tcPr>
          <w:p>
            <w:pPr>
              <w:pStyle w:val="TableContents"/>
              <w:bidi w:val="0"/>
              <w:spacing w:before="0" w:after="1"/>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5.01</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cost of treasury shares acquired</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225</w:t>
            </w:r>
          </w:p>
        </w:tc>
        <w:tc>
          <w:tcPr>
            <w:tcW w:w="137" w:type="dxa"/>
            <w:tcBorders/>
            <w:shd w:fill="CCEEFF" w:val="clear"/>
            <w:vAlign w:val="center"/>
          </w:tcPr>
          <w:p>
            <w:pPr>
              <w:pStyle w:val="TableContents"/>
              <w:bidi w:val="0"/>
              <w:spacing w:before="0" w:after="1"/>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442</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Expected Tax Treatment of Dividends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fiscal year ended June 30, 2025, all common stock dividends for that fiscal year were treated for tax purposes as qualified dividend income to the recipients. Based on its current projections for the fiscal year ended June 30, 2026, the Company expects all common stock dividends for such period to be treated as qualified dividend income to the recipients.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Incentive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Evolution Petroleum Corporation 2016 Equity Incentive Plan (as amended the “2016 Plan”), authorizes the issuance of 3.6 million shares of common stock prior to its expiration on December 8, 2026. On December 5, 2024 shareholders approved and adopted the amendment and restatement of the 2016 Plan (hereinafter the “Amended and Restated Plan”), which increased the shares authorized for issuance under the 2016 Plan by 2.1 million shares to a maximum of 5.7 million shares. The duration of the Amended and Restated Plan is indefinite, provided that no new awards shall be made under the Amended and Restated Plan on or after the tenth anniversary of the date the stockholders approved the Amended and Restated Plan. Incentives under the Amended and Restated Plan may be granted to employees, directors, and consultants of the Company in any one or a combination of the following forms: incentive stock options, non-qualified stock options, stock appreciation rights, restricted awards, and performance share awards. As of June 30, 2026 and 2025, approximately 2.1 million shares and 2.5 million shares, respectively, remained available for grant under the Amended and Restated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estimates the fair value of stock-based compensation awards on the grant date to provide the basis for future compensation expense. For the years ended June 30, 2026, and 2025, the Company recognized $2.3 million and $2.5 million, respectively, related to stock-based compensation expense recorded as a component of “</w:t>
      </w:r>
      <w:r>
        <w:rPr>
          <w:rFonts w:ascii="Times New Roman;Times;serif" w:hAnsi="Times New Roman;Times;serif"/>
          <w:i/>
          <w:sz w:val="20"/>
        </w:rPr>
        <w:t>General and administrative expenses</w:t>
      </w:r>
      <w:r>
        <w:rPr>
          <w:rFonts w:ascii="Times New Roman;Times;serif" w:hAnsi="Times New Roman;Times;serif"/>
          <w:sz w:val="20"/>
        </w:rPr>
        <w:t xml:space="preserve">” on the consolidated statements of operations.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Time-Vested Restricted Stock Awards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Time-vested restricted stock awards contain service-based vesting conditions and expire after a maximum of four years from the date of grant if unvested. The common shares underlying these awards are issued on the date of grant and participate in dividends paid by the Company. These service-based awards vest with continuous employment by the Company, generally in annual installments over terms of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four years. Awards to the Company’s directors generally have one-year cliff vesting. For such awards, grant date fair value is based on market value of the Company’s common stock at the time of grant. This value is then amortized ratably over the service period. Previously recognized amortization expense subsequent to the last vesting date of an award is reversed in the event that the holder has no longer rendered service to the Company resulting in forfeiture of the award.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Performance-Based Restricted Stock Awards and Performance-Based Contingent Stock Units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Performance-based restricted stock awards and performance-based contingent stock units contain market-based vesting conditions based on the price of the Company’s common stock compared to the performance of the common stock of its peers. The common shares underlying the Company’s performance-based restricted stock awards are issued on the date of grant and participate in dividends paid by the Company and expire after a maximum of three years from the date of grant if unvested. Performance-based contingent share units do not participate in dividends and shares are only issued in part or in full upon the attainment of vesting conditions, generally have a lower probability of achievement and expire after a maximum of three years from the date of grant if unvested. Shares underlying performance-based contingent share units are reserved from the Amended and Restated Plan. Performance-based restricted stock awards and contingent restricted stock units are valued using a Monte Carlo simulation and geometric Brownian motion techniques applied to the historical volatility of the Company’s total stock return compared to the historical volatilities of other companies or indices to which the Company compares its performance. Stock-based compensation is recognized ratably over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sz w:val="20"/>
        </w:rPr>
      </w:pPr>
      <w:bookmarkStart w:id="955" w:name="Tc_kIDPyeYc4kK0LBgyGlOqWQ_16_12"/>
      <w:bookmarkStart w:id="956" w:name="Tc_Vwk_Dm2-jE-ElP3vVpJHLw_16_7"/>
      <w:bookmarkStart w:id="957" w:name="Tc_9bM22Qad306DuaSAtqeKEw_16_4"/>
      <w:bookmarkStart w:id="958" w:name="Tc_NYjwu0wLyEmhZj8YkUEhBQ_16_0"/>
      <w:bookmarkStart w:id="959" w:name="Tc_gH2kBY10B02NhWmQxSQBng_15_0"/>
      <w:bookmarkStart w:id="960" w:name="Tc_a26YQLDJxEe78yYHqyLbtA_14_0"/>
      <w:bookmarkStart w:id="961" w:name="Tc_X24slyJfSk6RoE9K_p6Yww_13_0"/>
      <w:bookmarkStart w:id="962" w:name="Tc_6VT2byHd5UKQ9XLq-QEF3w_12_0"/>
      <w:bookmarkStart w:id="963" w:name="Tc_7oPBk4B6Tkmf8oPTPQqFOw_11_12"/>
      <w:bookmarkStart w:id="964" w:name="Tc_k0cuMyseMEq5VX32HvIVbg_11_7"/>
      <w:bookmarkStart w:id="965" w:name="Tc_LfffAZnpQEisJB6qa2Ao4Q_11_4"/>
      <w:bookmarkStart w:id="966" w:name="Tc_Gp3cASJewUihAz0VSdRjig_11_0"/>
      <w:bookmarkStart w:id="967" w:name="Tc_iclCZ0SouEySa0iqOydJtQ_10_0"/>
      <w:bookmarkStart w:id="968" w:name="Tc_EcDrT0DulUimBRRm502q7w_9_0"/>
      <w:bookmarkStart w:id="969" w:name="Tc_AXAzXytNtk6OvKtKNcPILw_8_0"/>
      <w:bookmarkStart w:id="970" w:name="Tc_BWMHS87C4kisOC2pRoZmXw_7_0"/>
      <w:bookmarkStart w:id="971" w:name="Tc_LIs9Iu3j706roKgWmGJLlQ_6_4"/>
      <w:bookmarkStart w:id="972" w:name="Tc_kJ3YR_J5902PtieneBWqUw_6_0"/>
      <w:bookmarkStart w:id="973" w:name="Tc_OV2FkoFCPUqPgb1nvPhT8A_5_12"/>
      <w:bookmarkStart w:id="974" w:name="Tc_NiZcWzlSJESXI04mlhU3Mg_5_10"/>
      <w:bookmarkStart w:id="975" w:name="Tc_eS1LDjHUzkClyPg1fQ3L-A_5_7"/>
      <w:bookmarkStart w:id="976" w:name="Tc_0yqiSrsSHU2AWm8XF6kdvw_5_4"/>
      <w:bookmarkStart w:id="977" w:name="Tc_FjoZ9lZ6QUKudYPE3PUGBw_5_2"/>
      <w:bookmarkStart w:id="978" w:name="Tc_jevaRdHPYU-xJpkpoo8d-Q_4_12"/>
      <w:bookmarkStart w:id="979" w:name="Tc_l6p1KjB0UEqItfVvKFQ_Iw_4_10"/>
      <w:bookmarkStart w:id="980" w:name="Tc_08PoYWDNU0uTqpW6xLs-Pg_4_7"/>
      <w:bookmarkStart w:id="981" w:name="Tc_xndKYU-BUEK-tXxT5nEbbg_4_4"/>
      <w:bookmarkStart w:id="982" w:name="Tc_41rCDzV9WEeP61jkl7VCRA_4_2"/>
      <w:bookmarkStart w:id="983" w:name="Tc_pNDolFtP_0aX-6V8FbWs8Q_3_12"/>
      <w:bookmarkStart w:id="984" w:name="Tc_W-yaN1IYWUGB1O2f88_iYA_3_10"/>
      <w:bookmarkStart w:id="985" w:name="Tc_uD0xzfRWk0W5B7WXNLDuHA_3_7"/>
      <w:bookmarkStart w:id="986" w:name="Tc_Iy9o8XrQd0u8eij_C2k-VQ_3_4"/>
      <w:bookmarkStart w:id="987" w:name="Tc_MLQuMahvCkSY66qLxKV2Xg_3_2"/>
      <w:bookmarkStart w:id="988" w:name="Tc_BKuZ-xWFTky_OcFVxd3fDg_2_10"/>
      <w:bookmarkStart w:id="989" w:name="Tc_vh8cSZhBq0idov89yNHLfw_2_7"/>
      <w:bookmarkStart w:id="990" w:name="Tc_4XRp-fAoIEeilwrkzr-7nA_2_4"/>
      <w:bookmarkStart w:id="991" w:name="Tc_edoAxYv6EUar0vGeXLFbAg_1_10"/>
      <w:bookmarkStart w:id="992" w:name="_8fcdb4a4_ea14_45db_bd0a_1c4354924461"/>
      <w:bookmarkStart w:id="993" w:name="Tc_YnldE9XKI0uJ3tbThih4Lg_7_4"/>
      <w:bookmarkStart w:id="994" w:name="Tc_ykYDuaLCnESpd0b0fCpZBg_7_0"/>
      <w:bookmarkStart w:id="995" w:name="Tc_-njdkBTlj0WHeIBCX6Kp9Q_6_0"/>
      <w:bookmarkStart w:id="996" w:name="Tc_0HZJoOg1EEu3NfRU-buUaQ_5_4"/>
      <w:bookmarkStart w:id="997" w:name="Tc_AN8Vrdtx5E-D1A_Wu--IAA_5_0"/>
      <w:bookmarkStart w:id="998" w:name="Tc_zWSziqdztUKT8euCnNmwDQ_4_4"/>
      <w:bookmarkStart w:id="999" w:name="Tc_lfWcPQtVwUuIHDjjJ_Yi3Q_4_2"/>
      <w:bookmarkStart w:id="1000" w:name="Tc_PVgJYdDg90-cZ0HtegXVJQ_4_0"/>
      <w:bookmarkStart w:id="1001" w:name="Tc_dePv1Rics0WyRJVgj4Q8fQ_3_4"/>
      <w:bookmarkStart w:id="1002" w:name="Tc_27kIyQEU6UuoIhWsJhilfw_3_2"/>
      <w:bookmarkStart w:id="1003" w:name="Tc_jMTWXwYKqE2y6D1Eai9dGA_2_4"/>
      <w:bookmarkStart w:id="1004" w:name="Tc_Npo3ydhRp0ezj_xR_B6CLg_2_2"/>
      <w:bookmarkStart w:id="1005" w:name="Tc_mkpFJ-_fp066X6Wp6wM5lw_1_4"/>
      <w:bookmarkStart w:id="1006" w:name="_e7c277f2_91e9_4d24_af2a_c1bf2712034a"/>
      <w:bookmarkStart w:id="1007" w:name="Tc_e1UPM4YItk6TzyZCaHyVsA_7_0"/>
      <w:bookmarkStart w:id="1008" w:name="Tc_btAama07nkygBOH12rKkTQ_6_0"/>
      <w:bookmarkStart w:id="1009" w:name="Tc_sB-XRXM9PU-8FVPI6hgSQg_5_0"/>
      <w:bookmarkStart w:id="1010" w:name="Tc_7eL1XQeGoECGH3VNIRxMMw_4_0"/>
      <w:bookmarkStart w:id="1011" w:name="Tc_USSt82G6x0K6oElVEj7N_A_3_5"/>
      <w:bookmarkStart w:id="1012" w:name="Tc_msDAaKj8u0Oeu1axhCChLA_3_2"/>
      <w:bookmarkStart w:id="1013" w:name="Tc_Xd7rPiVgMEmcDRMNJVWUig_3_0"/>
      <w:bookmarkStart w:id="1014" w:name="Tc_YTXGjxIDJEya4HHZTg087w_2_5"/>
      <w:bookmarkStart w:id="1015" w:name="Tc_1OqpA7cB5ESsd9IEmfnfNg_2_2"/>
      <w:bookmarkStart w:id="1016" w:name="Tc_J0yABAn-KEi-AUZ24R0oeA_1_2"/>
      <w:bookmarkStart w:id="1017" w:name="_d4a6a793_b6f0_4922_8636_3c3ba296fd88"/>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r>
        <w:rPr>
          <w:rFonts w:ascii="Times New Roman;Times;serif" w:hAnsi="Times New Roman;Times;serif"/>
          <w:sz w:val="20"/>
        </w:rPr>
        <w:t>expected vesting period, so long as the award holder remains an employee of the Company. Previously recognized compensation expense is only reversed for the awards with market-based vesting conditions if the requisite service period is not rendered by the holder resulting in forfeiture of the award or as a result of regulatory required clawback.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Vesting of grants with performance-based vesting conditions is dependent on the future price of the Company’s common stock. Such awards vest in part or in full if the trailing total returns on the Company’s common stock for a specified three-year period exceed the corresponding total returns of various quartiles of indices consisting of peer companies.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For performance-based awards granted during the years ended June 30, 2026 and 2025, the assumptions used in the Monte Carlo simulation valuations were as follows:</w:t>
      </w:r>
    </w:p>
    <w:tbl>
      <w:tblPr>
        <w:tblW w:w="7072" w:type="dxa"/>
        <w:jc w:val="left"/>
        <w:tblInd w:w="0" w:type="dxa"/>
        <w:tblLayout w:type="fixed"/>
        <w:tblCellMar>
          <w:top w:w="0" w:type="dxa"/>
          <w:left w:w="0" w:type="dxa"/>
          <w:bottom w:w="0" w:type="dxa"/>
          <w:right w:w="0" w:type="dxa"/>
        </w:tblCellMar>
      </w:tblPr>
      <w:tblGrid>
        <w:gridCol w:w="4801"/>
        <w:gridCol w:w="346"/>
        <w:gridCol w:w="196"/>
        <w:gridCol w:w="571"/>
        <w:gridCol w:w="346"/>
        <w:gridCol w:w="196"/>
        <w:gridCol w:w="616"/>
      </w:tblGrid>
      <w:tr>
        <w:trPr/>
        <w:tc>
          <w:tcPr>
            <w:tcW w:w="4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3048635" cy="175260"/>
                      <wp:effectExtent l="0" t="0" r="0" b="0"/>
                      <wp:wrapNone/>
                      <wp:docPr id="369" name="Frame368"/>
                      <a:graphic xmlns:a="http://schemas.openxmlformats.org/drawingml/2006/main">
                        <a:graphicData uri="http://schemas.microsoft.com/office/word/2010/wordprocessingShape">
                          <wps:wsp>
                            <wps:cNvSpPr txBox="1"/>
                            <wps:spPr>
                              <a:xfrm>
                                <a:off x="0" y="0"/>
                                <a:ext cx="304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19710" cy="175260"/>
                      <wp:effectExtent l="0" t="0" r="0" b="0"/>
                      <wp:wrapNone/>
                      <wp:docPr id="370"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24460" cy="175260"/>
                      <wp:effectExtent l="0" t="0" r="0" b="0"/>
                      <wp:wrapNone/>
                      <wp:docPr id="371" name="Frame3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362585" cy="175260"/>
                      <wp:effectExtent l="0" t="0" r="0" b="0"/>
                      <wp:wrapNone/>
                      <wp:docPr id="372" name="Frame37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73" name="Frame3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24460" cy="175260"/>
                      <wp:effectExtent l="0" t="0" r="0" b="0"/>
                      <wp:wrapNone/>
                      <wp:docPr id="374" name="Frame3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391160" cy="175260"/>
                      <wp:effectExtent l="0" t="0" r="0" b="0"/>
                      <wp:wrapNone/>
                      <wp:docPr id="375" name="Frame37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Years Ended June 30, </w:t>
            </w:r>
          </w:p>
        </w:tc>
      </w:tr>
      <w:tr>
        <w:trPr/>
        <w:tc>
          <w:tcPr>
            <w:tcW w:w="4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fair value of performance-based awards granted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3.90</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Risk-free interest rate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3.45%</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Expected term in years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2.78</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Expected volatility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50.2%</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Dividend yield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8.4%</w:t>
            </w:r>
          </w:p>
        </w:tc>
      </w:tr>
    </w:tbl>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Unvested restricted stock awards as of June 30, 2026 consisted of the following:</w:t>
      </w:r>
    </w:p>
    <w:tbl>
      <w:tblPr>
        <w:tblW w:w="4715" w:type="dxa"/>
        <w:jc w:val="left"/>
        <w:tblInd w:w="0" w:type="dxa"/>
        <w:tblLayout w:type="fixed"/>
        <w:tblCellMar>
          <w:top w:w="0" w:type="dxa"/>
          <w:left w:w="0" w:type="dxa"/>
          <w:bottom w:w="0" w:type="dxa"/>
          <w:right w:w="0" w:type="dxa"/>
        </w:tblCellMar>
      </w:tblPr>
      <w:tblGrid>
        <w:gridCol w:w="2041"/>
        <w:gridCol w:w="346"/>
        <w:gridCol w:w="946"/>
        <w:gridCol w:w="346"/>
        <w:gridCol w:w="280"/>
        <w:gridCol w:w="75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296035" cy="175260"/>
                      <wp:effectExtent l="0" t="0" r="0" b="0"/>
                      <wp:wrapNone/>
                      <wp:docPr id="376" name="Frame375"/>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19710" cy="175260"/>
                      <wp:effectExtent l="0" t="0" r="0" b="0"/>
                      <wp:wrapNone/>
                      <wp:docPr id="377"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00710" cy="175260"/>
                      <wp:effectExtent l="0" t="0" r="0" b="0"/>
                      <wp:wrapNone/>
                      <wp:docPr id="378" name="Frame377"/>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79" name="Frame3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77800" cy="175260"/>
                      <wp:effectExtent l="0" t="0" r="0" b="0"/>
                      <wp:wrapNone/>
                      <wp:docPr id="380" name="Frame379"/>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480060" cy="175260"/>
                      <wp:effectExtent l="0" t="0" r="0" b="0"/>
                      <wp:wrapNone/>
                      <wp:docPr id="381" name="Frame380"/>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Weighted</w: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46"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Average</w: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Restricted</w:t>
            </w:r>
          </w:p>
        </w:tc>
        <w:tc>
          <w:tcPr>
            <w:tcW w:w="346"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Grant-Date</w:t>
            </w:r>
          </w:p>
        </w:tc>
      </w:tr>
      <w:tr>
        <w:trPr/>
        <w:tc>
          <w:tcPr>
            <w:tcW w:w="20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Award Type</w:t>
            </w:r>
          </w:p>
        </w:tc>
        <w:tc>
          <w:tcPr>
            <w:tcW w:w="346" w:type="dxa"/>
            <w:tcBorders/>
            <w:vAlign w:val="center"/>
          </w:tcPr>
          <w:p>
            <w:pPr>
              <w:pStyle w:val="TableContents"/>
              <w:bidi w:val="0"/>
              <w:spacing w:before="0" w:after="0"/>
              <w:ind w:left="0" w:right="0" w:hanging="0"/>
              <w:jc w:val="left"/>
              <w:rPr/>
            </w:pPr>
            <w:r>
              <w:rPr/>
              <w:t>  ​ ​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46" w:type="dxa"/>
            <w:tcBorders/>
            <w:vAlign w:val="center"/>
          </w:tcPr>
          <w:p>
            <w:pPr>
              <w:pStyle w:val="TableContents"/>
              <w:bidi w:val="0"/>
              <w:spacing w:before="0" w:after="0"/>
              <w:ind w:left="0" w:right="0" w:hanging="0"/>
              <w:jc w:val="left"/>
              <w:rPr/>
            </w:pPr>
            <w:r>
              <w:rPr/>
              <w:t>  ​ ​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Time-vested awards</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349,497</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5.35</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Performance-based awards</w:t>
            </w:r>
          </w:p>
        </w:tc>
        <w:tc>
          <w:tcPr>
            <w:tcW w:w="346"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374,009</w:t>
            </w:r>
          </w:p>
        </w:tc>
        <w:tc>
          <w:tcPr>
            <w:tcW w:w="34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4.59</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Unvested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723,506</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4.96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the restricted stock award transactions for the years ended June 30, 2026 and 2025:</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74"/>
        <w:gridCol w:w="346"/>
        <w:gridCol w:w="941"/>
        <w:gridCol w:w="346"/>
        <w:gridCol w:w="314"/>
        <w:gridCol w:w="677"/>
        <w:gridCol w:w="346"/>
        <w:gridCol w:w="352"/>
        <w:gridCol w:w="919"/>
        <w:gridCol w:w="346"/>
        <w:gridCol w:w="1209"/>
        <w:gridCol w:w="346"/>
        <w:gridCol w:w="383"/>
        <w:gridCol w:w="1206"/>
      </w:tblGrid>
      <w:tr>
        <w:trPr/>
        <w:tc>
          <w:tcPr>
            <w:tcW w:w="2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570990" cy="175260"/>
                      <wp:effectExtent l="0" t="0" r="0" b="0"/>
                      <wp:wrapNone/>
                      <wp:docPr id="382" name="Frame381"/>
                      <a:graphic xmlns:a="http://schemas.openxmlformats.org/drawingml/2006/main">
                        <a:graphicData uri="http://schemas.microsoft.com/office/word/2010/wordprocessingShape">
                          <wps:wsp>
                            <wps:cNvSpPr txBox="1"/>
                            <wps:spPr>
                              <a:xfrm>
                                <a:off x="0" y="0"/>
                                <a:ext cx="1570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19710" cy="175260"/>
                      <wp:effectExtent l="0" t="0" r="0" b="0"/>
                      <wp:wrapNone/>
                      <wp:docPr id="383" name="Frame3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597535" cy="175260"/>
                      <wp:effectExtent l="0" t="0" r="0" b="0"/>
                      <wp:wrapNone/>
                      <wp:docPr id="384" name="Frame383"/>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19710" cy="175260"/>
                      <wp:effectExtent l="0" t="0" r="0" b="0"/>
                      <wp:wrapNone/>
                      <wp:docPr id="385" name="Frame3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99390" cy="175260"/>
                      <wp:effectExtent l="0" t="0" r="0" b="0"/>
                      <wp:wrapNone/>
                      <wp:docPr id="386" name="Frame385"/>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429895" cy="175260"/>
                      <wp:effectExtent l="0" t="0" r="0" b="0"/>
                      <wp:wrapNone/>
                      <wp:docPr id="387" name="Frame386"/>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19710" cy="175260"/>
                      <wp:effectExtent l="0" t="0" r="0" b="0"/>
                      <wp:wrapNone/>
                      <wp:docPr id="388" name="Frame3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23520" cy="175260"/>
                      <wp:effectExtent l="0" t="0" r="0" b="0"/>
                      <wp:wrapNone/>
                      <wp:docPr id="389" name="Frame388"/>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583565" cy="175260"/>
                      <wp:effectExtent l="0" t="0" r="0" b="0"/>
                      <wp:wrapNone/>
                      <wp:docPr id="390" name="Frame389"/>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19710" cy="175260"/>
                      <wp:effectExtent l="0" t="0" r="0" b="0"/>
                      <wp:wrapNone/>
                      <wp:docPr id="391" name="Frame3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767715" cy="175260"/>
                      <wp:effectExtent l="0" t="0" r="0" b="0"/>
                      <wp:wrapNone/>
                      <wp:docPr id="392" name="Frame391"/>
                      <a:graphic xmlns:a="http://schemas.openxmlformats.org/drawingml/2006/main">
                        <a:graphicData uri="http://schemas.microsoft.com/office/word/2010/wordprocessingShape">
                          <wps:wsp>
                            <wps:cNvSpPr txBox="1"/>
                            <wps:spPr>
                              <a:xfrm>
                                <a:off x="0" y="0"/>
                                <a:ext cx="767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19710" cy="175260"/>
                      <wp:effectExtent l="0" t="0" r="0" b="0"/>
                      <wp:wrapNone/>
                      <wp:docPr id="393" name="Frame3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43205" cy="175260"/>
                      <wp:effectExtent l="0" t="0" r="0" b="0"/>
                      <wp:wrapNone/>
                      <wp:docPr id="394" name="Frame393"/>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765810" cy="175260"/>
                      <wp:effectExtent l="0" t="0" r="0" b="0"/>
                      <wp:wrapNone/>
                      <wp:docPr id="395" name="Frame394"/>
                      <a:graphic xmlns:a="http://schemas.openxmlformats.org/drawingml/2006/main">
                        <a:graphicData uri="http://schemas.microsoft.com/office/word/2010/wordprocessingShape">
                          <wps:wsp>
                            <wps:cNvSpPr txBox="1"/>
                            <wps:spPr>
                              <a:xfrm>
                                <a:off x="0" y="0"/>
                                <a:ext cx="765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7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09"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w:t>
            </w:r>
          </w:p>
        </w:tc>
        <w:tc>
          <w:tcPr>
            <w:tcW w:w="346"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left"/>
              <w:rPr/>
            </w:pPr>
            <w:r>
              <w:rPr/>
              <w:t>​</w:t>
            </w:r>
          </w:p>
        </w:tc>
        <w:tc>
          <w:tcPr>
            <w:tcW w:w="1206" w:type="dxa"/>
            <w:tcBorders/>
            <w:vAlign w:val="center"/>
          </w:tcPr>
          <w:p>
            <w:pPr>
              <w:pStyle w:val="TableContents"/>
              <w:bidi w:val="0"/>
              <w:spacing w:before="0" w:after="1"/>
              <w:ind w:left="0" w:right="0" w:hanging="0"/>
              <w:jc w:val="left"/>
              <w:rPr/>
            </w:pPr>
            <w:r>
              <w:rPr/>
              <w:t>​</w:t>
            </w:r>
          </w:p>
        </w:tc>
      </w:tr>
      <w:tr>
        <w:trPr/>
        <w:tc>
          <w:tcPr>
            <w:tcW w:w="247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w:t>
            </w:r>
          </w:p>
        </w:tc>
        <w:tc>
          <w:tcPr>
            <w:tcW w:w="346" w:type="dxa"/>
            <w:tcBorders/>
            <w:vAlign w:val="center"/>
          </w:tcPr>
          <w:p>
            <w:pPr>
              <w:pStyle w:val="TableContents"/>
              <w:bidi w:val="0"/>
              <w:spacing w:before="0" w:after="1"/>
              <w:ind w:left="0" w:right="0" w:hanging="0"/>
              <w:jc w:val="left"/>
              <w:rPr/>
            </w:pPr>
            <w:r>
              <w:rPr/>
              <w:t>​</w:t>
            </w:r>
          </w:p>
        </w:tc>
        <w:tc>
          <w:tcPr>
            <w:tcW w:w="127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Unamortized</w:t>
            </w:r>
          </w:p>
        </w:tc>
        <w:tc>
          <w:tcPr>
            <w:tcW w:w="346" w:type="dxa"/>
            <w:tcBorders/>
            <w:vAlign w:val="center"/>
          </w:tcPr>
          <w:p>
            <w:pPr>
              <w:pStyle w:val="TableContents"/>
              <w:bidi w:val="0"/>
              <w:spacing w:before="0" w:after="1"/>
              <w:ind w:left="0" w:right="0" w:hanging="0"/>
              <w:jc w:val="left"/>
              <w:rPr/>
            </w:pPr>
            <w:r>
              <w:rPr/>
              <w:t>​</w:t>
            </w:r>
          </w:p>
        </w:tc>
        <w:tc>
          <w:tcPr>
            <w:tcW w:w="1209"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c>
          <w:tcPr>
            <w:tcW w:w="346"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left"/>
              <w:rPr/>
            </w:pPr>
            <w:r>
              <w:rPr/>
              <w:t>​</w:t>
            </w:r>
          </w:p>
        </w:tc>
        <w:tc>
          <w:tcPr>
            <w:tcW w:w="1206" w:type="dxa"/>
            <w:tcBorders/>
            <w:vAlign w:val="center"/>
          </w:tcPr>
          <w:p>
            <w:pPr>
              <w:pStyle w:val="TableContents"/>
              <w:bidi w:val="0"/>
              <w:spacing w:before="0" w:after="1"/>
              <w:ind w:left="0" w:right="0" w:hanging="0"/>
              <w:jc w:val="left"/>
              <w:rPr/>
            </w:pPr>
            <w:r>
              <w:rPr/>
              <w:t>​</w:t>
            </w:r>
          </w:p>
        </w:tc>
      </w:tr>
      <w:tr>
        <w:trPr/>
        <w:tc>
          <w:tcPr>
            <w:tcW w:w="247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c>
          <w:tcPr>
            <w:tcW w:w="346" w:type="dxa"/>
            <w:tcBorders/>
            <w:vAlign w:val="center"/>
          </w:tcPr>
          <w:p>
            <w:pPr>
              <w:pStyle w:val="TableContents"/>
              <w:bidi w:val="0"/>
              <w:spacing w:before="0" w:after="1"/>
              <w:ind w:left="0" w:right="0" w:hanging="0"/>
              <w:jc w:val="left"/>
              <w:rPr/>
            </w:pPr>
            <w:r>
              <w:rPr/>
              <w:t>​</w:t>
            </w:r>
          </w:p>
        </w:tc>
        <w:tc>
          <w:tcPr>
            <w:tcW w:w="127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Compensation </w:t>
            </w:r>
          </w:p>
        </w:tc>
        <w:tc>
          <w:tcPr>
            <w:tcW w:w="346" w:type="dxa"/>
            <w:tcBorders/>
            <w:vAlign w:val="center"/>
          </w:tcPr>
          <w:p>
            <w:pPr>
              <w:pStyle w:val="TableContents"/>
              <w:bidi w:val="0"/>
              <w:spacing w:before="0" w:after="1"/>
              <w:ind w:left="0" w:right="0" w:hanging="0"/>
              <w:jc w:val="left"/>
              <w:rPr/>
            </w:pPr>
            <w:r>
              <w:rPr/>
              <w:t>​</w:t>
            </w:r>
          </w:p>
        </w:tc>
        <w:tc>
          <w:tcPr>
            <w:tcW w:w="1209"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Remaining</w:t>
            </w:r>
          </w:p>
        </w:tc>
        <w:tc>
          <w:tcPr>
            <w:tcW w:w="346" w:type="dxa"/>
            <w:tcBorders/>
            <w:vAlign w:val="center"/>
          </w:tcPr>
          <w:p>
            <w:pPr>
              <w:pStyle w:val="TableContents"/>
              <w:bidi w:val="0"/>
              <w:spacing w:before="0" w:after="1"/>
              <w:ind w:left="0" w:right="0" w:hanging="0"/>
              <w:jc w:val="left"/>
              <w:rPr/>
            </w:pPr>
            <w:r>
              <w:rPr/>
              <w:t>​</w:t>
            </w:r>
          </w:p>
        </w:tc>
        <w:tc>
          <w:tcPr>
            <w:tcW w:w="1589"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Aggregate Intrinsic</w:t>
            </w:r>
          </w:p>
        </w:tc>
      </w:tr>
      <w:tr>
        <w:trPr/>
        <w:tc>
          <w:tcPr>
            <w:tcW w:w="247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Restricted</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Grant-Date</w:t>
            </w:r>
          </w:p>
        </w:tc>
        <w:tc>
          <w:tcPr>
            <w:tcW w:w="346" w:type="dxa"/>
            <w:tcBorders/>
            <w:vAlign w:val="center"/>
          </w:tcPr>
          <w:p>
            <w:pPr>
              <w:pStyle w:val="TableContents"/>
              <w:bidi w:val="0"/>
              <w:spacing w:before="0" w:after="1"/>
              <w:ind w:left="0" w:right="0" w:hanging="0"/>
              <w:jc w:val="left"/>
              <w:rPr/>
            </w:pPr>
            <w:r>
              <w:rPr/>
              <w:t>​</w:t>
            </w:r>
          </w:p>
        </w:tc>
        <w:tc>
          <w:tcPr>
            <w:tcW w:w="127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Expense</w:t>
            </w:r>
          </w:p>
        </w:tc>
        <w:tc>
          <w:tcPr>
            <w:tcW w:w="346" w:type="dxa"/>
            <w:tcBorders/>
            <w:vAlign w:val="center"/>
          </w:tcPr>
          <w:p>
            <w:pPr>
              <w:pStyle w:val="TableContents"/>
              <w:bidi w:val="0"/>
              <w:spacing w:before="0" w:after="1"/>
              <w:ind w:left="0" w:right="0" w:hanging="0"/>
              <w:jc w:val="left"/>
              <w:rPr/>
            </w:pPr>
            <w:r>
              <w:rPr/>
              <w:t>​</w:t>
            </w:r>
          </w:p>
        </w:tc>
        <w:tc>
          <w:tcPr>
            <w:tcW w:w="1209"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Amortization</w:t>
            </w:r>
          </w:p>
        </w:tc>
        <w:tc>
          <w:tcPr>
            <w:tcW w:w="346" w:type="dxa"/>
            <w:tcBorders/>
            <w:vAlign w:val="center"/>
          </w:tcPr>
          <w:p>
            <w:pPr>
              <w:pStyle w:val="TableContents"/>
              <w:bidi w:val="0"/>
              <w:spacing w:before="0" w:after="1"/>
              <w:ind w:left="0" w:right="0" w:hanging="0"/>
              <w:jc w:val="left"/>
              <w:rPr/>
            </w:pPr>
            <w:r>
              <w:rPr/>
              <w:t>​</w:t>
            </w:r>
          </w:p>
        </w:tc>
        <w:tc>
          <w:tcPr>
            <w:tcW w:w="1589" w:type="dxa"/>
            <w:gridSpan w:val="2"/>
            <w:tcBorders/>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 xml:space="preserve">Value </w:t>
            </w:r>
            <w:r>
              <w:rPr>
                <w:rFonts w:ascii="Times New Roman;Times;serif" w:hAnsi="Times New Roman;Times;serif"/>
                <w:b/>
                <w:i/>
                <w:sz w:val="14"/>
              </w:rPr>
              <w:t>(1)</w:t>
            </w:r>
          </w:p>
        </w:tc>
      </w:tr>
      <w:tr>
        <w:trPr/>
        <w:tc>
          <w:tcPr>
            <w:tcW w:w="247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46" w:type="dxa"/>
            <w:tcBorders/>
            <w:vAlign w:val="center"/>
          </w:tcPr>
          <w:p>
            <w:pPr>
              <w:pStyle w:val="TableContents"/>
              <w:bidi w:val="0"/>
              <w:spacing w:before="0" w:after="1"/>
              <w:ind w:left="0" w:right="0" w:hanging="0"/>
              <w:jc w:val="left"/>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346" w:type="dxa"/>
            <w:tcBorders/>
            <w:vAlign w:val="center"/>
          </w:tcPr>
          <w:p>
            <w:pPr>
              <w:pStyle w:val="TableContents"/>
              <w:bidi w:val="0"/>
              <w:spacing w:before="0" w:after="1"/>
              <w:ind w:left="0" w:right="0" w:hanging="0"/>
              <w:jc w:val="left"/>
              <w:rPr/>
            </w:pPr>
            <w:r>
              <w:rPr/>
              <w:t>  ​ ​ ​</w:t>
            </w:r>
          </w:p>
        </w:tc>
        <w:tc>
          <w:tcPr>
            <w:tcW w:w="12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 thousands)</w:t>
            </w:r>
          </w:p>
        </w:tc>
        <w:tc>
          <w:tcPr>
            <w:tcW w:w="346" w:type="dxa"/>
            <w:tcBorders/>
            <w:vAlign w:val="center"/>
          </w:tcPr>
          <w:p>
            <w:pPr>
              <w:pStyle w:val="TableContents"/>
              <w:bidi w:val="0"/>
              <w:spacing w:before="0" w:after="1"/>
              <w:ind w:left="0" w:right="0" w:hanging="0"/>
              <w:jc w:val="left"/>
              <w:rPr/>
            </w:pPr>
            <w:r>
              <w:rPr/>
              <w:t>  ​ ​ ​</w:t>
            </w:r>
          </w:p>
        </w:tc>
        <w:tc>
          <w:tcPr>
            <w:tcW w:w="120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Period (Years)</w:t>
            </w:r>
          </w:p>
        </w:tc>
        <w:tc>
          <w:tcPr>
            <w:tcW w:w="346" w:type="dxa"/>
            <w:tcBorders/>
            <w:vAlign w:val="center"/>
          </w:tcPr>
          <w:p>
            <w:pPr>
              <w:pStyle w:val="TableContents"/>
              <w:bidi w:val="0"/>
              <w:spacing w:before="0" w:after="1"/>
              <w:ind w:left="0" w:right="0" w:hanging="0"/>
              <w:jc w:val="left"/>
              <w:rPr/>
            </w:pPr>
            <w:r>
              <w:rPr/>
              <w:t>  ​ ​ ​</w:t>
            </w:r>
          </w:p>
        </w:tc>
        <w:tc>
          <w:tcPr>
            <w:tcW w:w="15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 thousands)</w:t>
            </w:r>
          </w:p>
        </w:tc>
      </w:tr>
      <w:tr>
        <w:trPr/>
        <w:tc>
          <w:tcPr>
            <w:tcW w:w="247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June 30, 2024</w:t>
            </w:r>
          </w:p>
        </w:tc>
        <w:tc>
          <w:tcPr>
            <w:tcW w:w="346"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628,511</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6.31</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center"/>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left"/>
              <w:rPr/>
            </w:pPr>
            <w:r>
              <w:rPr/>
              <w:t>​</w:t>
            </w:r>
          </w:p>
        </w:tc>
        <w:tc>
          <w:tcPr>
            <w:tcW w:w="1206" w:type="dxa"/>
            <w:tcBorders/>
            <w:shd w:fill="CCEEFF" w:val="clear"/>
            <w:vAlign w:val="center"/>
          </w:tcPr>
          <w:p>
            <w:pPr>
              <w:pStyle w:val="TableContents"/>
              <w:bidi w:val="0"/>
              <w:spacing w:before="0" w:after="1"/>
              <w:ind w:left="0" w:right="0" w:hanging="0"/>
              <w:jc w:val="right"/>
              <w:rPr/>
            </w:pPr>
            <w:r>
              <w:rPr/>
              <w:t>​</w:t>
            </w:r>
          </w:p>
        </w:tc>
      </w:tr>
      <w:tr>
        <w:trPr/>
        <w:tc>
          <w:tcPr>
            <w:tcW w:w="247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Time-vested shares granted</w:t>
            </w:r>
          </w:p>
        </w:tc>
        <w:tc>
          <w:tcPr>
            <w:tcW w:w="346"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187,155</w:t>
            </w:r>
          </w:p>
        </w:tc>
        <w:tc>
          <w:tcPr>
            <w:tcW w:w="34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center"/>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5.70</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center"/>
              <w:rPr/>
            </w:pPr>
            <w:r>
              <w:rPr/>
              <w:t>​</w:t>
            </w:r>
          </w:p>
        </w:tc>
        <w:tc>
          <w:tcPr>
            <w:tcW w:w="91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center"/>
              <w:rPr/>
            </w:pPr>
            <w:r>
              <w:rPr/>
              <w:t>​</w:t>
            </w:r>
          </w:p>
        </w:tc>
        <w:tc>
          <w:tcPr>
            <w:tcW w:w="1206" w:type="dxa"/>
            <w:tcBorders/>
            <w:vAlign w:val="center"/>
          </w:tcPr>
          <w:p>
            <w:pPr>
              <w:pStyle w:val="TableContents"/>
              <w:bidi w:val="0"/>
              <w:spacing w:before="0" w:after="1"/>
              <w:ind w:left="0" w:right="0" w:hanging="0"/>
              <w:jc w:val="center"/>
              <w:rPr/>
            </w:pPr>
            <w:r>
              <w:rPr/>
              <w:t>​</w:t>
            </w:r>
          </w:p>
        </w:tc>
      </w:tr>
      <w:tr>
        <w:trPr/>
        <w:tc>
          <w:tcPr>
            <w:tcW w:w="247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Performance-based shares granted</w:t>
            </w:r>
          </w:p>
        </w:tc>
        <w:tc>
          <w:tcPr>
            <w:tcW w:w="346"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189,477</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center"/>
              <w:rPr/>
            </w:pPr>
            <w:r>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4.82</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center"/>
              <w:rPr/>
            </w:pPr>
            <w:r>
              <w:rPr/>
              <w:t>​</w:t>
            </w:r>
          </w:p>
        </w:tc>
        <w:tc>
          <w:tcPr>
            <w:tcW w:w="919"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09"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center"/>
              <w:rPr/>
            </w:pPr>
            <w:r>
              <w:rPr/>
              <w:t>​</w:t>
            </w:r>
          </w:p>
        </w:tc>
        <w:tc>
          <w:tcPr>
            <w:tcW w:w="1206" w:type="dxa"/>
            <w:tcBorders/>
            <w:shd w:fill="CCEEFF" w:val="clear"/>
            <w:vAlign w:val="center"/>
          </w:tcPr>
          <w:p>
            <w:pPr>
              <w:pStyle w:val="TableContents"/>
              <w:bidi w:val="0"/>
              <w:spacing w:before="0" w:after="1"/>
              <w:ind w:left="0" w:right="0" w:hanging="0"/>
              <w:jc w:val="center"/>
              <w:rPr/>
            </w:pPr>
            <w:r>
              <w:rPr/>
              <w:t>​</w:t>
            </w:r>
          </w:p>
        </w:tc>
      </w:tr>
      <w:tr>
        <w:trPr/>
        <w:tc>
          <w:tcPr>
            <w:tcW w:w="247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Vested</w:t>
            </w:r>
          </w:p>
        </w:tc>
        <w:tc>
          <w:tcPr>
            <w:tcW w:w="346"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(326,431)</w:t>
            </w:r>
          </w:p>
        </w:tc>
        <w:tc>
          <w:tcPr>
            <w:tcW w:w="34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center"/>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6.60</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center"/>
              <w:rPr/>
            </w:pPr>
            <w:r>
              <w:rPr/>
              <w:t>​</w:t>
            </w:r>
          </w:p>
        </w:tc>
        <w:tc>
          <w:tcPr>
            <w:tcW w:w="91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center"/>
              <w:rPr/>
            </w:pPr>
            <w:r>
              <w:rPr/>
              <w:t>​</w:t>
            </w:r>
          </w:p>
        </w:tc>
        <w:tc>
          <w:tcPr>
            <w:tcW w:w="1206" w:type="dxa"/>
            <w:tcBorders/>
            <w:vAlign w:val="center"/>
          </w:tcPr>
          <w:p>
            <w:pPr>
              <w:pStyle w:val="TableContents"/>
              <w:bidi w:val="0"/>
              <w:spacing w:before="0" w:after="1"/>
              <w:ind w:left="0" w:right="0" w:hanging="0"/>
              <w:jc w:val="center"/>
              <w:rPr/>
            </w:pPr>
            <w:r>
              <w:rPr/>
              <w:t>​</w:t>
            </w:r>
          </w:p>
        </w:tc>
      </w:tr>
      <w:tr>
        <w:trPr/>
        <w:tc>
          <w:tcPr>
            <w:tcW w:w="247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Forfeited</w:t>
            </w:r>
          </w:p>
        </w:tc>
        <w:tc>
          <w:tcPr>
            <w:tcW w:w="346" w:type="dxa"/>
            <w:tcBorders/>
            <w:shd w:fill="CCEEFF" w:val="clear"/>
            <w:vAlign w:val="center"/>
          </w:tcPr>
          <w:p>
            <w:pPr>
              <w:pStyle w:val="TableContents"/>
              <w:bidi w:val="0"/>
              <w:spacing w:before="0" w:after="1"/>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(8,427)</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6.05</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center"/>
              <w:rPr/>
            </w:pPr>
            <w:r>
              <w:rPr/>
              <w:t>​</w:t>
            </w:r>
          </w:p>
        </w:tc>
        <w:tc>
          <w:tcPr>
            <w:tcW w:w="919"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09"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center"/>
              <w:rPr/>
            </w:pPr>
            <w:r>
              <w:rPr/>
              <w:t>​</w:t>
            </w:r>
          </w:p>
        </w:tc>
        <w:tc>
          <w:tcPr>
            <w:tcW w:w="1206" w:type="dxa"/>
            <w:tcBorders/>
            <w:shd w:fill="CCEEFF" w:val="clear"/>
            <w:vAlign w:val="center"/>
          </w:tcPr>
          <w:p>
            <w:pPr>
              <w:pStyle w:val="TableContents"/>
              <w:bidi w:val="0"/>
              <w:spacing w:before="0" w:after="1"/>
              <w:ind w:left="0" w:right="0" w:hanging="0"/>
              <w:jc w:val="center"/>
              <w:rPr/>
            </w:pPr>
            <w:r>
              <w:rPr/>
              <w:t>​</w:t>
            </w:r>
          </w:p>
        </w:tc>
      </w:tr>
      <w:tr>
        <w:trPr/>
        <w:tc>
          <w:tcPr>
            <w:tcW w:w="247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June 30, 2025</w:t>
            </w:r>
          </w:p>
        </w:tc>
        <w:tc>
          <w:tcPr>
            <w:tcW w:w="346"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670,285</w:t>
            </w:r>
          </w:p>
        </w:tc>
        <w:tc>
          <w:tcPr>
            <w:tcW w:w="34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5.58</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2,196</w:t>
            </w:r>
          </w:p>
        </w:tc>
        <w:tc>
          <w:tcPr>
            <w:tcW w:w="346" w:type="dxa"/>
            <w:tcBorders/>
            <w:vAlign w:val="center"/>
          </w:tcPr>
          <w:p>
            <w:pPr>
              <w:pStyle w:val="TableContents"/>
              <w:bidi w:val="0"/>
              <w:spacing w:before="0" w:after="1"/>
              <w:ind w:left="0" w:right="0" w:hanging="0"/>
              <w:jc w:val="left"/>
              <w:rPr/>
            </w:pPr>
            <w:r>
              <w:rPr/>
              <w:t>​</w:t>
            </w:r>
          </w:p>
        </w:tc>
        <w:tc>
          <w:tcPr>
            <w:tcW w:w="120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w:t>
            </w:r>
          </w:p>
        </w:tc>
        <w:tc>
          <w:tcPr>
            <w:tcW w:w="346"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3,150</w:t>
            </w:r>
          </w:p>
        </w:tc>
      </w:tr>
      <w:tr>
        <w:trPr/>
        <w:tc>
          <w:tcPr>
            <w:tcW w:w="247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Time-vested shares granted</w:t>
            </w:r>
          </w:p>
        </w:tc>
        <w:tc>
          <w:tcPr>
            <w:tcW w:w="346"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214,423</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4.75</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0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left"/>
              <w:rPr/>
            </w:pPr>
            <w:r>
              <w:rPr/>
              <w:t>​</w:t>
            </w:r>
          </w:p>
        </w:tc>
        <w:tc>
          <w:tcPr>
            <w:tcW w:w="1206" w:type="dxa"/>
            <w:tcBorders/>
            <w:shd w:fill="CCEEFF" w:val="clear"/>
            <w:vAlign w:val="center"/>
          </w:tcPr>
          <w:p>
            <w:pPr>
              <w:pStyle w:val="TableContents"/>
              <w:bidi w:val="0"/>
              <w:spacing w:before="0" w:after="1"/>
              <w:ind w:left="0" w:right="0" w:hanging="0"/>
              <w:jc w:val="right"/>
              <w:rPr/>
            </w:pPr>
            <w:r>
              <w:rPr/>
              <w:t>​</w:t>
            </w:r>
          </w:p>
        </w:tc>
      </w:tr>
      <w:tr>
        <w:trPr/>
        <w:tc>
          <w:tcPr>
            <w:tcW w:w="247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Performance-based shares granted</w:t>
            </w:r>
          </w:p>
        </w:tc>
        <w:tc>
          <w:tcPr>
            <w:tcW w:w="346"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186,709</w:t>
            </w:r>
          </w:p>
        </w:tc>
        <w:tc>
          <w:tcPr>
            <w:tcW w:w="34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4.36</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left"/>
              <w:rPr/>
            </w:pPr>
            <w:r>
              <w:rPr/>
              <w:t>​</w:t>
            </w:r>
          </w:p>
        </w:tc>
        <w:tc>
          <w:tcPr>
            <w:tcW w:w="1206" w:type="dxa"/>
            <w:tcBorders/>
            <w:vAlign w:val="center"/>
          </w:tcPr>
          <w:p>
            <w:pPr>
              <w:pStyle w:val="TableContents"/>
              <w:bidi w:val="0"/>
              <w:spacing w:before="0" w:after="1"/>
              <w:ind w:left="0" w:right="0" w:hanging="0"/>
              <w:jc w:val="right"/>
              <w:rPr/>
            </w:pPr>
            <w:r>
              <w:rPr/>
              <w:t>​</w:t>
            </w:r>
          </w:p>
        </w:tc>
      </w:tr>
      <w:tr>
        <w:trPr/>
        <w:tc>
          <w:tcPr>
            <w:tcW w:w="247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Vested</w:t>
            </w:r>
          </w:p>
        </w:tc>
        <w:tc>
          <w:tcPr>
            <w:tcW w:w="346"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(213,069)</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6.28</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0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left"/>
              <w:rPr/>
            </w:pPr>
            <w:r>
              <w:rPr/>
              <w:t>​</w:t>
            </w:r>
          </w:p>
        </w:tc>
        <w:tc>
          <w:tcPr>
            <w:tcW w:w="1206" w:type="dxa"/>
            <w:tcBorders/>
            <w:shd w:fill="CCEEFF" w:val="clear"/>
            <w:vAlign w:val="center"/>
          </w:tcPr>
          <w:p>
            <w:pPr>
              <w:pStyle w:val="TableContents"/>
              <w:bidi w:val="0"/>
              <w:spacing w:before="0" w:after="1"/>
              <w:ind w:left="0" w:right="0" w:hanging="0"/>
              <w:jc w:val="right"/>
              <w:rPr/>
            </w:pPr>
            <w:r>
              <w:rPr/>
              <w:t>​</w:t>
            </w:r>
          </w:p>
        </w:tc>
      </w:tr>
      <w:tr>
        <w:trPr/>
        <w:tc>
          <w:tcPr>
            <w:tcW w:w="247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Expired </w:t>
            </w:r>
          </w:p>
        </w:tc>
        <w:tc>
          <w:tcPr>
            <w:tcW w:w="346" w:type="dxa"/>
            <w:tcBorders/>
            <w:vAlign w:val="center"/>
          </w:tcPr>
          <w:p>
            <w:pPr>
              <w:pStyle w:val="TableContents"/>
              <w:bidi w:val="0"/>
              <w:spacing w:before="0" w:after="1"/>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(134,842)</w:t>
            </w:r>
          </w:p>
        </w:tc>
        <w:tc>
          <w:tcPr>
            <w:tcW w:w="346" w:type="dxa"/>
            <w:tcBorders/>
            <w:vAlign w:val="center"/>
          </w:tcPr>
          <w:p>
            <w:pPr>
              <w:pStyle w:val="TableContents"/>
              <w:bidi w:val="0"/>
              <w:spacing w:before="0" w:after="1"/>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4.80</w:t>
            </w:r>
          </w:p>
        </w:tc>
        <w:tc>
          <w:tcPr>
            <w:tcW w:w="34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left"/>
              <w:rPr/>
            </w:pPr>
            <w:r>
              <w:rPr/>
              <w:t>​</w:t>
            </w:r>
          </w:p>
        </w:tc>
        <w:tc>
          <w:tcPr>
            <w:tcW w:w="1206" w:type="dxa"/>
            <w:tcBorders/>
            <w:vAlign w:val="center"/>
          </w:tcPr>
          <w:p>
            <w:pPr>
              <w:pStyle w:val="TableContents"/>
              <w:bidi w:val="0"/>
              <w:spacing w:before="0" w:after="1"/>
              <w:ind w:left="0" w:right="0" w:hanging="0"/>
              <w:jc w:val="right"/>
              <w:rPr/>
            </w:pPr>
            <w:r>
              <w:rPr/>
              <w:t>​</w:t>
            </w:r>
          </w:p>
        </w:tc>
      </w:tr>
      <w:tr>
        <w:trPr/>
        <w:tc>
          <w:tcPr>
            <w:tcW w:w="247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9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723,506</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4.96</w:t>
            </w:r>
          </w:p>
        </w:tc>
        <w:tc>
          <w:tcPr>
            <w:tcW w:w="34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1,889</w:t>
            </w:r>
          </w:p>
        </w:tc>
        <w:tc>
          <w:tcPr>
            <w:tcW w:w="346" w:type="dxa"/>
            <w:tcBorders/>
            <w:shd w:fill="CCEEFF" w:val="clear"/>
            <w:vAlign w:val="center"/>
          </w:tcPr>
          <w:p>
            <w:pPr>
              <w:pStyle w:val="TableContents"/>
              <w:bidi w:val="0"/>
              <w:spacing w:before="0" w:after="1"/>
              <w:ind w:left="0" w:right="0" w:hanging="0"/>
              <w:jc w:val="left"/>
              <w:rPr/>
            </w:pPr>
            <w:r>
              <w:rPr/>
              <w:t>​</w:t>
            </w:r>
          </w:p>
        </w:tc>
        <w:tc>
          <w:tcPr>
            <w:tcW w:w="120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w:t>
            </w:r>
          </w:p>
        </w:tc>
        <w:tc>
          <w:tcPr>
            <w:tcW w:w="346"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06"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2,663</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(1)</w:t>
            </w:r>
          </w:p>
        </w:tc>
        <w:tc>
          <w:tcPr>
            <w:tcW w:w="9950" w:type="dxa"/>
            <w:tcBorders/>
            <w:vAlign w:val="center"/>
          </w:tcPr>
          <w:p>
            <w:pPr>
              <w:pStyle w:val="TableContents"/>
              <w:bidi w:val="0"/>
              <w:spacing w:before="0" w:after="283"/>
              <w:jc w:val="left"/>
              <w:rPr/>
            </w:pPr>
            <w:r>
              <w:rPr>
                <w:rFonts w:ascii="Times New Roman;Times;serif" w:hAnsi="Times New Roman;Times;serif"/>
                <w:b w:val="false"/>
                <w:i/>
                <w:sz w:val="20"/>
              </w:rPr>
              <w:t>The intrinsic value of restricted stock was calculated as the closing market price on June 30, 2026 and 2025 of the underlying stock multiplied by the number of restricted shares that would be issuable. The total fair value of shares vested was $1.0</w:t>
            </w:r>
            <w:r>
              <w:rPr/>
              <w:t> </w:t>
            </w:r>
            <w:r>
              <w:rPr>
                <w:rFonts w:ascii="Times New Roman;Times;serif" w:hAnsi="Times New Roman;Times;serif"/>
                <w:b w:val="false"/>
                <w:i/>
                <w:sz w:val="20"/>
              </w:rPr>
              <w:t>million and $1.7</w:t>
            </w:r>
            <w:r>
              <w:rPr/>
              <w:t xml:space="preserve"> </w:t>
            </w:r>
            <w:r>
              <w:rPr>
                <w:rFonts w:ascii="Times New Roman;Times;serif" w:hAnsi="Times New Roman;Times;serif"/>
                <w:b w:val="false"/>
                <w:i/>
                <w:sz w:val="20"/>
              </w:rPr>
              <w:t>million for the years ended June 30, 2026 and 2025, respectively.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120"/>
        <w:ind w:left="0" w:right="0" w:hanging="0"/>
        <w:jc w:val="left"/>
        <w:rPr>
          <w:rFonts w:ascii="Times New Roman;Times;serif" w:hAnsi="Times New Roman;Times;serif"/>
          <w:sz w:val="20"/>
        </w:rPr>
      </w:pPr>
      <w:bookmarkStart w:id="1018" w:name="Tc_Rp-uDCDYXEmBZwq_vykifw_12_12"/>
      <w:bookmarkStart w:id="1019" w:name="Tc_li2O7WAVt0aITgY4MdPIrw_12_7"/>
      <w:bookmarkStart w:id="1020" w:name="Tc_MvRfVqWsZE6Mse5t7Bt8JA_12_4"/>
      <w:bookmarkStart w:id="1021" w:name="Tc_e9ybFoHSCUW8RNvEjgXldw_12_0"/>
      <w:bookmarkStart w:id="1022" w:name="Tc_BKrkZ5IuRkiXFjP4pEAShg_11_0"/>
      <w:bookmarkStart w:id="1023" w:name="Tc_q4zakbN-s0eTzaWfc3RIzw_10_12"/>
      <w:bookmarkStart w:id="1024" w:name="Tc_hc7UND0dE027xr-o9-LQeQ_10_7"/>
      <w:bookmarkStart w:id="1025" w:name="Tc_qfzsDA6Wrkukiwy2MFstfQ_10_4"/>
      <w:bookmarkStart w:id="1026" w:name="Tc_QhfWpk7j6kSc_oB60SYk2g_10_0"/>
      <w:bookmarkStart w:id="1027" w:name="Tc_kEq3hKA7o0mtUoCJyFEz4g_9_0"/>
      <w:bookmarkStart w:id="1028" w:name="Tc_5cu8qDAld0SBsa_VmTlMXw_8_0"/>
      <w:bookmarkStart w:id="1029" w:name="Tc_6guDJGqmJke5bIimxYuJWQ_7_0"/>
      <w:bookmarkStart w:id="1030" w:name="Tc_UnEZJdTbl0KjXsGqsn1gAQ_6_4"/>
      <w:bookmarkStart w:id="1031" w:name="Tc_g-U1JnEtMEODN2iocxdwqQ_6_0"/>
      <w:bookmarkStart w:id="1032" w:name="Tc_Pv2CMyGntUaniwg6aGg2QQ_5_12"/>
      <w:bookmarkStart w:id="1033" w:name="Tc_1rDjvFAYHUWIw9dtFoWzsA_5_10"/>
      <w:bookmarkStart w:id="1034" w:name="Tc_y6Sno8K9TkSiUv5yu_MPKg_5_7"/>
      <w:bookmarkStart w:id="1035" w:name="Tc_rI6kENXtH0WNgmHGY7jmMQ_5_4"/>
      <w:bookmarkStart w:id="1036" w:name="Tc_seFclupigUG314pUYnA9fA_5_2"/>
      <w:bookmarkStart w:id="1037" w:name="Tc_pjxA7bYADkWQAb8Xr7LavQ_4_12"/>
      <w:bookmarkStart w:id="1038" w:name="Tc_RUgXu1Ts8Uqjt_dZbu3yZg_4_10"/>
      <w:bookmarkStart w:id="1039" w:name="Tc_c18K8VKyP0CcWjx4CmYJww_4_7"/>
      <w:bookmarkStart w:id="1040" w:name="Tc_GheszFl0mEuogRpa5LxLog_4_4"/>
      <w:bookmarkStart w:id="1041" w:name="Tc_QQtM0FB4VUGYZUPhXu4Ckg_4_2"/>
      <w:bookmarkStart w:id="1042" w:name="Tc_mEebE9FEBUqatcKoVf_vfg_3_12"/>
      <w:bookmarkStart w:id="1043" w:name="Tc_1bmhP1iLHU-f18KGipuHyw_3_10"/>
      <w:bookmarkStart w:id="1044" w:name="Tc_pPNRwOH6XUeA516sJ2hBzg_3_7"/>
      <w:bookmarkStart w:id="1045" w:name="Tc_Ja9Aw_rXoEuIratyV-QOZg_3_4"/>
      <w:bookmarkStart w:id="1046" w:name="Tc_tnoCOThqVECNefch0CQM4A_3_2"/>
      <w:bookmarkStart w:id="1047" w:name="Tc_BudagQEXcEatA11FW5joog_2_10"/>
      <w:bookmarkStart w:id="1048" w:name="Tc_IFy1puXey0m0h1dMI_D1Jw_2_7"/>
      <w:bookmarkStart w:id="1049" w:name="Tc__C-rquuBNkGF6KM8QHC2JQ_1_10"/>
      <w:bookmarkStart w:id="1050" w:name="_8cb15471_9192_49c0_a07d_e6599ca26926"/>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r>
        <w:rPr>
          <w:rFonts w:ascii="Times New Roman;Times;serif" w:hAnsi="Times New Roman;Times;serif"/>
          <w:sz w:val="20"/>
        </w:rPr>
        <w:t>The following table sets forth contingent restricted stock unit transactions for the years ended June 30, 2026 and 2025:</w:t>
      </w:r>
    </w:p>
    <w:tbl>
      <w:tblPr>
        <w:tblW w:w="10205" w:type="dxa"/>
        <w:jc w:val="left"/>
        <w:tblInd w:w="0" w:type="dxa"/>
        <w:tblLayout w:type="fixed"/>
        <w:tblCellMar>
          <w:top w:w="0" w:type="dxa"/>
          <w:left w:w="0" w:type="dxa"/>
          <w:bottom w:w="0" w:type="dxa"/>
          <w:right w:w="0" w:type="dxa"/>
        </w:tblCellMar>
      </w:tblPr>
      <w:tblGrid>
        <w:gridCol w:w="2269"/>
        <w:gridCol w:w="346"/>
        <w:gridCol w:w="969"/>
        <w:gridCol w:w="346"/>
        <w:gridCol w:w="461"/>
        <w:gridCol w:w="894"/>
        <w:gridCol w:w="346"/>
        <w:gridCol w:w="431"/>
        <w:gridCol w:w="830"/>
        <w:gridCol w:w="346"/>
        <w:gridCol w:w="1188"/>
        <w:gridCol w:w="346"/>
        <w:gridCol w:w="378"/>
        <w:gridCol w:w="1055"/>
      </w:tblGrid>
      <w:tr>
        <w:trPr/>
        <w:tc>
          <w:tcPr>
            <w:tcW w:w="2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440815" cy="175260"/>
                      <wp:effectExtent l="0" t="0" r="0" b="0"/>
                      <wp:wrapNone/>
                      <wp:docPr id="396" name="Frame395"/>
                      <a:graphic xmlns:a="http://schemas.openxmlformats.org/drawingml/2006/main">
                        <a:graphicData uri="http://schemas.microsoft.com/office/word/2010/wordprocessingShape">
                          <wps:wsp>
                            <wps:cNvSpPr txBox="1"/>
                            <wps:spPr>
                              <a:xfrm>
                                <a:off x="0" y="0"/>
                                <a:ext cx="1440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19710" cy="175260"/>
                      <wp:effectExtent l="0" t="0" r="0" b="0"/>
                      <wp:wrapNone/>
                      <wp:docPr id="397" name="Frame3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15315" cy="175260"/>
                      <wp:effectExtent l="0" t="0" r="0" b="0"/>
                      <wp:wrapNone/>
                      <wp:docPr id="398" name="Frame397"/>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19710" cy="175260"/>
                      <wp:effectExtent l="0" t="0" r="0" b="0"/>
                      <wp:wrapNone/>
                      <wp:docPr id="399" name="Frame3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92735" cy="175260"/>
                      <wp:effectExtent l="0" t="0" r="0" b="0"/>
                      <wp:wrapNone/>
                      <wp:docPr id="400" name="Frame399"/>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567690" cy="175260"/>
                      <wp:effectExtent l="0" t="0" r="0" b="0"/>
                      <wp:wrapNone/>
                      <wp:docPr id="401" name="Frame400"/>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19710" cy="175260"/>
                      <wp:effectExtent l="0" t="0" r="0" b="0"/>
                      <wp:wrapNone/>
                      <wp:docPr id="402" name="Frame4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73685" cy="175260"/>
                      <wp:effectExtent l="0" t="0" r="0" b="0"/>
                      <wp:wrapNone/>
                      <wp:docPr id="403" name="Frame402"/>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527050" cy="175260"/>
                      <wp:effectExtent l="0" t="0" r="0" b="0"/>
                      <wp:wrapNone/>
                      <wp:docPr id="404" name="Frame403"/>
                      <a:graphic xmlns:a="http://schemas.openxmlformats.org/drawingml/2006/main">
                        <a:graphicData uri="http://schemas.microsoft.com/office/word/2010/wordprocessingShape">
                          <wps:wsp>
                            <wps:cNvSpPr txBox="1"/>
                            <wps:spPr>
                              <a:xfrm>
                                <a:off x="0" y="0"/>
                                <a:ext cx="527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19710" cy="175260"/>
                      <wp:effectExtent l="0" t="0" r="0" b="0"/>
                      <wp:wrapNone/>
                      <wp:docPr id="405" name="Frame4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754380" cy="175260"/>
                      <wp:effectExtent l="0" t="0" r="0" b="0"/>
                      <wp:wrapNone/>
                      <wp:docPr id="406" name="Frame405"/>
                      <a:graphic xmlns:a="http://schemas.openxmlformats.org/drawingml/2006/main">
                        <a:graphicData uri="http://schemas.microsoft.com/office/word/2010/wordprocessingShape">
                          <wps:wsp>
                            <wps:cNvSpPr txBox="1"/>
                            <wps:spPr>
                              <a:xfrm>
                                <a:off x="0" y="0"/>
                                <a:ext cx="754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19710" cy="175260"/>
                      <wp:effectExtent l="0" t="0" r="0" b="0"/>
                      <wp:wrapNone/>
                      <wp:docPr id="407" name="Frame4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40030" cy="175260"/>
                      <wp:effectExtent l="0" t="0" r="0" b="0"/>
                      <wp:wrapNone/>
                      <wp:docPr id="408" name="Frame407"/>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69925" cy="175260"/>
                      <wp:effectExtent l="0" t="0" r="0" b="0"/>
                      <wp:wrapNone/>
                      <wp:docPr id="409" name="Frame408"/>
                      <a:graphic xmlns:a="http://schemas.openxmlformats.org/drawingml/2006/main">
                        <a:graphicData uri="http://schemas.microsoft.com/office/word/2010/wordprocessingShape">
                          <wps:wsp>
                            <wps:cNvSpPr txBox="1"/>
                            <wps:spPr>
                              <a:xfrm>
                                <a:off x="0" y="0"/>
                                <a:ext cx="669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left"/>
              <w:rPr/>
            </w:pPr>
            <w:r>
              <w:rPr/>
              <w:t>​</w:t>
            </w:r>
          </w:p>
        </w:tc>
        <w:tc>
          <w:tcPr>
            <w:tcW w:w="89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31"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88"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Weighted </w:t>
            </w:r>
          </w:p>
        </w:tc>
        <w:tc>
          <w:tcPr>
            <w:tcW w:w="346" w:type="dxa"/>
            <w:tcBorders/>
            <w:vAlign w:val="center"/>
          </w:tcPr>
          <w:p>
            <w:pPr>
              <w:pStyle w:val="TableContents"/>
              <w:bidi w:val="0"/>
              <w:spacing w:before="0" w:after="1"/>
              <w:ind w:left="0" w:right="0" w:hanging="0"/>
              <w:jc w:val="left"/>
              <w:rPr/>
            </w:pPr>
            <w:r>
              <w:rPr/>
              <w:t>​</w:t>
            </w:r>
          </w:p>
        </w:tc>
        <w:tc>
          <w:tcPr>
            <w:tcW w:w="378" w:type="dxa"/>
            <w:tcBorders/>
            <w:vAlign w:val="center"/>
          </w:tcPr>
          <w:p>
            <w:pPr>
              <w:pStyle w:val="TableContents"/>
              <w:bidi w:val="0"/>
              <w:spacing w:before="0" w:after="1"/>
              <w:ind w:left="0" w:right="0" w:hanging="0"/>
              <w:jc w:val="left"/>
              <w:rPr/>
            </w:pPr>
            <w:r>
              <w:rPr/>
              <w:t>​</w:t>
            </w:r>
          </w:p>
        </w:tc>
        <w:tc>
          <w:tcPr>
            <w:tcW w:w="1055" w:type="dxa"/>
            <w:tcBorders/>
            <w:vAlign w:val="center"/>
          </w:tcPr>
          <w:p>
            <w:pPr>
              <w:pStyle w:val="TableContents"/>
              <w:bidi w:val="0"/>
              <w:spacing w:before="0" w:after="1"/>
              <w:ind w:left="0" w:right="0" w:hanging="0"/>
              <w:jc w:val="left"/>
              <w:rPr/>
            </w:pPr>
            <w:r>
              <w:rPr/>
              <w:t>​</w:t>
            </w:r>
          </w:p>
        </w:tc>
      </w:tr>
      <w:tr>
        <w:trPr/>
        <w:tc>
          <w:tcPr>
            <w:tcW w:w="22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left"/>
              <w:rPr/>
            </w:pPr>
            <w:r>
              <w:rPr/>
              <w:t>​</w:t>
            </w:r>
          </w:p>
        </w:tc>
        <w:tc>
          <w:tcPr>
            <w:tcW w:w="89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Unamortized </w:t>
            </w:r>
          </w:p>
        </w:tc>
        <w:tc>
          <w:tcPr>
            <w:tcW w:w="346" w:type="dxa"/>
            <w:tcBorders/>
            <w:vAlign w:val="center"/>
          </w:tcPr>
          <w:p>
            <w:pPr>
              <w:pStyle w:val="TableContents"/>
              <w:bidi w:val="0"/>
              <w:spacing w:before="0" w:after="1"/>
              <w:ind w:left="0" w:right="0" w:hanging="0"/>
              <w:jc w:val="left"/>
              <w:rPr/>
            </w:pPr>
            <w:r>
              <w:rPr/>
              <w:t>​</w:t>
            </w:r>
          </w:p>
        </w:tc>
        <w:tc>
          <w:tcPr>
            <w:tcW w:w="1188"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c>
          <w:tcPr>
            <w:tcW w:w="346" w:type="dxa"/>
            <w:tcBorders/>
            <w:vAlign w:val="center"/>
          </w:tcPr>
          <w:p>
            <w:pPr>
              <w:pStyle w:val="TableContents"/>
              <w:bidi w:val="0"/>
              <w:spacing w:before="0" w:after="1"/>
              <w:ind w:left="0" w:right="0" w:hanging="0"/>
              <w:jc w:val="left"/>
              <w:rPr/>
            </w:pPr>
            <w:r>
              <w:rPr/>
              <w:t>​</w:t>
            </w:r>
          </w:p>
        </w:tc>
        <w:tc>
          <w:tcPr>
            <w:tcW w:w="378" w:type="dxa"/>
            <w:tcBorders/>
            <w:vAlign w:val="center"/>
          </w:tcPr>
          <w:p>
            <w:pPr>
              <w:pStyle w:val="TableContents"/>
              <w:bidi w:val="0"/>
              <w:spacing w:before="0" w:after="1"/>
              <w:ind w:left="0" w:right="0" w:hanging="0"/>
              <w:jc w:val="left"/>
              <w:rPr/>
            </w:pPr>
            <w:r>
              <w:rPr/>
              <w:t>​</w:t>
            </w:r>
          </w:p>
        </w:tc>
        <w:tc>
          <w:tcPr>
            <w:tcW w:w="1055" w:type="dxa"/>
            <w:tcBorders/>
            <w:vAlign w:val="center"/>
          </w:tcPr>
          <w:p>
            <w:pPr>
              <w:pStyle w:val="TableContents"/>
              <w:bidi w:val="0"/>
              <w:spacing w:before="0" w:after="1"/>
              <w:ind w:left="0" w:right="0" w:hanging="0"/>
              <w:jc w:val="left"/>
              <w:rPr/>
            </w:pPr>
            <w:r>
              <w:rPr/>
              <w:t>​</w:t>
            </w:r>
          </w:p>
        </w:tc>
      </w:tr>
      <w:tr>
        <w:trPr/>
        <w:tc>
          <w:tcPr>
            <w:tcW w:w="22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69"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46" w:type="dxa"/>
            <w:tcBorders/>
            <w:vAlign w:val="center"/>
          </w:tcPr>
          <w:p>
            <w:pPr>
              <w:pStyle w:val="TableContents"/>
              <w:bidi w:val="0"/>
              <w:spacing w:before="0" w:after="1"/>
              <w:ind w:left="0" w:right="0" w:hanging="0"/>
              <w:jc w:val="left"/>
              <w:rPr/>
            </w:pPr>
            <w:r>
              <w:rPr/>
              <w:t>​</w:t>
            </w:r>
          </w:p>
        </w:tc>
        <w:tc>
          <w:tcPr>
            <w:tcW w:w="135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 Average</w:t>
            </w:r>
          </w:p>
        </w:tc>
        <w:tc>
          <w:tcPr>
            <w:tcW w:w="346" w:type="dxa"/>
            <w:tcBorders/>
            <w:vAlign w:val="center"/>
          </w:tcPr>
          <w:p>
            <w:pPr>
              <w:pStyle w:val="TableContents"/>
              <w:bidi w:val="0"/>
              <w:spacing w:before="0" w:after="1"/>
              <w:ind w:left="0" w:right="0" w:hanging="0"/>
              <w:jc w:val="left"/>
              <w:rPr/>
            </w:pPr>
            <w:r>
              <w:rP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Compensation </w:t>
            </w:r>
          </w:p>
        </w:tc>
        <w:tc>
          <w:tcPr>
            <w:tcW w:w="346" w:type="dxa"/>
            <w:tcBorders/>
            <w:vAlign w:val="center"/>
          </w:tcPr>
          <w:p>
            <w:pPr>
              <w:pStyle w:val="TableContents"/>
              <w:bidi w:val="0"/>
              <w:spacing w:before="0" w:after="1"/>
              <w:ind w:left="0" w:right="0" w:hanging="0"/>
              <w:jc w:val="left"/>
              <w:rPr/>
            </w:pPr>
            <w:r>
              <w:rPr/>
              <w:t>​</w:t>
            </w:r>
          </w:p>
        </w:tc>
        <w:tc>
          <w:tcPr>
            <w:tcW w:w="1188"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Remaining </w:t>
            </w:r>
          </w:p>
        </w:tc>
        <w:tc>
          <w:tcPr>
            <w:tcW w:w="346" w:type="dxa"/>
            <w:tcBorders/>
            <w:vAlign w:val="center"/>
          </w:tcPr>
          <w:p>
            <w:pPr>
              <w:pStyle w:val="TableContents"/>
              <w:bidi w:val="0"/>
              <w:spacing w:before="0" w:after="1"/>
              <w:ind w:left="0" w:right="0" w:hanging="0"/>
              <w:jc w:val="left"/>
              <w:rPr/>
            </w:pPr>
            <w:r>
              <w:rPr/>
              <w:t>​</w:t>
            </w:r>
          </w:p>
        </w:tc>
        <w:tc>
          <w:tcPr>
            <w:tcW w:w="1433"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Aggregate Intrinsic</w:t>
            </w:r>
          </w:p>
        </w:tc>
      </w:tr>
      <w:tr>
        <w:trPr/>
        <w:tc>
          <w:tcPr>
            <w:tcW w:w="22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69"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Restricted</w:t>
            </w:r>
          </w:p>
        </w:tc>
        <w:tc>
          <w:tcPr>
            <w:tcW w:w="346" w:type="dxa"/>
            <w:tcBorders/>
            <w:vAlign w:val="center"/>
          </w:tcPr>
          <w:p>
            <w:pPr>
              <w:pStyle w:val="TableContents"/>
              <w:bidi w:val="0"/>
              <w:spacing w:before="0" w:after="1"/>
              <w:ind w:left="0" w:right="0" w:hanging="0"/>
              <w:jc w:val="left"/>
              <w:rPr/>
            </w:pPr>
            <w:r>
              <w:rPr/>
              <w:t>​</w:t>
            </w:r>
          </w:p>
        </w:tc>
        <w:tc>
          <w:tcPr>
            <w:tcW w:w="135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Grant-Date</w:t>
            </w:r>
          </w:p>
        </w:tc>
        <w:tc>
          <w:tcPr>
            <w:tcW w:w="346" w:type="dxa"/>
            <w:tcBorders/>
            <w:vAlign w:val="center"/>
          </w:tcPr>
          <w:p>
            <w:pPr>
              <w:pStyle w:val="TableContents"/>
              <w:bidi w:val="0"/>
              <w:spacing w:before="0" w:after="1"/>
              <w:ind w:left="0" w:right="0" w:hanging="0"/>
              <w:jc w:val="left"/>
              <w:rPr/>
            </w:pPr>
            <w:r>
              <w:rP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Expense</w:t>
            </w:r>
          </w:p>
        </w:tc>
        <w:tc>
          <w:tcPr>
            <w:tcW w:w="346" w:type="dxa"/>
            <w:tcBorders/>
            <w:vAlign w:val="center"/>
          </w:tcPr>
          <w:p>
            <w:pPr>
              <w:pStyle w:val="TableContents"/>
              <w:bidi w:val="0"/>
              <w:spacing w:before="0" w:after="1"/>
              <w:ind w:left="0" w:right="0" w:hanging="0"/>
              <w:jc w:val="left"/>
              <w:rPr/>
            </w:pPr>
            <w:r>
              <w:rPr/>
              <w:t>​</w:t>
            </w:r>
          </w:p>
        </w:tc>
        <w:tc>
          <w:tcPr>
            <w:tcW w:w="1188"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Amortization</w:t>
            </w:r>
          </w:p>
        </w:tc>
        <w:tc>
          <w:tcPr>
            <w:tcW w:w="346" w:type="dxa"/>
            <w:tcBorders/>
            <w:vAlign w:val="center"/>
          </w:tcPr>
          <w:p>
            <w:pPr>
              <w:pStyle w:val="TableContents"/>
              <w:bidi w:val="0"/>
              <w:spacing w:before="0" w:after="1"/>
              <w:ind w:left="0" w:right="0" w:hanging="0"/>
              <w:jc w:val="left"/>
              <w:rPr/>
            </w:pPr>
            <w:r>
              <w:rPr/>
              <w:t>​</w:t>
            </w:r>
          </w:p>
        </w:tc>
        <w:tc>
          <w:tcPr>
            <w:tcW w:w="1433" w:type="dxa"/>
            <w:gridSpan w:val="2"/>
            <w:tcBorders/>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 xml:space="preserve">Value </w:t>
            </w:r>
            <w:r>
              <w:rPr>
                <w:rFonts w:ascii="Times New Roman;Times;serif" w:hAnsi="Times New Roman;Times;serif"/>
                <w:b/>
                <w:i/>
                <w:sz w:val="14"/>
              </w:rPr>
              <w:t>(1)</w:t>
            </w:r>
          </w:p>
        </w:tc>
      </w:tr>
      <w:tr>
        <w:trPr/>
        <w:tc>
          <w:tcPr>
            <w:tcW w:w="2269"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  ​ ​ ​</w:t>
            </w:r>
          </w:p>
        </w:tc>
        <w:tc>
          <w:tcPr>
            <w:tcW w:w="96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Stock Units</w:t>
            </w:r>
          </w:p>
        </w:tc>
        <w:tc>
          <w:tcPr>
            <w:tcW w:w="346" w:type="dxa"/>
            <w:tcBorders/>
            <w:vAlign w:val="center"/>
          </w:tcPr>
          <w:p>
            <w:pPr>
              <w:pStyle w:val="TableContents"/>
              <w:bidi w:val="0"/>
              <w:spacing w:before="0" w:after="1"/>
              <w:ind w:left="0" w:right="0" w:hanging="0"/>
              <w:jc w:val="left"/>
              <w:rPr/>
            </w:pPr>
            <w:r>
              <w:rPr/>
              <w:t>  ​ ​ ​</w:t>
            </w:r>
          </w:p>
        </w:tc>
        <w:tc>
          <w:tcPr>
            <w:tcW w:w="13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346" w:type="dxa"/>
            <w:tcBorders/>
            <w:vAlign w:val="center"/>
          </w:tcPr>
          <w:p>
            <w:pPr>
              <w:pStyle w:val="TableContents"/>
              <w:bidi w:val="0"/>
              <w:spacing w:before="0" w:after="1"/>
              <w:ind w:left="0" w:right="0" w:hanging="0"/>
              <w:jc w:val="left"/>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 thousands)</w:t>
            </w:r>
          </w:p>
        </w:tc>
        <w:tc>
          <w:tcPr>
            <w:tcW w:w="346" w:type="dxa"/>
            <w:tcBorders/>
            <w:vAlign w:val="center"/>
          </w:tcPr>
          <w:p>
            <w:pPr>
              <w:pStyle w:val="TableContents"/>
              <w:bidi w:val="0"/>
              <w:spacing w:before="0" w:after="1"/>
              <w:ind w:left="0" w:right="0" w:hanging="0"/>
              <w:jc w:val="left"/>
              <w:rPr/>
            </w:pPr>
            <w:r>
              <w:rPr/>
              <w:t>  ​ ​ ​</w:t>
            </w:r>
          </w:p>
        </w:tc>
        <w:tc>
          <w:tcPr>
            <w:tcW w:w="118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Period (Years)</w:t>
            </w:r>
          </w:p>
        </w:tc>
        <w:tc>
          <w:tcPr>
            <w:tcW w:w="346" w:type="dxa"/>
            <w:tcBorders/>
            <w:vAlign w:val="center"/>
          </w:tcPr>
          <w:p>
            <w:pPr>
              <w:pStyle w:val="TableContents"/>
              <w:bidi w:val="0"/>
              <w:spacing w:before="0" w:after="1"/>
              <w:ind w:left="0" w:right="0" w:hanging="0"/>
              <w:jc w:val="left"/>
              <w:rPr/>
            </w:pPr>
            <w:r>
              <w:rPr/>
              <w:t>  ​ ​ ​</w:t>
            </w:r>
          </w:p>
        </w:tc>
        <w:tc>
          <w:tcPr>
            <w:tcW w:w="14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 thousands)</w:t>
            </w:r>
          </w:p>
        </w:tc>
      </w:tr>
      <w:tr>
        <w:trPr/>
        <w:tc>
          <w:tcPr>
            <w:tcW w:w="226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June 30, 2024</w:t>
            </w:r>
          </w:p>
        </w:tc>
        <w:tc>
          <w:tcPr>
            <w:tcW w:w="346" w:type="dxa"/>
            <w:tcBorders/>
            <w:shd w:fill="CCEEFF" w:val="clear"/>
            <w:vAlign w:val="center"/>
          </w:tcPr>
          <w:p>
            <w:pPr>
              <w:pStyle w:val="TableContents"/>
              <w:bidi w:val="0"/>
              <w:spacing w:before="0" w:after="1"/>
              <w:ind w:left="0" w:right="0" w:hanging="0"/>
              <w:jc w:val="left"/>
              <w:rPr/>
            </w:pPr>
            <w:r>
              <w:rPr/>
              <w:t>​</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150,788</w:t>
            </w:r>
          </w:p>
        </w:tc>
        <w:tc>
          <w:tcPr>
            <w:tcW w:w="346"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2.86</w:t>
            </w:r>
          </w:p>
        </w:tc>
        <w:tc>
          <w:tcPr>
            <w:tcW w:w="346" w:type="dxa"/>
            <w:tcBorders/>
            <w:shd w:fill="CCEEFF" w:val="clear"/>
            <w:vAlign w:val="center"/>
          </w:tcPr>
          <w:p>
            <w:pPr>
              <w:pStyle w:val="TableContents"/>
              <w:bidi w:val="0"/>
              <w:spacing w:before="0" w:after="1"/>
              <w:ind w:left="0" w:right="0" w:hanging="0"/>
              <w:jc w:val="left"/>
              <w:rPr/>
            </w:pPr>
            <w:r>
              <w:rPr/>
              <w:t>​</w:t>
            </w:r>
          </w:p>
        </w:tc>
        <w:tc>
          <w:tcPr>
            <w:tcW w:w="431"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8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78" w:type="dxa"/>
            <w:tcBorders/>
            <w:shd w:fill="CCEEFF" w:val="clear"/>
            <w:vAlign w:val="center"/>
          </w:tcPr>
          <w:p>
            <w:pPr>
              <w:pStyle w:val="TableContents"/>
              <w:bidi w:val="0"/>
              <w:spacing w:before="0" w:after="1"/>
              <w:ind w:left="0" w:right="0" w:hanging="0"/>
              <w:jc w:val="left"/>
              <w:rPr/>
            </w:pPr>
            <w:r>
              <w:rPr/>
              <w:t>​</w:t>
            </w:r>
          </w:p>
        </w:tc>
        <w:tc>
          <w:tcPr>
            <w:tcW w:w="1055" w:type="dxa"/>
            <w:tcBorders/>
            <w:shd w:fill="CCEEFF" w:val="clear"/>
            <w:vAlign w:val="center"/>
          </w:tcPr>
          <w:p>
            <w:pPr>
              <w:pStyle w:val="TableContents"/>
              <w:bidi w:val="0"/>
              <w:spacing w:before="0" w:after="1"/>
              <w:ind w:left="0" w:right="0" w:hanging="0"/>
              <w:jc w:val="right"/>
              <w:rPr/>
            </w:pPr>
            <w:r>
              <w:rPr/>
              <w:t>​</w:t>
            </w:r>
          </w:p>
        </w:tc>
      </w:tr>
      <w:tr>
        <w:trPr/>
        <w:tc>
          <w:tcPr>
            <w:tcW w:w="226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Performance-based awards granted</w:t>
            </w:r>
          </w:p>
        </w:tc>
        <w:tc>
          <w:tcPr>
            <w:tcW w:w="346" w:type="dxa"/>
            <w:tcBorders/>
            <w:vAlign w:val="center"/>
          </w:tcPr>
          <w:p>
            <w:pPr>
              <w:pStyle w:val="TableContents"/>
              <w:bidi w:val="0"/>
              <w:spacing w:before="0" w:after="1"/>
              <w:ind w:left="0" w:right="0" w:hanging="0"/>
              <w:jc w:val="left"/>
              <w:rPr/>
            </w:pPr>
            <w:r>
              <w:rPr/>
              <w:t>​</w:t>
            </w:r>
          </w:p>
        </w:tc>
        <w:tc>
          <w:tcPr>
            <w:tcW w:w="9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142,112</w:t>
            </w:r>
          </w:p>
        </w:tc>
        <w:tc>
          <w:tcPr>
            <w:tcW w:w="346"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left"/>
              <w:rPr/>
            </w:pPr>
            <w:r>
              <w:rPr/>
              <w:t>​</w:t>
            </w:r>
          </w:p>
        </w:tc>
        <w:tc>
          <w:tcPr>
            <w:tcW w:w="89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2.67</w:t>
            </w:r>
          </w:p>
        </w:tc>
        <w:tc>
          <w:tcPr>
            <w:tcW w:w="346" w:type="dxa"/>
            <w:tcBorders/>
            <w:vAlign w:val="center"/>
          </w:tcPr>
          <w:p>
            <w:pPr>
              <w:pStyle w:val="TableContents"/>
              <w:bidi w:val="0"/>
              <w:spacing w:before="0" w:after="1"/>
              <w:ind w:left="0" w:right="0" w:hanging="0"/>
              <w:jc w:val="left"/>
              <w:rPr/>
            </w:pPr>
            <w:r>
              <w:rPr/>
              <w:t>​</w:t>
            </w:r>
          </w:p>
        </w:tc>
        <w:tc>
          <w:tcPr>
            <w:tcW w:w="431"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8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78" w:type="dxa"/>
            <w:tcBorders/>
            <w:vAlign w:val="center"/>
          </w:tcPr>
          <w:p>
            <w:pPr>
              <w:pStyle w:val="TableContents"/>
              <w:bidi w:val="0"/>
              <w:spacing w:before="0" w:after="1"/>
              <w:ind w:left="0" w:right="0" w:hanging="0"/>
              <w:jc w:val="left"/>
              <w:rPr/>
            </w:pPr>
            <w:r>
              <w:rPr/>
              <w:t>​</w:t>
            </w:r>
          </w:p>
        </w:tc>
        <w:tc>
          <w:tcPr>
            <w:tcW w:w="1055" w:type="dxa"/>
            <w:tcBorders/>
            <w:vAlign w:val="center"/>
          </w:tcPr>
          <w:p>
            <w:pPr>
              <w:pStyle w:val="TableContents"/>
              <w:bidi w:val="0"/>
              <w:spacing w:before="0" w:after="1"/>
              <w:ind w:left="0" w:right="0" w:hanging="0"/>
              <w:jc w:val="left"/>
              <w:rPr/>
            </w:pPr>
            <w:r>
              <w:rPr/>
              <w:t>​</w:t>
            </w:r>
          </w:p>
        </w:tc>
      </w:tr>
      <w:tr>
        <w:trPr/>
        <w:tc>
          <w:tcPr>
            <w:tcW w:w="226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Forfeited</w:t>
            </w:r>
          </w:p>
        </w:tc>
        <w:tc>
          <w:tcPr>
            <w:tcW w:w="346" w:type="dxa"/>
            <w:tcBorders/>
            <w:shd w:fill="CCEEFF" w:val="clear"/>
            <w:vAlign w:val="center"/>
          </w:tcPr>
          <w:p>
            <w:pPr>
              <w:pStyle w:val="TableContents"/>
              <w:bidi w:val="0"/>
              <w:spacing w:before="0" w:after="1"/>
              <w:ind w:left="0" w:right="0" w:hanging="0"/>
              <w:jc w:val="left"/>
              <w:rPr/>
            </w:pPr>
            <w:r>
              <w:rPr/>
              <w:t>​</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(3,394)</w:t>
            </w:r>
          </w:p>
        </w:tc>
        <w:tc>
          <w:tcPr>
            <w:tcW w:w="346"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left"/>
              <w:rPr/>
            </w:pPr>
            <w:r>
              <w:rPr/>
              <w:t>​</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2.91</w:t>
            </w:r>
          </w:p>
        </w:tc>
        <w:tc>
          <w:tcPr>
            <w:tcW w:w="346" w:type="dxa"/>
            <w:tcBorders/>
            <w:shd w:fill="CCEEFF" w:val="clear"/>
            <w:vAlign w:val="center"/>
          </w:tcPr>
          <w:p>
            <w:pPr>
              <w:pStyle w:val="TableContents"/>
              <w:bidi w:val="0"/>
              <w:spacing w:before="0" w:after="1"/>
              <w:ind w:left="0" w:right="0" w:hanging="0"/>
              <w:jc w:val="left"/>
              <w:rPr/>
            </w:pPr>
            <w:r>
              <w:rPr/>
              <w:t>​</w:t>
            </w:r>
          </w:p>
        </w:tc>
        <w:tc>
          <w:tcPr>
            <w:tcW w:w="431"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8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78" w:type="dxa"/>
            <w:tcBorders/>
            <w:shd w:fill="CCEEFF" w:val="clear"/>
            <w:vAlign w:val="center"/>
          </w:tcPr>
          <w:p>
            <w:pPr>
              <w:pStyle w:val="TableContents"/>
              <w:bidi w:val="0"/>
              <w:spacing w:before="0" w:after="1"/>
              <w:ind w:left="0" w:right="0" w:hanging="0"/>
              <w:jc w:val="left"/>
              <w:rPr/>
            </w:pPr>
            <w:r>
              <w:rPr/>
              <w:t>​</w:t>
            </w:r>
          </w:p>
        </w:tc>
        <w:tc>
          <w:tcPr>
            <w:tcW w:w="1055" w:type="dxa"/>
            <w:tcBorders/>
            <w:shd w:fill="CCEEFF" w:val="clear"/>
            <w:vAlign w:val="center"/>
          </w:tcPr>
          <w:p>
            <w:pPr>
              <w:pStyle w:val="TableContents"/>
              <w:bidi w:val="0"/>
              <w:spacing w:before="0" w:after="1"/>
              <w:ind w:left="0" w:right="0" w:hanging="0"/>
              <w:jc w:val="left"/>
              <w:rPr/>
            </w:pPr>
            <w:r>
              <w:rPr/>
              <w:t>​</w:t>
            </w:r>
          </w:p>
        </w:tc>
      </w:tr>
      <w:tr>
        <w:trPr/>
        <w:tc>
          <w:tcPr>
            <w:tcW w:w="226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Expired</w:t>
            </w:r>
          </w:p>
        </w:tc>
        <w:tc>
          <w:tcPr>
            <w:tcW w:w="346" w:type="dxa"/>
            <w:tcBorders/>
            <w:vAlign w:val="center"/>
          </w:tcPr>
          <w:p>
            <w:pPr>
              <w:pStyle w:val="TableContents"/>
              <w:bidi w:val="0"/>
              <w:spacing w:before="0" w:after="1"/>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(47,893)</w:t>
            </w:r>
          </w:p>
        </w:tc>
        <w:tc>
          <w:tcPr>
            <w:tcW w:w="346" w:type="dxa"/>
            <w:tcBorders/>
            <w:vAlign w:val="center"/>
          </w:tcPr>
          <w:p>
            <w:pPr>
              <w:pStyle w:val="TableContents"/>
              <w:bidi w:val="0"/>
              <w:spacing w:before="0" w:after="1"/>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4.77</w:t>
            </w:r>
          </w:p>
        </w:tc>
        <w:tc>
          <w:tcPr>
            <w:tcW w:w="346" w:type="dxa"/>
            <w:tcBorders/>
            <w:vAlign w:val="center"/>
          </w:tcPr>
          <w:p>
            <w:pPr>
              <w:pStyle w:val="TableContents"/>
              <w:bidi w:val="0"/>
              <w:spacing w:before="0" w:after="1"/>
              <w:ind w:left="0" w:right="0" w:hanging="0"/>
              <w:jc w:val="left"/>
              <w:rPr/>
            </w:pPr>
            <w:r>
              <w:rPr/>
              <w:t>​</w:t>
            </w:r>
          </w:p>
        </w:tc>
        <w:tc>
          <w:tcPr>
            <w:tcW w:w="431"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8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78" w:type="dxa"/>
            <w:tcBorders/>
            <w:vAlign w:val="center"/>
          </w:tcPr>
          <w:p>
            <w:pPr>
              <w:pStyle w:val="TableContents"/>
              <w:bidi w:val="0"/>
              <w:spacing w:before="0" w:after="1"/>
              <w:ind w:left="0" w:right="0" w:hanging="0"/>
              <w:jc w:val="left"/>
              <w:rPr/>
            </w:pPr>
            <w:r>
              <w:rPr/>
              <w:t>​</w:t>
            </w:r>
          </w:p>
        </w:tc>
        <w:tc>
          <w:tcPr>
            <w:tcW w:w="1055" w:type="dxa"/>
            <w:tcBorders/>
            <w:vAlign w:val="center"/>
          </w:tcPr>
          <w:p>
            <w:pPr>
              <w:pStyle w:val="TableContents"/>
              <w:bidi w:val="0"/>
              <w:spacing w:before="0" w:after="1"/>
              <w:ind w:left="0" w:right="0" w:hanging="0"/>
              <w:jc w:val="left"/>
              <w:rPr/>
            </w:pPr>
            <w:r>
              <w:rPr/>
              <w:t>​</w:t>
            </w:r>
          </w:p>
        </w:tc>
      </w:tr>
      <w:tr>
        <w:trPr/>
        <w:tc>
          <w:tcPr>
            <w:tcW w:w="226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June 30, 2025</w:t>
            </w:r>
          </w:p>
        </w:tc>
        <w:tc>
          <w:tcPr>
            <w:tcW w:w="346" w:type="dxa"/>
            <w:tcBorders/>
            <w:shd w:fill="CCEEFF" w:val="clear"/>
            <w:vAlign w:val="center"/>
          </w:tcPr>
          <w:p>
            <w:pPr>
              <w:pStyle w:val="TableContents"/>
              <w:bidi w:val="0"/>
              <w:spacing w:before="0" w:after="1"/>
              <w:ind w:left="0" w:right="0" w:hanging="0"/>
              <w:jc w:val="left"/>
              <w:rPr/>
            </w:pPr>
            <w:r>
              <w:rPr/>
              <w:t>​</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241,613</w:t>
            </w:r>
          </w:p>
        </w:tc>
        <w:tc>
          <w:tcPr>
            <w:tcW w:w="346"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w:t>
            </w:r>
          </w:p>
        </w:tc>
        <w:tc>
          <w:tcPr>
            <w:tcW w:w="346" w:type="dxa"/>
            <w:tcBorders/>
            <w:shd w:fill="CCEEFF" w:val="clear"/>
            <w:vAlign w:val="center"/>
          </w:tcPr>
          <w:p>
            <w:pPr>
              <w:pStyle w:val="TableContents"/>
              <w:bidi w:val="0"/>
              <w:spacing w:before="0" w:after="1"/>
              <w:ind w:left="0" w:right="0" w:hanging="0"/>
              <w:jc w:val="left"/>
              <w:rPr/>
            </w:pPr>
            <w:r>
              <w:rPr/>
              <w:t>​</w:t>
            </w:r>
          </w:p>
        </w:tc>
        <w:tc>
          <w:tcPr>
            <w:tcW w:w="4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340</w:t>
            </w:r>
          </w:p>
        </w:tc>
        <w:tc>
          <w:tcPr>
            <w:tcW w:w="346" w:type="dxa"/>
            <w:tcBorders/>
            <w:shd w:fill="CCEEFF" w:val="clear"/>
            <w:vAlign w:val="center"/>
          </w:tcPr>
          <w:p>
            <w:pPr>
              <w:pStyle w:val="TableContents"/>
              <w:bidi w:val="0"/>
              <w:spacing w:before="0" w:after="1"/>
              <w:ind w:left="0" w:right="0" w:hanging="0"/>
              <w:jc w:val="left"/>
              <w:rPr/>
            </w:pPr>
            <w:r>
              <w:rPr/>
              <w:t>​</w:t>
            </w:r>
          </w:p>
        </w:tc>
        <w:tc>
          <w:tcPr>
            <w:tcW w:w="118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w:t>
            </w:r>
          </w:p>
        </w:tc>
        <w:tc>
          <w:tcPr>
            <w:tcW w:w="346" w:type="dxa"/>
            <w:tcBorders/>
            <w:shd w:fill="CCEEFF" w:val="clear"/>
            <w:vAlign w:val="center"/>
          </w:tcPr>
          <w:p>
            <w:pPr>
              <w:pStyle w:val="TableContents"/>
              <w:bidi w:val="0"/>
              <w:spacing w:before="0" w:after="1"/>
              <w:ind w:left="0" w:right="0" w:hanging="0"/>
              <w:jc w:val="left"/>
              <w:rPr/>
            </w:pPr>
            <w:r>
              <w:rPr/>
              <w:t>​</w:t>
            </w:r>
          </w:p>
        </w:tc>
        <w:tc>
          <w:tcPr>
            <w:tcW w:w="37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5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1,136</w:t>
            </w:r>
          </w:p>
        </w:tc>
      </w:tr>
      <w:tr>
        <w:trPr/>
        <w:tc>
          <w:tcPr>
            <w:tcW w:w="226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Expired</w:t>
            </w:r>
          </w:p>
        </w:tc>
        <w:tc>
          <w:tcPr>
            <w:tcW w:w="346" w:type="dxa"/>
            <w:tcBorders/>
            <w:vAlign w:val="center"/>
          </w:tcPr>
          <w:p>
            <w:pPr>
              <w:pStyle w:val="TableContents"/>
              <w:bidi w:val="0"/>
              <w:spacing w:before="0" w:after="1"/>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(101,134)</w:t>
            </w:r>
          </w:p>
        </w:tc>
        <w:tc>
          <w:tcPr>
            <w:tcW w:w="346" w:type="dxa"/>
            <w:tcBorders/>
            <w:vAlign w:val="center"/>
          </w:tcPr>
          <w:p>
            <w:pPr>
              <w:pStyle w:val="TableContents"/>
              <w:bidi w:val="0"/>
              <w:spacing w:before="0" w:after="1"/>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w:t>
            </w:r>
          </w:p>
        </w:tc>
        <w:tc>
          <w:tcPr>
            <w:tcW w:w="346" w:type="dxa"/>
            <w:tcBorders/>
            <w:vAlign w:val="center"/>
          </w:tcPr>
          <w:p>
            <w:pPr>
              <w:pStyle w:val="TableContents"/>
              <w:bidi w:val="0"/>
              <w:spacing w:before="0" w:after="1"/>
              <w:ind w:left="0" w:right="0" w:hanging="0"/>
              <w:jc w:val="left"/>
              <w:rPr/>
            </w:pPr>
            <w:r>
              <w:rPr/>
              <w:t>​</w:t>
            </w:r>
          </w:p>
        </w:tc>
        <w:tc>
          <w:tcPr>
            <w:tcW w:w="431"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8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78" w:type="dxa"/>
            <w:tcBorders/>
            <w:vAlign w:val="center"/>
          </w:tcPr>
          <w:p>
            <w:pPr>
              <w:pStyle w:val="TableContents"/>
              <w:bidi w:val="0"/>
              <w:spacing w:before="0" w:after="1"/>
              <w:ind w:left="0" w:right="0" w:hanging="0"/>
              <w:jc w:val="left"/>
              <w:rPr/>
            </w:pPr>
            <w:r>
              <w:rPr/>
              <w:t>​</w:t>
            </w:r>
          </w:p>
        </w:tc>
        <w:tc>
          <w:tcPr>
            <w:tcW w:w="1055" w:type="dxa"/>
            <w:tcBorders/>
            <w:vAlign w:val="center"/>
          </w:tcPr>
          <w:p>
            <w:pPr>
              <w:pStyle w:val="TableContents"/>
              <w:bidi w:val="0"/>
              <w:spacing w:before="0" w:after="1"/>
              <w:ind w:left="0" w:right="0" w:hanging="0"/>
              <w:jc w:val="left"/>
              <w:rPr/>
            </w:pPr>
            <w:r>
              <w:rPr/>
              <w:t>​</w:t>
            </w:r>
          </w:p>
        </w:tc>
      </w:tr>
      <w:tr>
        <w:trPr/>
        <w:tc>
          <w:tcPr>
            <w:tcW w:w="226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9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140,479</w:t>
            </w:r>
          </w:p>
        </w:tc>
        <w:tc>
          <w:tcPr>
            <w:tcW w:w="346" w:type="dxa"/>
            <w:tcBorders/>
            <w:shd w:fill="CCEEFF" w:val="clear"/>
            <w:vAlign w:val="center"/>
          </w:tcPr>
          <w:p>
            <w:pPr>
              <w:pStyle w:val="TableContents"/>
              <w:bidi w:val="0"/>
              <w:spacing w:before="0" w:after="1"/>
              <w:ind w:left="0" w:right="0" w:hanging="0"/>
              <w:jc w:val="left"/>
              <w:rPr/>
            </w:pPr>
            <w:r>
              <w:rPr/>
              <w:t>​</w:t>
            </w:r>
          </w:p>
        </w:tc>
        <w:tc>
          <w:tcPr>
            <w:tcW w:w="46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2.67</w:t>
            </w:r>
          </w:p>
        </w:tc>
        <w:tc>
          <w:tcPr>
            <w:tcW w:w="346" w:type="dxa"/>
            <w:tcBorders/>
            <w:shd w:fill="CCEEFF" w:val="clear"/>
            <w:vAlign w:val="center"/>
          </w:tcPr>
          <w:p>
            <w:pPr>
              <w:pStyle w:val="TableContents"/>
              <w:bidi w:val="0"/>
              <w:spacing w:before="0" w:after="1"/>
              <w:ind w:left="0" w:right="0" w:hanging="0"/>
              <w:jc w:val="left"/>
              <w:rPr/>
            </w:pPr>
            <w:r>
              <w:rPr/>
              <w:t>​</w:t>
            </w:r>
          </w:p>
        </w:tc>
        <w:tc>
          <w:tcPr>
            <w:tcW w:w="4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w:t>
            </w:r>
          </w:p>
        </w:tc>
        <w:tc>
          <w:tcPr>
            <w:tcW w:w="346" w:type="dxa"/>
            <w:tcBorders/>
            <w:shd w:fill="CCEEFF" w:val="clear"/>
            <w:vAlign w:val="center"/>
          </w:tcPr>
          <w:p>
            <w:pPr>
              <w:pStyle w:val="TableContents"/>
              <w:bidi w:val="0"/>
              <w:spacing w:before="0" w:after="1"/>
              <w:ind w:left="0" w:right="0" w:hanging="0"/>
              <w:jc w:val="left"/>
              <w:rPr/>
            </w:pPr>
            <w:r>
              <w:rPr/>
              <w:t>​</w:t>
            </w:r>
          </w:p>
        </w:tc>
        <w:tc>
          <w:tcPr>
            <w:tcW w:w="118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w:t>
            </w:r>
          </w:p>
        </w:tc>
        <w:tc>
          <w:tcPr>
            <w:tcW w:w="346" w:type="dxa"/>
            <w:tcBorders/>
            <w:shd w:fill="CCEEFF" w:val="clear"/>
            <w:vAlign w:val="center"/>
          </w:tcPr>
          <w:p>
            <w:pPr>
              <w:pStyle w:val="TableContents"/>
              <w:bidi w:val="0"/>
              <w:spacing w:before="0" w:after="1"/>
              <w:ind w:left="0" w:right="0" w:hanging="0"/>
              <w:jc w:val="left"/>
              <w:rPr/>
            </w:pPr>
            <w:r>
              <w:rPr/>
              <w:t>​</w:t>
            </w:r>
          </w:p>
        </w:tc>
        <w:tc>
          <w:tcPr>
            <w:tcW w:w="37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55"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517</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(1)</w:t>
            </w:r>
          </w:p>
        </w:tc>
        <w:tc>
          <w:tcPr>
            <w:tcW w:w="9941"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intrinsic value of contingent restricted stock units was calculated as the closing market price on June 30, 2026 and 2025 of the underlying stock multiplied by the number of restricted shares that would be issuable.</w:t>
            </w:r>
          </w:p>
        </w:tc>
      </w:tr>
    </w:tbl>
    <w:p>
      <w:pPr>
        <w:pStyle w:val="TextBody"/>
        <w:bidi w:val="0"/>
        <w:spacing w:before="0" w:after="120"/>
        <w:ind w:left="0" w:right="0" w:hanging="0"/>
        <w:jc w:val="left"/>
        <w:rPr>
          <w:rFonts w:ascii="Times New Roman;Times;serif" w:hAnsi="Times New Roman;Times;serif"/>
          <w:b/>
          <w:sz w:val="20"/>
        </w:rPr>
      </w:pPr>
      <w:bookmarkStart w:id="1051" w:name="Tc__kkba7C14Uy0rVoENFVdIg_16_5"/>
      <w:bookmarkStart w:id="1052" w:name="Tc_tH35Er5zRk-cGNlGdNsxCA_16_2"/>
      <w:bookmarkStart w:id="1053" w:name="Tc_1OQrgHFGUESn9eela8yyBA_16_0"/>
      <w:bookmarkStart w:id="1054" w:name="Tc_pOvg_lwz-0W2hPBM_-Rvvg_15_5"/>
      <w:bookmarkStart w:id="1055" w:name="Tc_LF9ymYSEP0qvGsE5DGwF6w_15_2"/>
      <w:bookmarkStart w:id="1056" w:name="Tc_SrjEUGIbxUm7c7VUqtvRmw_15_0"/>
      <w:bookmarkStart w:id="1057" w:name="Tc_mrO1oJqHqE60sfqHOrZ_bA_13_0"/>
      <w:bookmarkStart w:id="1058" w:name="Tc_OXXY7NAiFUSbdHaPv8atUA_12_6"/>
      <w:bookmarkStart w:id="1059" w:name="Tc_iJxoMmGFAUCLm72tRQ2R-w_12_3"/>
      <w:bookmarkStart w:id="1060" w:name="Tc_0O6QGaa_Zk6ELJQuphk9Yw_12_0"/>
      <w:bookmarkStart w:id="1061" w:name="Tc_zvS9C9sczkiWZazDlp7s3A_11_3"/>
      <w:bookmarkStart w:id="1062" w:name="Tc_iOLglx8VhECDqTe9JSO4Gw_11_0"/>
      <w:bookmarkStart w:id="1063" w:name="Tc_l40AHpGZE0azBvNcqBrDXA_10_0"/>
      <w:bookmarkStart w:id="1064" w:name="Tc_UwCazleJ2ES746Bqf6Q8Gg_9_0"/>
      <w:bookmarkStart w:id="1065" w:name="Tc_Gibj2RcDJEiemJAfeePhDg_8_0"/>
      <w:bookmarkStart w:id="1066" w:name="Tc_gLfwoE294EmL0mHz4713DA_6_5"/>
      <w:bookmarkStart w:id="1067" w:name="Tc_K6NCRpTY2ke-5IEDdxaz5g_6_2"/>
      <w:bookmarkStart w:id="1068" w:name="Tc_M8JnEMb5VkSjzArn28k-BQ_6_0"/>
      <w:bookmarkStart w:id="1069" w:name="Tc_-izTJSEFZ0eo2AE9-W-q1g_5_0"/>
      <w:bookmarkStart w:id="1070" w:name="Tc_ADiUwyoHFUen0U3MniATaQ_4_5"/>
      <w:bookmarkStart w:id="1071" w:name="Tc_gNuVJonkP0SHwgZkmH9xsg_4_2"/>
      <w:bookmarkStart w:id="1072" w:name="Tc_yEXT5ak76UiD8XolellMvg_4_0"/>
      <w:bookmarkStart w:id="1073" w:name="Tc__wyBX-N-K06A26ErKO6ZSw_3_0"/>
      <w:bookmarkStart w:id="1074" w:name="Tc_ukG9tr2adE2v4YNDI07VrA_2_5"/>
      <w:bookmarkStart w:id="1075" w:name="Tc_8gd81nwAVUSJkD5YqC5_jg_2_2"/>
      <w:bookmarkStart w:id="1076" w:name="Tc_wb7fa3gTWE2dETRORmxzpw_1_2"/>
      <w:bookmarkStart w:id="1077" w:name="_96f5da9f_cdf6_4a3e_a687_815020482e35"/>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r>
        <w:rPr>
          <w:rFonts w:ascii="Times New Roman;Times;serif" w:hAnsi="Times New Roman;Times;serif"/>
          <w:b/>
          <w:sz w:val="20"/>
        </w:rPr>
        <w:t>Note 12. Earnings (Loss) per Common Share</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following table sets forth the computation of basic and diluted earnings (loss) per common share, reflecting the application of the two-class method (in thousands, except per share amounts):</w:t>
      </w:r>
    </w:p>
    <w:tbl>
      <w:tblPr>
        <w:tblW w:w="10205" w:type="dxa"/>
        <w:jc w:val="left"/>
        <w:tblInd w:w="0" w:type="dxa"/>
        <w:tblLayout w:type="fixed"/>
        <w:tblCellMar>
          <w:top w:w="0" w:type="dxa"/>
          <w:left w:w="0" w:type="dxa"/>
          <w:bottom w:w="0" w:type="dxa"/>
          <w:right w:w="0" w:type="dxa"/>
        </w:tblCellMar>
      </w:tblPr>
      <w:tblGrid>
        <w:gridCol w:w="8082"/>
        <w:gridCol w:w="109"/>
        <w:gridCol w:w="196"/>
        <w:gridCol w:w="629"/>
        <w:gridCol w:w="346"/>
        <w:gridCol w:w="196"/>
        <w:gridCol w:w="647"/>
      </w:tblGrid>
      <w:tr>
        <w:trPr/>
        <w:tc>
          <w:tcPr>
            <w:tcW w:w="80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5132070" cy="175260"/>
                      <wp:effectExtent l="0" t="0" r="0" b="0"/>
                      <wp:wrapNone/>
                      <wp:docPr id="410" name="Frame409"/>
                      <a:graphic xmlns:a="http://schemas.openxmlformats.org/drawingml/2006/main">
                        <a:graphicData uri="http://schemas.microsoft.com/office/word/2010/wordprocessingShape">
                          <wps:wsp>
                            <wps:cNvSpPr txBox="1"/>
                            <wps:spPr>
                              <a:xfrm>
                                <a:off x="0" y="0"/>
                                <a:ext cx="5132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9215" cy="175260"/>
                      <wp:effectExtent l="0" t="0" r="0" b="0"/>
                      <wp:wrapNone/>
                      <wp:docPr id="411" name="Frame4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24460" cy="175260"/>
                      <wp:effectExtent l="0" t="0" r="0" b="0"/>
                      <wp:wrapNone/>
                      <wp:docPr id="412" name="Frame4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399415" cy="175260"/>
                      <wp:effectExtent l="0" t="0" r="0" b="0"/>
                      <wp:wrapNone/>
                      <wp:docPr id="413" name="Frame412"/>
                      <a:graphic xmlns:a="http://schemas.openxmlformats.org/drawingml/2006/main">
                        <a:graphicData uri="http://schemas.microsoft.com/office/word/2010/wordprocessingShape">
                          <wps:wsp>
                            <wps:cNvSpPr txBox="1"/>
                            <wps:spPr>
                              <a:xfrm>
                                <a:off x="0" y="0"/>
                                <a:ext cx="399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19710" cy="175260"/>
                      <wp:effectExtent l="0" t="0" r="0" b="0"/>
                      <wp:wrapNone/>
                      <wp:docPr id="414" name="Frame4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24460" cy="175260"/>
                      <wp:effectExtent l="0" t="0" r="0" b="0"/>
                      <wp:wrapNone/>
                      <wp:docPr id="415" name="Frame41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410845" cy="175260"/>
                      <wp:effectExtent l="0" t="0" r="0" b="0"/>
                      <wp:wrapNone/>
                      <wp:docPr id="416" name="Frame415"/>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082"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201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Years Ended June 30, </w:t>
            </w:r>
          </w:p>
        </w:tc>
      </w:tr>
      <w:tr>
        <w:trPr/>
        <w:tc>
          <w:tcPr>
            <w:tcW w:w="8082"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8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8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8082"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Numerator</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9"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left"/>
              <w:rPr/>
            </w:pPr>
            <w:r>
              <w:rPr/>
              <w:t> </w:t>
            </w:r>
          </w:p>
        </w:tc>
      </w:tr>
      <w:tr>
        <w:trPr/>
        <w:tc>
          <w:tcPr>
            <w:tcW w:w="808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income (loss)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(2,429)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1,473</w:t>
            </w:r>
          </w:p>
        </w:tc>
      </w:tr>
      <w:tr>
        <w:trPr/>
        <w:tc>
          <w:tcPr>
            <w:tcW w:w="808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Undistributed earnings allocated to unvested restricted stock</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(367)</w:t>
            </w:r>
          </w:p>
        </w:tc>
      </w:tr>
      <w:tr>
        <w:trPr/>
        <w:tc>
          <w:tcPr>
            <w:tcW w:w="808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for earnings per share calculation</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(2,822)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1,106</w:t>
            </w:r>
          </w:p>
        </w:tc>
      </w:tr>
      <w:tr>
        <w:trPr/>
        <w:tc>
          <w:tcPr>
            <w:tcW w:w="808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9"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left"/>
              <w:rPr/>
            </w:pPr>
            <w:r>
              <w:rPr/>
              <w:t> </w:t>
            </w:r>
          </w:p>
        </w:tc>
      </w:tr>
      <w:tr>
        <w:trPr/>
        <w:tc>
          <w:tcPr>
            <w:tcW w:w="8082" w:type="dxa"/>
            <w:tcBorders/>
            <w:shd w:fill="CCEEFF" w:val="clear"/>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Denominator</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2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7" w:type="dxa"/>
            <w:tcBorders/>
            <w:shd w:fill="CCEEFF" w:val="clear"/>
            <w:vAlign w:val="center"/>
          </w:tcPr>
          <w:p>
            <w:pPr>
              <w:pStyle w:val="TableContents"/>
              <w:bidi w:val="0"/>
              <w:spacing w:before="0" w:after="1"/>
              <w:ind w:left="0" w:right="0" w:hanging="0"/>
              <w:jc w:val="left"/>
              <w:rPr/>
            </w:pPr>
            <w:r>
              <w:rPr/>
              <w:t>​</w:t>
            </w:r>
          </w:p>
        </w:tc>
      </w:tr>
      <w:tr>
        <w:trPr/>
        <w:tc>
          <w:tcPr>
            <w:tcW w:w="808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number of common shares outstanding — Basic</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34,251</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33,158</w:t>
            </w:r>
          </w:p>
        </w:tc>
      </w:tr>
      <w:tr>
        <w:trPr/>
        <w:tc>
          <w:tcPr>
            <w:tcW w:w="808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Effect of dilutive securities: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2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7" w:type="dxa"/>
            <w:tcBorders/>
            <w:shd w:fill="CCEEFF" w:val="clear"/>
            <w:vAlign w:val="center"/>
          </w:tcPr>
          <w:p>
            <w:pPr>
              <w:pStyle w:val="TableContents"/>
              <w:bidi w:val="0"/>
              <w:spacing w:before="0" w:after="1"/>
              <w:ind w:left="0" w:right="0" w:hanging="0"/>
              <w:jc w:val="left"/>
              <w:rPr/>
            </w:pPr>
            <w:r>
              <w:rPr/>
              <w:t>​</w:t>
            </w:r>
          </w:p>
        </w:tc>
      </w:tr>
      <w:tr>
        <w:trPr/>
        <w:tc>
          <w:tcPr>
            <w:tcW w:w="808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restricted stock awards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165</w:t>
            </w:r>
          </w:p>
        </w:tc>
      </w:tr>
      <w:tr>
        <w:trPr/>
        <w:tc>
          <w:tcPr>
            <w:tcW w:w="808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contingent restricted stock units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808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number of common shares and dilutive potential common shares used in diluted earnings per share</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34,251</w:t>
            </w:r>
          </w:p>
        </w:tc>
        <w:tc>
          <w:tcPr>
            <w:tcW w:w="346" w:type="dxa"/>
            <w:tcBorders/>
            <w:vAlign w:val="center"/>
          </w:tcPr>
          <w:p>
            <w:pPr>
              <w:pStyle w:val="TableContents"/>
              <w:bidi w:val="0"/>
              <w:spacing w:before="0" w:after="1"/>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4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33,323</w:t>
            </w:r>
          </w:p>
        </w:tc>
      </w:tr>
      <w:tr>
        <w:trPr/>
        <w:tc>
          <w:tcPr>
            <w:tcW w:w="808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2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7" w:type="dxa"/>
            <w:tcBorders/>
            <w:shd w:fill="CCEEFF" w:val="clear"/>
            <w:vAlign w:val="center"/>
          </w:tcPr>
          <w:p>
            <w:pPr>
              <w:pStyle w:val="TableContents"/>
              <w:bidi w:val="0"/>
              <w:spacing w:before="0" w:after="1"/>
              <w:ind w:left="0" w:right="0" w:hanging="0"/>
              <w:jc w:val="left"/>
              <w:rPr/>
            </w:pPr>
            <w:r>
              <w:rPr/>
              <w:t>​</w:t>
            </w:r>
          </w:p>
        </w:tc>
      </w:tr>
      <w:tr>
        <w:trPr/>
        <w:tc>
          <w:tcPr>
            <w:tcW w:w="808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per common share — Basic</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0.03</w:t>
            </w:r>
          </w:p>
        </w:tc>
      </w:tr>
      <w:tr>
        <w:trPr/>
        <w:tc>
          <w:tcPr>
            <w:tcW w:w="808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per common share — Diluted</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0.03</w:t>
            </w:r>
          </w:p>
        </w:tc>
      </w:tr>
    </w:tbl>
    <w:p>
      <w:pPr>
        <w:pStyle w:val="TextBody"/>
        <w:bidi w:val="0"/>
        <w:spacing w:before="0" w:after="240"/>
        <w:ind w:left="0" w:right="0" w:hanging="0"/>
        <w:jc w:val="left"/>
        <w:rPr/>
      </w:pPr>
      <w:r>
        <w:rPr/>
        <w:t>​</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 xml:space="preserve">Unvested restricted stock awards (both time-vested and performance-based), totaling approximately 0.8 million for the year ended June 30, 2026, were not included in the computation of diluted earnings per common share because the effect would have been anti-dilutive due to the net loss. </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Unvested restricted stock awards (both time-vested and performance-based), totaling approximately 0.1 million for the year ended June 30, 2025, were not included in the computation of diluted earnings per common share because the effect would have been anti-dilutive.</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In addition, unvested performance-based restricted stock awards and unvested contingent restricted stock units that would not meet the performance criteria as of the period end are excluded from the computation of diluted earnings per common share.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year end, in August 2026, the Company issued an additional 4.3 million shares of common stock. See Note 15, “</w:t>
      </w:r>
      <w:r>
        <w:rPr>
          <w:rFonts w:ascii="Times New Roman;Times;serif" w:hAnsi="Times New Roman;Times;serif"/>
          <w:i/>
          <w:sz w:val="20"/>
        </w:rPr>
        <w:t>Subsequent Events,”</w:t>
      </w:r>
      <w:r>
        <w:rPr>
          <w:rFonts w:ascii="Times New Roman;Times;serif" w:hAnsi="Times New Roman;Times;serif"/>
          <w:sz w:val="20"/>
        </w:rPr>
        <w:t xml:space="preserve"> for further details.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bookmarkStart w:id="1078" w:name="Tc_UBN4jLjICUGcU008lhS0_A_5_7"/>
      <w:bookmarkStart w:id="1079" w:name="Tc_RRVZVPnJ9UqKhAdchWdpSA_5_0"/>
      <w:bookmarkStart w:id="1080" w:name="Tc_ADbxxyZSck2gx8U-sqi0kQ_3_6"/>
      <w:bookmarkStart w:id="1081" w:name="Tc_aQC1MLMp-UqlQoRJ0R753A_3_2"/>
      <w:bookmarkStart w:id="1082" w:name="Tc_oM_kVzVH2kGCx_Q_xq8KLg_2_0"/>
      <w:bookmarkStart w:id="1083" w:name="Tc_31kTsYvbIkiIpKjFPdZZ1g_1_6"/>
      <w:bookmarkStart w:id="1084" w:name="Tc_HRhly624HUWCyjaWDrgvOg_1_2"/>
      <w:bookmarkStart w:id="1085" w:name="_568d93d8_e5a2_4118_ac36_dde3e21b4578"/>
      <w:bookmarkStart w:id="1086" w:name="Tc_Adwz2H7ok0yfXuss7b6TeQ_15_8"/>
      <w:bookmarkStart w:id="1087" w:name="Tc_pE5PSKL_3UuoBuvyTO_tuQ_15_4"/>
      <w:bookmarkStart w:id="1088" w:name="Tc_YWWWik8_okioC6Y9dqbhrg_15_0"/>
      <w:bookmarkStart w:id="1089" w:name="Tc_mhZgxQlz4EGnCQ_VneRFmg_14_0"/>
      <w:bookmarkStart w:id="1090" w:name="Tc_vZorlYB9PE60MmnmDmUMZg_13_7"/>
      <w:bookmarkStart w:id="1091" w:name="Tc_xAKohT9M3UKV0svwQM4LTg_13_6"/>
      <w:bookmarkStart w:id="1092" w:name="Tc_7Ywkxis19EWAiOKZhDDsZA_13_2"/>
      <w:bookmarkStart w:id="1093" w:name="Tc_ynykXrHTbU6oZhuwu6LRUQ_13_0"/>
      <w:bookmarkStart w:id="1094" w:name="Tc_67j7yxUwEESg2ZaF_wEpyA_12_0"/>
      <w:bookmarkStart w:id="1095" w:name="Tc_OF76uR_zLku9Q79zgiqo7w_10_6"/>
      <w:bookmarkStart w:id="1096" w:name="Tc_ilkRz91R5kiZH48g_WRdzg_10_2"/>
      <w:bookmarkStart w:id="1097" w:name="Tc_hbh7aaXLmEeCfKfCkLXEYg_10_0"/>
      <w:bookmarkStart w:id="1098" w:name="Tc_uBawwWokOUe6Tfk8Z3MrKQ_9_0"/>
      <w:bookmarkStart w:id="1099" w:name="Tc_1Y84nDH8lEa4mEpAtD3tNA_8_0"/>
      <w:bookmarkStart w:id="1100" w:name="Tc_9INYjKiNVUme5jdh2O7ibA_6_6"/>
      <w:bookmarkStart w:id="1101" w:name="Tc_-7iMfD4tNUSOywjUAGmEDw_6_2"/>
      <w:bookmarkStart w:id="1102" w:name="Tc_PZBgFDoO1k-U_aWPDPxh5w_6_0"/>
      <w:bookmarkStart w:id="1103" w:name="Tc_ZFy2xKF_10m0DxJZOZXL_w_5_0"/>
      <w:bookmarkStart w:id="1104" w:name="Tc_aSWEhvp9a0a81GFAvYIztA_4_6"/>
      <w:bookmarkStart w:id="1105" w:name="Tc_qnwZ9bYQ-kuDgWG1qRraPQ_4_2"/>
      <w:bookmarkStart w:id="1106" w:name="Tc_PGYhWy-Z4kCMfew3Hd-Uow_4_0"/>
      <w:bookmarkStart w:id="1107" w:name="Tc_t-ny-a2QIEa4p1G3CmHGYQ_3_0"/>
      <w:bookmarkStart w:id="1108" w:name="Tc_qWbmkf49fEOfe0ITEWOjew_2_6"/>
      <w:bookmarkStart w:id="1109" w:name="Tc_6EiUXeSFa0SbHEgByUFLIw_2_2"/>
      <w:bookmarkStart w:id="1110" w:name="Tc_OlYpR1xaDUmUWyPHx9TiQA_1_2"/>
      <w:bookmarkStart w:id="1111" w:name="_938879c8_e528_494c_8474_63f2941cb67d"/>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r>
        <w:rPr>
          <w:rFonts w:ascii="Times New Roman;Times;serif" w:hAnsi="Times New Roman;Times;serif"/>
          <w:b/>
          <w:sz w:val="20"/>
        </w:rPr>
        <w:t>Note 13.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Operating leases are reflected as an operating lease right of use (“ROU”) asset included in “</w:t>
      </w:r>
      <w:r>
        <w:rPr>
          <w:rFonts w:ascii="Times New Roman;Times;serif" w:hAnsi="Times New Roman;Times;serif"/>
          <w:i/>
          <w:sz w:val="20"/>
        </w:rPr>
        <w:t>Other assets, net”</w:t>
      </w:r>
      <w:r>
        <w:rPr>
          <w:rFonts w:ascii="Times New Roman;Times;serif" w:hAnsi="Times New Roman;Times;serif"/>
          <w:sz w:val="20"/>
        </w:rPr>
        <w:t>, and as a ROU liability in “</w:t>
      </w:r>
      <w:r>
        <w:rPr>
          <w:rFonts w:ascii="Times New Roman;Times;serif" w:hAnsi="Times New Roman;Times;serif"/>
          <w:i/>
          <w:sz w:val="20"/>
        </w:rPr>
        <w:t>Accrued liabilities and other”</w:t>
      </w:r>
      <w:r>
        <w:rPr>
          <w:rFonts w:ascii="Times New Roman;Times;serif" w:hAnsi="Times New Roman;Times;serif"/>
          <w:sz w:val="20"/>
        </w:rPr>
        <w:t xml:space="preserve"> and “</w:t>
      </w:r>
      <w:r>
        <w:rPr>
          <w:rFonts w:ascii="Times New Roman;Times;serif" w:hAnsi="Times New Roman;Times;serif"/>
          <w:i/>
          <w:sz w:val="20"/>
        </w:rPr>
        <w:t>Operating lease liability”</w:t>
      </w:r>
      <w:r>
        <w:rPr>
          <w:rFonts w:ascii="Times New Roman;Times;serif" w:hAnsi="Times New Roman;Times;serif"/>
          <w:sz w:val="20"/>
        </w:rPr>
        <w:t xml:space="preserve"> on the Company’s unaudited condensed consolidated balance sheets. Operating lease ROU assets and liabilities are recognized at the commencement date of an arrangement based on the present value of lease payments over the lease term. In addition to the present value of lease payments, the operating lease ROU asset would also include any lease payments made to the lessor prior to lease commencement less any lease incentives and initial direct costs incurred, if any. Lease expense for operating lease payments is recognized on a straight-line basis over the lease term and are presented as “</w:t>
      </w:r>
      <w:r>
        <w:rPr>
          <w:rFonts w:ascii="Times New Roman;Times;serif" w:hAnsi="Times New Roman;Times;serif"/>
          <w:i/>
          <w:sz w:val="20"/>
        </w:rPr>
        <w:t>General and administrative expenses</w:t>
      </w:r>
      <w:r>
        <w:rPr>
          <w:rFonts w:ascii="Times New Roman;Times;serif" w:hAnsi="Times New Roman;Times;serif"/>
          <w:sz w:val="20"/>
        </w:rPr>
        <w:t>” in the unaudited condensed consolidated statements of operations. Certain leases have payment terms that vary based on the usage of the underlying assets. Variable lease payments are not included in ROU assets and lease liabilities. For all operating leases, lease and non-lease components are accounted for as a single lease component.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a non-operator and having adequate liquidity, the Company has generally not entered into lease transactions. The Company’s only operating lease is for corporate office space in Houston, Texas, effective May 1, 2019 and amended most recently November 30, 2025 and set to expire June 30, 2031. The Company does not have any leases that meet the criteria for classification as a finance lease or a short-term lease.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makes certain assumptions and judgments when evaluating a contract that meets the definition of a lease under ASC 842, </w:t>
      </w:r>
      <w:r>
        <w:rPr>
          <w:rFonts w:ascii="Times New Roman;Times;serif" w:hAnsi="Times New Roman;Times;serif"/>
          <w:i/>
          <w:sz w:val="20"/>
        </w:rPr>
        <w:t>Leases</w:t>
      </w:r>
      <w:r>
        <w:rPr>
          <w:rFonts w:ascii="Times New Roman;Times;serif" w:hAnsi="Times New Roman;Times;serif"/>
          <w:sz w:val="20"/>
        </w:rPr>
        <w:t>. As the Company’s operating lease did not provide an implicit rate, an incremental borrowing rate was calculated using information available at the commencement and modification dates of the lease. The incremental borrowing rate for a lease is the rate of interest for which the Company would pay on a collateralized basis to borrow an amount equal to the lease payments under similar terms. The lease term was determined by considering any option available to extend or to early terminate the lease which the Company believed was reasonably certain to be exercised.</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table below summarized the Company’s leases for the years ended June 30, 2026 and 2025 (in thousands, except years and discount rate):</w:t>
      </w:r>
    </w:p>
    <w:tbl>
      <w:tblPr>
        <w:tblW w:w="7569" w:type="dxa"/>
        <w:jc w:val="left"/>
        <w:tblInd w:w="0" w:type="dxa"/>
        <w:tblLayout w:type="fixed"/>
        <w:tblCellMar>
          <w:top w:w="0" w:type="dxa"/>
          <w:left w:w="0" w:type="dxa"/>
          <w:bottom w:w="0" w:type="dxa"/>
          <w:right w:w="0" w:type="dxa"/>
        </w:tblCellMar>
      </w:tblPr>
      <w:tblGrid>
        <w:gridCol w:w="5086"/>
        <w:gridCol w:w="346"/>
        <w:gridCol w:w="196"/>
        <w:gridCol w:w="421"/>
        <w:gridCol w:w="256"/>
        <w:gridCol w:w="346"/>
        <w:gridCol w:w="196"/>
        <w:gridCol w:w="421"/>
        <w:gridCol w:w="301"/>
      </w:tblGrid>
      <w:tr>
        <w:trPr/>
        <w:tc>
          <w:tcPr>
            <w:tcW w:w="5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3229610" cy="175260"/>
                      <wp:effectExtent l="0" t="0" r="0" b="0"/>
                      <wp:wrapNone/>
                      <wp:docPr id="417" name="Frame416"/>
                      <a:graphic xmlns:a="http://schemas.openxmlformats.org/drawingml/2006/main">
                        <a:graphicData uri="http://schemas.microsoft.com/office/word/2010/wordprocessingShape">
                          <wps:wsp>
                            <wps:cNvSpPr txBox="1"/>
                            <wps:spPr>
                              <a:xfrm>
                                <a:off x="0" y="0"/>
                                <a:ext cx="3229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19710" cy="175260"/>
                      <wp:effectExtent l="0" t="0" r="0" b="0"/>
                      <wp:wrapNone/>
                      <wp:docPr id="418" name="Frame4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24460" cy="175260"/>
                      <wp:effectExtent l="0" t="0" r="0" b="0"/>
                      <wp:wrapNone/>
                      <wp:docPr id="419" name="Frame4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67335" cy="175260"/>
                      <wp:effectExtent l="0" t="0" r="0" b="0"/>
                      <wp:wrapNone/>
                      <wp:docPr id="420" name="Frame41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62560" cy="175260"/>
                      <wp:effectExtent l="0" t="0" r="0" b="0"/>
                      <wp:wrapNone/>
                      <wp:docPr id="421" name="Frame420"/>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19710" cy="175260"/>
                      <wp:effectExtent l="0" t="0" r="0" b="0"/>
                      <wp:wrapNone/>
                      <wp:docPr id="422" name="Frame4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24460" cy="175260"/>
                      <wp:effectExtent l="0" t="0" r="0" b="0"/>
                      <wp:wrapNone/>
                      <wp:docPr id="423" name="Frame4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67335" cy="175260"/>
                      <wp:effectExtent l="0" t="0" r="0" b="0"/>
                      <wp:wrapNone/>
                      <wp:docPr id="424" name="Frame42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91135" cy="175260"/>
                      <wp:effectExtent l="0" t="0" r="0" b="0"/>
                      <wp:wrapNone/>
                      <wp:docPr id="425" name="Frame424"/>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3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Years Ended June 30, </w:t>
            </w:r>
          </w:p>
        </w:tc>
      </w:tr>
      <w:tr>
        <w:trPr/>
        <w:tc>
          <w:tcPr>
            <w:tcW w:w="508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  ​ ​ ​</w:t>
            </w:r>
          </w:p>
        </w:tc>
        <w:tc>
          <w:tcPr>
            <w:tcW w:w="87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91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 xml:space="preserve">Statements of Operations: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pPr>
            <w:r>
              <w:rPr/>
              <w:t>​</w:t>
            </w:r>
          </w:p>
        </w:tc>
        <w:tc>
          <w:tcPr>
            <w:tcW w:w="301" w:type="dxa"/>
            <w:tcBorders/>
            <w:vAlign w:val="center"/>
          </w:tcPr>
          <w:p>
            <w:pPr>
              <w:pStyle w:val="TableContents"/>
              <w:bidi w:val="0"/>
              <w:spacing w:before="0" w:after="1"/>
              <w:ind w:left="0" w:right="0" w:hanging="0"/>
              <w:jc w:val="left"/>
              <w:rPr/>
            </w:pPr>
            <w:r>
              <w:rPr/>
              <w:t>​</w:t>
            </w:r>
          </w:p>
        </w:tc>
      </w:tr>
      <w:tr>
        <w:trPr/>
        <w:tc>
          <w:tcPr>
            <w:tcW w:w="50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costs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w:t>
            </w:r>
          </w:p>
        </w:tc>
        <w:tc>
          <w:tcPr>
            <w:tcW w:w="2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w:t>
            </w:r>
          </w:p>
        </w:tc>
        <w:tc>
          <w:tcPr>
            <w:tcW w:w="301" w:type="dxa"/>
            <w:tcBorders/>
            <w:shd w:fill="CCEEFF" w:val="clear"/>
            <w:vAlign w:val="center"/>
          </w:tcPr>
          <w:p>
            <w:pPr>
              <w:pStyle w:val="TableContents"/>
              <w:bidi w:val="0"/>
              <w:spacing w:before="0" w:after="1"/>
              <w:ind w:left="0" w:right="0" w:hanging="0"/>
              <w:jc w:val="left"/>
              <w:rPr/>
            </w:pPr>
            <w:r>
              <w:rPr/>
              <w:t>​</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Variable lease costs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w:t>
            </w:r>
          </w:p>
        </w:tc>
        <w:tc>
          <w:tcPr>
            <w:tcW w:w="2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w:t>
            </w:r>
          </w:p>
        </w:tc>
        <w:tc>
          <w:tcPr>
            <w:tcW w:w="301" w:type="dxa"/>
            <w:tcBorders/>
            <w:vAlign w:val="center"/>
          </w:tcPr>
          <w:p>
            <w:pPr>
              <w:pStyle w:val="TableContents"/>
              <w:bidi w:val="0"/>
              <w:spacing w:before="0" w:after="1"/>
              <w:ind w:left="0" w:right="0" w:hanging="0"/>
              <w:jc w:val="left"/>
              <w:rPr/>
            </w:pPr>
            <w:r>
              <w:rPr/>
              <w:t>​</w:t>
            </w:r>
          </w:p>
        </w:tc>
      </w:tr>
      <w:tr>
        <w:trPr/>
        <w:tc>
          <w:tcPr>
            <w:tcW w:w="50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lease costs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w:t>
            </w:r>
          </w:p>
        </w:tc>
        <w:tc>
          <w:tcPr>
            <w:tcW w:w="2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w:t>
            </w:r>
          </w:p>
        </w:tc>
        <w:tc>
          <w:tcPr>
            <w:tcW w:w="301" w:type="dxa"/>
            <w:tcBorders/>
            <w:shd w:fill="CCEEFF" w:val="clear"/>
            <w:vAlign w:val="center"/>
          </w:tcPr>
          <w:p>
            <w:pPr>
              <w:pStyle w:val="TableContents"/>
              <w:bidi w:val="0"/>
              <w:spacing w:before="0" w:after="1"/>
              <w:ind w:left="0" w:right="0" w:hanging="0"/>
              <w:jc w:val="left"/>
              <w:rPr/>
            </w:pPr>
            <w:r>
              <w:rPr/>
              <w:t>​</w:t>
            </w:r>
          </w:p>
        </w:tc>
      </w:tr>
      <w:tr>
        <w:trPr/>
        <w:tc>
          <w:tcPr>
            <w:tcW w:w="5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pPr>
            <w:r>
              <w:rPr/>
              <w:t>​</w:t>
            </w:r>
          </w:p>
        </w:tc>
        <w:tc>
          <w:tcPr>
            <w:tcW w:w="301" w:type="dxa"/>
            <w:tcBorders/>
            <w:vAlign w:val="center"/>
          </w:tcPr>
          <w:p>
            <w:pPr>
              <w:pStyle w:val="TableContents"/>
              <w:bidi w:val="0"/>
              <w:spacing w:before="0" w:after="1"/>
              <w:ind w:left="0" w:right="0" w:hanging="0"/>
              <w:jc w:val="left"/>
              <w:rPr/>
            </w:pPr>
            <w:r>
              <w:rPr/>
              <w:t>​</w:t>
            </w:r>
          </w:p>
        </w:tc>
      </w:tr>
      <w:tr>
        <w:trPr/>
        <w:tc>
          <w:tcPr>
            <w:tcW w:w="508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Statements of Cash Flow:</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01" w:type="dxa"/>
            <w:tcBorders/>
            <w:shd w:fill="CCEEFF" w:val="clear"/>
            <w:vAlign w:val="center"/>
          </w:tcPr>
          <w:p>
            <w:pPr>
              <w:pStyle w:val="TableContents"/>
              <w:bidi w:val="0"/>
              <w:spacing w:before="0" w:after="1"/>
              <w:ind w:left="0" w:right="0" w:hanging="0"/>
              <w:jc w:val="left"/>
              <w:rPr/>
            </w:pPr>
            <w:r>
              <w:rPr/>
              <w:t>​</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paid for amounts included in the measurement of lease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pPr>
            <w:r>
              <w:rPr/>
              <w:t>​</w:t>
            </w:r>
          </w:p>
        </w:tc>
        <w:tc>
          <w:tcPr>
            <w:tcW w:w="301" w:type="dxa"/>
            <w:tcBorders/>
            <w:vAlign w:val="center"/>
          </w:tcPr>
          <w:p>
            <w:pPr>
              <w:pStyle w:val="TableContents"/>
              <w:bidi w:val="0"/>
              <w:spacing w:before="0" w:after="1"/>
              <w:ind w:left="0" w:right="0" w:hanging="0"/>
              <w:jc w:val="left"/>
              <w:rPr/>
            </w:pPr>
            <w:r>
              <w:rPr/>
              <w:t>​</w:t>
            </w:r>
          </w:p>
        </w:tc>
      </w:tr>
      <w:tr>
        <w:trPr/>
        <w:tc>
          <w:tcPr>
            <w:tcW w:w="50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cash flows from operating leases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w:t>
            </w:r>
          </w:p>
        </w:tc>
        <w:tc>
          <w:tcPr>
            <w:tcW w:w="2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w:t>
            </w:r>
          </w:p>
        </w:tc>
        <w:tc>
          <w:tcPr>
            <w:tcW w:w="301" w:type="dxa"/>
            <w:tcBorders/>
            <w:shd w:fill="CCEEFF" w:val="clear"/>
            <w:vAlign w:val="center"/>
          </w:tcPr>
          <w:p>
            <w:pPr>
              <w:pStyle w:val="TableContents"/>
              <w:bidi w:val="0"/>
              <w:spacing w:before="0" w:after="1"/>
              <w:ind w:left="0" w:right="0" w:hanging="0"/>
              <w:jc w:val="left"/>
              <w:rPr/>
            </w:pPr>
            <w:r>
              <w:rPr/>
              <w:t>​</w:t>
            </w:r>
          </w:p>
        </w:tc>
      </w:tr>
      <w:tr>
        <w:trPr/>
        <w:tc>
          <w:tcPr>
            <w:tcW w:w="5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pPr>
            <w:r>
              <w:rPr/>
              <w:t>​</w:t>
            </w:r>
          </w:p>
        </w:tc>
        <w:tc>
          <w:tcPr>
            <w:tcW w:w="301" w:type="dxa"/>
            <w:tcBorders/>
            <w:vAlign w:val="center"/>
          </w:tcPr>
          <w:p>
            <w:pPr>
              <w:pStyle w:val="TableContents"/>
              <w:bidi w:val="0"/>
              <w:spacing w:before="0" w:after="1"/>
              <w:ind w:left="0" w:right="0" w:hanging="0"/>
              <w:jc w:val="left"/>
              <w:rPr/>
            </w:pPr>
            <w:r>
              <w:rPr/>
              <w:t>​</w:t>
            </w:r>
          </w:p>
        </w:tc>
      </w:tr>
      <w:tr>
        <w:trPr/>
        <w:tc>
          <w:tcPr>
            <w:tcW w:w="508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01" w:type="dxa"/>
            <w:tcBorders/>
            <w:shd w:fill="CCEEFF" w:val="clear"/>
            <w:vAlign w:val="center"/>
          </w:tcPr>
          <w:p>
            <w:pPr>
              <w:pStyle w:val="TableContents"/>
              <w:bidi w:val="0"/>
              <w:spacing w:before="0" w:after="1"/>
              <w:ind w:left="0" w:right="0" w:hanging="0"/>
              <w:jc w:val="left"/>
              <w:rPr/>
            </w:pPr>
            <w:r>
              <w:rPr/>
              <w:t>​</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ROU assets obtained in exchange for new operating lease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455</w:t>
            </w:r>
          </w:p>
        </w:tc>
        <w:tc>
          <w:tcPr>
            <w:tcW w:w="2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vAlign w:val="center"/>
          </w:tcPr>
          <w:p>
            <w:pPr>
              <w:pStyle w:val="TableContents"/>
              <w:bidi w:val="0"/>
              <w:spacing w:before="0" w:after="1"/>
              <w:ind w:left="0" w:right="0" w:hanging="0"/>
              <w:jc w:val="right"/>
              <w:rPr/>
            </w:pPr>
            <w:r>
              <w:rPr/>
              <w:t>—</w:t>
            </w:r>
          </w:p>
        </w:tc>
        <w:tc>
          <w:tcPr>
            <w:tcW w:w="301" w:type="dxa"/>
            <w:tcBorders/>
            <w:vAlign w:val="center"/>
          </w:tcPr>
          <w:p>
            <w:pPr>
              <w:pStyle w:val="TableContents"/>
              <w:bidi w:val="0"/>
              <w:spacing w:before="0" w:after="1"/>
              <w:ind w:left="0" w:right="0" w:hanging="0"/>
              <w:jc w:val="left"/>
              <w:rPr/>
            </w:pPr>
            <w:r>
              <w:rPr/>
              <w:t>​</w:t>
            </w:r>
          </w:p>
        </w:tc>
      </w:tr>
      <w:tr>
        <w:trPr/>
        <w:tc>
          <w:tcPr>
            <w:tcW w:w="50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remaining lease term in years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5.00</w:t>
            </w:r>
          </w:p>
        </w:tc>
        <w:tc>
          <w:tcPr>
            <w:tcW w:w="2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0.67</w:t>
            </w:r>
          </w:p>
        </w:tc>
        <w:tc>
          <w:tcPr>
            <w:tcW w:w="301" w:type="dxa"/>
            <w:tcBorders/>
            <w:shd w:fill="CCEEFF" w:val="clear"/>
            <w:vAlign w:val="center"/>
          </w:tcPr>
          <w:p>
            <w:pPr>
              <w:pStyle w:val="TableContents"/>
              <w:bidi w:val="0"/>
              <w:spacing w:before="0" w:after="1"/>
              <w:ind w:left="0" w:right="0" w:hanging="0"/>
              <w:jc w:val="left"/>
              <w:rPr/>
            </w:pPr>
            <w:r>
              <w:rPr/>
              <w:t>​</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discount rate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6.09</w:t>
            </w:r>
          </w:p>
        </w:tc>
        <w:tc>
          <w:tcPr>
            <w:tcW w:w="25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7.40</w:t>
            </w:r>
          </w:p>
        </w:tc>
        <w:tc>
          <w:tcPr>
            <w:tcW w:w="30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presents the Company’s ROU assets and lease liabilities (in thousands):</w:t>
      </w:r>
    </w:p>
    <w:p>
      <w:pPr>
        <w:pStyle w:val="TextBody"/>
        <w:bidi w:val="0"/>
        <w:spacing w:before="0" w:after="240"/>
        <w:ind w:left="0" w:right="0" w:hanging="0"/>
        <w:jc w:val="left"/>
        <w:rPr/>
      </w:pPr>
      <w:r>
        <w:rPr/>
        <w:t>​</w:t>
      </w:r>
    </w:p>
    <w:tbl>
      <w:tblPr>
        <w:tblW w:w="6840" w:type="dxa"/>
        <w:jc w:val="left"/>
        <w:tblInd w:w="0" w:type="dxa"/>
        <w:tblLayout w:type="fixed"/>
        <w:tblCellMar>
          <w:top w:w="0" w:type="dxa"/>
          <w:left w:w="0" w:type="dxa"/>
          <w:bottom w:w="0" w:type="dxa"/>
          <w:right w:w="0" w:type="dxa"/>
        </w:tblCellMar>
      </w:tblPr>
      <w:tblGrid>
        <w:gridCol w:w="4156"/>
        <w:gridCol w:w="109"/>
        <w:gridCol w:w="396"/>
        <w:gridCol w:w="760"/>
        <w:gridCol w:w="109"/>
        <w:gridCol w:w="109"/>
        <w:gridCol w:w="363"/>
        <w:gridCol w:w="838"/>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639060" cy="175260"/>
                      <wp:effectExtent l="0" t="0" r="0" b="0"/>
                      <wp:wrapNone/>
                      <wp:docPr id="426" name="Frame425"/>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9215" cy="175260"/>
                      <wp:effectExtent l="0" t="0" r="0" b="0"/>
                      <wp:wrapNone/>
                      <wp:docPr id="427" name="Frame4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51460" cy="175260"/>
                      <wp:effectExtent l="0" t="0" r="0" b="0"/>
                      <wp:wrapNone/>
                      <wp:docPr id="428" name="Frame427"/>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482600" cy="175260"/>
                      <wp:effectExtent l="0" t="0" r="0" b="0"/>
                      <wp:wrapNone/>
                      <wp:docPr id="429" name="Frame428"/>
                      <a:graphic xmlns:a="http://schemas.openxmlformats.org/drawingml/2006/main">
                        <a:graphicData uri="http://schemas.microsoft.com/office/word/2010/wordprocessingShape">
                          <wps:wsp>
                            <wps:cNvSpPr txBox="1"/>
                            <wps:spPr>
                              <a:xfrm>
                                <a:off x="0" y="0"/>
                                <a:ext cx="482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9215" cy="175260"/>
                      <wp:effectExtent l="0" t="0" r="0" b="0"/>
                      <wp:wrapNone/>
                      <wp:docPr id="430" name="Frame4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9215" cy="175260"/>
                      <wp:effectExtent l="0" t="0" r="0" b="0"/>
                      <wp:wrapNone/>
                      <wp:docPr id="431" name="Frame4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30505" cy="175260"/>
                      <wp:effectExtent l="0" t="0" r="0" b="0"/>
                      <wp:wrapNone/>
                      <wp:docPr id="432" name="Frame431"/>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532130" cy="175260"/>
                      <wp:effectExtent l="0" t="0" r="0" b="0"/>
                      <wp:wrapNone/>
                      <wp:docPr id="433" name="Frame432"/>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2025</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Sheets:</w:t>
            </w:r>
          </w:p>
        </w:tc>
        <w:tc>
          <w:tcPr>
            <w:tcW w:w="109"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Operating lease ROU asset (included in other assets, net)</w:t>
            </w:r>
          </w:p>
        </w:tc>
        <w:tc>
          <w:tcPr>
            <w:tcW w:w="109"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Accrued liabilities and other - current</w:t>
            </w:r>
          </w:p>
        </w:tc>
        <w:tc>
          <w:tcPr>
            <w:tcW w:w="109"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liability - long-term</w:t>
            </w:r>
          </w:p>
        </w:tc>
        <w:tc>
          <w:tcPr>
            <w:tcW w:w="109"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left"/>
              <w:rPr/>
            </w:pPr>
            <w:r>
              <w:rPr/>
              <w:t>​</w:t>
            </w:r>
          </w:p>
        </w:tc>
        <w:tc>
          <w:tcPr>
            <w:tcW w:w="76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351</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120"/>
        <w:ind w:left="0" w:right="0" w:hanging="0"/>
        <w:jc w:val="left"/>
        <w:rPr>
          <w:rFonts w:ascii="Times New Roman;Times;serif" w:hAnsi="Times New Roman;Times;serif"/>
          <w:sz w:val="20"/>
        </w:rPr>
      </w:pPr>
      <w:bookmarkStart w:id="1112" w:name="Tc_fxkYzOwI-UiZphn0SmscTg_12_2"/>
      <w:bookmarkStart w:id="1113" w:name="Tc_ZIvSCIWQjUCiSvNF_wcxRw_12_0"/>
      <w:bookmarkStart w:id="1114" w:name="Tc_acnRXf9UH0KS8iS1AmhhHw_11_0"/>
      <w:bookmarkStart w:id="1115" w:name="Tc_yi9mY9T6oU6y5OBcc5laqw_9_0"/>
      <w:bookmarkStart w:id="1116" w:name="Tc_lE-a3Dsr0UeDnA62n_BZlw_8_0"/>
      <w:bookmarkStart w:id="1117" w:name="Tc_oRbOnfG6v0SJ5SilCo9Tyw_7_3"/>
      <w:bookmarkStart w:id="1118" w:name="Tc_K_Y9CYngmUKqmuPCUrcsGw_7_0"/>
      <w:bookmarkStart w:id="1119" w:name="Tc_a3cWyW25yEWsjL5PyadmJw_6_0"/>
      <w:bookmarkStart w:id="1120" w:name="Tc_Xmfmyo-qRkK4DFK7ytWZTQ_5_0"/>
      <w:bookmarkStart w:id="1121" w:name="Tc_3OjOx5QpYEm6CVBu8RZynQ_4_0"/>
      <w:bookmarkStart w:id="1122" w:name="Tc_Xt-nA2JOik-pGmPyrogP_A_3_0"/>
      <w:bookmarkStart w:id="1123" w:name="Tc_Lbm-NgUw-0SmpMb_XX-sfA_2_2"/>
      <w:bookmarkStart w:id="1124" w:name="Tc_r1zOa0yZTkCVOyG-TRoGcg_2_0"/>
      <w:bookmarkStart w:id="1125" w:name="Tc_vmwoilRNl0ON5pqyKdOIFA_1_2"/>
      <w:bookmarkStart w:id="1126" w:name="Tc_E2j46fATlEe7iz6D1uVf0Q_1_0"/>
      <w:bookmarkStart w:id="1127" w:name="_e0e19b9c_5ff0_4a11_b2f8_00d585392b09"/>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r>
        <w:rPr>
          <w:rFonts w:ascii="Times New Roman;Times;serif" w:hAnsi="Times New Roman;Times;serif"/>
          <w:sz w:val="20"/>
        </w:rPr>
        <w:t>As of June 30, 2026, the future minimum lease payments associated with the Company’s non-cancellable operating lease for office space are as follows (in thousands):</w:t>
      </w:r>
    </w:p>
    <w:tbl>
      <w:tblPr>
        <w:tblW w:w="4353" w:type="dxa"/>
        <w:jc w:val="left"/>
        <w:tblInd w:w="0" w:type="dxa"/>
        <w:tblLayout w:type="fixed"/>
        <w:tblCellMar>
          <w:top w:w="0" w:type="dxa"/>
          <w:left w:w="0" w:type="dxa"/>
          <w:bottom w:w="0" w:type="dxa"/>
          <w:right w:w="0" w:type="dxa"/>
        </w:tblCellMar>
      </w:tblPr>
      <w:tblGrid>
        <w:gridCol w:w="2806"/>
        <w:gridCol w:w="346"/>
        <w:gridCol w:w="347"/>
        <w:gridCol w:w="854"/>
      </w:tblGrid>
      <w:tr>
        <w:trPr/>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781810" cy="175260"/>
                      <wp:effectExtent l="0" t="0" r="0" b="0"/>
                      <wp:wrapNone/>
                      <wp:docPr id="434" name="Frame433"/>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19710" cy="175260"/>
                      <wp:effectExtent l="0" t="0" r="0" b="0"/>
                      <wp:wrapNone/>
                      <wp:docPr id="435" name="Frame4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20345" cy="175260"/>
                      <wp:effectExtent l="0" t="0" r="0" b="0"/>
                      <wp:wrapNone/>
                      <wp:docPr id="436" name="Frame435"/>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542290" cy="175260"/>
                      <wp:effectExtent l="0" t="0" r="0" b="0"/>
                      <wp:wrapNone/>
                      <wp:docPr id="437" name="Frame436"/>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Fiscal Year</w:t>
            </w:r>
          </w:p>
        </w:tc>
        <w:tc>
          <w:tcPr>
            <w:tcW w:w="346" w:type="dxa"/>
            <w:tcBorders/>
            <w:vAlign w:val="center"/>
          </w:tcPr>
          <w:p>
            <w:pPr>
              <w:pStyle w:val="TableContents"/>
              <w:bidi w:val="0"/>
              <w:spacing w:before="0" w:after="1"/>
              <w:ind w:left="0" w:right="0" w:hanging="0"/>
              <w:jc w:val="left"/>
              <w:rPr/>
            </w:pPr>
            <w:r>
              <w:rPr/>
              <w:t>  ​ ​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2026</w:t>
            </w:r>
          </w:p>
        </w:tc>
      </w:tr>
      <w:tr>
        <w:trPr/>
        <w:tc>
          <w:tcPr>
            <w:tcW w:w="28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2027</w:t>
            </w:r>
          </w:p>
        </w:tc>
        <w:tc>
          <w:tcPr>
            <w:tcW w:w="346"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w:t>
            </w:r>
          </w:p>
        </w:tc>
      </w:tr>
      <w:tr>
        <w:trPr/>
        <w:tc>
          <w:tcPr>
            <w:tcW w:w="28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2028</w:t>
            </w:r>
          </w:p>
        </w:tc>
        <w:tc>
          <w:tcPr>
            <w:tcW w:w="346"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pPr>
            <w:r>
              <w:rPr/>
              <w:t>​</w:t>
            </w:r>
          </w:p>
        </w:tc>
        <w:tc>
          <w:tcPr>
            <w:tcW w:w="85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w:t>
            </w:r>
          </w:p>
        </w:tc>
      </w:tr>
      <w:tr>
        <w:trPr/>
        <w:tc>
          <w:tcPr>
            <w:tcW w:w="28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2029</w:t>
            </w:r>
          </w:p>
        </w:tc>
        <w:tc>
          <w:tcPr>
            <w:tcW w:w="346"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w:t>
            </w:r>
          </w:p>
        </w:tc>
      </w:tr>
      <w:tr>
        <w:trPr/>
        <w:tc>
          <w:tcPr>
            <w:tcW w:w="28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2030</w:t>
            </w:r>
          </w:p>
        </w:tc>
        <w:tc>
          <w:tcPr>
            <w:tcW w:w="346" w:type="dxa"/>
            <w:tcBorders/>
            <w:vAlign w:val="center"/>
          </w:tcPr>
          <w:p>
            <w:pPr>
              <w:pStyle w:val="TableContents"/>
              <w:bidi w:val="0"/>
              <w:spacing w:before="0" w:after="1"/>
              <w:ind w:left="0" w:right="0" w:hanging="0"/>
              <w:jc w:val="left"/>
              <w:rPr/>
            </w:pPr>
            <w:r>
              <w:rPr/>
              <w:t>​</w:t>
            </w:r>
          </w:p>
        </w:tc>
        <w:tc>
          <w:tcPr>
            <w:tcW w:w="347" w:type="dxa"/>
            <w:tcBorders/>
            <w:vAlign w:val="center"/>
          </w:tcPr>
          <w:p>
            <w:pPr>
              <w:pStyle w:val="TableContents"/>
              <w:bidi w:val="0"/>
              <w:spacing w:before="0" w:after="1"/>
              <w:ind w:left="0" w:right="0" w:hanging="0"/>
              <w:jc w:val="left"/>
              <w:rPr/>
            </w:pPr>
            <w:r>
              <w:rPr/>
              <w:t>​</w:t>
            </w:r>
          </w:p>
        </w:tc>
        <w:tc>
          <w:tcPr>
            <w:tcW w:w="85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w:t>
            </w:r>
          </w:p>
        </w:tc>
      </w:tr>
      <w:tr>
        <w:trPr/>
        <w:tc>
          <w:tcPr>
            <w:tcW w:w="28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2031</w:t>
            </w:r>
          </w:p>
        </w:tc>
        <w:tc>
          <w:tcPr>
            <w:tcW w:w="346"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w:t>
            </w:r>
          </w:p>
        </w:tc>
      </w:tr>
      <w:tr>
        <w:trPr/>
        <w:tc>
          <w:tcPr>
            <w:tcW w:w="28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Thereafter</w:t>
            </w:r>
          </w:p>
        </w:tc>
        <w:tc>
          <w:tcPr>
            <w:tcW w:w="346" w:type="dxa"/>
            <w:tcBorders/>
            <w:vAlign w:val="center"/>
          </w:tcPr>
          <w:p>
            <w:pPr>
              <w:pStyle w:val="TableContents"/>
              <w:bidi w:val="0"/>
              <w:spacing w:before="0" w:after="1"/>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8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lease payments</w:t>
            </w:r>
          </w:p>
        </w:tc>
        <w:tc>
          <w:tcPr>
            <w:tcW w:w="346"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517</w:t>
            </w:r>
          </w:p>
        </w:tc>
      </w:tr>
      <w:tr>
        <w:trPr/>
        <w:tc>
          <w:tcPr>
            <w:tcW w:w="28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discount to present value</w:t>
            </w:r>
          </w:p>
        </w:tc>
        <w:tc>
          <w:tcPr>
            <w:tcW w:w="346" w:type="dxa"/>
            <w:tcBorders/>
            <w:vAlign w:val="center"/>
          </w:tcPr>
          <w:p>
            <w:pPr>
              <w:pStyle w:val="TableContents"/>
              <w:bidi w:val="0"/>
              <w:spacing w:before="0" w:after="1"/>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w:t>
            </w:r>
          </w:p>
        </w:tc>
      </w:tr>
      <w:tr>
        <w:trPr/>
        <w:tc>
          <w:tcPr>
            <w:tcW w:w="280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Total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446</w:t>
            </w:r>
          </w:p>
        </w:tc>
      </w:tr>
      <w:tr>
        <w:trPr/>
        <w:tc>
          <w:tcPr>
            <w:tcW w:w="28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current operating lease liabilities</w:t>
            </w:r>
          </w:p>
        </w:tc>
        <w:tc>
          <w:tcPr>
            <w:tcW w:w="346" w:type="dxa"/>
            <w:tcBorders/>
            <w:vAlign w:val="center"/>
          </w:tcPr>
          <w:p>
            <w:pPr>
              <w:pStyle w:val="TableContents"/>
              <w:bidi w:val="0"/>
              <w:spacing w:before="0" w:after="1"/>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w:t>
            </w:r>
          </w:p>
        </w:tc>
      </w:tr>
      <w:tr>
        <w:trPr/>
        <w:tc>
          <w:tcPr>
            <w:tcW w:w="28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 current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34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351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applied the following practical expedients as provided in the standards update which provide elections to not reassess: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to apply the recognition requirements in the lease standard to short-term leases (a lease that at commencement date has a lease term of 12 months or less and does not contain a purchase option that the Company is reasonably certain to exercise).</w:t>
            </w:r>
          </w:p>
        </w:tc>
      </w:tr>
    </w:tbl>
    <w:tbl>
      <w:tblPr>
        <w:tblW w:w="6726" w:type="dxa"/>
        <w:jc w:val="left"/>
        <w:tblInd w:w="0" w:type="dxa"/>
        <w:tblLayout w:type="fixed"/>
        <w:tblCellMar>
          <w:top w:w="28" w:type="dxa"/>
          <w:left w:w="28" w:type="dxa"/>
          <w:bottom w:w="28" w:type="dxa"/>
          <w:right w:w="28" w:type="dxa"/>
        </w:tblCellMar>
      </w:tblPr>
      <w:tblGrid>
        <w:gridCol w:w="124"/>
        <w:gridCol w:w="256"/>
        <w:gridCol w:w="6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an expired or existing pre-adoption date contracts contained leases.</w:t>
            </w:r>
          </w:p>
        </w:tc>
      </w:tr>
    </w:tbl>
    <w:tbl>
      <w:tblPr>
        <w:tblW w:w="4821" w:type="dxa"/>
        <w:jc w:val="left"/>
        <w:tblInd w:w="0" w:type="dxa"/>
        <w:tblLayout w:type="fixed"/>
        <w:tblCellMar>
          <w:top w:w="28" w:type="dxa"/>
          <w:left w:w="28" w:type="dxa"/>
          <w:bottom w:w="28" w:type="dxa"/>
          <w:right w:w="28" w:type="dxa"/>
        </w:tblCellMar>
      </w:tblPr>
      <w:tblGrid>
        <w:gridCol w:w="124"/>
        <w:gridCol w:w="256"/>
        <w:gridCol w:w="4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classification of any expired or existing leases.</w:t>
            </w:r>
          </w:p>
        </w:tc>
      </w:tr>
    </w:tbl>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direct costs for any expired or existing leases.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to separate lease components from non-lease components in a contract and accounting for the combination as a lease (reflected by asset class).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120"/>
        <w:ind w:left="0" w:right="0" w:hanging="0"/>
        <w:jc w:val="left"/>
        <w:rPr>
          <w:rFonts w:ascii="Times New Roman;Times;serif" w:hAnsi="Times New Roman;Times;serif"/>
          <w:b/>
          <w:sz w:val="20"/>
        </w:rPr>
      </w:pPr>
      <w:bookmarkStart w:id="1128" w:name="Tc_zufQrsOtVUaT2jcA_5Ixfw_27_5"/>
      <w:bookmarkStart w:id="1129" w:name="Tc_TR1Ekif6qki33Kbs_S6aZg_27_2"/>
      <w:bookmarkStart w:id="1130" w:name="Tc_W64DgyyuOEOvKkKMbPhR5A_27_0"/>
      <w:bookmarkStart w:id="1131" w:name="Tc_4-ichCIgGkiLLGhFHbHT8A_26_0"/>
      <w:bookmarkStart w:id="1132" w:name="Tc_qt74RIRg8kOe24wHa1RQng_25_0"/>
      <w:bookmarkStart w:id="1133" w:name="Tc_HXU-kQ93lUqjpzP1tGDl0w_24_0"/>
      <w:bookmarkStart w:id="1134" w:name="Tc_7RqkYmb5e0KrmzwObkqB6g_23_6"/>
      <w:bookmarkStart w:id="1135" w:name="Tc_eQR2TL6rRE6Kgxp3sAwPUA_23_0"/>
      <w:bookmarkStart w:id="1136" w:name="Tc_iiLsdW28hEe9ccYjH5NJbw_22_0"/>
      <w:bookmarkStart w:id="1137" w:name="Tc_RTJ-7i2fn0SbT2RIt579Ww_21_0"/>
      <w:bookmarkStart w:id="1138" w:name="Tc_rfN8XDX2ikOaowa4cOx5gA_20_0"/>
      <w:bookmarkStart w:id="1139" w:name="Tc_e5ES1wJukk6kqpCmfPe0RQ_19_3"/>
      <w:bookmarkStart w:id="1140" w:name="Tc_XE2kuf8kE0KkQWSGT_1gng_19_0"/>
      <w:bookmarkStart w:id="1141" w:name="Tc_HXxN8Wr4wkyusHSu90ltvA_18_5"/>
      <w:bookmarkStart w:id="1142" w:name="Tc_hvjBDgc3j0GJRBqKBOsFqA_18_2"/>
      <w:bookmarkStart w:id="1143" w:name="Tc_1v83as2VjUaiXxC9-f7EYg_18_0"/>
      <w:bookmarkStart w:id="1144" w:name="Tc_uxTELhdb6UOOvY-E-AHypQ_17_0"/>
      <w:bookmarkStart w:id="1145" w:name="Tc_4-webCn_jUqgrjYuHEdZ7Q_15_5"/>
      <w:bookmarkStart w:id="1146" w:name="Tc_f7aZg6cft0GYZzJt4h2zvQ_15_2"/>
      <w:bookmarkStart w:id="1147" w:name="Tc__rfbJcfaCEu9KfxVZf6Paw_15_0"/>
      <w:bookmarkStart w:id="1148" w:name="Tc_OiBs4goMGUanJyAR4YcHGQ_14_0"/>
      <w:bookmarkStart w:id="1149" w:name="Tc_YyDuE2tiCEOXJxsOZ1OwnQ_13_0"/>
      <w:bookmarkStart w:id="1150" w:name="Tc_CSC1tr6P9EiTDpCQvu4NZw_12_5"/>
      <w:bookmarkStart w:id="1151" w:name="Tc_mn2is0ozoEaBuNexvBNRbA_12_2"/>
      <w:bookmarkStart w:id="1152" w:name="Tc_nxkHeOAiQ0-n4BRVyGnuGg_12_0"/>
      <w:bookmarkStart w:id="1153" w:name="Tc_Mc7iBOgMnEe17zngfv3VQA_11_0"/>
      <w:bookmarkStart w:id="1154" w:name="Tc_sCt3XHJkEESk6iMarPAfyA_9_5"/>
      <w:bookmarkStart w:id="1155" w:name="Tc_y0WbOZDD4UWZWoZpHYQ7Wg_9_2"/>
      <w:bookmarkStart w:id="1156" w:name="Tc_Q2tdlP7WV06FW5QXDrhobg_9_0"/>
      <w:bookmarkStart w:id="1157" w:name="Tc_MxDE4tqliESm0X-xvoLCRg_8_0"/>
      <w:bookmarkStart w:id="1158" w:name="Tc_vPF4NzMmZ0mgjufjL8OSEw_7_0"/>
      <w:bookmarkStart w:id="1159" w:name="Tc_vm3zdp15yEyTCuriSoFfsw_6_0"/>
      <w:bookmarkStart w:id="1160" w:name="Tc_2NsnRo1DkkiJSAHkBY2x3Q_5_0"/>
      <w:bookmarkStart w:id="1161" w:name="Tc_ciCVaSmNk0S5sNtgEmdGsw_4_0"/>
      <w:bookmarkStart w:id="1162" w:name="Tc_atDf6gGYU0uaNont9p7ZEg_3_6"/>
      <w:bookmarkStart w:id="1163" w:name="Tc_qiHzu-U8wUCbaqHl_0nkLA_3_5"/>
      <w:bookmarkStart w:id="1164" w:name="Tc_0w5qOmyaMUi-qvekoyAxOA_3_2"/>
      <w:bookmarkStart w:id="1165" w:name="Tc_TM6QEnJp1Eelp52hXuo3pg_3_0"/>
      <w:bookmarkStart w:id="1166" w:name="Tc_CRT7LFWkt0WMqclwVoJWNA_2_0"/>
      <w:bookmarkStart w:id="1167" w:name="Tc_Z8EltGAJ90yQYAGZzxSdWw_1_5"/>
      <w:bookmarkStart w:id="1168" w:name="Tc_2_TY2A1fXUOgrxUIdKj5bQ_1_2"/>
      <w:bookmarkStart w:id="1169" w:name="_5a3ba25b_e5bc_418c_8c17_e9b6c5ffeaf6"/>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r>
        <w:rPr>
          <w:rFonts w:ascii="Times New Roman;Times;serif" w:hAnsi="Times New Roman;Times;serif"/>
          <w:b/>
          <w:sz w:val="20"/>
        </w:rPr>
        <w:t>Note 14. Additional Financial Statement Information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Certain amounts on the consolidated balance sheets are comprised of the following (in thousands):</w:t>
      </w:r>
    </w:p>
    <w:tbl>
      <w:tblPr>
        <w:tblW w:w="6920" w:type="dxa"/>
        <w:jc w:val="left"/>
        <w:tblInd w:w="0" w:type="dxa"/>
        <w:tblLayout w:type="fixed"/>
        <w:tblCellMar>
          <w:top w:w="0" w:type="dxa"/>
          <w:left w:w="0" w:type="dxa"/>
          <w:bottom w:w="0" w:type="dxa"/>
          <w:right w:w="0" w:type="dxa"/>
        </w:tblCellMar>
      </w:tblPr>
      <w:tblGrid>
        <w:gridCol w:w="3871"/>
        <w:gridCol w:w="346"/>
        <w:gridCol w:w="320"/>
        <w:gridCol w:w="836"/>
        <w:gridCol w:w="346"/>
        <w:gridCol w:w="289"/>
        <w:gridCol w:w="912"/>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458085" cy="175260"/>
                      <wp:effectExtent l="0" t="0" r="0" b="0"/>
                      <wp:wrapNone/>
                      <wp:docPr id="438" name="Frame437"/>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19710" cy="175260"/>
                      <wp:effectExtent l="0" t="0" r="0" b="0"/>
                      <wp:wrapNone/>
                      <wp:docPr id="439" name="Frame4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03200" cy="175260"/>
                      <wp:effectExtent l="0" t="0" r="0" b="0"/>
                      <wp:wrapNone/>
                      <wp:docPr id="440" name="Frame439"/>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530860" cy="175260"/>
                      <wp:effectExtent l="0" t="0" r="0" b="0"/>
                      <wp:wrapNone/>
                      <wp:docPr id="441" name="Frame440"/>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19710" cy="175260"/>
                      <wp:effectExtent l="0" t="0" r="0" b="0"/>
                      <wp:wrapNone/>
                      <wp:docPr id="442" name="Frame4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83515" cy="175260"/>
                      <wp:effectExtent l="0" t="0" r="0" b="0"/>
                      <wp:wrapNone/>
                      <wp:docPr id="443" name="Frame442"/>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579120" cy="175260"/>
                      <wp:effectExtent l="0" t="0" r="0" b="0"/>
                      <wp:wrapNone/>
                      <wp:docPr id="444" name="Frame443"/>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  ​ ​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346" w:type="dxa"/>
            <w:tcBorders/>
            <w:vAlign w:val="center"/>
          </w:tcPr>
          <w:p>
            <w:pPr>
              <w:pStyle w:val="TableContents"/>
              <w:bidi w:val="0"/>
              <w:spacing w:before="0" w:after="1"/>
              <w:ind w:left="0" w:right="0" w:hanging="0"/>
              <w:jc w:val="left"/>
              <w:rPr/>
            </w:pPr>
            <w:r>
              <w:rPr/>
              <w:t>  ​ ​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2025</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lef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State and federal taxes receivable</w:t>
            </w:r>
          </w:p>
        </w:tc>
        <w:tc>
          <w:tcPr>
            <w:tcW w:w="34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906</w:t>
            </w:r>
          </w:p>
        </w:tc>
        <w:tc>
          <w:tcPr>
            <w:tcW w:w="34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vAlign w:val="center"/>
          </w:tcPr>
          <w:p>
            <w:pPr>
              <w:pStyle w:val="TableContents"/>
              <w:bidi w:val="0"/>
              <w:spacing w:before="0" w:after="1"/>
              <w:ind w:left="0" w:right="0" w:hanging="0"/>
              <w:jc w:val="right"/>
              <w:rPr/>
            </w:pPr>
            <w:r>
              <w:rPr/>
              <w:t>—</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receivables</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w:t>
            </w:r>
          </w:p>
        </w:tc>
        <w:tc>
          <w:tcPr>
            <w:tcW w:w="34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227</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insurance</w:t>
            </w:r>
          </w:p>
        </w:tc>
        <w:tc>
          <w:tcPr>
            <w:tcW w:w="34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750</w:t>
            </w:r>
          </w:p>
        </w:tc>
        <w:tc>
          <w:tcPr>
            <w:tcW w:w="34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701</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federal and state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w:t>
            </w:r>
          </w:p>
        </w:tc>
        <w:tc>
          <w:tcPr>
            <w:tcW w:w="34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706</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Advances to operators</w:t>
            </w:r>
          </w:p>
        </w:tc>
        <w:tc>
          <w:tcPr>
            <w:tcW w:w="34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w:t>
            </w:r>
          </w:p>
        </w:tc>
        <w:tc>
          <w:tcPr>
            <w:tcW w:w="34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316</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other</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309</w:t>
            </w:r>
          </w:p>
        </w:tc>
        <w:tc>
          <w:tcPr>
            <w:tcW w:w="346"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337</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prepaid expenses and other current assets</w:t>
            </w:r>
          </w:p>
        </w:tc>
        <w:tc>
          <w:tcPr>
            <w:tcW w:w="346" w:type="dxa"/>
            <w:tcBorders/>
            <w:vAlign w:val="center"/>
          </w:tcPr>
          <w:p>
            <w:pPr>
              <w:pStyle w:val="TableContents"/>
              <w:bidi w:val="0"/>
              <w:spacing w:before="0" w:after="1"/>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2,199</w:t>
            </w:r>
          </w:p>
        </w:tc>
        <w:tc>
          <w:tcPr>
            <w:tcW w:w="346" w:type="dxa"/>
            <w:tcBorders/>
            <w:vAlign w:val="center"/>
          </w:tcPr>
          <w:p>
            <w:pPr>
              <w:pStyle w:val="TableContents"/>
              <w:bidi w:val="0"/>
              <w:spacing w:before="0" w:after="1"/>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2,287</w:t>
            </w:r>
          </w:p>
        </w:tc>
      </w:tr>
      <w:tr>
        <w:trPr/>
        <w:tc>
          <w:tcPr>
            <w:tcW w:w="38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lef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Other assets, net:</w:t>
            </w:r>
          </w:p>
        </w:tc>
        <w:tc>
          <w:tcPr>
            <w:tcW w:w="34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left"/>
              <w:rPr/>
            </w:pPr>
            <w:r>
              <w:rPr/>
              <w:t>​</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Deposit</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Debt issuance costs, net</w:t>
            </w:r>
          </w:p>
        </w:tc>
        <w:tc>
          <w:tcPr>
            <w:tcW w:w="34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312</w:t>
            </w:r>
          </w:p>
        </w:tc>
        <w:tc>
          <w:tcPr>
            <w:tcW w:w="34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365</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Right of use asset under operating lease</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414</w:t>
            </w:r>
          </w:p>
        </w:tc>
        <w:tc>
          <w:tcPr>
            <w:tcW w:w="346"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other assets, net</w:t>
            </w:r>
          </w:p>
        </w:tc>
        <w:tc>
          <w:tcPr>
            <w:tcW w:w="346" w:type="dxa"/>
            <w:tcBorders/>
            <w:vAlign w:val="center"/>
          </w:tcPr>
          <w:p>
            <w:pPr>
              <w:pStyle w:val="TableContents"/>
              <w:bidi w:val="0"/>
              <w:spacing w:before="0" w:after="1"/>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734</w:t>
            </w:r>
          </w:p>
        </w:tc>
        <w:tc>
          <w:tcPr>
            <w:tcW w:w="346" w:type="dxa"/>
            <w:tcBorders/>
            <w:vAlign w:val="center"/>
          </w:tcPr>
          <w:p>
            <w:pPr>
              <w:pStyle w:val="TableContents"/>
              <w:bidi w:val="0"/>
              <w:spacing w:before="0" w:after="1"/>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431</w:t>
            </w:r>
          </w:p>
        </w:tc>
      </w:tr>
      <w:tr>
        <w:trPr/>
        <w:tc>
          <w:tcPr>
            <w:tcW w:w="38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lef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Accrued liabilities and other:</w:t>
            </w:r>
          </w:p>
        </w:tc>
        <w:tc>
          <w:tcPr>
            <w:tcW w:w="34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left"/>
              <w:rPr/>
            </w:pPr>
            <w:r>
              <w:rPr/>
              <w:t>​</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payables</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3,074</w:t>
            </w:r>
          </w:p>
        </w:tc>
        <w:tc>
          <w:tcPr>
            <w:tcW w:w="34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2,937</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capital expenditures</w:t>
            </w:r>
          </w:p>
        </w:tc>
        <w:tc>
          <w:tcPr>
            <w:tcW w:w="34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421</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incentive and other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723</w:t>
            </w:r>
          </w:p>
        </w:tc>
        <w:tc>
          <w:tcPr>
            <w:tcW w:w="34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1,472</w:t>
            </w:r>
          </w:p>
        </w:tc>
      </w:tr>
      <w:tr>
        <w:trPr/>
        <w:tc>
          <w:tcPr>
            <w:tcW w:w="3871"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Accrued royalties payable</w:t>
            </w:r>
            <w:r>
              <w:rPr>
                <w:rFonts w:ascii="Times New Roman;Times;serif" w:hAnsi="Times New Roman;Times;serif"/>
                <w:i/>
                <w:sz w:val="14"/>
              </w:rPr>
              <w:t>(1)</w:t>
            </w:r>
          </w:p>
        </w:tc>
        <w:tc>
          <w:tcPr>
            <w:tcW w:w="34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257</w:t>
            </w:r>
          </w:p>
        </w:tc>
        <w:tc>
          <w:tcPr>
            <w:tcW w:w="34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417</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taxes other than federal and state income tax</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540</w:t>
            </w:r>
          </w:p>
        </w:tc>
        <w:tc>
          <w:tcPr>
            <w:tcW w:w="34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1,283</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settlements on derivative contracts</w:t>
            </w:r>
          </w:p>
        </w:tc>
        <w:tc>
          <w:tcPr>
            <w:tcW w:w="34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769</w:t>
            </w:r>
          </w:p>
        </w:tc>
        <w:tc>
          <w:tcPr>
            <w:tcW w:w="34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pPr>
            <w:r>
              <w:rPr/>
              <w:t>—</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w:t>
            </w:r>
          </w:p>
        </w:tc>
        <w:tc>
          <w:tcPr>
            <w:tcW w:w="34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retirement obligations due within one year</w:t>
            </w:r>
          </w:p>
        </w:tc>
        <w:tc>
          <w:tcPr>
            <w:tcW w:w="34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w:t>
            </w:r>
          </w:p>
        </w:tc>
        <w:tc>
          <w:tcPr>
            <w:tcW w:w="34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295</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interest and other</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w:t>
            </w:r>
          </w:p>
        </w:tc>
        <w:tc>
          <w:tcPr>
            <w:tcW w:w="346"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accrued liabilities and other</w:t>
            </w:r>
          </w:p>
        </w:tc>
        <w:tc>
          <w:tcPr>
            <w:tcW w:w="346" w:type="dxa"/>
            <w:tcBorders/>
            <w:vAlign w:val="center"/>
          </w:tcPr>
          <w:p>
            <w:pPr>
              <w:pStyle w:val="TableContents"/>
              <w:bidi w:val="0"/>
              <w:spacing w:before="0" w:after="1"/>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5,674</w:t>
            </w:r>
          </w:p>
        </w:tc>
        <w:tc>
          <w:tcPr>
            <w:tcW w:w="346" w:type="dxa"/>
            <w:tcBorders/>
            <w:vAlign w:val="center"/>
          </w:tcPr>
          <w:p>
            <w:pPr>
              <w:pStyle w:val="TableContents"/>
              <w:bidi w:val="0"/>
              <w:spacing w:before="0" w:after="1"/>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6,909</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15. Subsequent Events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Senior Secured Credit Facility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August 20, 2026, the Company entered into a letter agreement with MidFirst Bank pursuant to which the borrowing base on its Senior Secured Credit Facility was temporarily increased from $65.0 million to $73.0 million from August 20, 2026 until October 20, 2026, unless redetermined early in accordance with the terms of the credit agreement. The Company currently expects to being its semi-annual Fall redetermination on or about October 1, 2026.</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 Offering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August 20, 2026, the Company completed a public offering of 4.3 million shares of its common stock, at an offering price of $3.25 per share (the “Offering”). The Company received net proceeds of approximately $12.8 million from the Offering, after deducting underwriting discounts and commissions and estimated offering expenses. Net proceeds from the Offering, together with borrowings under its Senior Secured Credit Facility and cash on hand, were used to fund the Permian Minerals Acquisition (defined below).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Purchase of Permian Minerals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August 20, 2026, the Company completed the acquisition of mineral and royalty interests in the core Midland Basin of the Permian Basin from a non-affiliated private seller for a total purchase price of $16.0 million (the “Permian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EVOLUTION PETROLEUM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Minerals Acquisition”), subject to customary post-closing adjustments. The Permian Minerals Acquisition has an effective date of August 1, 2026. The Company funded the purchase price for the Permian Minerals Acquisition with a combination of net proceeds from its concurrent public equity offering and $3.2 million in borrowings under its Senior Secured Credit Facility. The acquired assets include approximately 3,420 net royalty acres across Reagan, Martin, Midland, Glasscock, and Upton Counties, Texas.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Dividend Declaration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September 10, 2026, the Company declared a quarterly cash dividend of $0.12 per share of common stock to shareholders of record on September 21, 2026 and payable on September 30,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70" w:name="_b362a7ac_b92b_4c92_8f8a_8ed4fd3426da"/>
      <w:bookmarkStart w:id="1171" w:name="_Supplemental_Disclosure_about"/>
      <w:bookmarkEnd w:id="1170"/>
      <w:bookmarkEnd w:id="1171"/>
      <w:r>
        <w:rPr>
          <w:rFonts w:ascii="Times New Roman;Times;serif" w:hAnsi="Times New Roman;Times;serif"/>
          <w:b/>
          <w:sz w:val="20"/>
        </w:rPr>
        <w:t>Supplemental Disclosure about Oil and Natural Gas Properties (unaudited)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Capitalized costs relating to oil and natural gas producing activities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amounts of capitalized costs relating to oil and natural gas producing activities and the amount of related accumulated depletion (in thousands).</w:t>
      </w:r>
    </w:p>
    <w:tbl>
      <w:tblPr>
        <w:tblW w:w="8842" w:type="dxa"/>
        <w:jc w:val="left"/>
        <w:tblInd w:w="0" w:type="dxa"/>
        <w:tblLayout w:type="fixed"/>
        <w:tblCellMar>
          <w:top w:w="0" w:type="dxa"/>
          <w:left w:w="0" w:type="dxa"/>
          <w:bottom w:w="0" w:type="dxa"/>
          <w:right w:w="0" w:type="dxa"/>
        </w:tblCellMar>
      </w:tblPr>
      <w:tblGrid>
        <w:gridCol w:w="4291"/>
        <w:gridCol w:w="346"/>
        <w:gridCol w:w="239"/>
        <w:gridCol w:w="917"/>
        <w:gridCol w:w="346"/>
        <w:gridCol w:w="239"/>
        <w:gridCol w:w="917"/>
        <w:gridCol w:w="346"/>
        <w:gridCol w:w="237"/>
        <w:gridCol w:w="964"/>
      </w:tblGrid>
      <w:tr>
        <w:trPr/>
        <w:tc>
          <w:tcPr>
            <w:tcW w:w="4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724785" cy="175260"/>
                      <wp:effectExtent l="0" t="0" r="0" b="0"/>
                      <wp:wrapNone/>
                      <wp:docPr id="445" name="Frame444"/>
                      <a:graphic xmlns:a="http://schemas.openxmlformats.org/drawingml/2006/main">
                        <a:graphicData uri="http://schemas.microsoft.com/office/word/2010/wordprocessingShape">
                          <wps:wsp>
                            <wps:cNvSpPr txBox="1"/>
                            <wps:spPr>
                              <a:xfrm>
                                <a:off x="0" y="0"/>
                                <a:ext cx="2724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19710" cy="175260"/>
                      <wp:effectExtent l="0" t="0" r="0" b="0"/>
                      <wp:wrapNone/>
                      <wp:docPr id="446" name="Frame4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51765" cy="175260"/>
                      <wp:effectExtent l="0" t="0" r="0" b="0"/>
                      <wp:wrapNone/>
                      <wp:docPr id="447" name="Frame44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582295" cy="175260"/>
                      <wp:effectExtent l="0" t="0" r="0" b="0"/>
                      <wp:wrapNone/>
                      <wp:docPr id="448" name="Frame447"/>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19710" cy="175260"/>
                      <wp:effectExtent l="0" t="0" r="0" b="0"/>
                      <wp:wrapNone/>
                      <wp:docPr id="449" name="Frame4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51765" cy="175260"/>
                      <wp:effectExtent l="0" t="0" r="0" b="0"/>
                      <wp:wrapNone/>
                      <wp:docPr id="450" name="Frame44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582295" cy="175260"/>
                      <wp:effectExtent l="0" t="0" r="0" b="0"/>
                      <wp:wrapNone/>
                      <wp:docPr id="451" name="Frame450"/>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19710" cy="175260"/>
                      <wp:effectExtent l="0" t="0" r="0" b="0"/>
                      <wp:wrapNone/>
                      <wp:docPr id="452" name="Frame4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50495" cy="175260"/>
                      <wp:effectExtent l="0" t="0" r="0" b="0"/>
                      <wp:wrapNone/>
                      <wp:docPr id="453" name="Frame452"/>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12140" cy="175260"/>
                      <wp:effectExtent l="0" t="0" r="0" b="0"/>
                      <wp:wrapNone/>
                      <wp:docPr id="454" name="Frame453"/>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91"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  ​ ​ ​</w:t>
            </w:r>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346" w:type="dxa"/>
            <w:tcBorders/>
            <w:shd w:fill="FFFFFF" w:val="clear"/>
            <w:vAlign w:val="center"/>
          </w:tcPr>
          <w:p>
            <w:pPr>
              <w:pStyle w:val="TableContents"/>
              <w:bidi w:val="0"/>
              <w:spacing w:before="0" w:after="1"/>
              <w:ind w:left="0" w:right="0" w:hanging="0"/>
              <w:jc w:val="left"/>
              <w:rPr/>
            </w:pPr>
            <w:r>
              <w:rPr/>
              <w:t>  ​ ​ ​</w:t>
            </w:r>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2025</w:t>
            </w:r>
          </w:p>
        </w:tc>
        <w:tc>
          <w:tcPr>
            <w:tcW w:w="346" w:type="dxa"/>
            <w:tcBorders/>
            <w:shd w:fill="FFFFFF" w:val="clear"/>
            <w:vAlign w:val="center"/>
          </w:tcPr>
          <w:p>
            <w:pPr>
              <w:pStyle w:val="TableContents"/>
              <w:bidi w:val="0"/>
              <w:spacing w:before="0" w:after="1"/>
              <w:ind w:left="0" w:right="0" w:hanging="0"/>
              <w:jc w:val="left"/>
              <w:rPr/>
            </w:pPr>
            <w:r>
              <w:rPr/>
              <w:t>  ​ ​ ​</w:t>
            </w:r>
          </w:p>
        </w:tc>
        <w:tc>
          <w:tcPr>
            <w:tcW w:w="1201"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2024</w:t>
            </w:r>
          </w:p>
        </w:tc>
      </w:tr>
      <w:tr>
        <w:trPr/>
        <w:tc>
          <w:tcPr>
            <w:tcW w:w="4291" w:type="dxa"/>
            <w:tcBorders/>
            <w:shd w:fill="FFFF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Oil and natural gas properties</w:t>
            </w:r>
          </w:p>
        </w:tc>
        <w:tc>
          <w:tcPr>
            <w:tcW w:w="346" w:type="dxa"/>
            <w:tcBorders/>
            <w:shd w:fill="FFFFFF" w:val="clear"/>
            <w:vAlign w:val="center"/>
          </w:tcPr>
          <w:p>
            <w:pPr>
              <w:pStyle w:val="TableContents"/>
              <w:bidi w:val="0"/>
              <w:spacing w:before="0" w:after="1"/>
              <w:ind w:left="0" w:right="0" w:hanging="0"/>
              <w:jc w:val="left"/>
              <w:rPr/>
            </w:pPr>
            <w:r>
              <w:rPr/>
              <w:t>​</w:t>
            </w:r>
          </w:p>
        </w:tc>
        <w:tc>
          <w:tcPr>
            <w:tcW w:w="239" w:type="dxa"/>
            <w:tcBorders/>
            <w:shd w:fill="FFFFFF" w:val="clear"/>
            <w:vAlign w:val="center"/>
          </w:tcPr>
          <w:p>
            <w:pPr>
              <w:pStyle w:val="TableContents"/>
              <w:bidi w:val="0"/>
              <w:spacing w:before="0" w:after="1"/>
              <w:ind w:left="0" w:right="0" w:hanging="0"/>
              <w:jc w:val="left"/>
              <w:rPr/>
            </w:pPr>
            <w:r>
              <w:rPr/>
              <w:t>​</w:t>
            </w:r>
          </w:p>
        </w:tc>
        <w:tc>
          <w:tcPr>
            <w:tcW w:w="917" w:type="dxa"/>
            <w:tcBorders/>
            <w:shd w:fill="FFFFFF" w:val="clear"/>
            <w:vAlign w:val="center"/>
          </w:tcPr>
          <w:p>
            <w:pPr>
              <w:pStyle w:val="TableContents"/>
              <w:bidi w:val="0"/>
              <w:spacing w:before="0" w:after="1"/>
              <w:ind w:left="0" w:right="0" w:hanging="0"/>
              <w:jc w:val="left"/>
              <w:rPr/>
            </w:pPr>
            <w:r>
              <w:rPr/>
              <w:t> </w:t>
            </w:r>
          </w:p>
        </w:tc>
        <w:tc>
          <w:tcPr>
            <w:tcW w:w="346" w:type="dxa"/>
            <w:tcBorders/>
            <w:shd w:fill="FFFFFF" w:val="clear"/>
            <w:vAlign w:val="center"/>
          </w:tcPr>
          <w:p>
            <w:pPr>
              <w:pStyle w:val="TableContents"/>
              <w:bidi w:val="0"/>
              <w:spacing w:before="0" w:after="1"/>
              <w:ind w:left="0" w:right="0" w:hanging="0"/>
              <w:jc w:val="left"/>
              <w:rPr/>
            </w:pPr>
            <w:r>
              <w:rPr/>
              <w:t>​</w:t>
            </w:r>
          </w:p>
        </w:tc>
        <w:tc>
          <w:tcPr>
            <w:tcW w:w="239" w:type="dxa"/>
            <w:tcBorders/>
            <w:shd w:fill="FFFFFF" w:val="clear"/>
            <w:vAlign w:val="center"/>
          </w:tcPr>
          <w:p>
            <w:pPr>
              <w:pStyle w:val="TableContents"/>
              <w:bidi w:val="0"/>
              <w:spacing w:before="0" w:after="1"/>
              <w:ind w:left="0" w:right="0" w:hanging="0"/>
              <w:jc w:val="left"/>
              <w:rPr/>
            </w:pPr>
            <w:r>
              <w:rPr/>
              <w:t>​</w:t>
            </w:r>
          </w:p>
        </w:tc>
        <w:tc>
          <w:tcPr>
            <w:tcW w:w="917" w:type="dxa"/>
            <w:tcBorders/>
            <w:shd w:fill="FFFFFF" w:val="clear"/>
            <w:vAlign w:val="center"/>
          </w:tcPr>
          <w:p>
            <w:pPr>
              <w:pStyle w:val="TableContents"/>
              <w:bidi w:val="0"/>
              <w:spacing w:before="0" w:after="1"/>
              <w:ind w:left="0" w:right="0" w:hanging="0"/>
              <w:jc w:val="left"/>
              <w:rPr/>
            </w:pPr>
            <w:r>
              <w:rPr/>
              <w:t> </w:t>
            </w:r>
          </w:p>
        </w:tc>
        <w:tc>
          <w:tcPr>
            <w:tcW w:w="346" w:type="dxa"/>
            <w:tcBorders/>
            <w:shd w:fill="FFFFFF" w:val="clear"/>
            <w:vAlign w:val="center"/>
          </w:tcPr>
          <w:p>
            <w:pPr>
              <w:pStyle w:val="TableContents"/>
              <w:bidi w:val="0"/>
              <w:spacing w:before="0" w:after="1"/>
              <w:ind w:left="0" w:right="0" w:hanging="0"/>
              <w:jc w:val="left"/>
              <w:rPr/>
            </w:pPr>
            <w:r>
              <w:rPr/>
              <w:t>​</w:t>
            </w:r>
          </w:p>
        </w:tc>
        <w:tc>
          <w:tcPr>
            <w:tcW w:w="237" w:type="dxa"/>
            <w:tcBorders/>
            <w:shd w:fill="FFFFFF" w:val="clear"/>
            <w:vAlign w:val="center"/>
          </w:tcPr>
          <w:p>
            <w:pPr>
              <w:pStyle w:val="TableContents"/>
              <w:bidi w:val="0"/>
              <w:spacing w:before="0" w:after="1"/>
              <w:ind w:left="0" w:right="0" w:hanging="0"/>
              <w:jc w:val="left"/>
              <w:rPr/>
            </w:pPr>
            <w:r>
              <w:rPr/>
              <w:t>​</w:t>
            </w:r>
          </w:p>
        </w:tc>
        <w:tc>
          <w:tcPr>
            <w:tcW w:w="964" w:type="dxa"/>
            <w:tcBorders/>
            <w:shd w:fill="FFFFFF" w:val="clear"/>
            <w:vAlign w:val="center"/>
          </w:tcPr>
          <w:p>
            <w:pPr>
              <w:pStyle w:val="TableContents"/>
              <w:bidi w:val="0"/>
              <w:spacing w:before="0" w:after="1"/>
              <w:ind w:left="0" w:right="0" w:hanging="0"/>
              <w:jc w:val="left"/>
              <w:rPr/>
            </w:pPr>
            <w:r>
              <w:rPr/>
              <w:t> </w:t>
            </w:r>
          </w:p>
        </w:tc>
      </w:tr>
      <w:tr>
        <w:trPr/>
        <w:tc>
          <w:tcPr>
            <w:tcW w:w="42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costs subject to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298,413</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272,496</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249,559</w:t>
            </w:r>
          </w:p>
        </w:tc>
      </w:tr>
      <w:tr>
        <w:trPr/>
        <w:tc>
          <w:tcPr>
            <w:tcW w:w="42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Accumulated depletion, depreciation, and impairment</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(151,446)</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(130,248)</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(109,874)</w:t>
            </w:r>
          </w:p>
        </w:tc>
      </w:tr>
      <w:tr>
        <w:trPr/>
        <w:tc>
          <w:tcPr>
            <w:tcW w:w="42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properties, net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146,967</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142,248</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139,685</w:t>
            </w:r>
          </w:p>
        </w:tc>
      </w:tr>
    </w:tbl>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Costs incurred for oil and natural gas property acquisition, exploration, and development activities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costs incurred and capitalized in oil and natural gas property acquisition, exploration, and development activities (in thousands). Property acquisition costs are those costs incurred to lease property, including both undeveloped leasehold, and the purchase of reserves in place. Exploration costs include costs of identifying areas that may warrant examination, examining specific areas that are considered to have prospects containing oil and natural gas reserves, costs of drilling exploratory wells, geologic and geophysical assessment costs, and carrying costs on undeveloped properties. Development costs are incurred to obtain access to proved reserves, including the cost of drilling. Development costs also include amounts incurred due to the recognition of asset retirement obligations of $0.4 million, $0.8 million, and $0.9 million during the years ended June 30, 2026, 2025, and 2024, respectively.</w:t>
      </w:r>
    </w:p>
    <w:p>
      <w:pPr>
        <w:pStyle w:val="TextBody"/>
        <w:bidi w:val="0"/>
        <w:spacing w:before="0" w:after="240"/>
        <w:ind w:left="0" w:right="0" w:hanging="0"/>
        <w:jc w:val="left"/>
        <w:rPr/>
      </w:pPr>
      <w:r>
        <w:rPr/>
        <w:t>​</w:t>
      </w:r>
    </w:p>
    <w:tbl>
      <w:tblPr>
        <w:tblW w:w="7300" w:type="dxa"/>
        <w:jc w:val="left"/>
        <w:tblInd w:w="0" w:type="dxa"/>
        <w:tblLayout w:type="fixed"/>
        <w:tblCellMar>
          <w:top w:w="0" w:type="dxa"/>
          <w:left w:w="0" w:type="dxa"/>
          <w:bottom w:w="0" w:type="dxa"/>
          <w:right w:w="0" w:type="dxa"/>
        </w:tblCellMar>
      </w:tblPr>
      <w:tblGrid>
        <w:gridCol w:w="3766"/>
        <w:gridCol w:w="346"/>
        <w:gridCol w:w="196"/>
        <w:gridCol w:w="601"/>
        <w:gridCol w:w="346"/>
        <w:gridCol w:w="196"/>
        <w:gridCol w:w="601"/>
        <w:gridCol w:w="346"/>
        <w:gridCol w:w="196"/>
        <w:gridCol w:w="706"/>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391410" cy="175260"/>
                      <wp:effectExtent l="0" t="0" r="0" b="0"/>
                      <wp:wrapNone/>
                      <wp:docPr id="455" name="Frame454"/>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19710" cy="175260"/>
                      <wp:effectExtent l="0" t="0" r="0" b="0"/>
                      <wp:wrapNone/>
                      <wp:docPr id="456" name="Frame4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24460" cy="175260"/>
                      <wp:effectExtent l="0" t="0" r="0" b="0"/>
                      <wp:wrapNone/>
                      <wp:docPr id="457" name="Frame4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381635" cy="175260"/>
                      <wp:effectExtent l="0" t="0" r="0" b="0"/>
                      <wp:wrapNone/>
                      <wp:docPr id="458" name="Frame45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19710" cy="175260"/>
                      <wp:effectExtent l="0" t="0" r="0" b="0"/>
                      <wp:wrapNone/>
                      <wp:docPr id="459" name="Frame4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24460" cy="175260"/>
                      <wp:effectExtent l="0" t="0" r="0" b="0"/>
                      <wp:wrapNone/>
                      <wp:docPr id="460" name="Frame4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381635" cy="175260"/>
                      <wp:effectExtent l="0" t="0" r="0" b="0"/>
                      <wp:wrapNone/>
                      <wp:docPr id="461" name="Frame46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19710" cy="175260"/>
                      <wp:effectExtent l="0" t="0" r="0" b="0"/>
                      <wp:wrapNone/>
                      <wp:docPr id="462" name="Frame4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24460" cy="175260"/>
                      <wp:effectExtent l="0" t="0" r="0" b="0"/>
                      <wp:wrapNone/>
                      <wp:docPr id="463" name="Frame4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448310" cy="175260"/>
                      <wp:effectExtent l="0" t="0" r="0" b="0"/>
                      <wp:wrapNone/>
                      <wp:docPr id="464" name="Frame46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66" w:type="dxa"/>
            <w:tcBorders/>
            <w:shd w:fill="FFFFFF" w:val="clear"/>
            <w:vAlign w:val="center"/>
          </w:tcPr>
          <w:p>
            <w:pPr>
              <w:pStyle w:val="TableContents"/>
              <w:bidi w:val="0"/>
              <w:spacing w:before="0" w:after="1"/>
              <w:ind w:left="0" w:right="0" w:hanging="0"/>
              <w:jc w:val="left"/>
              <w:rPr/>
            </w:pPr>
            <w:r>
              <w:rPr/>
              <w:t> </w:t>
            </w:r>
          </w:p>
        </w:tc>
        <w:tc>
          <w:tcPr>
            <w:tcW w:w="346" w:type="dxa"/>
            <w:tcBorders/>
            <w:shd w:fill="FFFFFF" w:val="clear"/>
            <w:vAlign w:val="center"/>
          </w:tcPr>
          <w:p>
            <w:pPr>
              <w:pStyle w:val="TableContents"/>
              <w:bidi w:val="0"/>
              <w:spacing w:before="0" w:after="1"/>
              <w:ind w:left="0" w:right="0" w:hanging="0"/>
              <w:jc w:val="left"/>
              <w:rPr/>
            </w:pPr>
            <w:r>
              <w:rPr/>
              <w:t>​</w:t>
            </w:r>
          </w:p>
        </w:tc>
        <w:tc>
          <w:tcPr>
            <w:tcW w:w="3188" w:type="dxa"/>
            <w:gridSpan w:val="8"/>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For the Years Ended June 30, </w:t>
            </w:r>
          </w:p>
        </w:tc>
      </w:tr>
      <w:tr>
        <w:trPr/>
        <w:tc>
          <w:tcPr>
            <w:tcW w:w="3766"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shd w:fill="FFFFFF" w:val="clear"/>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shd w:fill="FFFFFF" w:val="clear"/>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 </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acquisition costs: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 </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Proved property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19,043</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9,159</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39,153</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Unproved property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3,804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pPr>
            <w:r>
              <w:rPr/>
              <w:t>—</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Exploration costs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pPr>
            <w:r>
              <w:rPr/>
              <w:t>—</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Development costs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6,163</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13,778</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13,357</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costs incurred for oil and natural gas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29,010</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22,937</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52,510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Estimated Net Quantities of Proved Oil and Natural Gas Reserves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estimates of net proved oil and natural gas reserves of the Company’s oil and natural gas properties located entirely within the United States are based on evaluations prepared by third-party reservoir engineers, Cawley, Gillespie and Associates, Inc. (“CG&amp;A”) and DeGolyer &amp; MacNaughton (“D&amp;M”). Reserve volumes and values were determined under the method prescribed by the SEC for the fiscal years ended June 30, 2026, 2025 and 2024. SEC methodology requires the application of the previous 12-month unweighted arithmetic average first-day-of-the-month price, and current costs held constant throughout the projected reserve life, when estimating whether reserve quantities are economical to produce.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policies regarding internal controls over reserves estimates require such estimates to be prepared by an independent petroleum engineering firm under the supervision of our internal reserve engineering team, which includes our Chief Operating Officer (“COO”), J. Mark Bunch. Our internal reserve engineering team and third-party consultants have a combined experience of over 80 years in Petroleum Engineering. Our COO, the person responsible for overseeing the preparation of our reserves estimates has a Bachelor of Science Degree in Petroleum Engineering from Texas A&amp;M University, is a registered Professional Engineer in the State of Texas (No. 86704), has over 40 years of oil and natural gas experience including large independents and financial firm services for projects and acquisitions. Our Board of Directors also has oversight of our reserve estimation process and contains a Reserves Committee with William Dozier, an independent director who is a registered Professional Engineer in the State of Texas (No. 47279) with experience in energy company reserve evaluations. Such reserve estimates comply with generally accepted petroleum engineering and evaluation principles, definitions, and guidelines as established by the SEC.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person responsible for the preparation of the reserve report at CG&amp;A is W. Todd Brooker, P.E., President. Mr. Brooker received a Bachelor of Science degree in Petroleum Engineering in 1989 from the University of Texas at Austin and is a registered Professional Engineer in the State of Texas (No. 83462). Mr. Brooker joined CG&amp;A in 1992 and has over 30 years of experience in engineering and geological services. The person responsible for the preparation of the reserve report at D&amp;M is Dr. Dilhan Ilk, P.E, Executive Vice President. Dr. Ilk received a Bachelor of Science degree in Petroleum Engineering in 2003 from Istanbul Technical University and a Master’s degree and Doctorate in Petroleum Engineering in 2005 and 2010, respectively, from Texas A&amp;M University, and he has in excess of 16 years of experience in oil and natural gas reservoir studies and evaluations and is a licensed Professional Engineer in the state of Texas (No. 139334).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Proved oil and natural gas reserves are estimated quantities of oil, natural gas, and NGLs that geologic and engineering data demonstrate with reasonable certainty to be recoverable in future years from known reservoirs under existing economic and operating conditions. Proved developed oil and natural gas reserves are reserves that can be expected to be recovered through existing wells with existing equipment and operating methods. There are uncertainties inherent in estimating quantities of proved oil and natural gas reserves, projecting future production rates, and timing of development expenditures. Accordingly, reserve estimates often differ from the quantities of oil and natural gas that are ultimately recovered.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quantities of proved oil, natural gas, and NGL reserves and changes in quantities of proved developed and undeveloped reserves for each of the periods indicated are as follows:</w:t>
      </w:r>
    </w:p>
    <w:tbl>
      <w:tblPr>
        <w:tblW w:w="8904" w:type="dxa"/>
        <w:jc w:val="left"/>
        <w:tblInd w:w="0" w:type="dxa"/>
        <w:tblLayout w:type="fixed"/>
        <w:tblCellMar>
          <w:top w:w="0" w:type="dxa"/>
          <w:left w:w="0" w:type="dxa"/>
          <w:bottom w:w="0" w:type="dxa"/>
          <w:right w:w="0" w:type="dxa"/>
        </w:tblCellMar>
      </w:tblPr>
      <w:tblGrid>
        <w:gridCol w:w="3556"/>
        <w:gridCol w:w="346"/>
        <w:gridCol w:w="871"/>
        <w:gridCol w:w="346"/>
        <w:gridCol w:w="1051"/>
        <w:gridCol w:w="346"/>
        <w:gridCol w:w="1051"/>
        <w:gridCol w:w="346"/>
        <w:gridCol w:w="991"/>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258060" cy="175260"/>
                      <wp:effectExtent l="0" t="0" r="0" b="0"/>
                      <wp:wrapNone/>
                      <wp:docPr id="465" name="Frame464"/>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19710" cy="175260"/>
                      <wp:effectExtent l="0" t="0" r="0" b="0"/>
                      <wp:wrapNone/>
                      <wp:docPr id="466" name="Frame4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553085" cy="175260"/>
                      <wp:effectExtent l="0" t="0" r="0" b="0"/>
                      <wp:wrapNone/>
                      <wp:docPr id="467" name="Frame46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19710" cy="175260"/>
                      <wp:effectExtent l="0" t="0" r="0" b="0"/>
                      <wp:wrapNone/>
                      <wp:docPr id="468" name="Frame4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67385" cy="175260"/>
                      <wp:effectExtent l="0" t="0" r="0" b="0"/>
                      <wp:wrapNone/>
                      <wp:docPr id="469" name="Frame46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19710" cy="175260"/>
                      <wp:effectExtent l="0" t="0" r="0" b="0"/>
                      <wp:wrapNone/>
                      <wp:docPr id="470" name="Frame4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67385" cy="175260"/>
                      <wp:effectExtent l="0" t="0" r="0" b="0"/>
                      <wp:wrapNone/>
                      <wp:docPr id="471" name="Frame47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19710" cy="175260"/>
                      <wp:effectExtent l="0" t="0" r="0" b="0"/>
                      <wp:wrapNone/>
                      <wp:docPr id="472" name="Frame4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29285" cy="175260"/>
                      <wp:effectExtent l="0" t="0" r="0" b="0"/>
                      <wp:wrapNone/>
                      <wp:docPr id="473" name="Frame47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56"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w:t>
            </w:r>
          </w:p>
        </w:tc>
        <w:tc>
          <w:tcPr>
            <w:tcW w:w="871" w:type="dxa"/>
            <w:tcBorders/>
            <w:shd w:fill="FFFFFF" w:val="clear"/>
            <w:vAlign w:val="center"/>
          </w:tcPr>
          <w:p>
            <w:pPr>
              <w:pStyle w:val="TableContents"/>
              <w:bidi w:val="0"/>
              <w:spacing w:before="0" w:after="1"/>
              <w:ind w:left="0" w:right="0" w:hanging="0"/>
              <w:jc w:val="center"/>
              <w:rPr/>
            </w:pPr>
            <w:r>
              <w:rPr/>
              <w:t>​</w:t>
            </w:r>
          </w:p>
        </w:tc>
        <w:tc>
          <w:tcPr>
            <w:tcW w:w="346" w:type="dxa"/>
            <w:tcBorders/>
            <w:shd w:fill="FFFFFF" w:val="clear"/>
            <w:vAlign w:val="center"/>
          </w:tcPr>
          <w:p>
            <w:pPr>
              <w:pStyle w:val="TableContents"/>
              <w:bidi w:val="0"/>
              <w:spacing w:before="0" w:after="1"/>
              <w:ind w:left="0" w:right="0" w:hanging="0"/>
              <w:jc w:val="center"/>
              <w:rPr/>
            </w:pPr>
            <w:r>
              <w:rPr/>
              <w:t>​</w:t>
            </w:r>
          </w:p>
        </w:tc>
        <w:tc>
          <w:tcPr>
            <w:tcW w:w="1051" w:type="dxa"/>
            <w:tcBorders/>
            <w:shd w:fill="FFFFFF" w:val="clear"/>
            <w:vAlign w:val="center"/>
          </w:tcPr>
          <w:p>
            <w:pPr>
              <w:pStyle w:val="TableContents"/>
              <w:bidi w:val="0"/>
              <w:spacing w:before="0" w:after="1"/>
              <w:ind w:left="0" w:right="0" w:hanging="0"/>
              <w:jc w:val="center"/>
              <w:rPr/>
            </w:pPr>
            <w:r>
              <w:rPr/>
              <w:t>​</w:t>
            </w:r>
          </w:p>
        </w:tc>
        <w:tc>
          <w:tcPr>
            <w:tcW w:w="346" w:type="dxa"/>
            <w:tcBorders/>
            <w:shd w:fill="FFFFFF" w:val="clear"/>
            <w:vAlign w:val="center"/>
          </w:tcPr>
          <w:p>
            <w:pPr>
              <w:pStyle w:val="TableContents"/>
              <w:bidi w:val="0"/>
              <w:spacing w:before="0" w:after="1"/>
              <w:ind w:left="0" w:right="0" w:hanging="0"/>
              <w:jc w:val="center"/>
              <w:rPr/>
            </w:pPr>
            <w:r>
              <w:rPr/>
              <w:t>​</w:t>
            </w:r>
          </w:p>
        </w:tc>
        <w:tc>
          <w:tcPr>
            <w:tcW w:w="105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Natural Gas</w:t>
            </w:r>
          </w:p>
        </w:tc>
        <w:tc>
          <w:tcPr>
            <w:tcW w:w="346" w:type="dxa"/>
            <w:tcBorders/>
            <w:shd w:fill="FFFFFF" w:val="clear"/>
            <w:vAlign w:val="center"/>
          </w:tcPr>
          <w:p>
            <w:pPr>
              <w:pStyle w:val="TableContents"/>
              <w:bidi w:val="0"/>
              <w:spacing w:before="0" w:after="1"/>
              <w:ind w:left="0" w:right="0" w:hanging="0"/>
              <w:jc w:val="center"/>
              <w:rPr/>
            </w:pPr>
            <w:r>
              <w:rPr/>
              <w:t>​</w:t>
            </w:r>
          </w:p>
        </w:tc>
        <w:tc>
          <w:tcPr>
            <w:tcW w:w="991" w:type="dxa"/>
            <w:tcBorders/>
            <w:shd w:fill="FFFFFF" w:val="clear"/>
            <w:vAlign w:val="center"/>
          </w:tcPr>
          <w:p>
            <w:pPr>
              <w:pStyle w:val="TableContents"/>
              <w:bidi w:val="0"/>
              <w:spacing w:before="0" w:after="1"/>
              <w:ind w:left="0" w:right="0" w:hanging="0"/>
              <w:jc w:val="center"/>
              <w:rPr/>
            </w:pPr>
            <w:r>
              <w:rPr/>
              <w:t>​</w:t>
            </w:r>
          </w:p>
        </w:tc>
      </w:tr>
      <w:tr>
        <w:trPr/>
        <w:tc>
          <w:tcPr>
            <w:tcW w:w="3556"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w:t>
            </w:r>
          </w:p>
        </w:tc>
        <w:tc>
          <w:tcPr>
            <w:tcW w:w="87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Crude Oil</w:t>
            </w:r>
          </w:p>
        </w:tc>
        <w:tc>
          <w:tcPr>
            <w:tcW w:w="346" w:type="dxa"/>
            <w:tcBorders/>
            <w:shd w:fill="FFFFFF" w:val="clear"/>
            <w:vAlign w:val="center"/>
          </w:tcPr>
          <w:p>
            <w:pPr>
              <w:pStyle w:val="TableContents"/>
              <w:bidi w:val="0"/>
              <w:spacing w:before="0" w:after="1"/>
              <w:ind w:left="0" w:right="0" w:hanging="0"/>
              <w:jc w:val="center"/>
              <w:rPr/>
            </w:pPr>
            <w:r>
              <w:rPr/>
              <w:t>​</w:t>
            </w:r>
          </w:p>
        </w:tc>
        <w:tc>
          <w:tcPr>
            <w:tcW w:w="105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Natural Gas</w:t>
            </w:r>
          </w:p>
        </w:tc>
        <w:tc>
          <w:tcPr>
            <w:tcW w:w="346" w:type="dxa"/>
            <w:tcBorders/>
            <w:shd w:fill="FFFFFF" w:val="clear"/>
            <w:vAlign w:val="center"/>
          </w:tcPr>
          <w:p>
            <w:pPr>
              <w:pStyle w:val="TableContents"/>
              <w:bidi w:val="0"/>
              <w:spacing w:before="0" w:after="1"/>
              <w:ind w:left="0" w:right="0" w:hanging="0"/>
              <w:jc w:val="center"/>
              <w:rPr/>
            </w:pPr>
            <w:r>
              <w:rPr/>
              <w:t>​</w:t>
            </w:r>
          </w:p>
        </w:tc>
        <w:tc>
          <w:tcPr>
            <w:tcW w:w="105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Liquids</w:t>
            </w:r>
          </w:p>
        </w:tc>
        <w:tc>
          <w:tcPr>
            <w:tcW w:w="346" w:type="dxa"/>
            <w:tcBorders/>
            <w:shd w:fill="FFFFFF" w:val="clear"/>
            <w:vAlign w:val="center"/>
          </w:tcPr>
          <w:p>
            <w:pPr>
              <w:pStyle w:val="TableContents"/>
              <w:bidi w:val="0"/>
              <w:spacing w:before="0" w:after="1"/>
              <w:ind w:left="0" w:right="0" w:hanging="0"/>
              <w:jc w:val="center"/>
              <w:rPr/>
            </w:pPr>
            <w:r>
              <w:rPr/>
              <w:t>​</w:t>
            </w:r>
          </w:p>
        </w:tc>
        <w:tc>
          <w:tcPr>
            <w:tcW w:w="99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Equivalent</w:t>
            </w:r>
          </w:p>
        </w:tc>
      </w:tr>
      <w:tr>
        <w:trPr/>
        <w:tc>
          <w:tcPr>
            <w:tcW w:w="3556"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  ​ ​ ​</w:t>
            </w:r>
          </w:p>
        </w:tc>
        <w:tc>
          <w:tcPr>
            <w:tcW w:w="87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(MBbls)</w:t>
            </w:r>
          </w:p>
        </w:tc>
        <w:tc>
          <w:tcPr>
            <w:tcW w:w="346" w:type="dxa"/>
            <w:tcBorders/>
            <w:shd w:fill="FFFFFF" w:val="clear"/>
            <w:vAlign w:val="center"/>
          </w:tcPr>
          <w:p>
            <w:pPr>
              <w:pStyle w:val="TableContents"/>
              <w:bidi w:val="0"/>
              <w:spacing w:before="0" w:after="1"/>
              <w:ind w:left="0" w:right="0" w:hanging="0"/>
              <w:jc w:val="left"/>
              <w:rPr/>
            </w:pPr>
            <w:r>
              <w:rPr/>
              <w:t>  ​ ​ ​</w:t>
            </w:r>
          </w:p>
        </w:tc>
        <w:tc>
          <w:tcPr>
            <w:tcW w:w="105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(MMcf)</w:t>
            </w:r>
          </w:p>
        </w:tc>
        <w:tc>
          <w:tcPr>
            <w:tcW w:w="346" w:type="dxa"/>
            <w:tcBorders/>
            <w:shd w:fill="FFFFFF" w:val="clear"/>
            <w:vAlign w:val="center"/>
          </w:tcPr>
          <w:p>
            <w:pPr>
              <w:pStyle w:val="TableContents"/>
              <w:bidi w:val="0"/>
              <w:spacing w:before="0" w:after="1"/>
              <w:ind w:left="0" w:right="0" w:hanging="0"/>
              <w:jc w:val="left"/>
              <w:rPr/>
            </w:pPr>
            <w:r>
              <w:rPr/>
              <w:t>  ​ ​ ​</w:t>
            </w:r>
          </w:p>
        </w:tc>
        <w:tc>
          <w:tcPr>
            <w:tcW w:w="105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(MBbls)</w:t>
            </w:r>
          </w:p>
        </w:tc>
        <w:tc>
          <w:tcPr>
            <w:tcW w:w="346" w:type="dxa"/>
            <w:tcBorders/>
            <w:shd w:fill="FFFFFF" w:val="clear"/>
            <w:vAlign w:val="center"/>
          </w:tcPr>
          <w:p>
            <w:pPr>
              <w:pStyle w:val="TableContents"/>
              <w:bidi w:val="0"/>
              <w:spacing w:before="0" w:after="1"/>
              <w:ind w:left="0" w:right="0" w:hanging="0"/>
              <w:jc w:val="left"/>
              <w:rPr/>
            </w:pPr>
            <w:r>
              <w:rPr/>
              <w:t>  ​ ​ ​</w:t>
            </w:r>
          </w:p>
        </w:tc>
        <w:tc>
          <w:tcPr>
            <w:tcW w:w="99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(MBOE)</w:t>
            </w:r>
          </w:p>
        </w:tc>
      </w:tr>
      <w:tr>
        <w:trPr/>
        <w:tc>
          <w:tcPr>
            <w:tcW w:w="3556" w:type="dxa"/>
            <w:tcBorders/>
            <w:shd w:fill="FFFF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Proved developed and undeveloped reserves:</w:t>
            </w:r>
          </w:p>
        </w:tc>
        <w:tc>
          <w:tcPr>
            <w:tcW w:w="346" w:type="dxa"/>
            <w:tcBorders/>
            <w:shd w:fill="FFFFFF" w:val="clear"/>
            <w:vAlign w:val="center"/>
          </w:tcPr>
          <w:p>
            <w:pPr>
              <w:pStyle w:val="TableContents"/>
              <w:bidi w:val="0"/>
              <w:spacing w:before="0" w:after="1"/>
              <w:ind w:left="0" w:right="0" w:hanging="0"/>
              <w:jc w:val="left"/>
              <w:rPr/>
            </w:pPr>
            <w:r>
              <w:rPr/>
              <w:t>​</w:t>
            </w:r>
          </w:p>
        </w:tc>
        <w:tc>
          <w:tcPr>
            <w:tcW w:w="871"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w:t>
            </w:r>
          </w:p>
        </w:tc>
        <w:tc>
          <w:tcPr>
            <w:tcW w:w="1051" w:type="dxa"/>
            <w:tcBorders/>
            <w:shd w:fill="FFFFFF" w:val="clear"/>
            <w:vAlign w:val="center"/>
          </w:tcPr>
          <w:p>
            <w:pPr>
              <w:pStyle w:val="TableContents"/>
              <w:bidi w:val="0"/>
              <w:spacing w:before="0" w:after="1"/>
              <w:ind w:left="0" w:right="0" w:hanging="0"/>
              <w:jc w:val="left"/>
              <w:rPr/>
            </w:pPr>
            <w:r>
              <w:rPr/>
              <w:t> </w:t>
            </w:r>
          </w:p>
        </w:tc>
        <w:tc>
          <w:tcPr>
            <w:tcW w:w="346" w:type="dxa"/>
            <w:tcBorders/>
            <w:shd w:fill="FFFFFF" w:val="clear"/>
            <w:vAlign w:val="center"/>
          </w:tcPr>
          <w:p>
            <w:pPr>
              <w:pStyle w:val="TableContents"/>
              <w:bidi w:val="0"/>
              <w:spacing w:before="0" w:after="1"/>
              <w:ind w:left="0" w:right="0" w:hanging="0"/>
              <w:jc w:val="left"/>
              <w:rPr/>
            </w:pPr>
            <w:r>
              <w:rPr/>
              <w:t>​</w:t>
            </w:r>
          </w:p>
        </w:tc>
        <w:tc>
          <w:tcPr>
            <w:tcW w:w="1051" w:type="dxa"/>
            <w:tcBorders/>
            <w:shd w:fill="FFFFFF" w:val="clear"/>
            <w:vAlign w:val="center"/>
          </w:tcPr>
          <w:p>
            <w:pPr>
              <w:pStyle w:val="TableContents"/>
              <w:bidi w:val="0"/>
              <w:spacing w:before="0" w:after="1"/>
              <w:ind w:left="0" w:right="0" w:hanging="0"/>
              <w:jc w:val="left"/>
              <w:rPr/>
            </w:pPr>
            <w:r>
              <w:rPr/>
              <w:t> </w:t>
            </w:r>
          </w:p>
        </w:tc>
        <w:tc>
          <w:tcPr>
            <w:tcW w:w="346" w:type="dxa"/>
            <w:tcBorders/>
            <w:shd w:fill="FFFFFF" w:val="clear"/>
            <w:vAlign w:val="center"/>
          </w:tcPr>
          <w:p>
            <w:pPr>
              <w:pStyle w:val="TableContents"/>
              <w:bidi w:val="0"/>
              <w:spacing w:before="0" w:after="1"/>
              <w:ind w:left="0" w:right="0" w:hanging="0"/>
              <w:jc w:val="left"/>
              <w:rPr/>
            </w:pPr>
            <w:r>
              <w:rPr/>
              <w:t>​</w:t>
            </w:r>
          </w:p>
        </w:tc>
        <w:tc>
          <w:tcPr>
            <w:tcW w:w="991" w:type="dxa"/>
            <w:tcBorders/>
            <w:shd w:fill="FFFFFF" w:val="clear"/>
            <w:vAlign w:val="center"/>
          </w:tcPr>
          <w:p>
            <w:pPr>
              <w:pStyle w:val="TableContents"/>
              <w:bidi w:val="0"/>
              <w:spacing w:before="0" w:after="1"/>
              <w:ind w:left="0" w:right="0" w:hanging="0"/>
              <w:jc w:val="left"/>
              <w:rPr/>
            </w:pPr>
            <w:r>
              <w:rPr/>
              <w:t> </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30, 2023</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9,871</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92,563</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5,877</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31,176</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Revisions of previous estimates</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(1,420)</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(21,448)</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(4,939)</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Improved recovery, extensions and discoveries</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3,149</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5,089</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805</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4,803</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 of reserves in place</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919</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9,948</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652</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3,230</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Production (sales volumes)</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(709)</w:t>
            </w:r>
          </w:p>
        </w:tc>
        <w:tc>
          <w:tcPr>
            <w:tcW w:w="346" w:type="dxa"/>
            <w:tcBorders/>
            <w:shd w:fill="CCEEFF" w:val="clear"/>
            <w:vAlign w:val="center"/>
          </w:tcPr>
          <w:p>
            <w:pPr>
              <w:pStyle w:val="TableContents"/>
              <w:bidi w:val="0"/>
              <w:spacing w:before="0" w:after="1"/>
              <w:ind w:left="0" w:right="0" w:hanging="0"/>
              <w:jc w:val="righ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(8,243)</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(402)</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(2,485)</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30, 2024</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11,810</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77,909</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6,988</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31,785</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Revisions of previous estimates</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(1,640)</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(14,706)</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(1,901)</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(5,993)</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Improved recovery, extensions and discoveries</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799</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282</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901</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 of reserves in place</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1,925</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6,429</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2,996</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Production (sales volumes)</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(766)</w:t>
            </w:r>
          </w:p>
        </w:tc>
        <w:tc>
          <w:tcPr>
            <w:tcW w:w="346" w:type="dxa"/>
            <w:tcBorders/>
            <w:vAlign w:val="center"/>
          </w:tcPr>
          <w:p>
            <w:pPr>
              <w:pStyle w:val="TableContents"/>
              <w:bidi w:val="0"/>
              <w:spacing w:before="0" w:after="1"/>
              <w:ind w:left="0" w:right="0" w:hanging="0"/>
              <w:jc w:val="righ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(8,409)</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(414)</w:t>
            </w:r>
          </w:p>
        </w:tc>
        <w:tc>
          <w:tcPr>
            <w:tcW w:w="346" w:type="dxa"/>
            <w:tcBorders/>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(2,582)</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30, 2025</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12,128</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61,505</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4,728</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27,107</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Revisions of previous estimates</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(931)</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12,913</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(501)</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719</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Improved recovery, extensions and discoveries</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1,083</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390</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 of reserves in place</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7,119</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309</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1,584</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Production (sales volumes)</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(759)</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(8,428)</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(419)</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(2,583)</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30, 2026</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10,625</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74,192</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4,227</w:t>
            </w:r>
          </w:p>
        </w:tc>
        <w:tc>
          <w:tcPr>
            <w:tcW w:w="346" w:type="dxa"/>
            <w:tcBorders/>
            <w:vAlign w:val="center"/>
          </w:tcPr>
          <w:p>
            <w:pPr>
              <w:pStyle w:val="TableContents"/>
              <w:bidi w:val="0"/>
              <w:spacing w:before="0" w:after="1"/>
              <w:ind w:left="0" w:right="0" w:hanging="0"/>
              <w:jc w:val="left"/>
              <w:rPr/>
            </w:pPr>
            <w:r>
              <w:rPr/>
              <w:t>​</w:t>
            </w:r>
          </w:p>
        </w:tc>
        <w:tc>
          <w:tcPr>
            <w:tcW w:w="99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27,217</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21" w:type="dxa"/>
        <w:jc w:val="left"/>
        <w:tblInd w:w="0" w:type="dxa"/>
        <w:tblLayout w:type="fixed"/>
        <w:tblCellMar>
          <w:top w:w="0" w:type="dxa"/>
          <w:left w:w="0" w:type="dxa"/>
          <w:bottom w:w="0" w:type="dxa"/>
          <w:right w:w="0" w:type="dxa"/>
        </w:tblCellMar>
      </w:tblPr>
      <w:tblGrid>
        <w:gridCol w:w="3556"/>
        <w:gridCol w:w="109"/>
        <w:gridCol w:w="901"/>
        <w:gridCol w:w="109"/>
        <w:gridCol w:w="1111"/>
        <w:gridCol w:w="109"/>
        <w:gridCol w:w="82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258060" cy="175260"/>
                      <wp:effectExtent l="0" t="0" r="0" b="0"/>
                      <wp:wrapNone/>
                      <wp:docPr id="474" name="Frame473"/>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9215" cy="175260"/>
                      <wp:effectExtent l="0" t="0" r="0" b="0"/>
                      <wp:wrapNone/>
                      <wp:docPr id="475" name="Frame4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572135" cy="175260"/>
                      <wp:effectExtent l="0" t="0" r="0" b="0"/>
                      <wp:wrapNone/>
                      <wp:docPr id="476" name="Frame47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9215" cy="175260"/>
                      <wp:effectExtent l="0" t="0" r="0" b="0"/>
                      <wp:wrapNone/>
                      <wp:docPr id="477" name="Frame4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705485" cy="175260"/>
                      <wp:effectExtent l="0" t="0" r="0" b="0"/>
                      <wp:wrapNone/>
                      <wp:docPr id="478" name="Frame477"/>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9215" cy="175260"/>
                      <wp:effectExtent l="0" t="0" r="0" b="0"/>
                      <wp:wrapNone/>
                      <wp:docPr id="479" name="Frame4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524510" cy="175260"/>
                      <wp:effectExtent l="0" t="0" r="0" b="0"/>
                      <wp:wrapNone/>
                      <wp:docPr id="480" name="Frame47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56"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3056" w:type="dxa"/>
            <w:gridSpan w:val="5"/>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MBOE</w:t>
            </w:r>
          </w:p>
        </w:tc>
      </w:tr>
      <w:tr>
        <w:trPr/>
        <w:tc>
          <w:tcPr>
            <w:tcW w:w="3556"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90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Proved</w:t>
            </w:r>
          </w:p>
        </w:tc>
        <w:tc>
          <w:tcPr>
            <w:tcW w:w="109" w:type="dxa"/>
            <w:tcBorders/>
            <w:shd w:fill="FFFFFF" w:val="clear"/>
            <w:vAlign w:val="center"/>
          </w:tcPr>
          <w:p>
            <w:pPr>
              <w:pStyle w:val="TableContents"/>
              <w:bidi w:val="0"/>
              <w:spacing w:before="0" w:after="1"/>
              <w:ind w:left="0" w:right="0" w:hanging="0"/>
              <w:jc w:val="center"/>
              <w:rPr/>
            </w:pPr>
            <w:r>
              <w:rPr/>
              <w:t>​</w:t>
            </w:r>
          </w:p>
        </w:tc>
        <w:tc>
          <w:tcPr>
            <w:tcW w:w="111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Proved</w:t>
            </w:r>
          </w:p>
        </w:tc>
        <w:tc>
          <w:tcPr>
            <w:tcW w:w="109" w:type="dxa"/>
            <w:tcBorders/>
            <w:shd w:fill="FFFFFF" w:val="clear"/>
            <w:vAlign w:val="center"/>
          </w:tcPr>
          <w:p>
            <w:pPr>
              <w:pStyle w:val="TableContents"/>
              <w:bidi w:val="0"/>
              <w:spacing w:before="0" w:after="1"/>
              <w:ind w:left="0" w:right="0" w:hanging="0"/>
              <w:jc w:val="left"/>
              <w:rPr/>
            </w:pPr>
            <w:r>
              <w:rPr/>
              <w:t>​</w:t>
            </w:r>
          </w:p>
        </w:tc>
        <w:tc>
          <w:tcPr>
            <w:tcW w:w="826"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3556"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90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Developed</w:t>
            </w:r>
          </w:p>
        </w:tc>
        <w:tc>
          <w:tcPr>
            <w:tcW w:w="109" w:type="dxa"/>
            <w:tcBorders/>
            <w:shd w:fill="FFFFFF" w:val="clear"/>
            <w:vAlign w:val="center"/>
          </w:tcPr>
          <w:p>
            <w:pPr>
              <w:pStyle w:val="TableContents"/>
              <w:bidi w:val="0"/>
              <w:spacing w:before="0" w:after="1"/>
              <w:ind w:left="0" w:right="0" w:hanging="0"/>
              <w:jc w:val="center"/>
              <w:rPr/>
            </w:pPr>
            <w:r>
              <w:rPr/>
              <w:t>​</w:t>
            </w:r>
          </w:p>
        </w:tc>
        <w:tc>
          <w:tcPr>
            <w:tcW w:w="111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Undeveloped</w:t>
            </w:r>
          </w:p>
        </w:tc>
        <w:tc>
          <w:tcPr>
            <w:tcW w:w="109" w:type="dxa"/>
            <w:tcBorders/>
            <w:shd w:fill="FFFFFF" w:val="clear"/>
            <w:vAlign w:val="center"/>
          </w:tcPr>
          <w:p>
            <w:pPr>
              <w:pStyle w:val="TableContents"/>
              <w:bidi w:val="0"/>
              <w:spacing w:before="0" w:after="1"/>
              <w:ind w:left="0" w:right="0" w:hanging="0"/>
              <w:jc w:val="left"/>
              <w:rPr/>
            </w:pPr>
            <w:r>
              <w:rPr/>
              <w:t>​</w:t>
            </w:r>
          </w:p>
        </w:tc>
        <w:tc>
          <w:tcPr>
            <w:tcW w:w="826" w:type="dxa"/>
            <w:tcBorders/>
            <w:shd w:fill="FFFF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Proved</w:t>
            </w:r>
          </w:p>
        </w:tc>
      </w:tr>
      <w:tr>
        <w:trPr/>
        <w:tc>
          <w:tcPr>
            <w:tcW w:w="3556"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Reserves</w:t>
            </w:r>
          </w:p>
        </w:tc>
        <w:tc>
          <w:tcPr>
            <w:tcW w:w="109" w:type="dxa"/>
            <w:tcBorders/>
            <w:shd w:fill="FFFFFF" w:val="clear"/>
            <w:vAlign w:val="center"/>
          </w:tcPr>
          <w:p>
            <w:pPr>
              <w:pStyle w:val="TableContents"/>
              <w:bidi w:val="0"/>
              <w:spacing w:before="0" w:after="1"/>
              <w:ind w:left="0" w:right="0" w:hanging="0"/>
              <w:jc w:val="left"/>
              <w:rPr/>
            </w:pPr>
            <w:r>
              <w:rPr/>
              <w:t>​</w:t>
            </w:r>
          </w:p>
        </w:tc>
        <w:tc>
          <w:tcPr>
            <w:tcW w:w="111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Reserves</w:t>
            </w:r>
          </w:p>
        </w:tc>
        <w:tc>
          <w:tcPr>
            <w:tcW w:w="109" w:type="dxa"/>
            <w:tcBorders/>
            <w:shd w:fill="FFFF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Reserves</w:t>
            </w:r>
          </w:p>
        </w:tc>
      </w:tr>
      <w:tr>
        <w:trPr/>
        <w:tc>
          <w:tcPr>
            <w:tcW w:w="3556" w:type="dxa"/>
            <w:tcBorders/>
            <w:shd w:fill="FFFF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Proved developed and undeveloped reserves:</w:t>
            </w:r>
          </w:p>
        </w:tc>
        <w:tc>
          <w:tcPr>
            <w:tcW w:w="109" w:type="dxa"/>
            <w:tcBorders/>
            <w:shd w:fill="FFFFFF" w:val="clear"/>
            <w:vAlign w:val="center"/>
          </w:tcPr>
          <w:p>
            <w:pPr>
              <w:pStyle w:val="TableContents"/>
              <w:bidi w:val="0"/>
              <w:spacing w:before="0" w:after="1"/>
              <w:ind w:left="0" w:right="0" w:hanging="0"/>
              <w:jc w:val="left"/>
              <w:rPr/>
            </w:pPr>
            <w:r>
              <w:rPr/>
              <w:t>​</w:t>
            </w:r>
          </w:p>
        </w:tc>
        <w:tc>
          <w:tcPr>
            <w:tcW w:w="901"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1111" w:type="dxa"/>
            <w:tcBorders/>
            <w:shd w:fill="FFFFFF" w:val="clear"/>
            <w:vAlign w:val="center"/>
          </w:tcPr>
          <w:p>
            <w:pPr>
              <w:pStyle w:val="TableContents"/>
              <w:bidi w:val="0"/>
              <w:spacing w:before="0" w:after="1"/>
              <w:ind w:left="0" w:right="0" w:hanging="0"/>
              <w:jc w:val="left"/>
              <w:rPr/>
            </w:pPr>
            <w:r>
              <w:rPr/>
              <w:t> </w:t>
            </w:r>
          </w:p>
        </w:tc>
        <w:tc>
          <w:tcPr>
            <w:tcW w:w="109" w:type="dxa"/>
            <w:tcBorders/>
            <w:shd w:fill="FFFFFF" w:val="clear"/>
            <w:vAlign w:val="center"/>
          </w:tcPr>
          <w:p>
            <w:pPr>
              <w:pStyle w:val="TableContents"/>
              <w:bidi w:val="0"/>
              <w:spacing w:before="0" w:after="1"/>
              <w:ind w:left="0" w:right="0" w:hanging="0"/>
              <w:jc w:val="left"/>
              <w:rPr/>
            </w:pPr>
            <w:r>
              <w:rPr/>
              <w:t>​</w:t>
            </w:r>
          </w:p>
        </w:tc>
        <w:tc>
          <w:tcPr>
            <w:tcW w:w="826" w:type="dxa"/>
            <w:tcBorders/>
            <w:shd w:fill="FFFFFF" w:val="clear"/>
            <w:vAlign w:val="center"/>
          </w:tcPr>
          <w:p>
            <w:pPr>
              <w:pStyle w:val="TableContents"/>
              <w:bidi w:val="0"/>
              <w:spacing w:before="0" w:after="1"/>
              <w:ind w:left="0" w:right="0" w:hanging="0"/>
              <w:jc w:val="left"/>
              <w:rPr/>
            </w:pPr>
            <w:r>
              <w:rPr/>
              <w:t>​</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30, 2023</w:t>
            </w:r>
          </w:p>
        </w:tc>
        <w:tc>
          <w:tcPr>
            <w:tcW w:w="10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27,479</w:t>
            </w:r>
          </w:p>
        </w:tc>
        <w:tc>
          <w:tcPr>
            <w:tcW w:w="109" w:type="dxa"/>
            <w:tcBorders/>
            <w:shd w:fill="CCEEFF" w:val="clear"/>
            <w:vAlign w:val="center"/>
          </w:tcPr>
          <w:p>
            <w:pPr>
              <w:pStyle w:val="TableContents"/>
              <w:bidi w:val="0"/>
              <w:spacing w:before="0" w:after="1"/>
              <w:ind w:left="0" w:right="0" w:hanging="0"/>
              <w:jc w:val="righ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3,697</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31,176</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Revisions of previous estimates</w:t>
            </w:r>
          </w:p>
        </w:tc>
        <w:tc>
          <w:tcPr>
            <w:tcW w:w="10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(4,076)</w:t>
            </w:r>
          </w:p>
        </w:tc>
        <w:tc>
          <w:tcPr>
            <w:tcW w:w="109"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(863)</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(4,939)</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Improved recovery, extensions and discoveries</w:t>
            </w:r>
          </w:p>
        </w:tc>
        <w:tc>
          <w:tcPr>
            <w:tcW w:w="10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293</w:t>
            </w:r>
          </w:p>
        </w:tc>
        <w:tc>
          <w:tcPr>
            <w:tcW w:w="109" w:type="dxa"/>
            <w:tcBorders/>
            <w:shd w:fill="CCEEFF" w:val="clear"/>
            <w:vAlign w:val="center"/>
          </w:tcPr>
          <w:p>
            <w:pPr>
              <w:pStyle w:val="TableContents"/>
              <w:bidi w:val="0"/>
              <w:spacing w:before="0" w:after="1"/>
              <w:ind w:left="0" w:right="0" w:hanging="0"/>
              <w:jc w:val="righ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4,510</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4,803</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 of reserves in place</w:t>
            </w:r>
          </w:p>
        </w:tc>
        <w:tc>
          <w:tcPr>
            <w:tcW w:w="10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2,711</w:t>
            </w:r>
          </w:p>
        </w:tc>
        <w:tc>
          <w:tcPr>
            <w:tcW w:w="109"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519</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3,230</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Transfers</w:t>
            </w:r>
          </w:p>
        </w:tc>
        <w:tc>
          <w:tcPr>
            <w:tcW w:w="10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w:t>
            </w:r>
          </w:p>
        </w:tc>
        <w:tc>
          <w:tcPr>
            <w:tcW w:w="109" w:type="dxa"/>
            <w:tcBorders/>
            <w:shd w:fill="CCEEFF" w:val="clear"/>
            <w:vAlign w:val="center"/>
          </w:tcPr>
          <w:p>
            <w:pPr>
              <w:pStyle w:val="TableContents"/>
              <w:bidi w:val="0"/>
              <w:spacing w:before="0" w:after="1"/>
              <w:ind w:left="0" w:right="0" w:hanging="0"/>
              <w:jc w:val="righ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Production (sales volumes)</w:t>
            </w:r>
          </w:p>
        </w:tc>
        <w:tc>
          <w:tcPr>
            <w:tcW w:w="109"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(2,485)</w:t>
            </w:r>
          </w:p>
        </w:tc>
        <w:tc>
          <w:tcPr>
            <w:tcW w:w="109" w:type="dxa"/>
            <w:tcBorders/>
            <w:vAlign w:val="center"/>
          </w:tcPr>
          <w:p>
            <w:pPr>
              <w:pStyle w:val="TableContents"/>
              <w:bidi w:val="0"/>
              <w:spacing w:before="0" w:after="1"/>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(2,485)</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30, 2024</w:t>
            </w:r>
          </w:p>
        </w:tc>
        <w:tc>
          <w:tcPr>
            <w:tcW w:w="10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24,040</w:t>
            </w:r>
          </w:p>
        </w:tc>
        <w:tc>
          <w:tcPr>
            <w:tcW w:w="109" w:type="dxa"/>
            <w:tcBorders/>
            <w:shd w:fill="CCEEFF" w:val="clear"/>
            <w:vAlign w:val="center"/>
          </w:tcPr>
          <w:p>
            <w:pPr>
              <w:pStyle w:val="TableContents"/>
              <w:bidi w:val="0"/>
              <w:spacing w:before="0" w:after="1"/>
              <w:ind w:left="0" w:right="0" w:hanging="0"/>
              <w:jc w:val="righ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7,745</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31,785</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Revisions of previous estimates</w:t>
            </w:r>
          </w:p>
        </w:tc>
        <w:tc>
          <w:tcPr>
            <w:tcW w:w="10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(2,446)</w:t>
            </w:r>
          </w:p>
        </w:tc>
        <w:tc>
          <w:tcPr>
            <w:tcW w:w="109"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(3,547)</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(5,993)</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Improved recovery, extensions and discoveries</w:t>
            </w:r>
          </w:p>
        </w:tc>
        <w:tc>
          <w:tcPr>
            <w:tcW w:w="10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w:t>
            </w:r>
          </w:p>
        </w:tc>
        <w:tc>
          <w:tcPr>
            <w:tcW w:w="109" w:type="dxa"/>
            <w:tcBorders/>
            <w:shd w:fill="CCEEFF" w:val="clear"/>
            <w:vAlign w:val="center"/>
          </w:tcPr>
          <w:p>
            <w:pPr>
              <w:pStyle w:val="TableContents"/>
              <w:bidi w:val="0"/>
              <w:spacing w:before="0" w:after="1"/>
              <w:ind w:left="0" w:right="0" w:hanging="0"/>
              <w:jc w:val="righ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873</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901</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 of reserves in place</w:t>
            </w:r>
          </w:p>
        </w:tc>
        <w:tc>
          <w:tcPr>
            <w:tcW w:w="10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2,996</w:t>
            </w:r>
          </w:p>
        </w:tc>
        <w:tc>
          <w:tcPr>
            <w:tcW w:w="109" w:type="dxa"/>
            <w:tcBorders/>
            <w:vAlign w:val="center"/>
          </w:tcPr>
          <w:p>
            <w:pPr>
              <w:pStyle w:val="TableContents"/>
              <w:bidi w:val="0"/>
              <w:spacing w:before="0" w:after="1"/>
              <w:ind w:left="0" w:right="0" w:hanging="0"/>
              <w:jc w:val="right"/>
              <w:rPr/>
            </w:pPr>
            <w:r>
              <w:rPr/>
              <w:t>​</w:t>
            </w:r>
          </w:p>
        </w:tc>
        <w:tc>
          <w:tcPr>
            <w:tcW w:w="111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2,996</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Transfers</w:t>
            </w:r>
          </w:p>
        </w:tc>
        <w:tc>
          <w:tcPr>
            <w:tcW w:w="10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658</w:t>
            </w:r>
          </w:p>
        </w:tc>
        <w:tc>
          <w:tcPr>
            <w:tcW w:w="109" w:type="dxa"/>
            <w:tcBorders/>
            <w:shd w:fill="CCEEFF" w:val="clear"/>
            <w:vAlign w:val="center"/>
          </w:tcPr>
          <w:p>
            <w:pPr>
              <w:pStyle w:val="TableContents"/>
              <w:bidi w:val="0"/>
              <w:spacing w:before="0" w:after="1"/>
              <w:ind w:left="0" w:right="0" w:hanging="0"/>
              <w:jc w:val="righ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(658)</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Production (sales volumes)</w:t>
            </w:r>
          </w:p>
        </w:tc>
        <w:tc>
          <w:tcPr>
            <w:tcW w:w="109"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(2,582)</w:t>
            </w:r>
          </w:p>
        </w:tc>
        <w:tc>
          <w:tcPr>
            <w:tcW w:w="109" w:type="dxa"/>
            <w:tcBorders/>
            <w:vAlign w:val="center"/>
          </w:tcPr>
          <w:p>
            <w:pPr>
              <w:pStyle w:val="TableContents"/>
              <w:bidi w:val="0"/>
              <w:spacing w:before="0" w:after="1"/>
              <w:ind w:left="0" w:right="0" w:hanging="0"/>
              <w:jc w:val="right"/>
              <w:rPr/>
            </w:pPr>
            <w:r>
              <w:rPr/>
              <w:t>​</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(2,582)</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30, 2025</w:t>
            </w:r>
          </w:p>
        </w:tc>
        <w:tc>
          <w:tcPr>
            <w:tcW w:w="10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22,694</w:t>
            </w:r>
          </w:p>
        </w:tc>
        <w:tc>
          <w:tcPr>
            <w:tcW w:w="109" w:type="dxa"/>
            <w:tcBorders/>
            <w:shd w:fill="CCEEFF" w:val="clear"/>
            <w:vAlign w:val="center"/>
          </w:tcPr>
          <w:p>
            <w:pPr>
              <w:pStyle w:val="TableContents"/>
              <w:bidi w:val="0"/>
              <w:spacing w:before="0" w:after="1"/>
              <w:ind w:left="0" w:right="0" w:hanging="0"/>
              <w:jc w:val="righ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4,413</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27,107</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Revisions of previous estimates</w:t>
            </w:r>
          </w:p>
        </w:tc>
        <w:tc>
          <w:tcPr>
            <w:tcW w:w="10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855</w:t>
            </w:r>
          </w:p>
        </w:tc>
        <w:tc>
          <w:tcPr>
            <w:tcW w:w="109"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719</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Improved recovery, extensions and discoveries</w:t>
            </w:r>
          </w:p>
        </w:tc>
        <w:tc>
          <w:tcPr>
            <w:tcW w:w="10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227</w:t>
            </w:r>
          </w:p>
        </w:tc>
        <w:tc>
          <w:tcPr>
            <w:tcW w:w="109"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390</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 of reserves in place</w:t>
            </w:r>
          </w:p>
        </w:tc>
        <w:tc>
          <w:tcPr>
            <w:tcW w:w="10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1,138</w:t>
            </w:r>
          </w:p>
        </w:tc>
        <w:tc>
          <w:tcPr>
            <w:tcW w:w="109"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446</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1,584</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Transfers</w:t>
            </w:r>
          </w:p>
        </w:tc>
        <w:tc>
          <w:tcPr>
            <w:tcW w:w="10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w:t>
            </w:r>
          </w:p>
        </w:tc>
        <w:tc>
          <w:tcPr>
            <w:tcW w:w="109" w:type="dxa"/>
            <w:tcBorders/>
            <w:shd w:fill="CCEEFF" w:val="clear"/>
            <w:vAlign w:val="center"/>
          </w:tcPr>
          <w:p>
            <w:pPr>
              <w:pStyle w:val="TableContents"/>
              <w:bidi w:val="0"/>
              <w:spacing w:before="0" w:after="1"/>
              <w:ind w:left="0" w:right="0" w:hanging="0"/>
              <w:jc w:val="righ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Production (sales volumes)</w:t>
            </w:r>
          </w:p>
        </w:tc>
        <w:tc>
          <w:tcPr>
            <w:tcW w:w="109"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(2,583)</w:t>
            </w:r>
          </w:p>
        </w:tc>
        <w:tc>
          <w:tcPr>
            <w:tcW w:w="109" w:type="dxa"/>
            <w:tcBorders/>
            <w:vAlign w:val="center"/>
          </w:tcPr>
          <w:p>
            <w:pPr>
              <w:pStyle w:val="TableContents"/>
              <w:bidi w:val="0"/>
              <w:spacing w:before="0" w:after="1"/>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(2,583)</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30, 2026</w:t>
            </w:r>
          </w:p>
        </w:tc>
        <w:tc>
          <w:tcPr>
            <w:tcW w:w="109" w:type="dxa"/>
            <w:tcBorders/>
            <w:shd w:fill="CCEEFF" w:val="clear"/>
            <w:vAlign w:val="center"/>
          </w:tcPr>
          <w:p>
            <w:pPr>
              <w:pStyle w:val="TableContents"/>
              <w:bidi w:val="0"/>
              <w:spacing w:before="0" w:after="1"/>
              <w:ind w:left="0" w:right="0" w:hanging="0"/>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22,381</w:t>
            </w:r>
          </w:p>
        </w:tc>
        <w:tc>
          <w:tcPr>
            <w:tcW w:w="109" w:type="dxa"/>
            <w:tcBorders/>
            <w:shd w:fill="CCEEFF" w:val="clear"/>
            <w:vAlign w:val="center"/>
          </w:tcPr>
          <w:p>
            <w:pPr>
              <w:pStyle w:val="TableContents"/>
              <w:bidi w:val="0"/>
              <w:spacing w:before="0" w:after="1"/>
              <w:ind w:left="0" w:right="0" w:hanging="0"/>
              <w:jc w:val="left"/>
              <w:rPr/>
            </w:pPr>
            <w:r>
              <w:rPr/>
              <w:t>​</w:t>
            </w:r>
          </w:p>
        </w:tc>
        <w:tc>
          <w:tcPr>
            <w:tcW w:w="11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4,836</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27,217</w:t>
            </w:r>
          </w:p>
        </w:tc>
      </w:tr>
    </w:tbl>
    <w:p>
      <w:pPr>
        <w:pStyle w:val="TextBody"/>
        <w:bidi w:val="0"/>
        <w:spacing w:before="240" w:after="120"/>
        <w:ind w:left="0" w:right="0" w:hanging="0"/>
        <w:jc w:val="left"/>
        <w:rPr>
          <w:rFonts w:ascii="Times New Roman;Times;serif" w:hAnsi="Times New Roman;Times;serif"/>
          <w:sz w:val="20"/>
        </w:rPr>
      </w:pPr>
      <w:r>
        <w:rPr>
          <w:rFonts w:ascii="Times New Roman;Times;serif" w:hAnsi="Times New Roman;Times;serif"/>
          <w:sz w:val="20"/>
        </w:rPr>
        <w:t xml:space="preserve">For the fiscal year ended June 30, 2026, notable changes in proved reserves included the following: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Purchase of reserves in place</w:t>
            </w:r>
            <w:r>
              <w:rPr>
                <w:rFonts w:ascii="Times New Roman;Times;serif" w:hAnsi="Times New Roman;Times;serif"/>
                <w:b w:val="false"/>
                <w:i w:val="false"/>
                <w:caps w:val="false"/>
                <w:smallCaps w:val="false"/>
                <w:sz w:val="20"/>
              </w:rPr>
              <w:t>. During the fiscal year ended 2026, the Company completed the Louisiana Minerals acquisitions and the SCOOP/STACK Minerals Acquisition. See Note 3, “</w:t>
            </w:r>
            <w:r>
              <w:rPr>
                <w:rFonts w:ascii="Times New Roman;Times;serif" w:hAnsi="Times New Roman;Times;serif"/>
                <w:b w:val="false"/>
                <w:i/>
                <w:sz w:val="20"/>
              </w:rPr>
              <w:t>Acquisitions and Divestitures</w:t>
            </w:r>
            <w:r>
              <w:rPr>
                <w:caps w:val="false"/>
                <w:smallCaps w:val="false"/>
              </w:rPr>
              <w:t xml:space="preserve">” </w:t>
            </w:r>
            <w:r>
              <w:rPr>
                <w:rFonts w:ascii="Times New Roman;Times;serif" w:hAnsi="Times New Roman;Times;serif"/>
                <w:b w:val="false"/>
                <w:i w:val="false"/>
                <w:caps w:val="false"/>
                <w:smallCaps w:val="false"/>
                <w:sz w:val="20"/>
              </w:rPr>
              <w:t>for more details.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Improved recovery, extensions and discoveries</w:t>
            </w:r>
            <w:r>
              <w:rPr>
                <w:rFonts w:ascii="Times New Roman;Times;serif" w:hAnsi="Times New Roman;Times;serif"/>
                <w:b w:val="false"/>
                <w:i w:val="false"/>
                <w:caps w:val="false"/>
                <w:smallCaps w:val="false"/>
                <w:sz w:val="20"/>
              </w:rPr>
              <w:t>. During the fiscal year 2026, the Company added 0.4 MMBOE of proved reserves primarily associated with the addition of new wells and PUDs at SCOOP/STACK.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Revisions of previous estimates.</w:t>
            </w:r>
            <w:r>
              <w:rPr>
                <w:caps w:val="false"/>
                <w:smallCaps w:val="false"/>
              </w:rPr>
              <w:t xml:space="preserve"> </w:t>
            </w:r>
            <w:r>
              <w:rPr>
                <w:rFonts w:ascii="Times New Roman;Times;serif" w:hAnsi="Times New Roman;Times;serif"/>
                <w:b w:val="false"/>
                <w:i w:val="false"/>
                <w:caps w:val="false"/>
                <w:smallCaps w:val="false"/>
                <w:sz w:val="20"/>
              </w:rPr>
              <w:t>Net Revisions in fiscal year 2026 totaled 0.7 MMBOE. Net positive natural gas revisions of 2.2 MMBOE were primarily associated with increases in natural gas prices. Net negative oil and NGL revisions of 1.4 MMBOE were primarily associated with a reduction in the economic life of certain oil fields due to increased costs.</w:t>
            </w:r>
          </w:p>
        </w:tc>
      </w:tr>
    </w:tbl>
    <w:tbl>
      <w:tblPr>
        <w:tblW w:w="7431" w:type="dxa"/>
        <w:jc w:val="left"/>
        <w:tblInd w:w="0" w:type="dxa"/>
        <w:tblLayout w:type="fixed"/>
        <w:tblCellMar>
          <w:top w:w="28" w:type="dxa"/>
          <w:left w:w="28" w:type="dxa"/>
          <w:bottom w:w="28" w:type="dxa"/>
          <w:right w:w="28" w:type="dxa"/>
        </w:tblCellMar>
      </w:tblPr>
      <w:tblGrid>
        <w:gridCol w:w="124"/>
        <w:gridCol w:w="256"/>
        <w:gridCol w:w="7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5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Production</w:t>
            </w:r>
            <w:r>
              <w:rPr>
                <w:rFonts w:ascii="Times New Roman;Times;serif" w:hAnsi="Times New Roman;Times;serif"/>
                <w:b w:val="false"/>
                <w:i w:val="false"/>
                <w:caps w:val="false"/>
                <w:smallCaps w:val="false"/>
                <w:sz w:val="20"/>
              </w:rPr>
              <w:t>. The company produced 2.6 MBOE during the year ended June 30, 2026.</w:t>
            </w:r>
          </w:p>
        </w:tc>
      </w:tr>
    </w:tbl>
    <w:p>
      <w:pPr>
        <w:pStyle w:val="TextBody"/>
        <w:bidi w:val="0"/>
        <w:spacing w:before="240" w:after="120"/>
        <w:ind w:left="0" w:right="0" w:hanging="0"/>
        <w:jc w:val="left"/>
        <w:rPr>
          <w:rFonts w:ascii="Times New Roman;Times;serif" w:hAnsi="Times New Roman;Times;serif"/>
          <w:sz w:val="20"/>
        </w:rPr>
      </w:pPr>
      <w:r>
        <w:rPr>
          <w:rFonts w:ascii="Times New Roman;Times;serif" w:hAnsi="Times New Roman;Times;serif"/>
          <w:sz w:val="20"/>
        </w:rPr>
        <w:t xml:space="preserve">For the fiscal year ended June 30, 2025, notable changes in proved reserves included the following: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Purchase of reserves in place</w:t>
            </w:r>
            <w:r>
              <w:rPr>
                <w:rFonts w:ascii="Times New Roman;Times;serif" w:hAnsi="Times New Roman;Times;serif"/>
                <w:b w:val="false"/>
                <w:i w:val="false"/>
                <w:caps w:val="false"/>
                <w:smallCaps w:val="false"/>
                <w:sz w:val="20"/>
              </w:rPr>
              <w:t>. During the fiscal year ended 2025, the Company completed the TexMex Acquisition. See Note 3, “</w:t>
            </w:r>
            <w:r>
              <w:rPr>
                <w:rFonts w:ascii="Times New Roman;Times;serif" w:hAnsi="Times New Roman;Times;serif"/>
                <w:b w:val="false"/>
                <w:i/>
                <w:sz w:val="20"/>
              </w:rPr>
              <w:t>Acquisitions and Divestitures</w:t>
            </w:r>
            <w:r>
              <w:rPr>
                <w:caps w:val="false"/>
                <w:smallCaps w:val="false"/>
              </w:rPr>
              <w:t xml:space="preserve">” </w:t>
            </w:r>
            <w:r>
              <w:rPr>
                <w:rFonts w:ascii="Times New Roman;Times;serif" w:hAnsi="Times New Roman;Times;serif"/>
                <w:b w:val="false"/>
                <w:i w:val="false"/>
                <w:caps w:val="false"/>
                <w:smallCaps w:val="false"/>
                <w:sz w:val="20"/>
              </w:rPr>
              <w:t>for more details.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Improved recovery, extensions and discoveries</w:t>
            </w:r>
            <w:r>
              <w:rPr>
                <w:rFonts w:ascii="Times New Roman;Times;serif" w:hAnsi="Times New Roman;Times;serif"/>
                <w:b w:val="false"/>
                <w:i w:val="false"/>
                <w:caps w:val="false"/>
                <w:smallCaps w:val="false"/>
                <w:sz w:val="20"/>
              </w:rPr>
              <w:t>. During the fiscal year 2025, the Company added 0.9 MMBOE of proved reserves primarily associated with the addition of new PUDs for acreage acquired at Chaveroo Field in fiscal 2025.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Revisions of previous estimates.</w:t>
            </w:r>
            <w:r>
              <w:rPr>
                <w:caps w:val="false"/>
                <w:smallCaps w:val="false"/>
              </w:rPr>
              <w:t xml:space="preserve"> </w:t>
            </w:r>
            <w:r>
              <w:rPr>
                <w:rFonts w:ascii="Times New Roman;Times;serif" w:hAnsi="Times New Roman;Times;serif"/>
                <w:b w:val="false"/>
                <w:i w:val="false"/>
                <w:caps w:val="false"/>
                <w:smallCaps w:val="false"/>
                <w:sz w:val="20"/>
              </w:rPr>
              <w:t>Net Revisions in fiscal year 2025 totaled 6.0 MMBOE. Net negative oil revisions of 1.6 MMBOE were primarily associated with a 10.4% decline in SEC trailing 12-month pricing for oil from the prior fiscal year. Net negative natural gas and NGL revisions of 4.4 MMBOE were primarily associated with declines in price differentials received, specifically at Jonah Field, increases in lease operating costs at Barnett Shale, and drop-off of Williston Basin PUDs due to timing of future drilling plans. These metrics impacted the late-in-life economic limits of production.</w:t>
            </w:r>
          </w:p>
        </w:tc>
      </w:tr>
    </w:tbl>
    <w:tbl>
      <w:tblPr>
        <w:tblW w:w="7431" w:type="dxa"/>
        <w:jc w:val="left"/>
        <w:tblInd w:w="0" w:type="dxa"/>
        <w:tblLayout w:type="fixed"/>
        <w:tblCellMar>
          <w:top w:w="28" w:type="dxa"/>
          <w:left w:w="28" w:type="dxa"/>
          <w:bottom w:w="28" w:type="dxa"/>
          <w:right w:w="28" w:type="dxa"/>
        </w:tblCellMar>
      </w:tblPr>
      <w:tblGrid>
        <w:gridCol w:w="124"/>
        <w:gridCol w:w="256"/>
        <w:gridCol w:w="7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5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Production</w:t>
            </w:r>
            <w:r>
              <w:rPr>
                <w:rFonts w:ascii="Times New Roman;Times;serif" w:hAnsi="Times New Roman;Times;serif"/>
                <w:b w:val="false"/>
                <w:i w:val="false"/>
                <w:caps w:val="false"/>
                <w:smallCaps w:val="false"/>
                <w:sz w:val="20"/>
              </w:rPr>
              <w:t>. The company produced 2.6 MBOE during the year ended June 30, 2025.</w:t>
            </w:r>
          </w:p>
        </w:tc>
      </w:tr>
    </w:tbl>
    <w:p>
      <w:pPr>
        <w:pStyle w:val="TextBody"/>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For the fiscal year ended June 30, 2024, notable changes in proved reserves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Improved recovery, extensions and discoveries</w:t>
            </w:r>
            <w:r>
              <w:rPr>
                <w:rFonts w:ascii="Times New Roman;Times;serif" w:hAnsi="Times New Roman;Times;serif"/>
                <w:b w:val="false"/>
                <w:i w:val="false"/>
                <w:caps w:val="false"/>
                <w:smallCaps w:val="false"/>
                <w:sz w:val="20"/>
              </w:rPr>
              <w:t xml:space="preserve">. During the fiscal year 2024, the Company added 4.8 MMBOE of proved reserves primarily associated with the addition of new PUDs at SCOOP/STACK, added subsequent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acquisition date, for acreage acquired at Chaveroo Field, as well as, wells drilled and completed at Chaveroo Field in fiscal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Purchase of reserves in place</w:t>
            </w:r>
            <w:r>
              <w:rPr>
                <w:rFonts w:ascii="Times New Roman;Times;serif" w:hAnsi="Times New Roman;Times;serif"/>
                <w:b w:val="false"/>
                <w:i w:val="false"/>
                <w:caps w:val="false"/>
                <w:smallCaps w:val="false"/>
                <w:sz w:val="20"/>
              </w:rPr>
              <w:t>. During the fiscal year ended 2024, the Company completed the SCOOP/STACK Acquisition. See Note 3, “</w:t>
            </w:r>
            <w:r>
              <w:rPr>
                <w:rFonts w:ascii="Times New Roman;Times;serif" w:hAnsi="Times New Roman;Times;serif"/>
                <w:b w:val="false"/>
                <w:i/>
                <w:sz w:val="20"/>
              </w:rPr>
              <w:t>Acquisitions and Divestitures</w:t>
            </w:r>
            <w:r>
              <w:rPr>
                <w:caps w:val="false"/>
                <w:smallCaps w:val="false"/>
              </w:rPr>
              <w:t xml:space="preserve">” </w:t>
            </w:r>
            <w:r>
              <w:rPr>
                <w:rFonts w:ascii="Times New Roman;Times;serif" w:hAnsi="Times New Roman;Times;serif"/>
                <w:b w:val="false"/>
                <w:i w:val="false"/>
                <w:caps w:val="false"/>
                <w:smallCaps w:val="false"/>
                <w:sz w:val="20"/>
              </w:rPr>
              <w:t>for more details.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Revisions of previous estimates.</w:t>
            </w:r>
            <w:r>
              <w:rPr>
                <w:caps w:val="false"/>
                <w:smallCaps w:val="false"/>
              </w:rPr>
              <w:t xml:space="preserve"> </w:t>
            </w:r>
            <w:r>
              <w:rPr>
                <w:rFonts w:ascii="Times New Roman;Times;serif" w:hAnsi="Times New Roman;Times;serif"/>
                <w:b w:val="false"/>
                <w:i w:val="false"/>
                <w:caps w:val="false"/>
                <w:smallCaps w:val="false"/>
                <w:sz w:val="20"/>
              </w:rPr>
              <w:t>Net Revisions in fiscal year 2024 totaled 4.9 MMBOE primarily associated with the declines in SEC trailing 12-month pricing, especially for natural gas reserves where the price per MMBTU declined 51.5% from the prior year, as well as impacting the late-in-life economic limits of production.</w:t>
            </w:r>
          </w:p>
        </w:tc>
      </w:tr>
    </w:tbl>
    <w:tbl>
      <w:tblPr>
        <w:tblW w:w="7431" w:type="dxa"/>
        <w:jc w:val="left"/>
        <w:tblInd w:w="0" w:type="dxa"/>
        <w:tblLayout w:type="fixed"/>
        <w:tblCellMar>
          <w:top w:w="28" w:type="dxa"/>
          <w:left w:w="28" w:type="dxa"/>
          <w:bottom w:w="28" w:type="dxa"/>
          <w:right w:w="28" w:type="dxa"/>
        </w:tblCellMar>
      </w:tblPr>
      <w:tblGrid>
        <w:gridCol w:w="124"/>
        <w:gridCol w:w="256"/>
        <w:gridCol w:w="7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5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Production</w:t>
            </w:r>
            <w:r>
              <w:rPr>
                <w:rFonts w:ascii="Times New Roman;Times;serif" w:hAnsi="Times New Roman;Times;serif"/>
                <w:b w:val="false"/>
                <w:i w:val="false"/>
                <w:caps w:val="false"/>
                <w:smallCaps w:val="false"/>
                <w:sz w:val="20"/>
              </w:rPr>
              <w:t>. The company produced 2.5 MBOE during the year ended June 30, 2024.</w:t>
            </w:r>
          </w:p>
        </w:tc>
      </w:tr>
    </w:tbl>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 xml:space="preserve">Future oil and natural gas sales, production, and development costs have been estimated using prices and costs in effect at the end of the years indicated, as required by ASC 932, </w:t>
      </w:r>
      <w:r>
        <w:rPr>
          <w:rFonts w:ascii="Times New Roman;Times;serif" w:hAnsi="Times New Roman;Times;serif"/>
          <w:i/>
          <w:sz w:val="20"/>
        </w:rPr>
        <w:t>Extractive Activities - Oil and Gas</w:t>
      </w:r>
      <w:r>
        <w:rPr>
          <w:rFonts w:ascii="Times New Roman;Times;serif" w:hAnsi="Times New Roman;Times;serif"/>
          <w:sz w:val="20"/>
        </w:rPr>
        <w:t xml:space="preserve"> (“ASC 932”). ASC 932 requires that net cash flow amounts be discounted at 10%. Future production and development costs are computed by estimating the expenditures to be incurred in developing and producing proved oil and natural gas reserves and for asset retirement obligations, assuming continuation of existing economic conditions. Future income tax expenses are computed by applying the appropriate period-end statutory tax rates to the future pretax net cash flow related to proved oil and natural gas reserves, less the tax basis of the related properties. The future income tax expenses do not give effect to tax credits, allowances, or the impact of general and administrative costs of ongoing operations relating to the Company’s proved oil and natural gas reserves. Changes in the demand for oil and natural gas, inflation, and other factors make such estimates inherently imprecise and subject to substantial revision. The table below should not be construed to be an estimate of the current market value of the Company’s proved reserves.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Standardized Measure of discounted future net cash flows related to proved oil and natural gas reserves as of June 30, 2026, 2025 and 2024 are as follows (in thousands):</w:t>
      </w:r>
    </w:p>
    <w:tbl>
      <w:tblPr>
        <w:tblW w:w="8350" w:type="dxa"/>
        <w:jc w:val="left"/>
        <w:tblInd w:w="0" w:type="dxa"/>
        <w:tblLayout w:type="fixed"/>
        <w:tblCellMar>
          <w:top w:w="0" w:type="dxa"/>
          <w:left w:w="0" w:type="dxa"/>
          <w:bottom w:w="0" w:type="dxa"/>
          <w:right w:w="0" w:type="dxa"/>
        </w:tblCellMar>
      </w:tblPr>
      <w:tblGrid>
        <w:gridCol w:w="4201"/>
        <w:gridCol w:w="346"/>
        <w:gridCol w:w="196"/>
        <w:gridCol w:w="826"/>
        <w:gridCol w:w="346"/>
        <w:gridCol w:w="196"/>
        <w:gridCol w:w="826"/>
        <w:gridCol w:w="346"/>
        <w:gridCol w:w="196"/>
        <w:gridCol w:w="871"/>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667635" cy="175260"/>
                      <wp:effectExtent l="0" t="0" r="0" b="0"/>
                      <wp:wrapNone/>
                      <wp:docPr id="481" name="Frame480"/>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19710" cy="175260"/>
                      <wp:effectExtent l="0" t="0" r="0" b="0"/>
                      <wp:wrapNone/>
                      <wp:docPr id="482" name="Frame4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24460" cy="175260"/>
                      <wp:effectExtent l="0" t="0" r="0" b="0"/>
                      <wp:wrapNone/>
                      <wp:docPr id="483" name="Frame4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524510" cy="175260"/>
                      <wp:effectExtent l="0" t="0" r="0" b="0"/>
                      <wp:wrapNone/>
                      <wp:docPr id="484" name="Frame48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19710" cy="175260"/>
                      <wp:effectExtent l="0" t="0" r="0" b="0"/>
                      <wp:wrapNone/>
                      <wp:docPr id="485" name="Frame4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24460" cy="175260"/>
                      <wp:effectExtent l="0" t="0" r="0" b="0"/>
                      <wp:wrapNone/>
                      <wp:docPr id="486" name="Frame48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524510" cy="175260"/>
                      <wp:effectExtent l="0" t="0" r="0" b="0"/>
                      <wp:wrapNone/>
                      <wp:docPr id="487" name="Frame48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19710" cy="175260"/>
                      <wp:effectExtent l="0" t="0" r="0" b="0"/>
                      <wp:wrapNone/>
                      <wp:docPr id="488" name="Frame4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24460" cy="175260"/>
                      <wp:effectExtent l="0" t="0" r="0" b="0"/>
                      <wp:wrapNone/>
                      <wp:docPr id="489" name="Frame4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553085" cy="175260"/>
                      <wp:effectExtent l="0" t="0" r="0" b="0"/>
                      <wp:wrapNone/>
                      <wp:docPr id="490" name="Frame48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01" w:type="dxa"/>
            <w:tcBorders/>
            <w:shd w:fill="FFFFFF" w:val="clear"/>
            <w:vAlign w:val="center"/>
          </w:tcPr>
          <w:p>
            <w:pPr>
              <w:pStyle w:val="TableContents"/>
              <w:bidi w:val="0"/>
              <w:spacing w:before="0" w:after="1"/>
              <w:ind w:left="0" w:right="0" w:hanging="0"/>
              <w:jc w:val="left"/>
              <w:rPr/>
            </w:pPr>
            <w:r>
              <w:rPr/>
              <w:t> </w:t>
            </w:r>
          </w:p>
        </w:tc>
        <w:tc>
          <w:tcPr>
            <w:tcW w:w="346" w:type="dxa"/>
            <w:tcBorders/>
            <w:shd w:fill="FFFFFF" w:val="clear"/>
            <w:vAlign w:val="center"/>
          </w:tcPr>
          <w:p>
            <w:pPr>
              <w:pStyle w:val="TableContents"/>
              <w:bidi w:val="0"/>
              <w:spacing w:before="0" w:after="1"/>
              <w:ind w:left="0" w:right="0" w:hanging="0"/>
              <w:jc w:val="left"/>
              <w:rPr/>
            </w:pPr>
            <w:r>
              <w:rPr/>
              <w:t>​</w:t>
            </w:r>
          </w:p>
        </w:tc>
        <w:tc>
          <w:tcPr>
            <w:tcW w:w="3803" w:type="dxa"/>
            <w:gridSpan w:val="8"/>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For the Years Ended June 30, </w:t>
            </w:r>
          </w:p>
        </w:tc>
      </w:tr>
      <w:tr>
        <w:trPr/>
        <w:tc>
          <w:tcPr>
            <w:tcW w:w="4201" w:type="dxa"/>
            <w:tcBorders/>
            <w:shd w:fill="FFFFFF" w:val="clear"/>
            <w:vAlign w:val="center"/>
          </w:tcPr>
          <w:p>
            <w:pPr>
              <w:pStyle w:val="TableContents"/>
              <w:bidi w:val="0"/>
              <w:spacing w:before="0" w:after="1"/>
              <w:ind w:left="0" w:right="0" w:hanging="0"/>
              <w:jc w:val="left"/>
              <w:rPr/>
            </w:pPr>
            <w:r>
              <w:rPr/>
              <w:t> </w:t>
            </w:r>
          </w:p>
        </w:tc>
        <w:tc>
          <w:tcPr>
            <w:tcW w:w="346" w:type="dxa"/>
            <w:tcBorders/>
            <w:shd w:fill="FFFFFF" w:val="clear"/>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shd w:fill="FFFFFF" w:val="clear"/>
            <w:vAlign w:val="center"/>
          </w:tcPr>
          <w:p>
            <w:pPr>
              <w:pStyle w:val="TableContents"/>
              <w:bidi w:val="0"/>
              <w:spacing w:before="0" w:after="1"/>
              <w:ind w:left="0" w:right="0" w:hanging="0"/>
              <w:jc w:val="center"/>
              <w:rPr/>
            </w:pPr>
            <w:r>
              <w:rPr/>
              <w:t>  ​ ​ ​</w:t>
            </w:r>
          </w:p>
        </w:tc>
        <w:tc>
          <w:tcPr>
            <w:tcW w:w="102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shd w:fill="FFFFFF" w:val="clear"/>
            <w:vAlign w:val="center"/>
          </w:tcPr>
          <w:p>
            <w:pPr>
              <w:pStyle w:val="TableContents"/>
              <w:bidi w:val="0"/>
              <w:spacing w:before="0" w:after="1"/>
              <w:ind w:left="0" w:right="0" w:hanging="0"/>
              <w:jc w:val="center"/>
              <w:rPr/>
            </w:pPr>
            <w:r>
              <w:rPr/>
              <w:t>  ​ ​ ​</w:t>
            </w:r>
          </w:p>
        </w:tc>
        <w:tc>
          <w:tcPr>
            <w:tcW w:w="106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Future cash inflows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1,073,387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1,100,883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1,250,176</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Future production costs and severance taxes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(623,105)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(642,213)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(748,927)</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Future development costs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(132,771)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(136,491)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(139,628)</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Future income tax expenses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(51,555)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(50,071)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(61,742)</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Future net cash flows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265,956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272,108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299,879</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 annual discount for estimated timing of cash flows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(109,533)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(116,885)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(133,278)</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Standardized measure of discounted future net cash flows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156,423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155,223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166,601</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Future cash inflows represent expected revenues from production of period-end quantities of proved reserves based on the previous 12-month unweighted arithmetic average first-day-of-the-month commodity prices for each year and reflect adjustments for lease quality, transportation fees, energy content, and regional price differentials.</w:t>
      </w:r>
    </w:p>
    <w:p>
      <w:pPr>
        <w:pStyle w:val="TextBody"/>
        <w:bidi w:val="0"/>
        <w:spacing w:before="0" w:after="240"/>
        <w:ind w:left="0" w:right="0" w:hanging="0"/>
        <w:jc w:val="left"/>
        <w:rPr/>
      </w:pPr>
      <w:r>
        <w:rPr/>
        <w:t>​</w:t>
      </w:r>
    </w:p>
    <w:tbl>
      <w:tblPr>
        <w:tblW w:w="7510" w:type="dxa"/>
        <w:jc w:val="left"/>
        <w:tblInd w:w="0" w:type="dxa"/>
        <w:tblLayout w:type="fixed"/>
        <w:tblCellMar>
          <w:top w:w="0" w:type="dxa"/>
          <w:left w:w="0" w:type="dxa"/>
          <w:bottom w:w="0" w:type="dxa"/>
          <w:right w:w="0" w:type="dxa"/>
        </w:tblCellMar>
      </w:tblPr>
      <w:tblGrid>
        <w:gridCol w:w="4306"/>
        <w:gridCol w:w="346"/>
        <w:gridCol w:w="196"/>
        <w:gridCol w:w="511"/>
        <w:gridCol w:w="346"/>
        <w:gridCol w:w="196"/>
        <w:gridCol w:w="511"/>
        <w:gridCol w:w="346"/>
        <w:gridCol w:w="196"/>
        <w:gridCol w:w="556"/>
      </w:tblGrid>
      <w:tr>
        <w:trPr/>
        <w:tc>
          <w:tcPr>
            <w:tcW w:w="4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734310" cy="175260"/>
                      <wp:effectExtent l="0" t="0" r="0" b="0"/>
                      <wp:wrapNone/>
                      <wp:docPr id="491" name="Frame490"/>
                      <a:graphic xmlns:a="http://schemas.openxmlformats.org/drawingml/2006/main">
                        <a:graphicData uri="http://schemas.microsoft.com/office/word/2010/wordprocessingShape">
                          <wps:wsp>
                            <wps:cNvSpPr txBox="1"/>
                            <wps:spPr>
                              <a:xfrm>
                                <a:off x="0" y="0"/>
                                <a:ext cx="273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19710" cy="175260"/>
                      <wp:effectExtent l="0" t="0" r="0" b="0"/>
                      <wp:wrapNone/>
                      <wp:docPr id="492" name="Frame4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24460" cy="175260"/>
                      <wp:effectExtent l="0" t="0" r="0" b="0"/>
                      <wp:wrapNone/>
                      <wp:docPr id="493" name="Frame49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324485" cy="175260"/>
                      <wp:effectExtent l="0" t="0" r="0" b="0"/>
                      <wp:wrapNone/>
                      <wp:docPr id="494" name="Frame49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19710" cy="175260"/>
                      <wp:effectExtent l="0" t="0" r="0" b="0"/>
                      <wp:wrapNone/>
                      <wp:docPr id="495" name="Frame4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24460" cy="175260"/>
                      <wp:effectExtent l="0" t="0" r="0" b="0"/>
                      <wp:wrapNone/>
                      <wp:docPr id="496" name="Frame4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324485" cy="175260"/>
                      <wp:effectExtent l="0" t="0" r="0" b="0"/>
                      <wp:wrapNone/>
                      <wp:docPr id="497" name="Frame49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19710" cy="175260"/>
                      <wp:effectExtent l="0" t="0" r="0" b="0"/>
                      <wp:wrapNone/>
                      <wp:docPr id="498" name="Frame4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124460" cy="175260"/>
                      <wp:effectExtent l="0" t="0" r="0" b="0"/>
                      <wp:wrapNone/>
                      <wp:docPr id="499" name="Frame49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353060" cy="175260"/>
                      <wp:effectExtent l="0" t="0" r="0" b="0"/>
                      <wp:wrapNone/>
                      <wp:docPr id="500" name="Frame499"/>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06" w:type="dxa"/>
            <w:tcBorders/>
            <w:vAlign w:val="center"/>
          </w:tcPr>
          <w:p>
            <w:pPr>
              <w:pStyle w:val="TableContents"/>
              <w:bidi w:val="0"/>
              <w:spacing w:before="0" w:after="1"/>
              <w:ind w:left="0" w:right="0" w:hanging="0"/>
              <w:jc w:val="left"/>
              <w:rPr/>
            </w:pPr>
            <w:r>
              <w:rPr/>
              <w:t> </w:t>
            </w:r>
          </w:p>
        </w:tc>
        <w:tc>
          <w:tcPr>
            <w:tcW w:w="346" w:type="dxa"/>
            <w:tcBorders/>
            <w:shd w:fill="FFFFFF" w:val="clear"/>
            <w:vAlign w:val="center"/>
          </w:tcPr>
          <w:p>
            <w:pPr>
              <w:pStyle w:val="TableContents"/>
              <w:bidi w:val="0"/>
              <w:spacing w:before="0" w:after="1"/>
              <w:ind w:left="0" w:right="0" w:hanging="0"/>
              <w:jc w:val="left"/>
              <w:rPr/>
            </w:pPr>
            <w:r>
              <w:rPr/>
              <w:t>​</w:t>
            </w:r>
          </w:p>
        </w:tc>
        <w:tc>
          <w:tcPr>
            <w:tcW w:w="2858" w:type="dxa"/>
            <w:gridSpan w:val="8"/>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For the Years Ended June 30, </w:t>
            </w:r>
          </w:p>
        </w:tc>
      </w:tr>
      <w:tr>
        <w:trPr/>
        <w:tc>
          <w:tcPr>
            <w:tcW w:w="4306" w:type="dxa"/>
            <w:tcBorders/>
            <w:shd w:fill="FFFF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NYMEX prices used in determining future cash flows:</w:t>
            </w:r>
          </w:p>
        </w:tc>
        <w:tc>
          <w:tcPr>
            <w:tcW w:w="346" w:type="dxa"/>
            <w:tcBorders/>
            <w:shd w:fill="FFFFFF" w:val="clear"/>
            <w:vAlign w:val="center"/>
          </w:tcPr>
          <w:p>
            <w:pPr>
              <w:pStyle w:val="TableContents"/>
              <w:bidi w:val="0"/>
              <w:spacing w:before="0" w:after="1"/>
              <w:ind w:left="0" w:right="0" w:hanging="0"/>
              <w:jc w:val="center"/>
              <w:rPr/>
            </w:pPr>
            <w:r>
              <w:rPr/>
              <w:t>  ​ ​ ​</w:t>
            </w:r>
          </w:p>
        </w:tc>
        <w:tc>
          <w:tcPr>
            <w:tcW w:w="70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shd w:fill="FFFFFF" w:val="clear"/>
            <w:vAlign w:val="center"/>
          </w:tcPr>
          <w:p>
            <w:pPr>
              <w:pStyle w:val="TableContents"/>
              <w:bidi w:val="0"/>
              <w:spacing w:before="0" w:after="1"/>
              <w:ind w:left="0" w:right="0" w:hanging="0"/>
              <w:jc w:val="left"/>
              <w:rPr/>
            </w:pPr>
            <w:r>
              <w:rPr/>
              <w:t>  ​ ​ ​</w:t>
            </w:r>
          </w:p>
        </w:tc>
        <w:tc>
          <w:tcPr>
            <w:tcW w:w="70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shd w:fill="FFFFFF" w:val="clear"/>
            <w:vAlign w:val="center"/>
          </w:tcPr>
          <w:p>
            <w:pPr>
              <w:pStyle w:val="TableContents"/>
              <w:bidi w:val="0"/>
              <w:spacing w:before="0" w:after="1"/>
              <w:ind w:left="0" w:right="0" w:hanging="0"/>
              <w:jc w:val="center"/>
              <w:rPr/>
            </w:pPr>
            <w:r>
              <w:rPr/>
              <w:t>  ​ ​ ​</w:t>
            </w:r>
          </w:p>
        </w:tc>
        <w:tc>
          <w:tcPr>
            <w:tcW w:w="75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43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(Bbl)</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72.93</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71.20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79.45</w:t>
            </w:r>
          </w:p>
        </w:tc>
      </w:tr>
      <w:tr>
        <w:trPr/>
        <w:tc>
          <w:tcPr>
            <w:tcW w:w="43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Gas (MMBtu)</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3.62</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2.32</w:t>
            </w:r>
          </w:p>
        </w:tc>
      </w:tr>
    </w:tbl>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NGL prices utilized for future cash inflows were based on historical differentials to WTI, where available.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summary of the changes in the standardized measure of discounted future net cash flows applicable to proved oil, natural gas, and NGL reserves is as follows (in thousands):</w:t>
      </w:r>
    </w:p>
    <w:tbl>
      <w:tblPr>
        <w:tblW w:w="9430" w:type="dxa"/>
        <w:jc w:val="left"/>
        <w:tblInd w:w="0" w:type="dxa"/>
        <w:tblLayout w:type="fixed"/>
        <w:tblCellMar>
          <w:top w:w="0" w:type="dxa"/>
          <w:left w:w="0" w:type="dxa"/>
          <w:bottom w:w="0" w:type="dxa"/>
          <w:right w:w="0" w:type="dxa"/>
        </w:tblCellMar>
      </w:tblPr>
      <w:tblGrid>
        <w:gridCol w:w="5506"/>
        <w:gridCol w:w="346"/>
        <w:gridCol w:w="196"/>
        <w:gridCol w:w="721"/>
        <w:gridCol w:w="346"/>
        <w:gridCol w:w="196"/>
        <w:gridCol w:w="721"/>
        <w:gridCol w:w="346"/>
        <w:gridCol w:w="196"/>
        <w:gridCol w:w="856"/>
      </w:tblGrid>
      <w:tr>
        <w:trPr/>
        <w:tc>
          <w:tcPr>
            <w:tcW w:w="5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3496310" cy="175260"/>
                      <wp:effectExtent l="0" t="0" r="0" b="0"/>
                      <wp:wrapNone/>
                      <wp:docPr id="501" name="Frame500"/>
                      <a:graphic xmlns:a="http://schemas.openxmlformats.org/drawingml/2006/main">
                        <a:graphicData uri="http://schemas.microsoft.com/office/word/2010/wordprocessingShape">
                          <wps:wsp>
                            <wps:cNvSpPr txBox="1"/>
                            <wps:spPr>
                              <a:xfrm>
                                <a:off x="0" y="0"/>
                                <a:ext cx="3496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19710" cy="175260"/>
                      <wp:effectExtent l="0" t="0" r="0" b="0"/>
                      <wp:wrapNone/>
                      <wp:docPr id="502" name="Frame5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24460" cy="175260"/>
                      <wp:effectExtent l="0" t="0" r="0" b="0"/>
                      <wp:wrapNone/>
                      <wp:docPr id="503" name="Frame50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457835" cy="175260"/>
                      <wp:effectExtent l="0" t="0" r="0" b="0"/>
                      <wp:wrapNone/>
                      <wp:docPr id="504" name="Frame50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19710" cy="175260"/>
                      <wp:effectExtent l="0" t="0" r="0" b="0"/>
                      <wp:wrapNone/>
                      <wp:docPr id="505" name="Frame5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124460" cy="175260"/>
                      <wp:effectExtent l="0" t="0" r="0" b="0"/>
                      <wp:wrapNone/>
                      <wp:docPr id="506" name="Frame5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457835" cy="175260"/>
                      <wp:effectExtent l="0" t="0" r="0" b="0"/>
                      <wp:wrapNone/>
                      <wp:docPr id="507" name="Frame50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19710" cy="175260"/>
                      <wp:effectExtent l="0" t="0" r="0" b="0"/>
                      <wp:wrapNone/>
                      <wp:docPr id="508" name="Frame5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124460" cy="175260"/>
                      <wp:effectExtent l="0" t="0" r="0" b="0"/>
                      <wp:wrapNone/>
                      <wp:docPr id="509" name="Frame50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543560" cy="175260"/>
                      <wp:effectExtent l="0" t="0" r="0" b="0"/>
                      <wp:wrapNone/>
                      <wp:docPr id="510" name="Frame509"/>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06" w:type="dxa"/>
            <w:tcBorders/>
            <w:shd w:fill="FFFFFF" w:val="clear"/>
            <w:vAlign w:val="center"/>
          </w:tcPr>
          <w:p>
            <w:pPr>
              <w:pStyle w:val="TableContents"/>
              <w:bidi w:val="0"/>
              <w:spacing w:before="0" w:after="0"/>
              <w:ind w:left="0" w:right="0" w:hanging="0"/>
              <w:jc w:val="left"/>
              <w:rPr/>
            </w:pPr>
            <w:r>
              <w:rPr/>
              <w:t> </w:t>
            </w:r>
          </w:p>
        </w:tc>
        <w:tc>
          <w:tcPr>
            <w:tcW w:w="346" w:type="dxa"/>
            <w:tcBorders/>
            <w:shd w:fill="FFFFFF" w:val="clear"/>
            <w:vAlign w:val="center"/>
          </w:tcPr>
          <w:p>
            <w:pPr>
              <w:pStyle w:val="TableContents"/>
              <w:bidi w:val="0"/>
              <w:spacing w:before="0" w:after="0"/>
              <w:ind w:left="0" w:right="0" w:hanging="0"/>
              <w:jc w:val="left"/>
              <w:rPr/>
            </w:pPr>
            <w:r>
              <w:rPr/>
              <w:t>​</w:t>
            </w:r>
          </w:p>
        </w:tc>
        <w:tc>
          <w:tcPr>
            <w:tcW w:w="3578" w:type="dxa"/>
            <w:gridSpan w:val="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Years Ended June 30, </w:t>
            </w:r>
          </w:p>
        </w:tc>
      </w:tr>
      <w:tr>
        <w:trPr/>
        <w:tc>
          <w:tcPr>
            <w:tcW w:w="5506" w:type="dxa"/>
            <w:tcBorders/>
            <w:shd w:fill="FFFFFF" w:val="clear"/>
            <w:vAlign w:val="center"/>
          </w:tcPr>
          <w:p>
            <w:pPr>
              <w:pStyle w:val="TableContents"/>
              <w:bidi w:val="0"/>
              <w:spacing w:before="0" w:after="0"/>
              <w:ind w:left="0" w:right="0" w:hanging="0"/>
              <w:jc w:val="left"/>
              <w:rPr/>
            </w:pPr>
            <w:r>
              <w:rPr/>
              <w:t> </w:t>
            </w:r>
          </w:p>
        </w:tc>
        <w:tc>
          <w:tcPr>
            <w:tcW w:w="346" w:type="dxa"/>
            <w:tcBorders/>
            <w:shd w:fill="FFFFFF" w:val="clear"/>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shd w:fill="FFFFFF" w:val="clear"/>
            <w:vAlign w:val="center"/>
          </w:tcPr>
          <w:p>
            <w:pPr>
              <w:pStyle w:val="TableContents"/>
              <w:bidi w:val="0"/>
              <w:spacing w:before="0" w:after="0"/>
              <w:ind w:left="0" w:right="0" w:hanging="0"/>
              <w:jc w:val="center"/>
              <w:rPr/>
            </w:pPr>
            <w:r>
              <w:rPr/>
              <w:t>  ​ ​ ​</w:t>
            </w:r>
          </w:p>
        </w:tc>
        <w:tc>
          <w:tcPr>
            <w:tcW w:w="9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shd w:fill="FFFFFF" w:val="clear"/>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beginning of year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155,223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166,601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238,177</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changes in sales prices and production costs related to future production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(13,632)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(4,086)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(125,539)</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estimated future development costs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1,081</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Sales of oil, natural gas and NGLs produced, net of production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(36,005)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(36,502)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(37,604)</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due to extensions, discoveries, and improved recovery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5,784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52,014</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due to revisions in quantity estimates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6,286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(43,875)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(47,244)</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due to purchase of minerals in place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18,908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24,876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37,139</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Development costs incurred during the period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9,516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933</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Accretion of discount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20,289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30,121</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in discounted 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5,841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26,743</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(9,220)</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end of year</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156,423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155,223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166,601</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72" w:name="Item9ChangesInandDisagreementswithAccoun"/>
      <w:bookmarkStart w:id="1173" w:name="_bc75bd61_2119_4210_ba44_d17758d59259"/>
      <w:bookmarkEnd w:id="1172"/>
      <w:bookmarkEnd w:id="1173"/>
      <w:r>
        <w:rPr>
          <w:rFonts w:ascii="Times New Roman;Times;serif" w:hAnsi="Times New Roman;Times;serif"/>
          <w:b/>
          <w:sz w:val="20"/>
        </w:rPr>
        <w:t>Item 9.   Changes in and Disagreements with Accountants on Accounting and Financial Disclosure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174" w:name="Item9AControlsandProcedures_787583"/>
      <w:bookmarkStart w:id="1175" w:name="_85b4047b_2eb8_4faa_8146_becb86058c1b"/>
      <w:bookmarkEnd w:id="1174"/>
      <w:bookmarkEnd w:id="1175"/>
      <w:r>
        <w:rPr>
          <w:rFonts w:ascii="Times New Roman;Times;serif" w:hAnsi="Times New Roman;Times;serif"/>
          <w:b/>
          <w:sz w:val="20"/>
        </w:rPr>
        <w:t>Item 9A.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this information is accumulated and communicated to our management, including our Principal Executive Officer and Principal Financial Officer, as appropriate to allow for timely decisions regarding required disclosure.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required by Securities and Exchange Commission Rule 13a-15(b),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on this evaluation, our Principal Executive Officer and Principal Financial Officer concluded that our disclosure controls and procedures are effective in ensuring that the information required to be disclosed in our reports filed or submitted under the Exchange Act is recorded, processed, summarized, and reported within the time periods specified in the Securities and Exchange Commission rules and forms.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Management’s Annual Report on Internal Control Over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defined in Rules 13a-15(f) and 15d-15(f) of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Generally accepted accounting principles include those policies and procedures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the assets of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unauthorized acquisition, use, or disposition of the company’s assets that could have a material effect on the financial statements.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risk that controls may become inadequate because of changes in conditions, or that the degree of compliance with the policies or procedures may deteriorate. Under the supervision and with the participation of management, including the Principal Executive Officer and the Principal Financial Officer, an evaluation was conducted on the effectiveness of our internal control over financial reporting based on criteria established in the Internal Control-Integrated Framework issued by the Committee of Sponsoring Organizations of the Treadway Commission in 2013. Management concluded that we maintained effective internal control over financial reporting as of June 30, 2026.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Pursuant to the Securities and Exchange Commission’s rules, we are required, among other things, to establish and maintain internal control over financial reporting and have management assess the effectiveness of its internal control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over financial reporting, but are not be required to have management’s assessment of the effectiveness of internal controls over financial reporting attested to and reported on by an independent auditor. As a result, the effectiveness of our internal control over financial reporting as of June 30, 2026 has not been audited by Baker Tilly US, LLP, the independent registered public accounting firm that also audited our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has been no change in our internal control over financial reporting during the three months ended June 30, 2026 that has materially affected, or is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sz w:val="20"/>
        </w:rPr>
      </w:pPr>
      <w:bookmarkStart w:id="1176" w:name="Item9BOtherInformation_888741"/>
      <w:bookmarkStart w:id="1177" w:name="_dbc60104_d666_4bf9_8bed_0e7f9604996b"/>
      <w:bookmarkEnd w:id="1176"/>
      <w:bookmarkEnd w:id="1177"/>
      <w:r>
        <w:rPr>
          <w:rFonts w:ascii="Times New Roman;Times;serif" w:hAnsi="Times New Roman;Times;serif"/>
          <w:b/>
          <w:sz w:val="20"/>
        </w:rPr>
        <w:t>Item 9B.   Other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178" w:name="Item9CDisclosureregardingforeignjurisdic"/>
      <w:bookmarkStart w:id="1179" w:name="_45850799_09ae_43b5_aaee_56a8c457ed1b"/>
      <w:bookmarkEnd w:id="1178"/>
      <w:bookmarkEnd w:id="1179"/>
      <w:r>
        <w:rPr>
          <w:rFonts w:ascii="Times New Roman;Times;serif" w:hAnsi="Times New Roman;Times;serif"/>
          <w:b/>
          <w:sz w:val="20"/>
        </w:rPr>
        <w:t>Item 9C.   Disclosure Regarding Foreign Jurisdictions that Prevent Inspections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80" w:name="PARTIII_994481"/>
      <w:bookmarkStart w:id="1181" w:name="_04fc03b1_5194_43cb_995f_7319cdc7f5b0"/>
      <w:bookmarkEnd w:id="1180"/>
      <w:bookmarkEnd w:id="1181"/>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1182" w:name="Item10DirectorsExecutiveOfficersandCorpo"/>
      <w:bookmarkEnd w:id="1182"/>
      <w:r>
        <w:rPr>
          <w:rFonts w:ascii="Times New Roman;Times;serif" w:hAnsi="Times New Roman;Times;serif"/>
          <w:b/>
          <w:sz w:val="20"/>
        </w:rPr>
        <w:t>Item 10.   Directors, Executive Officers, and Corporate Governance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Incorporated by reference to our Proxy Statement to be filed with the Securities and Exchange Commission pursuant to Regulation 14A within 120 days of the end of our 2026 fiscal year.</w:t>
      </w:r>
    </w:p>
    <w:p>
      <w:pPr>
        <w:pStyle w:val="TextBody"/>
        <w:bidi w:val="0"/>
        <w:spacing w:before="0" w:after="240"/>
        <w:ind w:left="0" w:right="0" w:hanging="0"/>
        <w:jc w:val="left"/>
        <w:rPr>
          <w:rFonts w:ascii="Times New Roman;Times;serif" w:hAnsi="Times New Roman;Times;serif"/>
          <w:b/>
          <w:sz w:val="20"/>
        </w:rPr>
      </w:pPr>
      <w:bookmarkStart w:id="1183" w:name="Item11ExecutiveCompensation_677557"/>
      <w:bookmarkStart w:id="1184" w:name="_0013f126_bd94_43d3_b013_68ce659ff2ad"/>
      <w:bookmarkEnd w:id="1183"/>
      <w:bookmarkEnd w:id="1184"/>
      <w:r>
        <w:rPr>
          <w:rFonts w:ascii="Times New Roman;Times;serif" w:hAnsi="Times New Roman;Times;serif"/>
          <w:b/>
          <w:sz w:val="20"/>
        </w:rPr>
        <w:t>Item 11.   Executive 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Incorporated by reference to our Proxy Statement to be filed with the Securities and Exchange Commission pursuant to Regulation 14A within 120 days of the end of our 2026 fiscal year.</w:t>
      </w:r>
    </w:p>
    <w:p>
      <w:pPr>
        <w:pStyle w:val="TextBody"/>
        <w:bidi w:val="0"/>
        <w:spacing w:before="0" w:after="240"/>
        <w:ind w:left="0" w:right="0" w:hanging="0"/>
        <w:jc w:val="left"/>
        <w:rPr>
          <w:rFonts w:ascii="Times New Roman;Times;serif" w:hAnsi="Times New Roman;Times;serif"/>
          <w:b/>
          <w:sz w:val="20"/>
        </w:rPr>
      </w:pPr>
      <w:bookmarkStart w:id="1185" w:name="Item12SecurityOwnershipofCertainBenefici"/>
      <w:bookmarkStart w:id="1186" w:name="_ddf1245e_97f2_436a_ae97_0b395a190033"/>
      <w:bookmarkEnd w:id="1185"/>
      <w:bookmarkEnd w:id="1186"/>
      <w:r>
        <w:rPr>
          <w:rFonts w:ascii="Times New Roman;Times;serif" w:hAnsi="Times New Roman;Times;serif"/>
          <w:b/>
          <w:sz w:val="20"/>
        </w:rPr>
        <w:t>Item 12.   Security Ownership of Certain Beneficial Owners and Management and Related Stockholder Matters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Incorporated by reference to our Proxy Statement to be filed with the Securities and Exchange Commission pursuant to Regulation 14A within 120 days of the end of our 2026 fiscal year.</w:t>
      </w:r>
    </w:p>
    <w:p>
      <w:pPr>
        <w:pStyle w:val="TextBody"/>
        <w:bidi w:val="0"/>
        <w:spacing w:before="0" w:after="240"/>
        <w:ind w:left="0" w:right="0" w:hanging="0"/>
        <w:jc w:val="left"/>
        <w:rPr>
          <w:rFonts w:ascii="Times New Roman;Times;serif" w:hAnsi="Times New Roman;Times;serif"/>
          <w:b/>
          <w:sz w:val="20"/>
        </w:rPr>
      </w:pPr>
      <w:bookmarkStart w:id="1187" w:name="Item13CertainRelationshipsandRelatedTran"/>
      <w:bookmarkStart w:id="1188" w:name="_2c3db499_e4ff_4153_8948_176c0c92d1e4"/>
      <w:bookmarkEnd w:id="1187"/>
      <w:bookmarkEnd w:id="1188"/>
      <w:r>
        <w:rPr>
          <w:rFonts w:ascii="Times New Roman;Times;serif" w:hAnsi="Times New Roman;Times;serif"/>
          <w:b/>
          <w:sz w:val="20"/>
        </w:rPr>
        <w:t>Item 13.   Certain Relationships and Related Transactions, and Director Independence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Incorporated by reference to our Proxy Statement to be filed with the Securities and Exchange Commission pursuant to Regulation 14A within 120 days of the end of our 2026 fiscal year.</w:t>
      </w:r>
    </w:p>
    <w:p>
      <w:pPr>
        <w:pStyle w:val="TextBody"/>
        <w:bidi w:val="0"/>
        <w:spacing w:before="0" w:after="240"/>
        <w:ind w:left="0" w:right="0" w:hanging="0"/>
        <w:jc w:val="left"/>
        <w:rPr>
          <w:rFonts w:ascii="Times New Roman;Times;serif" w:hAnsi="Times New Roman;Times;serif"/>
          <w:b/>
          <w:sz w:val="20"/>
        </w:rPr>
      </w:pPr>
      <w:bookmarkStart w:id="1189" w:name="Item14PrincipalAccountantFeesandServices"/>
      <w:bookmarkStart w:id="1190" w:name="_e78d16ad_9528_4be0_be7d_bff66ed058cf"/>
      <w:bookmarkEnd w:id="1189"/>
      <w:bookmarkEnd w:id="1190"/>
      <w:r>
        <w:rPr>
          <w:rFonts w:ascii="Times New Roman;Times;serif" w:hAnsi="Times New Roman;Times;serif"/>
          <w:b/>
          <w:sz w:val="20"/>
        </w:rPr>
        <w:t>Item 14.   Principal Accountant Fees and Services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Incorporated by reference to our Proxy Statement to be filed with the Securities and Exchange Commission pursuant to Regulation 14A within 120 days of the end of our 2026 fiscal year.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91" w:name="PARTIV_159851"/>
      <w:bookmarkStart w:id="1192" w:name="_8075b302_b60c_430d_8263_99c44c40935a"/>
      <w:bookmarkEnd w:id="1191"/>
      <w:bookmarkEnd w:id="1192"/>
      <w:r>
        <w:rPr>
          <w:rFonts w:ascii="Times New Roman;Times;serif" w:hAnsi="Times New Roman;Times;serif"/>
          <w:b/>
          <w:sz w:val="20"/>
        </w:rPr>
        <w:t>PART IV.</w:t>
      </w:r>
    </w:p>
    <w:p>
      <w:pPr>
        <w:pStyle w:val="TextBody"/>
        <w:bidi w:val="0"/>
        <w:spacing w:before="0" w:after="240"/>
        <w:ind w:left="0" w:right="0" w:hanging="0"/>
        <w:jc w:val="left"/>
        <w:rPr>
          <w:rFonts w:ascii="Times New Roman;Times;serif" w:hAnsi="Times New Roman;Times;serif"/>
          <w:b/>
          <w:sz w:val="20"/>
        </w:rPr>
      </w:pPr>
      <w:bookmarkStart w:id="1193" w:name="Item15ExhibitsandFinancialStatementSched"/>
      <w:bookmarkEnd w:id="1193"/>
      <w:r>
        <w:rPr>
          <w:rFonts w:ascii="Times New Roman;Times;serif" w:hAnsi="Times New Roman;Times;serif"/>
          <w:b/>
          <w:sz w:val="20"/>
        </w:rPr>
        <w:t>Item 15.   Exhibits and Financial Statement Schedules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documents are filed as part of this report: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Financial Statements.</w:t>
      </w:r>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The consolidated financial statements of the Company and its subsidiaries are included in Part II, Item 8 of this report: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 xml:space="preserve">Report of Independent Registered Public Accounting Firm </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Consolidated Balance Sheets</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Consolidated Statements of Operations</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Consolidated Statements of Cash Flows</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Consolidated Statements of Changes in Stockholders’ Equity</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Notes to the Consolidated Financial Statements</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Supplemental Disclosure about Oil and Natural Gas Properties (unaudited)</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Financial Statements Schedules and Supplementary Information Required to be Submitted:</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Exhibits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A list of the exhibits filed or furnished with this report on Form 10-K (or incorporated by reference to exhibits previously filed or furnished by us) is provided in the Exhibit Index of this report. Those exhibits incorporated by reference herein are indicated as such by the information supplied in the parenthetical thereafter. Otherwise, the exhibits are filed herewith.</w:t>
      </w:r>
    </w:p>
    <w:p>
      <w:pPr>
        <w:pStyle w:val="TextBody"/>
        <w:bidi w:val="0"/>
        <w:spacing w:before="0" w:after="240"/>
        <w:ind w:left="0" w:right="0" w:hanging="0"/>
        <w:jc w:val="left"/>
        <w:rPr>
          <w:rFonts w:ascii="Times New Roman;Times;serif" w:hAnsi="Times New Roman;Times;serif"/>
          <w:b/>
          <w:sz w:val="20"/>
        </w:rPr>
      </w:pPr>
      <w:bookmarkStart w:id="1194" w:name="Item16Form10KSummary_395735"/>
      <w:bookmarkStart w:id="1195" w:name="_1d5392db_c77c_405e_a09b_68eecd1928ad"/>
      <w:bookmarkEnd w:id="1194"/>
      <w:bookmarkEnd w:id="1195"/>
      <w:r>
        <w:rPr>
          <w:rFonts w:ascii="Times New Roman;Times;serif" w:hAnsi="Times New Roman;Times;serif"/>
          <w:b/>
          <w:sz w:val="20"/>
        </w:rPr>
        <w:t>Item 16. Form 10-K Summary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196" w:name="EXHIBITINDEX_901472"/>
      <w:bookmarkStart w:id="1197" w:name="_25ff4ea4_73cd_44df_a7f1_2d5afe8e884f"/>
      <w:bookmarkEnd w:id="1196"/>
      <w:bookmarkEnd w:id="1197"/>
      <w:r>
        <w:rPr>
          <w:rFonts w:ascii="Times New Roman;Times;serif" w:hAnsi="Times New Roman;Times;serif"/>
          <w:b/>
          <w:sz w:val="20"/>
        </w:rPr>
        <w:t>EXHIBIT INDEX</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EXHIBIT INDEX</w:t>
      </w:r>
    </w:p>
    <w:tbl>
      <w:tblPr>
        <w:tblW w:w="10205" w:type="dxa"/>
        <w:jc w:val="left"/>
        <w:tblInd w:w="0" w:type="dxa"/>
        <w:tblLayout w:type="fixed"/>
        <w:tblCellMar>
          <w:top w:w="0" w:type="dxa"/>
          <w:left w:w="0" w:type="dxa"/>
          <w:bottom w:w="0" w:type="dxa"/>
          <w:right w:w="0" w:type="dxa"/>
        </w:tblCellMar>
      </w:tblPr>
      <w:tblGrid>
        <w:gridCol w:w="976"/>
        <w:gridCol w:w="346"/>
        <w:gridCol w:w="8883"/>
      </w:tblGrid>
      <w:tr>
        <w:trPr/>
        <w:tc>
          <w:tcPr>
            <w:tcW w:w="976" w:type="dxa"/>
            <w:tcBorders/>
            <w:vAlign w:val="center"/>
          </w:tcPr>
          <w:p>
            <w:pPr>
              <w:pStyle w:val="TableHeading"/>
              <w:bidi w:val="0"/>
              <w:spacing w:before="0" w:after="30"/>
              <w:ind w:left="0" w:right="0" w:hanging="0"/>
              <w:jc w:val="center"/>
              <w:rPr/>
            </w:pPr>
            <w:r>
              <w:rPr/>
              <w:t>​</w:t>
            </w:r>
          </w:p>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8883" w:type="dxa"/>
            <w:tcBorders/>
            <w:vAlign w:val="center"/>
          </w:tcPr>
          <w:p>
            <w:pPr>
              <w:pStyle w:val="TableHeading"/>
              <w:bidi w:val="0"/>
              <w:spacing w:before="0" w:after="283"/>
              <w:ind w:left="0" w:right="0" w:hanging="0"/>
              <w:rPr>
                <w:sz w:val="4"/>
                <w:szCs w:val="4"/>
              </w:rPr>
            </w:pPr>
            <w:r>
              <w:rPr>
                <w:sz w:val="4"/>
                <w:szCs w:val="4"/>
              </w:rPr>
            </w:r>
          </w:p>
        </w:tc>
      </w:tr>
      <w:tr>
        <w:trPr/>
        <w:tc>
          <w:tcPr>
            <w:tcW w:w="976"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EXHIBIT</w:t>
            </w:r>
          </w:p>
          <w:p>
            <w:pPr>
              <w:pStyle w:val="TableHeading"/>
              <w:bidi w:val="0"/>
              <w:spacing w:before="0" w:after="30"/>
              <w:ind w:left="0" w:right="0" w:hanging="0"/>
              <w:jc w:val="center"/>
              <w:rPr>
                <w:rFonts w:ascii="Times New Roman;Times;serif" w:hAnsi="Times New Roman;Times;serif"/>
                <w:b/>
                <w:sz w:val="19"/>
              </w:rPr>
            </w:pPr>
            <w:r>
              <w:rPr>
                <w:rFonts w:ascii="Times New Roman;Times;serif" w:hAnsi="Times New Roman;Times;serif"/>
                <w:b/>
                <w:sz w:val="19"/>
              </w:rPr>
              <w:t>NUMBER</w:t>
            </w:r>
          </w:p>
        </w:tc>
        <w:tc>
          <w:tcPr>
            <w:tcW w:w="346" w:type="dxa"/>
            <w:tcBorders/>
            <w:vAlign w:val="center"/>
          </w:tcPr>
          <w:p>
            <w:pPr>
              <w:pStyle w:val="TableHeading"/>
              <w:bidi w:val="0"/>
              <w:spacing w:before="0" w:after="0"/>
              <w:ind w:left="0" w:right="0" w:hanging="0"/>
              <w:jc w:val="left"/>
              <w:rPr/>
            </w:pPr>
            <w:r>
              <w:rPr/>
              <w:t>  ​ ​ ​</w:t>
            </w:r>
          </w:p>
        </w:tc>
        <w:tc>
          <w:tcPr>
            <w:tcW w:w="8883" w:type="dxa"/>
            <w:tcBorders>
              <w:bottom w:val="single" w:sz="8" w:space="0" w:color="000000"/>
            </w:tcBorders>
            <w:tcMar>
              <w:bottom w:w="28" w:type="dxa"/>
            </w:tcMar>
            <w:vAlign w:val="center"/>
          </w:tcPr>
          <w:p>
            <w:pPr>
              <w:pStyle w:val="TableHeading"/>
              <w:bidi w:val="0"/>
              <w:spacing w:before="0" w:after="30"/>
              <w:ind w:left="0" w:right="0" w:hanging="0"/>
              <w:jc w:val="center"/>
              <w:rPr>
                <w:rFonts w:ascii="Times New Roman;Times;serif" w:hAnsi="Times New Roman;Times;serif"/>
                <w:b/>
                <w:sz w:val="19"/>
              </w:rPr>
            </w:pPr>
            <w:r>
              <w:rPr>
                <w:rFonts w:ascii="Times New Roman;Times;serif" w:hAnsi="Times New Roman;Times;serif"/>
                <w:b/>
                <w:sz w:val="19"/>
              </w:rPr>
              <w:t>DESCRIPTION</w:t>
            </w:r>
          </w:p>
        </w:tc>
      </w:tr>
      <w:tr>
        <w:trPr/>
        <w:tc>
          <w:tcPr>
            <w:tcW w:w="976" w:type="dxa"/>
            <w:tcBorders>
              <w:top w:val="single" w:sz="8" w:space="0" w:color="000000"/>
            </w:tcBorders>
            <w:shd w:fill="CCEEFF" w:val="clear"/>
            <w:tcMar>
              <w:top w:w="28" w:type="dxa"/>
            </w:tcM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3.1</w:t>
            </w:r>
          </w:p>
        </w:tc>
        <w:tc>
          <w:tcPr>
            <w:tcW w:w="346" w:type="dxa"/>
            <w:tcBorders/>
            <w:shd w:fill="CCEEFF" w:val="clear"/>
            <w:vAlign w:val="center"/>
          </w:tcPr>
          <w:p>
            <w:pPr>
              <w:pStyle w:val="TableContents"/>
              <w:bidi w:val="0"/>
              <w:spacing w:before="0" w:after="0"/>
              <w:ind w:left="0" w:right="0" w:hanging="0"/>
              <w:jc w:val="left"/>
              <w:rPr/>
            </w:pPr>
            <w:r>
              <w:rPr/>
              <w:t>​</w:t>
            </w:r>
          </w:p>
        </w:tc>
        <w:tc>
          <w:tcPr>
            <w:tcW w:w="8883" w:type="dxa"/>
            <w:tcBorders>
              <w:top w:val="single" w:sz="8" w:space="0" w:color="000000"/>
            </w:tcBorders>
            <w:shd w:fill="CCEEFF" w:val="clear"/>
            <w:tcMar>
              <w:top w:w="28" w:type="dxa"/>
            </w:tcMar>
            <w:vAlign w:val="center"/>
          </w:tcPr>
          <w:p>
            <w:pPr>
              <w:pStyle w:val="TableContents"/>
              <w:bidi w:val="0"/>
              <w:spacing w:before="0" w:after="30"/>
              <w:ind w:left="0" w:right="0" w:hanging="0"/>
              <w:jc w:val="left"/>
              <w:rPr/>
            </w:pPr>
            <w:hyperlink r:id="rId3">
              <w:r>
                <w:rPr>
                  <w:rStyle w:val="InternetLink"/>
                  <w:rFonts w:ascii="Times New Roman;Times;serif" w:hAnsi="Times New Roman;Times;serif"/>
                  <w:b w:val="false"/>
                  <w:i w:val="false"/>
                  <w:caps w:val="false"/>
                  <w:smallCaps w:val="false"/>
                  <w:sz w:val="20"/>
                </w:rPr>
                <w:t>Restated Articles of Incorporation (incorporated by reference to Exhibit 3.1 of our Quarterly Report on Form 10-Q filed February 8, 2023)</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3.3</w:t>
            </w:r>
          </w:p>
        </w:tc>
        <w:tc>
          <w:tcPr>
            <w:tcW w:w="346"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30"/>
              <w:ind w:left="0" w:right="0" w:hanging="0"/>
              <w:jc w:val="left"/>
              <w:rPr/>
            </w:pPr>
            <w:hyperlink r:id="rId4">
              <w:r>
                <w:rPr>
                  <w:rStyle w:val="InternetLink"/>
                  <w:rFonts w:ascii="Times New Roman;Times;serif" w:hAnsi="Times New Roman;Times;serif"/>
                  <w:b w:val="false"/>
                  <w:i w:val="false"/>
                  <w:caps w:val="false"/>
                  <w:smallCaps w:val="false"/>
                  <w:sz w:val="20"/>
                </w:rPr>
                <w:t>Amended and Restated Bylaws (incorporated by reference to Exhibit 3.3 of our Annual Report on Form 10-K filed September 13, 2023)</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4.1</w:t>
            </w:r>
          </w:p>
        </w:tc>
        <w:tc>
          <w:tcPr>
            <w:tcW w:w="346" w:type="dxa"/>
            <w:tcBorders/>
            <w:shd w:fill="CCEEFF" w:val="clear"/>
            <w:vAlign w:val="center"/>
          </w:tcPr>
          <w:p>
            <w:pPr>
              <w:pStyle w:val="TableContents"/>
              <w:bidi w:val="0"/>
              <w:spacing w:before="0" w:after="0"/>
              <w:ind w:left="0" w:right="0" w:hanging="0"/>
              <w:jc w:val="left"/>
              <w:rPr/>
            </w:pPr>
            <w:r>
              <w:rPr/>
              <w:t>​</w:t>
            </w:r>
          </w:p>
        </w:tc>
        <w:tc>
          <w:tcPr>
            <w:tcW w:w="8883" w:type="dxa"/>
            <w:tcBorders/>
            <w:shd w:fill="CCEEFF" w:val="clear"/>
            <w:vAlign w:val="center"/>
          </w:tcPr>
          <w:p>
            <w:pPr>
              <w:pStyle w:val="TableContents"/>
              <w:bidi w:val="0"/>
              <w:spacing w:before="0" w:after="30"/>
              <w:ind w:left="0" w:right="0" w:hanging="0"/>
              <w:jc w:val="left"/>
              <w:rPr/>
            </w:pPr>
            <w:hyperlink r:id="rId5">
              <w:r>
                <w:rPr>
                  <w:rStyle w:val="InternetLink"/>
                  <w:rFonts w:ascii="Times New Roman;Times;serif" w:hAnsi="Times New Roman;Times;serif"/>
                  <w:b w:val="false"/>
                  <w:i w:val="false"/>
                  <w:caps w:val="false"/>
                  <w:smallCaps w:val="false"/>
                  <w:sz w:val="20"/>
                </w:rPr>
                <w:t>Description of Evolution Petroleum Corporations, securities registered under Section 12 of the Exchange Act (incorporated by reference to our Registration of Securities on Form 8-A filed July 13, 2006)</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4.1.1</w:t>
            </w:r>
          </w:p>
        </w:tc>
        <w:tc>
          <w:tcPr>
            <w:tcW w:w="346"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30"/>
              <w:ind w:left="0" w:right="0" w:hanging="0"/>
              <w:jc w:val="left"/>
              <w:rPr/>
            </w:pPr>
            <w:hyperlink r:id="rId6">
              <w:r>
                <w:rPr>
                  <w:rStyle w:val="InternetLink"/>
                  <w:rFonts w:ascii="Times New Roman;Times;serif" w:hAnsi="Times New Roman;Times;serif"/>
                  <w:b w:val="false"/>
                  <w:i w:val="false"/>
                  <w:caps w:val="false"/>
                  <w:smallCaps w:val="false"/>
                  <w:sz w:val="20"/>
                </w:rPr>
                <w:t>Specimen form of the Company's Common Stock Certificate (incorporated by reference to Exhibit 4.7 of our Registration Statement on Form S-3 filed June 19, 2013)</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4.2</w:t>
            </w:r>
          </w:p>
        </w:tc>
        <w:tc>
          <w:tcPr>
            <w:tcW w:w="346" w:type="dxa"/>
            <w:tcBorders/>
            <w:shd w:fill="CCEEFF" w:val="clear"/>
            <w:vAlign w:val="center"/>
          </w:tcPr>
          <w:p>
            <w:pPr>
              <w:pStyle w:val="TableContents"/>
              <w:bidi w:val="0"/>
              <w:spacing w:before="0" w:after="0"/>
              <w:ind w:left="0" w:right="0" w:hanging="0"/>
              <w:jc w:val="left"/>
              <w:rPr/>
            </w:pPr>
            <w:r>
              <w:rPr/>
              <w:t>​</w:t>
            </w:r>
          </w:p>
        </w:tc>
        <w:tc>
          <w:tcPr>
            <w:tcW w:w="8883" w:type="dxa"/>
            <w:tcBorders/>
            <w:shd w:fill="CCEEFF" w:val="clear"/>
            <w:vAlign w:val="center"/>
          </w:tcPr>
          <w:p>
            <w:pPr>
              <w:pStyle w:val="TableContents"/>
              <w:bidi w:val="0"/>
              <w:spacing w:before="0" w:after="30"/>
              <w:ind w:left="0" w:right="0" w:hanging="0"/>
              <w:jc w:val="left"/>
              <w:rPr/>
            </w:pPr>
            <w:hyperlink r:id="rId7">
              <w:r>
                <w:rPr>
                  <w:rStyle w:val="InternetLink"/>
                  <w:rFonts w:ascii="Times New Roman;Times;serif" w:hAnsi="Times New Roman;Times;serif"/>
                  <w:b w:val="false"/>
                  <w:i w:val="false"/>
                  <w:caps w:val="false"/>
                  <w:smallCaps w:val="false"/>
                  <w:sz w:val="20"/>
                </w:rPr>
                <w:t>Majority Voting Policy for Directors (incorporated by reference to Exhibit 99.1 of our Current Report on Form 8-K filed October 31, 2012)</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8"/>
              </w:rPr>
            </w:pPr>
            <w:r>
              <w:rPr>
                <w:rFonts w:ascii="Times New Roman;Times;serif" w:hAnsi="Times New Roman;Times;serif"/>
                <w:sz w:val="19"/>
              </w:rPr>
              <w:t>4.3</w:t>
            </w:r>
            <w:r>
              <w:rPr>
                <w:rFonts w:ascii="Times New Roman;Times;serif" w:hAnsi="Times New Roman;Times;serif"/>
                <w:sz w:val="18"/>
              </w:rPr>
              <w:t>†</w:t>
            </w:r>
          </w:p>
        </w:tc>
        <w:tc>
          <w:tcPr>
            <w:tcW w:w="346"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30"/>
              <w:ind w:left="0" w:right="0" w:hanging="0"/>
              <w:jc w:val="left"/>
              <w:rPr/>
            </w:pPr>
            <w:hyperlink r:id="rId8">
              <w:r>
                <w:rPr>
                  <w:rStyle w:val="InternetLink"/>
                  <w:rFonts w:ascii="Times New Roman;Times;serif" w:hAnsi="Times New Roman;Times;serif"/>
                  <w:b w:val="false"/>
                  <w:i w:val="false"/>
                  <w:caps w:val="false"/>
                  <w:smallCaps w:val="false"/>
                  <w:sz w:val="20"/>
                </w:rPr>
                <w:t>2016 Equity Incentive Plan (incorporated by reference to Exhibit 10.1 of our Quarterly Report on Form 10-Q filed February 8, 2017)</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8"/>
              </w:rPr>
            </w:pPr>
            <w:r>
              <w:rPr>
                <w:rFonts w:ascii="Times New Roman;Times;serif" w:hAnsi="Times New Roman;Times;serif"/>
                <w:sz w:val="19"/>
              </w:rPr>
              <w:t>4.4</w:t>
            </w:r>
            <w:r>
              <w:rPr>
                <w:rFonts w:ascii="Times New Roman;Times;serif" w:hAnsi="Times New Roman;Times;serif"/>
                <w:sz w:val="18"/>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83" w:type="dxa"/>
            <w:tcBorders/>
            <w:shd w:fill="CCEEFF" w:val="clear"/>
            <w:vAlign w:val="center"/>
          </w:tcPr>
          <w:p>
            <w:pPr>
              <w:pStyle w:val="TableContents"/>
              <w:bidi w:val="0"/>
              <w:spacing w:before="0" w:after="30"/>
              <w:ind w:left="0" w:right="0" w:hanging="0"/>
              <w:jc w:val="left"/>
              <w:rPr/>
            </w:pPr>
            <w:hyperlink r:id="rId9">
              <w:r>
                <w:rPr>
                  <w:rStyle w:val="InternetLink"/>
                  <w:rFonts w:ascii="Times New Roman;Times;serif" w:hAnsi="Times New Roman;Times;serif"/>
                  <w:b w:val="false"/>
                  <w:i w:val="false"/>
                  <w:caps w:val="false"/>
                  <w:smallCaps w:val="false"/>
                  <w:sz w:val="20"/>
                </w:rPr>
                <w:t>Form of Restricted Stock Agreement under 2016 Equity Incentive Plan (incorporated by reference to Exhibit 4.1 of our Quarterly Report on Form 10-Q filed February 8, 2018)</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8"/>
              </w:rPr>
            </w:pPr>
            <w:r>
              <w:rPr>
                <w:rFonts w:ascii="Times New Roman;Times;serif" w:hAnsi="Times New Roman;Times;serif"/>
                <w:sz w:val="19"/>
              </w:rPr>
              <w:t>4.4.1</w:t>
            </w:r>
            <w:r>
              <w:rPr>
                <w:rFonts w:ascii="Times New Roman;Times;serif" w:hAnsi="Times New Roman;Times;serif"/>
                <w:sz w:val="18"/>
              </w:rPr>
              <w:t>†</w:t>
            </w:r>
          </w:p>
        </w:tc>
        <w:tc>
          <w:tcPr>
            <w:tcW w:w="346"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30"/>
              <w:ind w:left="0" w:right="0" w:hanging="0"/>
              <w:jc w:val="left"/>
              <w:rPr/>
            </w:pPr>
            <w:hyperlink r:id="rId10">
              <w:r>
                <w:rPr>
                  <w:rStyle w:val="InternetLink"/>
                  <w:rFonts w:ascii="Times New Roman;Times;serif" w:hAnsi="Times New Roman;Times;serif"/>
                  <w:b w:val="false"/>
                  <w:i w:val="false"/>
                  <w:caps w:val="false"/>
                  <w:smallCaps w:val="false"/>
                  <w:sz w:val="20"/>
                </w:rPr>
                <w:t>Form of Restricted Stock Agreement under 2016 Equity Incentive Plan as Revised on July 9, 2019 (incorporated by reference to Exhibit 4.12 of our Annual Report on Form 10-K filed September 13, 2019)</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8"/>
              </w:rPr>
            </w:pPr>
            <w:r>
              <w:rPr>
                <w:rFonts w:ascii="Times New Roman;Times;serif" w:hAnsi="Times New Roman;Times;serif"/>
                <w:sz w:val="19"/>
              </w:rPr>
              <w:t>4.4.2</w:t>
            </w:r>
            <w:r>
              <w:rPr>
                <w:rFonts w:ascii="Times New Roman;Times;serif" w:hAnsi="Times New Roman;Times;serif"/>
                <w:sz w:val="18"/>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83" w:type="dxa"/>
            <w:tcBorders/>
            <w:shd w:fill="CCEEFF" w:val="clear"/>
            <w:vAlign w:val="center"/>
          </w:tcPr>
          <w:p>
            <w:pPr>
              <w:pStyle w:val="TableContents"/>
              <w:bidi w:val="0"/>
              <w:spacing w:before="0" w:after="30"/>
              <w:ind w:left="0" w:right="0" w:hanging="0"/>
              <w:jc w:val="left"/>
              <w:rPr/>
            </w:pPr>
            <w:hyperlink r:id="rId11">
              <w:r>
                <w:rPr>
                  <w:rStyle w:val="InternetLink"/>
                  <w:rFonts w:ascii="Times New Roman;Times;serif" w:hAnsi="Times New Roman;Times;serif"/>
                  <w:b w:val="false"/>
                  <w:i w:val="false"/>
                  <w:caps w:val="false"/>
                  <w:smallCaps w:val="false"/>
                  <w:sz w:val="20"/>
                </w:rPr>
                <w:t>Form of Restricted Stock Agreement under 2016 Incentive Plan as revised on May 4, 2023 (incorporated by reference to Exhibit 4.4.2 of our Annual Report on Form 10-K filed September 13, 2023)</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8"/>
              </w:rPr>
            </w:pPr>
            <w:r>
              <w:rPr>
                <w:rFonts w:ascii="Times New Roman;Times;serif" w:hAnsi="Times New Roman;Times;serif"/>
                <w:sz w:val="19"/>
              </w:rPr>
              <w:t>4.5</w:t>
            </w:r>
            <w:r>
              <w:rPr>
                <w:rFonts w:ascii="Times New Roman;Times;serif" w:hAnsi="Times New Roman;Times;serif"/>
                <w:sz w:val="18"/>
              </w:rPr>
              <w:t>†</w:t>
            </w:r>
          </w:p>
        </w:tc>
        <w:tc>
          <w:tcPr>
            <w:tcW w:w="346"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30"/>
              <w:ind w:left="0" w:right="0" w:hanging="0"/>
              <w:jc w:val="left"/>
              <w:rPr/>
            </w:pPr>
            <w:hyperlink r:id="rId12">
              <w:r>
                <w:rPr>
                  <w:rStyle w:val="InternetLink"/>
                  <w:rFonts w:ascii="Times New Roman;Times;serif" w:hAnsi="Times New Roman;Times;serif"/>
                  <w:b w:val="false"/>
                  <w:i w:val="false"/>
                  <w:caps w:val="false"/>
                  <w:smallCaps w:val="false"/>
                  <w:sz w:val="20"/>
                </w:rPr>
                <w:t>Form of Contingent Restricted Stock Agreement under 2016 Equity Incentive Plan (incorporated by reference to Exhibit 4.2 of our Quarterly Report on Form 10-Q filed February 8, 2018)</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8"/>
              </w:rPr>
            </w:pPr>
            <w:r>
              <w:rPr>
                <w:rFonts w:ascii="Times New Roman;Times;serif" w:hAnsi="Times New Roman;Times;serif"/>
                <w:sz w:val="19"/>
              </w:rPr>
              <w:t>4.5.1</w:t>
            </w:r>
            <w:r>
              <w:rPr>
                <w:rFonts w:ascii="Times New Roman;Times;serif" w:hAnsi="Times New Roman;Times;serif"/>
                <w:sz w:val="18"/>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83" w:type="dxa"/>
            <w:tcBorders/>
            <w:shd w:fill="CCEEFF" w:val="clear"/>
            <w:vAlign w:val="center"/>
          </w:tcPr>
          <w:p>
            <w:pPr>
              <w:pStyle w:val="TableContents"/>
              <w:bidi w:val="0"/>
              <w:spacing w:before="0" w:after="30"/>
              <w:ind w:left="0" w:right="0" w:hanging="0"/>
              <w:jc w:val="left"/>
              <w:rPr/>
            </w:pPr>
            <w:hyperlink r:id="rId13">
              <w:r>
                <w:rPr>
                  <w:rStyle w:val="InternetLink"/>
                  <w:rFonts w:ascii="Times New Roman;Times;serif" w:hAnsi="Times New Roman;Times;serif"/>
                  <w:b w:val="false"/>
                  <w:i w:val="false"/>
                  <w:caps w:val="false"/>
                  <w:smallCaps w:val="false"/>
                  <w:sz w:val="20"/>
                </w:rPr>
                <w:t>Form of Contingent Restricted Stock Agreement under 2016 Equity Incentive Plan as revised on May 4, 2023 (incorporated by reference to Exhibit 4.5.1 of our Annual Report on Form 10-K filed September 13, 2023)</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8"/>
              </w:rPr>
            </w:pPr>
            <w:r>
              <w:rPr>
                <w:rFonts w:ascii="Times New Roman;Times;serif" w:hAnsi="Times New Roman;Times;serif"/>
                <w:sz w:val="19"/>
              </w:rPr>
              <w:t>4.6</w:t>
            </w:r>
            <w:r>
              <w:rPr>
                <w:rFonts w:ascii="Times New Roman;Times;serif" w:hAnsi="Times New Roman;Times;serif"/>
                <w:sz w:val="18"/>
              </w:rPr>
              <w:t>†</w:t>
            </w:r>
          </w:p>
        </w:tc>
        <w:tc>
          <w:tcPr>
            <w:tcW w:w="346"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30"/>
              <w:ind w:left="0" w:right="0" w:hanging="0"/>
              <w:jc w:val="left"/>
              <w:rPr/>
            </w:pPr>
            <w:hyperlink r:id="rId14">
              <w:r>
                <w:rPr>
                  <w:rStyle w:val="InternetLink"/>
                  <w:rFonts w:ascii="Times New Roman;Times;serif" w:hAnsi="Times New Roman;Times;serif"/>
                  <w:b w:val="false"/>
                  <w:i w:val="false"/>
                  <w:caps w:val="false"/>
                  <w:smallCaps w:val="false"/>
                  <w:sz w:val="20"/>
                </w:rPr>
                <w:t>Form of Performance Share Unit Award Agreement under 2016 Equity Incentive Plan as Revised on July 9, 2019 (incorporated by reference to Exhibit 4.13 of our Annual Report on Form 10-K filed September 13, 2019)</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8"/>
              </w:rPr>
            </w:pPr>
            <w:r>
              <w:rPr>
                <w:rFonts w:ascii="Times New Roman;Times;serif" w:hAnsi="Times New Roman;Times;serif"/>
                <w:sz w:val="19"/>
              </w:rPr>
              <w:t>4.7</w:t>
            </w:r>
            <w:r>
              <w:rPr>
                <w:rFonts w:ascii="Times New Roman;Times;serif" w:hAnsi="Times New Roman;Times;serif"/>
                <w:sz w:val="18"/>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83" w:type="dxa"/>
            <w:tcBorders/>
            <w:shd w:fill="CCEEFF" w:val="clear"/>
            <w:vAlign w:val="center"/>
          </w:tcPr>
          <w:p>
            <w:pPr>
              <w:pStyle w:val="TableContents"/>
              <w:bidi w:val="0"/>
              <w:spacing w:before="0" w:after="30"/>
              <w:ind w:left="0" w:right="0" w:hanging="0"/>
              <w:jc w:val="left"/>
              <w:rPr/>
            </w:pPr>
            <w:hyperlink r:id="rId15">
              <w:r>
                <w:rPr>
                  <w:rStyle w:val="InternetLink"/>
                  <w:rFonts w:ascii="Times New Roman;Times;serif" w:hAnsi="Times New Roman;Times;serif"/>
                  <w:b w:val="false"/>
                  <w:i w:val="false"/>
                  <w:caps w:val="false"/>
                  <w:smallCaps w:val="false"/>
                  <w:sz w:val="20"/>
                </w:rPr>
                <w:t>Amended and Restated 2016 Equity Incentive Plan (incorporated by reference to Exhibit 4.3 of our Quarterly Report on Form 10-Q filed February 12, 2025)</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10.1</w:t>
            </w:r>
          </w:p>
        </w:tc>
        <w:tc>
          <w:tcPr>
            <w:tcW w:w="346"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30"/>
              <w:ind w:left="0" w:right="0" w:hanging="0"/>
              <w:jc w:val="left"/>
              <w:rPr/>
            </w:pPr>
            <w:hyperlink r:id="rId16">
              <w:r>
                <w:rPr>
                  <w:rStyle w:val="InternetLink"/>
                  <w:rFonts w:ascii="Times New Roman;Times;serif" w:hAnsi="Times New Roman;Times;serif"/>
                  <w:b w:val="false"/>
                  <w:i w:val="false"/>
                  <w:caps w:val="false"/>
                  <w:smallCaps w:val="false"/>
                  <w:sz w:val="20"/>
                </w:rPr>
                <w:t>Form of Indemnification Agreement for Officers and Directors, as adopted on September 20, 2006 (incorporated by reference to Exhibit 10.1 of our Current Report on Form 8-K filed September 22, 2006)</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10.2</w:t>
            </w:r>
          </w:p>
        </w:tc>
        <w:tc>
          <w:tcPr>
            <w:tcW w:w="346" w:type="dxa"/>
            <w:tcBorders/>
            <w:shd w:fill="CCEEFF" w:val="clear"/>
            <w:vAlign w:val="center"/>
          </w:tcPr>
          <w:p>
            <w:pPr>
              <w:pStyle w:val="TableContents"/>
              <w:bidi w:val="0"/>
              <w:spacing w:before="0" w:after="0"/>
              <w:ind w:left="0" w:right="0" w:hanging="0"/>
              <w:jc w:val="left"/>
              <w:rPr/>
            </w:pPr>
            <w:r>
              <w:rPr/>
              <w:t>​</w:t>
            </w:r>
          </w:p>
        </w:tc>
        <w:tc>
          <w:tcPr>
            <w:tcW w:w="8883" w:type="dxa"/>
            <w:tcBorders/>
            <w:shd w:fill="CCEEFF" w:val="clear"/>
            <w:vAlign w:val="center"/>
          </w:tcPr>
          <w:p>
            <w:pPr>
              <w:pStyle w:val="TableContents"/>
              <w:bidi w:val="0"/>
              <w:spacing w:before="0" w:after="30"/>
              <w:ind w:left="0" w:right="0" w:hanging="0"/>
              <w:jc w:val="left"/>
              <w:rPr/>
            </w:pPr>
            <w:hyperlink r:id="rId17">
              <w:r>
                <w:rPr>
                  <w:rStyle w:val="InternetLink"/>
                  <w:rFonts w:ascii="Times New Roman;Times;serif" w:hAnsi="Times New Roman;Times;serif"/>
                  <w:b w:val="false"/>
                  <w:i w:val="false"/>
                  <w:caps w:val="false"/>
                  <w:smallCaps w:val="false"/>
                  <w:sz w:val="20"/>
                </w:rPr>
                <w:t>Amended and Restated Credit Agreement dated June 30, 2025 between Evolution Petroleum Corporation and MidFirst Bank (incorporated by reference to Exhibit 10.2 of our Current Report on Form 8-K filed July 2, 2025)</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10.2.1</w:t>
            </w:r>
          </w:p>
        </w:tc>
        <w:tc>
          <w:tcPr>
            <w:tcW w:w="346"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30"/>
              <w:ind w:left="0" w:right="0" w:hanging="0"/>
              <w:jc w:val="left"/>
              <w:rPr/>
            </w:pPr>
            <w:hyperlink r:id="rId18">
              <w:r>
                <w:rPr>
                  <w:rStyle w:val="InternetLink"/>
                  <w:rFonts w:ascii="Times New Roman;Times;serif" w:hAnsi="Times New Roman;Times;serif"/>
                  <w:b w:val="false"/>
                  <w:i w:val="false"/>
                  <w:caps w:val="false"/>
                  <w:smallCaps w:val="false"/>
                  <w:sz w:val="20"/>
                </w:rPr>
                <w:t>Letter Agreement to the Credit Agreement dated March 7, 2025 between Evolution Petroleum and MidFirst Bank (incorporated by reference to Exhibit 10.2.13 of our Quarterly Report on Form 10-Q filed May 14, 2025)</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10.2.2</w:t>
            </w:r>
          </w:p>
        </w:tc>
        <w:tc>
          <w:tcPr>
            <w:tcW w:w="346" w:type="dxa"/>
            <w:tcBorders/>
            <w:shd w:fill="CCEEFF" w:val="clear"/>
            <w:vAlign w:val="center"/>
          </w:tcPr>
          <w:p>
            <w:pPr>
              <w:pStyle w:val="TableContents"/>
              <w:bidi w:val="0"/>
              <w:spacing w:before="0" w:after="0"/>
              <w:ind w:left="0" w:right="0" w:hanging="0"/>
              <w:jc w:val="left"/>
              <w:rPr/>
            </w:pPr>
            <w:r>
              <w:rPr/>
              <w:t>​</w:t>
            </w:r>
          </w:p>
        </w:tc>
        <w:tc>
          <w:tcPr>
            <w:tcW w:w="8883" w:type="dxa"/>
            <w:tcBorders/>
            <w:shd w:fill="CCEEFF" w:val="clear"/>
            <w:vAlign w:val="center"/>
          </w:tcPr>
          <w:p>
            <w:pPr>
              <w:pStyle w:val="TableContents"/>
              <w:bidi w:val="0"/>
              <w:spacing w:before="0" w:after="30"/>
              <w:ind w:left="0" w:right="0" w:hanging="0"/>
              <w:jc w:val="left"/>
              <w:rPr/>
            </w:pPr>
            <w:hyperlink r:id="rId19">
              <w:r>
                <w:rPr>
                  <w:rStyle w:val="InternetLink"/>
                  <w:rFonts w:ascii="Times New Roman;Times;serif" w:hAnsi="Times New Roman;Times;serif"/>
                  <w:b w:val="false"/>
                  <w:i w:val="false"/>
                  <w:caps w:val="false"/>
                  <w:smallCaps w:val="false"/>
                  <w:sz w:val="20"/>
                </w:rPr>
                <w:t>Amendment to the Credit Agreement dated August 29, 2025, between Evolution Petroleum Corporation and MidFirst Bank</w:t>
              </w:r>
            </w:hyperlink>
            <w:hyperlink r:id="rId20">
              <w:r>
                <w:rPr>
                  <w:rStyle w:val="InternetLink"/>
                  <w:rFonts w:ascii="Times New Roman;Times;serif" w:hAnsi="Times New Roman;Times;serif"/>
                  <w:caps w:val="false"/>
                  <w:smallCaps w:val="false"/>
                  <w:sz w:val="20"/>
                </w:rPr>
                <w:t xml:space="preserve"> </w:t>
              </w:r>
            </w:hyperlink>
            <w:hyperlink r:id="rId21">
              <w:r>
                <w:rPr>
                  <w:rStyle w:val="InternetLink"/>
                  <w:rFonts w:ascii="Times New Roman;Times;serif" w:hAnsi="Times New Roman;Times;serif"/>
                  <w:b w:val="false"/>
                  <w:i w:val="false"/>
                  <w:caps w:val="false"/>
                  <w:smallCaps w:val="false"/>
                  <w:sz w:val="20"/>
                </w:rPr>
                <w:t>(incorporated by reference to Exhibit 10.2.2 of our Annual Report on Form 10-K filed September 17, 2025)</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10.2.3</w:t>
            </w:r>
          </w:p>
        </w:tc>
        <w:tc>
          <w:tcPr>
            <w:tcW w:w="346"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30"/>
              <w:ind w:left="0" w:right="0" w:hanging="0"/>
              <w:jc w:val="left"/>
              <w:rPr/>
            </w:pPr>
            <w:hyperlink r:id="rId22">
              <w:r>
                <w:rPr>
                  <w:rStyle w:val="InternetLink"/>
                  <w:rFonts w:ascii="Times New Roman;Times;serif" w:hAnsi="Times New Roman;Times;serif"/>
                  <w:b w:val="false"/>
                  <w:i w:val="false"/>
                  <w:caps w:val="false"/>
                  <w:smallCaps w:val="false"/>
                  <w:sz w:val="20"/>
                </w:rPr>
                <w:t>Letter Agreement to the Credit Agreement dated November 28, 2025 between Evolution Petroleum Corporation and MidFirst Bank (incorporated by reference to Exhibit 10.2.2 of our Quarterly Report on Form 10-Q filed February 11, 2026)</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10.2.4*</w:t>
            </w:r>
          </w:p>
        </w:tc>
        <w:tc>
          <w:tcPr>
            <w:tcW w:w="346" w:type="dxa"/>
            <w:tcBorders/>
            <w:shd w:fill="CCEEFF" w:val="clear"/>
            <w:vAlign w:val="center"/>
          </w:tcPr>
          <w:p>
            <w:pPr>
              <w:pStyle w:val="TableContents"/>
              <w:bidi w:val="0"/>
              <w:spacing w:before="0" w:after="0"/>
              <w:ind w:left="0" w:right="0" w:hanging="0"/>
              <w:jc w:val="left"/>
              <w:rPr/>
            </w:pPr>
            <w:r>
              <w:rPr/>
              <w:t>​</w:t>
            </w:r>
          </w:p>
        </w:tc>
        <w:tc>
          <w:tcPr>
            <w:tcW w:w="8883" w:type="dxa"/>
            <w:tcBorders/>
            <w:shd w:fill="CCEEFF" w:val="clear"/>
            <w:vAlign w:val="center"/>
          </w:tcPr>
          <w:p>
            <w:pPr>
              <w:pStyle w:val="TableContents"/>
              <w:bidi w:val="0"/>
              <w:spacing w:before="0" w:after="30"/>
              <w:ind w:left="0" w:right="0" w:hanging="0"/>
              <w:jc w:val="left"/>
              <w:rPr/>
            </w:pPr>
            <w:hyperlink w:anchor="epm-20260630xex10d24.htm">
              <w:r>
                <w:rPr>
                  <w:rStyle w:val="InternetLink"/>
                  <w:rFonts w:ascii="Times New Roman;Times;serif" w:hAnsi="Times New Roman;Times;serif"/>
                  <w:b w:val="false"/>
                  <w:i w:val="false"/>
                  <w:caps w:val="false"/>
                  <w:smallCaps w:val="false"/>
                  <w:sz w:val="20"/>
                </w:rPr>
                <w:t>Letter Agreement to the Credit Agreement dated August 20, 2026 between Evolution Petroleum Corporation and MidFirst Bank</w:t>
              </w:r>
            </w:hyperlink>
            <w:r>
              <w:rPr>
                <w:rFonts w:ascii="Times New Roman;Times;serif" w:hAnsi="Times New Roman;Times;serif"/>
                <w:sz w:val="20"/>
              </w:rPr>
              <w:t xml:space="preserve"> </w:t>
            </w:r>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10.3</w:t>
            </w:r>
          </w:p>
        </w:tc>
        <w:tc>
          <w:tcPr>
            <w:tcW w:w="346"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30"/>
              <w:ind w:left="0" w:right="0" w:hanging="0"/>
              <w:jc w:val="left"/>
              <w:rPr/>
            </w:pPr>
            <w:hyperlink r:id="rId23">
              <w:r>
                <w:rPr>
                  <w:rStyle w:val="InternetLink"/>
                  <w:rFonts w:ascii="Times New Roman;Times;serif" w:hAnsi="Times New Roman;Times;serif"/>
                  <w:b w:val="false"/>
                  <w:i w:val="false"/>
                  <w:caps w:val="false"/>
                  <w:smallCaps w:val="false"/>
                  <w:sz w:val="20"/>
                </w:rPr>
                <w:t>Settlement Agreement, dated June 24, 2016, by and among Denbury Onshore, LLC, Denbury Inc., NGS Sub Corp., Tertiaire Resources Company, and the Company (incorporated by reference to Exhibit 10.7 of our Annual Report on Form 10-K filed September 9, 2016)</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8"/>
              </w:rPr>
            </w:pPr>
            <w:r>
              <w:rPr>
                <w:rFonts w:ascii="Times New Roman;Times;serif" w:hAnsi="Times New Roman;Times;serif"/>
                <w:sz w:val="19"/>
              </w:rPr>
              <w:t>10.5</w:t>
            </w:r>
            <w:r>
              <w:rPr>
                <w:rFonts w:ascii="Times New Roman;Times;serif" w:hAnsi="Times New Roman;Times;serif"/>
                <w:sz w:val="18"/>
              </w:rPr>
              <w:t>†</w:t>
            </w:r>
          </w:p>
        </w:tc>
        <w:tc>
          <w:tcPr>
            <w:tcW w:w="346" w:type="dxa"/>
            <w:tcBorders/>
            <w:shd w:fill="CCEEFF" w:val="clear"/>
            <w:vAlign w:val="center"/>
          </w:tcPr>
          <w:p>
            <w:pPr>
              <w:pStyle w:val="TableContents"/>
              <w:bidi w:val="0"/>
              <w:spacing w:before="0" w:after="30"/>
              <w:ind w:left="0" w:right="0" w:hanging="0"/>
              <w:jc w:val="left"/>
              <w:rPr/>
            </w:pPr>
            <w:r>
              <w:rPr/>
              <w:t>​</w:t>
            </w:r>
          </w:p>
        </w:tc>
        <w:tc>
          <w:tcPr>
            <w:tcW w:w="8883" w:type="dxa"/>
            <w:tcBorders/>
            <w:shd w:fill="CCEEFF" w:val="clear"/>
            <w:vAlign w:val="center"/>
          </w:tcPr>
          <w:p>
            <w:pPr>
              <w:pStyle w:val="TableContents"/>
              <w:bidi w:val="0"/>
              <w:spacing w:before="0" w:after="30"/>
              <w:ind w:left="0" w:right="0" w:hanging="0"/>
              <w:jc w:val="left"/>
              <w:rPr/>
            </w:pPr>
            <w:hyperlink r:id="rId24">
              <w:r>
                <w:rPr>
                  <w:rStyle w:val="InternetLink"/>
                  <w:rFonts w:ascii="Times New Roman;Times;serif" w:hAnsi="Times New Roman;Times;serif"/>
                  <w:b w:val="false"/>
                  <w:i w:val="false"/>
                  <w:caps w:val="false"/>
                  <w:smallCaps w:val="false"/>
                  <w:sz w:val="20"/>
                </w:rPr>
                <w:t>Employment Offer Letter to Ryan Stash dated October 9, 2020 (incorporated by reference to Exhibit 10.12 of our Annual Report on Form 10-K filed September 14, 2021)</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976"/>
        <w:gridCol w:w="346"/>
        <w:gridCol w:w="8883"/>
      </w:tblGrid>
      <w:tr>
        <w:trPr/>
        <w:tc>
          <w:tcPr>
            <w:tcW w:w="976" w:type="dxa"/>
            <w:tcBorders/>
            <w:vAlign w:val="center"/>
          </w:tcPr>
          <w:p>
            <w:pPr>
              <w:pStyle w:val="TableHeading"/>
              <w:bidi w:val="0"/>
              <w:spacing w:before="0" w:after="30"/>
              <w:ind w:left="0" w:right="0" w:hanging="0"/>
              <w:jc w:val="center"/>
              <w:rPr/>
            </w:pPr>
            <w:r>
              <w:rPr/>
              <w:t>​</w:t>
            </w:r>
          </w:p>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8883" w:type="dxa"/>
            <w:tcBorders/>
            <w:vAlign w:val="center"/>
          </w:tcPr>
          <w:p>
            <w:pPr>
              <w:pStyle w:val="TableHeading"/>
              <w:bidi w:val="0"/>
              <w:spacing w:before="0" w:after="283"/>
              <w:ind w:left="0" w:right="0" w:hanging="0"/>
              <w:rPr>
                <w:sz w:val="4"/>
                <w:szCs w:val="4"/>
              </w:rPr>
            </w:pPr>
            <w:r>
              <w:rPr>
                <w:sz w:val="4"/>
                <w:szCs w:val="4"/>
              </w:rPr>
            </w:r>
          </w:p>
        </w:tc>
      </w:tr>
      <w:tr>
        <w:trPr/>
        <w:tc>
          <w:tcPr>
            <w:tcW w:w="976"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EXHIBIT</w:t>
            </w:r>
          </w:p>
          <w:p>
            <w:pPr>
              <w:pStyle w:val="TableHeading"/>
              <w:bidi w:val="0"/>
              <w:spacing w:before="0" w:after="30"/>
              <w:ind w:left="0" w:right="0" w:hanging="0"/>
              <w:jc w:val="center"/>
              <w:rPr>
                <w:rFonts w:ascii="Times New Roman;Times;serif" w:hAnsi="Times New Roman;Times;serif"/>
                <w:b/>
                <w:sz w:val="19"/>
              </w:rPr>
            </w:pPr>
            <w:r>
              <w:rPr>
                <w:rFonts w:ascii="Times New Roman;Times;serif" w:hAnsi="Times New Roman;Times;serif"/>
                <w:b/>
                <w:sz w:val="19"/>
              </w:rPr>
              <w:t>NUMBER</w:t>
            </w:r>
          </w:p>
        </w:tc>
        <w:tc>
          <w:tcPr>
            <w:tcW w:w="346" w:type="dxa"/>
            <w:tcBorders/>
            <w:vAlign w:val="center"/>
          </w:tcPr>
          <w:p>
            <w:pPr>
              <w:pStyle w:val="TableHeading"/>
              <w:bidi w:val="0"/>
              <w:spacing w:before="0" w:after="0"/>
              <w:ind w:left="0" w:right="0" w:hanging="0"/>
              <w:jc w:val="left"/>
              <w:rPr/>
            </w:pPr>
            <w:r>
              <w:rPr/>
              <w:t>  ​ ​ ​</w:t>
            </w:r>
          </w:p>
        </w:tc>
        <w:tc>
          <w:tcPr>
            <w:tcW w:w="8883" w:type="dxa"/>
            <w:tcBorders>
              <w:bottom w:val="single" w:sz="8" w:space="0" w:color="000000"/>
            </w:tcBorders>
            <w:tcMar>
              <w:bottom w:w="28" w:type="dxa"/>
            </w:tcMar>
            <w:vAlign w:val="center"/>
          </w:tcPr>
          <w:p>
            <w:pPr>
              <w:pStyle w:val="TableHeading"/>
              <w:bidi w:val="0"/>
              <w:spacing w:before="0" w:after="30"/>
              <w:ind w:left="0" w:right="0" w:hanging="0"/>
              <w:jc w:val="center"/>
              <w:rPr>
                <w:rFonts w:ascii="Times New Roman;Times;serif" w:hAnsi="Times New Roman;Times;serif"/>
                <w:b/>
                <w:sz w:val="19"/>
              </w:rPr>
            </w:pPr>
            <w:r>
              <w:rPr>
                <w:rFonts w:ascii="Times New Roman;Times;serif" w:hAnsi="Times New Roman;Times;serif"/>
                <w:b/>
                <w:sz w:val="19"/>
              </w:rPr>
              <w:t>DESCRIPTION</w:t>
            </w:r>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10.6</w:t>
            </w:r>
          </w:p>
        </w:tc>
        <w:tc>
          <w:tcPr>
            <w:tcW w:w="346" w:type="dxa"/>
            <w:tcBorders/>
            <w:vAlign w:val="center"/>
          </w:tcPr>
          <w:p>
            <w:pPr>
              <w:pStyle w:val="TableContents"/>
              <w:bidi w:val="0"/>
              <w:spacing w:before="0" w:after="30"/>
              <w:ind w:left="0" w:right="0" w:hanging="0"/>
              <w:jc w:val="left"/>
              <w:rPr/>
            </w:pPr>
            <w:r>
              <w:rPr/>
              <w:t>​</w:t>
            </w:r>
          </w:p>
        </w:tc>
        <w:tc>
          <w:tcPr>
            <w:tcW w:w="8883" w:type="dxa"/>
            <w:tcBorders/>
            <w:vAlign w:val="center"/>
          </w:tcPr>
          <w:p>
            <w:pPr>
              <w:pStyle w:val="TableContents"/>
              <w:bidi w:val="0"/>
              <w:spacing w:before="0" w:after="30"/>
              <w:ind w:left="0" w:right="0" w:hanging="0"/>
              <w:jc w:val="left"/>
              <w:rPr/>
            </w:pPr>
            <w:hyperlink r:id="rId25">
              <w:r>
                <w:rPr>
                  <w:rStyle w:val="InternetLink"/>
                  <w:rFonts w:ascii="Times New Roman;Times;serif" w:hAnsi="Times New Roman;Times;serif"/>
                  <w:b w:val="false"/>
                  <w:i w:val="false"/>
                  <w:caps w:val="false"/>
                  <w:smallCaps w:val="false"/>
                  <w:sz w:val="20"/>
                </w:rPr>
                <w:t>Purchase and Sale Agreement, dated March 29, 2021, between Evolution Petroleum Corporation and TG Barnett Resources LLP (incorporated by reference to Exhibit 10.1 of our Current Report on Form 8-K filed on May 11, 2021)</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10.6.1</w:t>
            </w:r>
          </w:p>
        </w:tc>
        <w:tc>
          <w:tcPr>
            <w:tcW w:w="346" w:type="dxa"/>
            <w:tcBorders/>
            <w:shd w:fill="CCEEFF" w:val="clear"/>
            <w:vAlign w:val="center"/>
          </w:tcPr>
          <w:p>
            <w:pPr>
              <w:pStyle w:val="TableContents"/>
              <w:bidi w:val="0"/>
              <w:spacing w:before="0" w:after="30"/>
              <w:ind w:left="0" w:right="0" w:hanging="0"/>
              <w:jc w:val="left"/>
              <w:rPr/>
            </w:pPr>
            <w:r>
              <w:rPr/>
              <w:t>​</w:t>
            </w:r>
          </w:p>
        </w:tc>
        <w:tc>
          <w:tcPr>
            <w:tcW w:w="8883" w:type="dxa"/>
            <w:tcBorders/>
            <w:shd w:fill="CCEEFF" w:val="clear"/>
            <w:vAlign w:val="center"/>
          </w:tcPr>
          <w:p>
            <w:pPr>
              <w:pStyle w:val="TableContents"/>
              <w:bidi w:val="0"/>
              <w:spacing w:before="0" w:after="30"/>
              <w:ind w:left="0" w:right="0" w:hanging="0"/>
              <w:jc w:val="left"/>
              <w:rPr/>
            </w:pPr>
            <w:hyperlink r:id="rId26">
              <w:r>
                <w:rPr>
                  <w:rStyle w:val="InternetLink"/>
                  <w:rFonts w:ascii="Times New Roman;Times;serif" w:hAnsi="Times New Roman;Times;serif"/>
                  <w:b w:val="false"/>
                  <w:i w:val="false"/>
                  <w:caps w:val="false"/>
                  <w:smallCaps w:val="false"/>
                  <w:sz w:val="20"/>
                </w:rPr>
                <w:t>First Amendment to the Purchase and Sale Agreement, dated March 29, 2021, effective April 20, 2021 (incorporated by reference to Exhibit 10.2 of our Current Report on Form 8-K filed on May 11, 2021)</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10.6.2</w:t>
            </w:r>
          </w:p>
        </w:tc>
        <w:tc>
          <w:tcPr>
            <w:tcW w:w="346" w:type="dxa"/>
            <w:tcBorders/>
            <w:vAlign w:val="center"/>
          </w:tcPr>
          <w:p>
            <w:pPr>
              <w:pStyle w:val="TableContents"/>
              <w:bidi w:val="0"/>
              <w:spacing w:before="0" w:after="30"/>
              <w:ind w:left="0" w:right="0" w:hanging="0"/>
              <w:jc w:val="left"/>
              <w:rPr/>
            </w:pPr>
            <w:r>
              <w:rPr/>
              <w:t>​</w:t>
            </w:r>
          </w:p>
        </w:tc>
        <w:tc>
          <w:tcPr>
            <w:tcW w:w="8883" w:type="dxa"/>
            <w:tcBorders/>
            <w:vAlign w:val="center"/>
          </w:tcPr>
          <w:p>
            <w:pPr>
              <w:pStyle w:val="TableContents"/>
              <w:bidi w:val="0"/>
              <w:spacing w:before="0" w:after="30"/>
              <w:ind w:left="0" w:right="0" w:hanging="0"/>
              <w:jc w:val="left"/>
              <w:rPr/>
            </w:pPr>
            <w:hyperlink r:id="rId27">
              <w:r>
                <w:rPr>
                  <w:rStyle w:val="InternetLink"/>
                  <w:rFonts w:ascii="Times New Roman;Times;serif" w:hAnsi="Times New Roman;Times;serif"/>
                  <w:b w:val="false"/>
                  <w:i w:val="false"/>
                  <w:caps w:val="false"/>
                  <w:smallCaps w:val="false"/>
                  <w:sz w:val="20"/>
                </w:rPr>
                <w:t>Second Amendment to the Purchase and Sale Agreement, dated March 29, 2021, effective May 4, 2021 (incorporated by reference to Exhibit 10.3 of our Current Report on Form 8-K filed on May 11, 2021)</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10.6.3</w:t>
            </w:r>
          </w:p>
        </w:tc>
        <w:tc>
          <w:tcPr>
            <w:tcW w:w="346" w:type="dxa"/>
            <w:tcBorders/>
            <w:shd w:fill="CCEEFF" w:val="clear"/>
            <w:vAlign w:val="center"/>
          </w:tcPr>
          <w:p>
            <w:pPr>
              <w:pStyle w:val="TableContents"/>
              <w:bidi w:val="0"/>
              <w:spacing w:before="0" w:after="30"/>
              <w:ind w:left="0" w:right="0" w:hanging="0"/>
              <w:jc w:val="left"/>
              <w:rPr/>
            </w:pPr>
            <w:r>
              <w:rPr/>
              <w:t>​</w:t>
            </w:r>
          </w:p>
        </w:tc>
        <w:tc>
          <w:tcPr>
            <w:tcW w:w="8883" w:type="dxa"/>
            <w:tcBorders/>
            <w:shd w:fill="CCEEFF" w:val="clear"/>
            <w:vAlign w:val="center"/>
          </w:tcPr>
          <w:p>
            <w:pPr>
              <w:pStyle w:val="TableContents"/>
              <w:bidi w:val="0"/>
              <w:spacing w:before="0" w:after="30"/>
              <w:ind w:left="0" w:right="0" w:hanging="0"/>
              <w:jc w:val="left"/>
              <w:rPr/>
            </w:pPr>
            <w:hyperlink r:id="rId28">
              <w:r>
                <w:rPr>
                  <w:rStyle w:val="InternetLink"/>
                  <w:rFonts w:ascii="Times New Roman;Times;serif" w:hAnsi="Times New Roman;Times;serif"/>
                  <w:b w:val="false"/>
                  <w:i w:val="false"/>
                  <w:caps w:val="false"/>
                  <w:smallCaps w:val="false"/>
                  <w:sz w:val="20"/>
                </w:rPr>
                <w:t>Third Amendment to the Purchase and Sale Agreement, dated March 29, 2021, effective May 6, 2021 (incorporated by reference to Exhibit 10.4 of our Current Report on Form 8-K filed on May 11, 2021)</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10.7</w:t>
            </w:r>
          </w:p>
        </w:tc>
        <w:tc>
          <w:tcPr>
            <w:tcW w:w="346"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100"/>
              <w:ind w:left="0" w:right="0" w:hanging="0"/>
              <w:jc w:val="left"/>
              <w:rPr/>
            </w:pPr>
            <w:hyperlink r:id="rId29">
              <w:r>
                <w:rPr>
                  <w:rStyle w:val="InternetLink"/>
                  <w:rFonts w:ascii="Times New Roman;Times;serif" w:hAnsi="Times New Roman;Times;serif"/>
                  <w:b w:val="false"/>
                  <w:i w:val="false"/>
                  <w:caps w:val="false"/>
                  <w:smallCaps w:val="false"/>
                  <w:sz w:val="20"/>
                </w:rPr>
                <w:t>Purchase and Sale Agreement, dated January 14, 2022, between Evolution Petroleum Corporation, Foundation Energy Fund VII-A, LP and Foundation Energy Management, LLC (incorporated by reference to Exhibit 10.6 our Quarterly Report on Form 10-Q filed May 12, 2022)</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10.8</w:t>
            </w:r>
          </w:p>
        </w:tc>
        <w:tc>
          <w:tcPr>
            <w:tcW w:w="346" w:type="dxa"/>
            <w:tcBorders/>
            <w:shd w:fill="CCEEFF" w:val="clear"/>
            <w:vAlign w:val="center"/>
          </w:tcPr>
          <w:p>
            <w:pPr>
              <w:pStyle w:val="TableContents"/>
              <w:bidi w:val="0"/>
              <w:spacing w:before="0" w:after="0"/>
              <w:ind w:left="0" w:right="0" w:hanging="0"/>
              <w:jc w:val="left"/>
              <w:rPr/>
            </w:pPr>
            <w:r>
              <w:rPr/>
              <w:t>​</w:t>
            </w:r>
          </w:p>
        </w:tc>
        <w:tc>
          <w:tcPr>
            <w:tcW w:w="8883" w:type="dxa"/>
            <w:tcBorders/>
            <w:shd w:fill="CCEEFF" w:val="clear"/>
            <w:vAlign w:val="center"/>
          </w:tcPr>
          <w:p>
            <w:pPr>
              <w:pStyle w:val="TableContents"/>
              <w:bidi w:val="0"/>
              <w:spacing w:before="0" w:after="100"/>
              <w:ind w:left="0" w:right="0" w:hanging="0"/>
              <w:jc w:val="left"/>
              <w:rPr/>
            </w:pPr>
            <w:hyperlink r:id="rId30">
              <w:r>
                <w:rPr>
                  <w:rStyle w:val="InternetLink"/>
                  <w:rFonts w:ascii="Times New Roman;Times;serif" w:hAnsi="Times New Roman;Times;serif"/>
                  <w:b w:val="false"/>
                  <w:i w:val="false"/>
                  <w:caps w:val="false"/>
                  <w:smallCaps w:val="false"/>
                  <w:sz w:val="20"/>
                </w:rPr>
                <w:t>Purchase and Sale Agreement, dated April 1, 2022, between Evolution Petroleum Corporation and Exaro Energy III, LL (incorporated by reference to Exhibit 10.7 of our Quarterly Report on Form 10-Q filed May 12, 2022)</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8"/>
              </w:rPr>
            </w:pPr>
            <w:r>
              <w:rPr>
                <w:rFonts w:ascii="Times New Roman;Times;serif" w:hAnsi="Times New Roman;Times;serif"/>
                <w:sz w:val="19"/>
              </w:rPr>
              <w:t>10.9</w:t>
            </w:r>
            <w:r>
              <w:rPr>
                <w:rFonts w:ascii="Times New Roman;Times;serif" w:hAnsi="Times New Roman;Times;serif"/>
                <w:sz w:val="18"/>
              </w:rPr>
              <w:t>†</w:t>
            </w:r>
          </w:p>
        </w:tc>
        <w:tc>
          <w:tcPr>
            <w:tcW w:w="346"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100"/>
              <w:ind w:left="0" w:right="0" w:hanging="0"/>
              <w:jc w:val="left"/>
              <w:rPr/>
            </w:pPr>
            <w:hyperlink r:id="rId31">
              <w:r>
                <w:rPr>
                  <w:rStyle w:val="InternetLink"/>
                  <w:rFonts w:ascii="Times New Roman;Times;serif" w:hAnsi="Times New Roman;Times;serif"/>
                  <w:b w:val="false"/>
                  <w:i w:val="false"/>
                  <w:caps w:val="false"/>
                  <w:smallCaps w:val="false"/>
                  <w:sz w:val="20"/>
                </w:rPr>
                <w:t>Employment Offer Letter to Kelly Loyd dated October 25, 2022 (incorporated by reference to Exhibit 10.9 of our Quarterly Report on Form 10-Q filed February 8, 2023)</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8"/>
              </w:rPr>
            </w:pPr>
            <w:r>
              <w:rPr>
                <w:rFonts w:ascii="Times New Roman;Times;serif" w:hAnsi="Times New Roman;Times;serif"/>
                <w:sz w:val="19"/>
              </w:rPr>
              <w:t>10.10</w:t>
            </w:r>
            <w:r>
              <w:rPr>
                <w:rFonts w:ascii="Times New Roman;Times;serif" w:hAnsi="Times New Roman;Times;serif"/>
                <w:sz w:val="18"/>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83" w:type="dxa"/>
            <w:tcBorders/>
            <w:shd w:fill="CCEEFF" w:val="clear"/>
            <w:vAlign w:val="center"/>
          </w:tcPr>
          <w:p>
            <w:pPr>
              <w:pStyle w:val="TableContents"/>
              <w:bidi w:val="0"/>
              <w:spacing w:before="0" w:after="100"/>
              <w:ind w:left="0" w:right="0" w:hanging="0"/>
              <w:jc w:val="left"/>
              <w:rPr/>
            </w:pPr>
            <w:hyperlink r:id="rId32">
              <w:r>
                <w:rPr>
                  <w:rStyle w:val="InternetLink"/>
                  <w:rFonts w:ascii="Times New Roman;Times;serif" w:hAnsi="Times New Roman;Times;serif"/>
                  <w:b w:val="false"/>
                  <w:i w:val="false"/>
                  <w:caps w:val="false"/>
                  <w:smallCaps w:val="false"/>
                  <w:sz w:val="20"/>
                </w:rPr>
                <w:t>Employment Offer Letter to J. Mark Bunch dated February 21, 2023 (incorporated by reference to Exhibit 10.10 of our Quarterly Report on Form 10-Q filed May 10, 2023)</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10.11</w:t>
            </w:r>
          </w:p>
        </w:tc>
        <w:tc>
          <w:tcPr>
            <w:tcW w:w="346"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100"/>
              <w:ind w:left="0" w:right="0" w:hanging="0"/>
              <w:jc w:val="left"/>
              <w:rPr/>
            </w:pPr>
            <w:hyperlink r:id="rId33">
              <w:r>
                <w:rPr>
                  <w:rStyle w:val="InternetLink"/>
                  <w:rFonts w:ascii="Times New Roman;Times;serif" w:hAnsi="Times New Roman;Times;serif"/>
                  <w:b w:val="false"/>
                  <w:i w:val="false"/>
                  <w:caps w:val="false"/>
                  <w:smallCaps w:val="false"/>
                  <w:sz w:val="20"/>
                </w:rPr>
                <w:t>Purchase and Sale Agreement, dated February 12, 2024, between Evolution Petroleum Corporation and Red Sky Resources III, LLC (incorporated by reference to Exhibit 10.11 of our Quarterly Report on Form 10-Q filed May 8, 2024)</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10.12</w:t>
            </w:r>
          </w:p>
        </w:tc>
        <w:tc>
          <w:tcPr>
            <w:tcW w:w="346" w:type="dxa"/>
            <w:tcBorders/>
            <w:shd w:fill="CCEEFF" w:val="clear"/>
            <w:vAlign w:val="center"/>
          </w:tcPr>
          <w:p>
            <w:pPr>
              <w:pStyle w:val="TableContents"/>
              <w:bidi w:val="0"/>
              <w:spacing w:before="0" w:after="0"/>
              <w:ind w:left="0" w:right="0" w:hanging="0"/>
              <w:jc w:val="left"/>
              <w:rPr/>
            </w:pPr>
            <w:r>
              <w:rPr/>
              <w:t>​</w:t>
            </w:r>
          </w:p>
        </w:tc>
        <w:tc>
          <w:tcPr>
            <w:tcW w:w="8883" w:type="dxa"/>
            <w:tcBorders/>
            <w:shd w:fill="CCEEFF" w:val="clear"/>
            <w:vAlign w:val="center"/>
          </w:tcPr>
          <w:p>
            <w:pPr>
              <w:pStyle w:val="TableContents"/>
              <w:bidi w:val="0"/>
              <w:spacing w:before="0" w:after="100"/>
              <w:ind w:left="0" w:right="0" w:hanging="0"/>
              <w:jc w:val="left"/>
              <w:rPr/>
            </w:pPr>
            <w:hyperlink r:id="rId34">
              <w:r>
                <w:rPr>
                  <w:rStyle w:val="InternetLink"/>
                  <w:rFonts w:ascii="Times New Roman;Times;serif" w:hAnsi="Times New Roman;Times;serif"/>
                  <w:b w:val="false"/>
                  <w:i w:val="false"/>
                  <w:caps w:val="false"/>
                  <w:smallCaps w:val="false"/>
                  <w:sz w:val="20"/>
                </w:rPr>
                <w:t>Purchase and Sale Agreement, dated February 12, 2024, between Evolution Petroleum Corporation and Red Sky Resources IV, LLC (incorporated by reference to Exhibit 10.12 of our Quarterly Report on Form 10-Q filed May 8, 2024)</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10.13</w:t>
            </w:r>
          </w:p>
        </w:tc>
        <w:tc>
          <w:tcPr>
            <w:tcW w:w="346"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100"/>
              <w:ind w:left="0" w:right="0" w:hanging="0"/>
              <w:jc w:val="left"/>
              <w:rPr/>
            </w:pPr>
            <w:hyperlink r:id="rId35">
              <w:r>
                <w:rPr>
                  <w:rStyle w:val="InternetLink"/>
                  <w:rFonts w:ascii="Times New Roman;Times;serif" w:hAnsi="Times New Roman;Times;serif"/>
                  <w:b w:val="false"/>
                  <w:i w:val="false"/>
                  <w:caps w:val="false"/>
                  <w:smallCaps w:val="false"/>
                  <w:sz w:val="20"/>
                </w:rPr>
                <w:t>Purchase and Sale Agreement, dated February 12, 2024, between Evolution Petroleum Corporation and Coriolis Energy Partners I, LLC (incorporated by reference to Exhibit 10.13 of our Quarterly Report on Form 10-Q filed May 8, 2024)</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10.14</w:t>
            </w:r>
          </w:p>
        </w:tc>
        <w:tc>
          <w:tcPr>
            <w:tcW w:w="346" w:type="dxa"/>
            <w:tcBorders/>
            <w:shd w:fill="CCEEFF" w:val="clear"/>
            <w:vAlign w:val="center"/>
          </w:tcPr>
          <w:p>
            <w:pPr>
              <w:pStyle w:val="TableContents"/>
              <w:bidi w:val="0"/>
              <w:spacing w:before="0" w:after="0"/>
              <w:ind w:left="0" w:right="0" w:hanging="0"/>
              <w:jc w:val="left"/>
              <w:rPr/>
            </w:pPr>
            <w:r>
              <w:rPr/>
              <w:t>​</w:t>
            </w:r>
          </w:p>
        </w:tc>
        <w:tc>
          <w:tcPr>
            <w:tcW w:w="8883" w:type="dxa"/>
            <w:tcBorders/>
            <w:shd w:fill="CCEEFF" w:val="clear"/>
            <w:vAlign w:val="center"/>
          </w:tcPr>
          <w:p>
            <w:pPr>
              <w:pStyle w:val="TableContents"/>
              <w:bidi w:val="0"/>
              <w:spacing w:before="0" w:after="100"/>
              <w:ind w:left="0" w:right="0" w:hanging="0"/>
              <w:jc w:val="left"/>
              <w:rPr/>
            </w:pPr>
            <w:hyperlink r:id="rId36">
              <w:r>
                <w:rPr>
                  <w:rStyle w:val="InternetLink"/>
                  <w:rFonts w:ascii="Times New Roman;Times;serif" w:hAnsi="Times New Roman;Times;serif"/>
                  <w:b w:val="false"/>
                  <w:i w:val="false"/>
                  <w:caps w:val="false"/>
                  <w:smallCaps w:val="false"/>
                  <w:sz w:val="20"/>
                </w:rPr>
                <w:t>Sales Agreement, dated as of October 21, 2024, by and among the Company, Roth Capital Partners, LLC, Northland Securities Inc. and A.G.P./Alliance Global Partners (incorporated by reference to Exhibit 1.1 of our Current Report on Form 8-K filed October 21, 2024)</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10.15</w:t>
            </w:r>
          </w:p>
        </w:tc>
        <w:tc>
          <w:tcPr>
            <w:tcW w:w="346"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100"/>
              <w:ind w:left="0" w:right="0" w:hanging="0"/>
              <w:jc w:val="left"/>
              <w:rPr/>
            </w:pPr>
            <w:hyperlink r:id="rId37">
              <w:r>
                <w:rPr>
                  <w:rStyle w:val="InternetLink"/>
                  <w:rFonts w:ascii="Times New Roman;Times;serif" w:hAnsi="Times New Roman;Times;serif"/>
                  <w:b w:val="false"/>
                  <w:i w:val="false"/>
                  <w:caps w:val="false"/>
                  <w:smallCaps w:val="false"/>
                  <w:sz w:val="20"/>
                </w:rPr>
                <w:t>Sales Agreement, dated as of February 11, 2026 by and among the Company, Roth Capital Partners, LLC, Northland Securities Inc. and A.G.P./Alliance Global Partners (incorporated by reference to Exhibit 1.1 of our Current Report on Form 8-K filed February 11, 2026)</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10.16</w:t>
            </w:r>
          </w:p>
        </w:tc>
        <w:tc>
          <w:tcPr>
            <w:tcW w:w="346" w:type="dxa"/>
            <w:tcBorders/>
            <w:shd w:fill="CCEEFF" w:val="clear"/>
            <w:vAlign w:val="center"/>
          </w:tcPr>
          <w:p>
            <w:pPr>
              <w:pStyle w:val="TableContents"/>
              <w:bidi w:val="0"/>
              <w:spacing w:before="0" w:after="0"/>
              <w:ind w:left="0" w:right="0" w:hanging="0"/>
              <w:jc w:val="left"/>
              <w:rPr/>
            </w:pPr>
            <w:r>
              <w:rPr/>
              <w:t>​</w:t>
            </w:r>
          </w:p>
        </w:tc>
        <w:tc>
          <w:tcPr>
            <w:tcW w:w="8883" w:type="dxa"/>
            <w:tcBorders/>
            <w:shd w:fill="CCEEFF" w:val="clear"/>
            <w:vAlign w:val="center"/>
          </w:tcPr>
          <w:p>
            <w:pPr>
              <w:pStyle w:val="TableContents"/>
              <w:bidi w:val="0"/>
              <w:spacing w:before="0" w:after="100"/>
              <w:ind w:left="0" w:right="0" w:hanging="0"/>
              <w:jc w:val="left"/>
              <w:rPr/>
            </w:pPr>
            <w:hyperlink r:id="rId38">
              <w:r>
                <w:rPr>
                  <w:rStyle w:val="InternetLink"/>
                  <w:rFonts w:ascii="Times New Roman;Times;serif" w:hAnsi="Times New Roman;Times;serif"/>
                  <w:b w:val="false"/>
                  <w:i w:val="false"/>
                  <w:caps w:val="false"/>
                  <w:smallCaps w:val="false"/>
                  <w:sz w:val="20"/>
                </w:rPr>
                <w:t>Underwriting Agreement dated August 18, 2026 by and among the Company and Roth Capital Partners, LLC as representatives of the several underwriters (incorporated by reference to Exhibit 1.1 of our Current Report on Form 8-K filed August 20, 2026)</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14.1</w:t>
            </w:r>
          </w:p>
        </w:tc>
        <w:tc>
          <w:tcPr>
            <w:tcW w:w="346"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30"/>
              <w:ind w:left="0" w:right="0" w:hanging="0"/>
              <w:jc w:val="left"/>
              <w:rPr/>
            </w:pPr>
            <w:hyperlink r:id="rId39">
              <w:r>
                <w:rPr>
                  <w:rStyle w:val="InternetLink"/>
                  <w:rFonts w:ascii="Times New Roman;Times;serif" w:hAnsi="Times New Roman;Times;serif"/>
                  <w:b w:val="false"/>
                  <w:i w:val="false"/>
                  <w:caps w:val="false"/>
                  <w:smallCaps w:val="false"/>
                  <w:sz w:val="20"/>
                </w:rPr>
                <w:t>Code of Business Conduct and Ethics (incorporated by reference to Exhibit 14.1 of our Annual Report on Form 10-K filed September 14, 2021)</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19.1</w:t>
            </w:r>
          </w:p>
        </w:tc>
        <w:tc>
          <w:tcPr>
            <w:tcW w:w="346" w:type="dxa"/>
            <w:tcBorders/>
            <w:shd w:fill="CCEEFF" w:val="clear"/>
            <w:vAlign w:val="center"/>
          </w:tcPr>
          <w:p>
            <w:pPr>
              <w:pStyle w:val="TableContents"/>
              <w:bidi w:val="0"/>
              <w:spacing w:before="0" w:after="0"/>
              <w:ind w:left="0" w:right="0" w:hanging="0"/>
              <w:jc w:val="left"/>
              <w:rPr/>
            </w:pPr>
            <w:r>
              <w:rPr/>
              <w:t>​</w:t>
            </w:r>
          </w:p>
        </w:tc>
        <w:tc>
          <w:tcPr>
            <w:tcW w:w="8883" w:type="dxa"/>
            <w:tcBorders/>
            <w:shd w:fill="CCEEFF" w:val="clear"/>
            <w:vAlign w:val="center"/>
          </w:tcPr>
          <w:p>
            <w:pPr>
              <w:pStyle w:val="TableContents"/>
              <w:bidi w:val="0"/>
              <w:spacing w:before="0" w:after="30"/>
              <w:ind w:left="0" w:right="0" w:hanging="0"/>
              <w:jc w:val="left"/>
              <w:rPr/>
            </w:pPr>
            <w:hyperlink r:id="rId40">
              <w:r>
                <w:rPr>
                  <w:rStyle w:val="InternetLink"/>
                  <w:rFonts w:ascii="Times New Roman;Times;serif" w:hAnsi="Times New Roman;Times;serif"/>
                  <w:b w:val="false"/>
                  <w:i w:val="false"/>
                  <w:caps w:val="false"/>
                  <w:smallCaps w:val="false"/>
                  <w:sz w:val="20"/>
                </w:rPr>
                <w:t>Insider Trading Policy</w:t>
              </w:r>
            </w:hyperlink>
            <w:hyperlink r:id="rId41">
              <w:r>
                <w:rPr>
                  <w:rStyle w:val="InternetLink"/>
                  <w:rFonts w:ascii="Times New Roman;Times;serif" w:hAnsi="Times New Roman;Times;serif"/>
                  <w:caps w:val="false"/>
                  <w:smallCaps w:val="false"/>
                  <w:sz w:val="20"/>
                </w:rPr>
                <w:t xml:space="preserve"> </w:t>
              </w:r>
            </w:hyperlink>
            <w:hyperlink r:id="rId42">
              <w:r>
                <w:rPr>
                  <w:rStyle w:val="InternetLink"/>
                  <w:rFonts w:ascii="Times New Roman;Times;serif" w:hAnsi="Times New Roman;Times;serif"/>
                  <w:b w:val="false"/>
                  <w:i w:val="false"/>
                  <w:caps w:val="false"/>
                  <w:smallCaps w:val="false"/>
                  <w:sz w:val="20"/>
                </w:rPr>
                <w:t>(incorporated by reference to Exhibit 19.1 of our Annual Report on Form 10-K filed September 17, 2025</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21.1*</w:t>
            </w:r>
          </w:p>
        </w:tc>
        <w:tc>
          <w:tcPr>
            <w:tcW w:w="346"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30"/>
              <w:ind w:left="0" w:right="0" w:hanging="0"/>
              <w:jc w:val="left"/>
              <w:rPr/>
            </w:pPr>
            <w:hyperlink w:anchor="epm-20260630xex21d1.htm">
              <w:r>
                <w:rPr>
                  <w:rStyle w:val="InternetLink"/>
                  <w:rFonts w:ascii="Times New Roman;Times;serif" w:hAnsi="Times New Roman;Times;serif"/>
                  <w:b w:val="false"/>
                  <w:i w:val="false"/>
                  <w:caps w:val="false"/>
                  <w:smallCaps w:val="false"/>
                  <w:sz w:val="20"/>
                </w:rPr>
                <w:t>List of Subsidiaries of Evolution Petroleum Corporation</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23.1*</w:t>
            </w:r>
          </w:p>
        </w:tc>
        <w:tc>
          <w:tcPr>
            <w:tcW w:w="346" w:type="dxa"/>
            <w:tcBorders/>
            <w:shd w:fill="CCEEFF" w:val="clear"/>
            <w:vAlign w:val="center"/>
          </w:tcPr>
          <w:p>
            <w:pPr>
              <w:pStyle w:val="TableContents"/>
              <w:bidi w:val="0"/>
              <w:spacing w:before="0" w:after="0"/>
              <w:ind w:left="0" w:right="0" w:hanging="0"/>
              <w:jc w:val="left"/>
              <w:rPr/>
            </w:pPr>
            <w:r>
              <w:rPr/>
              <w:t>​</w:t>
            </w:r>
          </w:p>
        </w:tc>
        <w:tc>
          <w:tcPr>
            <w:tcW w:w="8883" w:type="dxa"/>
            <w:tcBorders/>
            <w:shd w:fill="CCEEFF" w:val="clear"/>
            <w:vAlign w:val="center"/>
          </w:tcPr>
          <w:p>
            <w:pPr>
              <w:pStyle w:val="TableContents"/>
              <w:bidi w:val="0"/>
              <w:spacing w:before="0" w:after="30"/>
              <w:ind w:left="0" w:right="0" w:hanging="0"/>
              <w:jc w:val="left"/>
              <w:rPr/>
            </w:pPr>
            <w:hyperlink w:anchor="epm-20260630xex23d1.htm">
              <w:r>
                <w:rPr>
                  <w:rStyle w:val="InternetLink"/>
                  <w:rFonts w:ascii="Times New Roman;Times;serif" w:hAnsi="Times New Roman;Times;serif"/>
                  <w:b w:val="false"/>
                  <w:i w:val="false"/>
                  <w:caps w:val="false"/>
                  <w:smallCaps w:val="false"/>
                  <w:sz w:val="20"/>
                </w:rPr>
                <w:t>Consent of Baker Tilly US, LLP</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23.2*</w:t>
            </w:r>
          </w:p>
        </w:tc>
        <w:tc>
          <w:tcPr>
            <w:tcW w:w="346"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30"/>
              <w:ind w:left="0" w:right="0" w:hanging="0"/>
              <w:jc w:val="left"/>
              <w:rPr/>
            </w:pPr>
            <w:hyperlink w:anchor="epm-20260630xex23d2.htm">
              <w:r>
                <w:rPr>
                  <w:rStyle w:val="InternetLink"/>
                  <w:rFonts w:ascii="Times New Roman;Times;serif" w:hAnsi="Times New Roman;Times;serif"/>
                  <w:b w:val="false"/>
                  <w:i w:val="false"/>
                  <w:caps w:val="false"/>
                  <w:smallCaps w:val="false"/>
                  <w:sz w:val="20"/>
                </w:rPr>
                <w:t>Consent of Cawley, Gillespie and Associates, Inc.</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23.3*</w:t>
            </w:r>
          </w:p>
        </w:tc>
        <w:tc>
          <w:tcPr>
            <w:tcW w:w="346" w:type="dxa"/>
            <w:tcBorders/>
            <w:shd w:fill="CCEEFF" w:val="clear"/>
            <w:vAlign w:val="center"/>
          </w:tcPr>
          <w:p>
            <w:pPr>
              <w:pStyle w:val="TableContents"/>
              <w:bidi w:val="0"/>
              <w:spacing w:before="0" w:after="0"/>
              <w:ind w:left="0" w:right="0" w:hanging="0"/>
              <w:jc w:val="left"/>
              <w:rPr/>
            </w:pPr>
            <w:r>
              <w:rPr/>
              <w:t>​</w:t>
            </w:r>
          </w:p>
        </w:tc>
        <w:tc>
          <w:tcPr>
            <w:tcW w:w="8883" w:type="dxa"/>
            <w:tcBorders/>
            <w:shd w:fill="CCEEFF" w:val="clear"/>
            <w:vAlign w:val="center"/>
          </w:tcPr>
          <w:p>
            <w:pPr>
              <w:pStyle w:val="TableContents"/>
              <w:bidi w:val="0"/>
              <w:spacing w:before="0" w:after="30"/>
              <w:ind w:left="0" w:right="0" w:hanging="0"/>
              <w:jc w:val="left"/>
              <w:rPr/>
            </w:pPr>
            <w:hyperlink w:anchor="epm-20260630xex23d3.htm">
              <w:r>
                <w:rPr>
                  <w:rStyle w:val="InternetLink"/>
                  <w:rFonts w:ascii="Times New Roman;Times;serif" w:hAnsi="Times New Roman;Times;serif"/>
                  <w:b w:val="false"/>
                  <w:i w:val="false"/>
                  <w:caps w:val="false"/>
                  <w:smallCaps w:val="false"/>
                  <w:sz w:val="20"/>
                </w:rPr>
                <w:t>Consent of DeGolyer &amp; MacNaughton</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31.1*</w:t>
            </w:r>
          </w:p>
        </w:tc>
        <w:tc>
          <w:tcPr>
            <w:tcW w:w="346"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30"/>
              <w:ind w:left="0" w:right="0" w:hanging="0"/>
              <w:jc w:val="left"/>
              <w:rPr/>
            </w:pPr>
            <w:hyperlink w:anchor="epm-20260630xex31d1.htm">
              <w:r>
                <w:rPr>
                  <w:rStyle w:val="InternetLink"/>
                  <w:rFonts w:ascii="Times New Roman;Times;serif" w:hAnsi="Times New Roman;Times;serif"/>
                  <w:b w:val="false"/>
                  <w:i w:val="false"/>
                  <w:caps w:val="false"/>
                  <w:smallCaps w:val="false"/>
                  <w:sz w:val="20"/>
                </w:rPr>
                <w:t>Certification of Principal Executive Officer Pursuant to Rule 15D-14 of the Securities Exchange Act of 1934, as Amended as Adopted Pursuant to Section 302 of the Sarbanes-Oxley Act of 2002</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976"/>
        <w:gridCol w:w="346"/>
        <w:gridCol w:w="8883"/>
      </w:tblGrid>
      <w:tr>
        <w:trPr/>
        <w:tc>
          <w:tcPr>
            <w:tcW w:w="976" w:type="dxa"/>
            <w:tcBorders/>
            <w:vAlign w:val="center"/>
          </w:tcPr>
          <w:p>
            <w:pPr>
              <w:pStyle w:val="TableHeading"/>
              <w:bidi w:val="0"/>
              <w:spacing w:before="0" w:after="30"/>
              <w:ind w:left="0" w:right="0" w:hanging="0"/>
              <w:jc w:val="center"/>
              <w:rPr/>
            </w:pPr>
            <w:r>
              <w:rPr/>
              <w:t>​</w:t>
            </w:r>
          </w:p>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8883" w:type="dxa"/>
            <w:tcBorders/>
            <w:vAlign w:val="center"/>
          </w:tcPr>
          <w:p>
            <w:pPr>
              <w:pStyle w:val="TableHeading"/>
              <w:bidi w:val="0"/>
              <w:spacing w:before="0" w:after="283"/>
              <w:ind w:left="0" w:right="0" w:hanging="0"/>
              <w:rPr>
                <w:sz w:val="4"/>
                <w:szCs w:val="4"/>
              </w:rPr>
            </w:pPr>
            <w:r>
              <w:rPr>
                <w:sz w:val="4"/>
                <w:szCs w:val="4"/>
              </w:rPr>
            </w:r>
          </w:p>
        </w:tc>
      </w:tr>
      <w:tr>
        <w:trPr/>
        <w:tc>
          <w:tcPr>
            <w:tcW w:w="976"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EXHIBIT</w:t>
            </w:r>
          </w:p>
          <w:p>
            <w:pPr>
              <w:pStyle w:val="TableHeading"/>
              <w:bidi w:val="0"/>
              <w:spacing w:before="0" w:after="30"/>
              <w:ind w:left="0" w:right="0" w:hanging="0"/>
              <w:jc w:val="center"/>
              <w:rPr>
                <w:rFonts w:ascii="Times New Roman;Times;serif" w:hAnsi="Times New Roman;Times;serif"/>
                <w:b/>
                <w:sz w:val="19"/>
              </w:rPr>
            </w:pPr>
            <w:r>
              <w:rPr>
                <w:rFonts w:ascii="Times New Roman;Times;serif" w:hAnsi="Times New Roman;Times;serif"/>
                <w:b/>
                <w:sz w:val="19"/>
              </w:rPr>
              <w:t>NUMBER</w:t>
            </w:r>
          </w:p>
        </w:tc>
        <w:tc>
          <w:tcPr>
            <w:tcW w:w="346" w:type="dxa"/>
            <w:tcBorders/>
            <w:vAlign w:val="center"/>
          </w:tcPr>
          <w:p>
            <w:pPr>
              <w:pStyle w:val="TableHeading"/>
              <w:bidi w:val="0"/>
              <w:spacing w:before="0" w:after="0"/>
              <w:ind w:left="0" w:right="0" w:hanging="0"/>
              <w:jc w:val="left"/>
              <w:rPr/>
            </w:pPr>
            <w:r>
              <w:rPr/>
              <w:t>  ​ ​ ​</w:t>
            </w:r>
          </w:p>
        </w:tc>
        <w:tc>
          <w:tcPr>
            <w:tcW w:w="8883" w:type="dxa"/>
            <w:tcBorders>
              <w:bottom w:val="single" w:sz="8" w:space="0" w:color="000000"/>
            </w:tcBorders>
            <w:tcMar>
              <w:bottom w:w="28" w:type="dxa"/>
            </w:tcMar>
            <w:vAlign w:val="center"/>
          </w:tcPr>
          <w:p>
            <w:pPr>
              <w:pStyle w:val="TableHeading"/>
              <w:bidi w:val="0"/>
              <w:spacing w:before="0" w:after="30"/>
              <w:ind w:left="0" w:right="0" w:hanging="0"/>
              <w:jc w:val="center"/>
              <w:rPr>
                <w:rFonts w:ascii="Times New Roman;Times;serif" w:hAnsi="Times New Roman;Times;serif"/>
                <w:b/>
                <w:sz w:val="19"/>
              </w:rPr>
            </w:pPr>
            <w:r>
              <w:rPr>
                <w:rFonts w:ascii="Times New Roman;Times;serif" w:hAnsi="Times New Roman;Times;serif"/>
                <w:b/>
                <w:sz w:val="19"/>
              </w:rPr>
              <w:t>DESCRIPTION</w:t>
            </w:r>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31.2*</w:t>
            </w:r>
          </w:p>
        </w:tc>
        <w:tc>
          <w:tcPr>
            <w:tcW w:w="346" w:type="dxa"/>
            <w:tcBorders/>
            <w:shd w:fill="CCEEFF" w:val="clear"/>
            <w:vAlign w:val="center"/>
          </w:tcPr>
          <w:p>
            <w:pPr>
              <w:pStyle w:val="TableContents"/>
              <w:bidi w:val="0"/>
              <w:spacing w:before="0" w:after="0"/>
              <w:ind w:left="0" w:right="0" w:hanging="0"/>
              <w:jc w:val="left"/>
              <w:rPr/>
            </w:pPr>
            <w:r>
              <w:rPr/>
              <w:t>​</w:t>
            </w:r>
          </w:p>
        </w:tc>
        <w:tc>
          <w:tcPr>
            <w:tcW w:w="8883" w:type="dxa"/>
            <w:tcBorders/>
            <w:shd w:fill="CCEEFF" w:val="clear"/>
            <w:vAlign w:val="center"/>
          </w:tcPr>
          <w:p>
            <w:pPr>
              <w:pStyle w:val="TableContents"/>
              <w:bidi w:val="0"/>
              <w:spacing w:before="0" w:after="30"/>
              <w:ind w:left="0" w:right="0" w:hanging="0"/>
              <w:jc w:val="left"/>
              <w:rPr/>
            </w:pPr>
            <w:hyperlink w:anchor="epm-20260630xex31d2.htm">
              <w:r>
                <w:rPr>
                  <w:rStyle w:val="InternetLink"/>
                  <w:rFonts w:ascii="Times New Roman;Times;serif" w:hAnsi="Times New Roman;Times;serif"/>
                  <w:b w:val="false"/>
                  <w:i w:val="false"/>
                  <w:caps w:val="false"/>
                  <w:smallCaps w:val="false"/>
                  <w:sz w:val="18"/>
                </w:rPr>
                <w:t>Certification of Principal Financial Officer Pursuant to Rule 15D-14 of the Securities Exchange Act of 1934, as Amended as Adopted Pursuant to Section 302 of the Sarbanes-Oxley Act of 2002</w:t>
              </w:r>
            </w:hyperlink>
            <w:r>
              <w:rPr>
                <w:rFonts w:ascii="Times New Roman;Times;serif" w:hAnsi="Times New Roman;Times;serif"/>
                <w:sz w:val="18"/>
              </w:rPr>
              <w:t xml:space="preserve"> </w:t>
            </w:r>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32.1**</w:t>
            </w:r>
          </w:p>
        </w:tc>
        <w:tc>
          <w:tcPr>
            <w:tcW w:w="346"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30"/>
              <w:ind w:left="0" w:right="0" w:hanging="0"/>
              <w:jc w:val="left"/>
              <w:rPr/>
            </w:pPr>
            <w:hyperlink w:anchor="epm-202606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32.2**</w:t>
            </w:r>
          </w:p>
        </w:tc>
        <w:tc>
          <w:tcPr>
            <w:tcW w:w="346" w:type="dxa"/>
            <w:tcBorders/>
            <w:shd w:fill="CCEEFF" w:val="clear"/>
            <w:vAlign w:val="center"/>
          </w:tcPr>
          <w:p>
            <w:pPr>
              <w:pStyle w:val="TableContents"/>
              <w:bidi w:val="0"/>
              <w:spacing w:before="0" w:after="0"/>
              <w:ind w:left="0" w:right="0" w:hanging="0"/>
              <w:jc w:val="left"/>
              <w:rPr/>
            </w:pPr>
            <w:r>
              <w:rPr/>
              <w:t>​</w:t>
            </w:r>
          </w:p>
        </w:tc>
        <w:tc>
          <w:tcPr>
            <w:tcW w:w="8883" w:type="dxa"/>
            <w:tcBorders/>
            <w:shd w:fill="CCEEFF" w:val="clear"/>
            <w:vAlign w:val="center"/>
          </w:tcPr>
          <w:p>
            <w:pPr>
              <w:pStyle w:val="TableContents"/>
              <w:bidi w:val="0"/>
              <w:spacing w:before="0" w:after="30"/>
              <w:ind w:left="0" w:right="0" w:hanging="0"/>
              <w:jc w:val="left"/>
              <w:rPr/>
            </w:pPr>
            <w:hyperlink w:anchor="epm-202606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99.1*</w:t>
            </w:r>
          </w:p>
        </w:tc>
        <w:tc>
          <w:tcPr>
            <w:tcW w:w="346"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30"/>
              <w:ind w:left="0" w:right="0" w:hanging="0"/>
              <w:jc w:val="left"/>
              <w:rPr/>
            </w:pPr>
            <w:hyperlink w:anchor="epm-20260630xex99d1.htm">
              <w:r>
                <w:rPr>
                  <w:rStyle w:val="InternetLink"/>
                  <w:rFonts w:ascii="Times New Roman;Times;serif" w:hAnsi="Times New Roman;Times;serif"/>
                  <w:b w:val="false"/>
                  <w:i w:val="false"/>
                  <w:caps w:val="false"/>
                  <w:smallCaps w:val="false"/>
                  <w:sz w:val="20"/>
                </w:rPr>
                <w:t>The summary of Cawley, Gillespie and Associates, Inc.’s Report as of June 30, 2026, on oil and gas reserves (SEC Case) dated August 11, 2026</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99.2*</w:t>
            </w:r>
          </w:p>
        </w:tc>
        <w:tc>
          <w:tcPr>
            <w:tcW w:w="346" w:type="dxa"/>
            <w:tcBorders/>
            <w:shd w:fill="CCEEFF" w:val="clear"/>
            <w:vAlign w:val="center"/>
          </w:tcPr>
          <w:p>
            <w:pPr>
              <w:pStyle w:val="TableContents"/>
              <w:bidi w:val="0"/>
              <w:spacing w:before="0" w:after="0"/>
              <w:ind w:left="0" w:right="0" w:hanging="0"/>
              <w:jc w:val="left"/>
              <w:rPr/>
            </w:pPr>
            <w:r>
              <w:rPr/>
              <w:t>​</w:t>
            </w:r>
          </w:p>
        </w:tc>
        <w:tc>
          <w:tcPr>
            <w:tcW w:w="8883" w:type="dxa"/>
            <w:tcBorders/>
            <w:shd w:fill="CCEEFF" w:val="clear"/>
            <w:vAlign w:val="center"/>
          </w:tcPr>
          <w:p>
            <w:pPr>
              <w:pStyle w:val="TableContents"/>
              <w:bidi w:val="0"/>
              <w:spacing w:before="0" w:after="30"/>
              <w:ind w:left="0" w:right="0" w:hanging="0"/>
              <w:jc w:val="left"/>
              <w:rPr/>
            </w:pPr>
            <w:hyperlink w:anchor="epm-20260630xex99d2.htm">
              <w:r>
                <w:rPr>
                  <w:rStyle w:val="InternetLink"/>
                  <w:rFonts w:ascii="Times New Roman;Times;serif" w:hAnsi="Times New Roman;Times;serif"/>
                  <w:b w:val="false"/>
                  <w:i w:val="false"/>
                  <w:caps w:val="false"/>
                  <w:smallCaps w:val="false"/>
                  <w:sz w:val="20"/>
                </w:rPr>
                <w:t>The summary of DeGolyer and MacNaughton’s Report as of June 30, 2026, on oil and gas reserves (SEC Case) dated August 10, 2026</w:t>
              </w:r>
            </w:hyperlink>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97</w:t>
            </w:r>
          </w:p>
        </w:tc>
        <w:tc>
          <w:tcPr>
            <w:tcW w:w="346"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30"/>
              <w:ind w:left="0" w:right="0" w:hanging="0"/>
              <w:jc w:val="left"/>
              <w:rPr/>
            </w:pPr>
            <w:hyperlink r:id="rId43">
              <w:r>
                <w:rPr>
                  <w:rStyle w:val="InternetLink"/>
                  <w:rFonts w:ascii="Times New Roman;Times;serif" w:hAnsi="Times New Roman;Times;serif"/>
                  <w:b w:val="false"/>
                  <w:i w:val="false"/>
                  <w:caps w:val="false"/>
                  <w:smallCaps w:val="false"/>
                  <w:sz w:val="20"/>
                </w:rPr>
                <w:t>Incentive Compensation Recoupment Policy (incorporated by reference to Exhibit 97 of our Annual Report on Form 10-K filed September 13, 2023)</w:t>
              </w:r>
            </w:hyperlink>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101.INS*</w:t>
            </w:r>
          </w:p>
        </w:tc>
        <w:tc>
          <w:tcPr>
            <w:tcW w:w="346" w:type="dxa"/>
            <w:tcBorders/>
            <w:shd w:fill="CCEEFF" w:val="clear"/>
            <w:vAlign w:val="center"/>
          </w:tcPr>
          <w:p>
            <w:pPr>
              <w:pStyle w:val="TableContents"/>
              <w:bidi w:val="0"/>
              <w:spacing w:before="0" w:after="0"/>
              <w:ind w:left="0" w:right="0" w:hanging="0"/>
              <w:jc w:val="left"/>
              <w:rPr/>
            </w:pPr>
            <w:r>
              <w:rPr/>
              <w:t>​</w:t>
            </w:r>
          </w:p>
        </w:tc>
        <w:tc>
          <w:tcPr>
            <w:tcW w:w="8883" w:type="dxa"/>
            <w:tcBorders/>
            <w:shd w:fill="CCEEFF" w:val="clear"/>
            <w:vAlign w:val="center"/>
          </w:tcPr>
          <w:p>
            <w:pPr>
              <w:pStyle w:val="TableContents"/>
              <w:bidi w:val="0"/>
              <w:spacing w:before="0" w:after="30"/>
              <w:ind w:left="0" w:right="0" w:hanging="0"/>
              <w:jc w:val="left"/>
              <w:rPr>
                <w:rFonts w:ascii="Times New Roman;Times;serif" w:hAnsi="Times New Roman;Times;serif"/>
                <w:sz w:val="19"/>
              </w:rPr>
            </w:pPr>
            <w:r>
              <w:rPr>
                <w:rFonts w:ascii="Times New Roman;Times;serif" w:hAnsi="Times New Roman;Times;serif"/>
                <w:sz w:val="19"/>
              </w:rPr>
              <w:t>Inline XBRL Instance Document</w:t>
            </w:r>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101.SCH*</w:t>
            </w:r>
          </w:p>
        </w:tc>
        <w:tc>
          <w:tcPr>
            <w:tcW w:w="346"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30"/>
              <w:ind w:left="0" w:right="0" w:hanging="0"/>
              <w:jc w:val="left"/>
              <w:rPr>
                <w:rFonts w:ascii="Times New Roman;Times;serif" w:hAnsi="Times New Roman;Times;serif"/>
                <w:sz w:val="19"/>
              </w:rPr>
            </w:pPr>
            <w:r>
              <w:rPr>
                <w:rFonts w:ascii="Times New Roman;Times;serif" w:hAnsi="Times New Roman;Times;serif"/>
                <w:sz w:val="19"/>
              </w:rPr>
              <w:t>Inline XBRL Taxonomy Extension Schema Document</w:t>
            </w:r>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101.CAL*</w:t>
            </w:r>
          </w:p>
        </w:tc>
        <w:tc>
          <w:tcPr>
            <w:tcW w:w="346" w:type="dxa"/>
            <w:tcBorders/>
            <w:shd w:fill="CCEEFF" w:val="clear"/>
            <w:vAlign w:val="center"/>
          </w:tcPr>
          <w:p>
            <w:pPr>
              <w:pStyle w:val="TableContents"/>
              <w:bidi w:val="0"/>
              <w:spacing w:before="0" w:after="0"/>
              <w:ind w:left="0" w:right="0" w:hanging="0"/>
              <w:jc w:val="left"/>
              <w:rPr/>
            </w:pPr>
            <w:r>
              <w:rPr/>
              <w:t>​</w:t>
            </w:r>
          </w:p>
        </w:tc>
        <w:tc>
          <w:tcPr>
            <w:tcW w:w="8883" w:type="dxa"/>
            <w:tcBorders/>
            <w:shd w:fill="CCEEFF" w:val="clear"/>
            <w:vAlign w:val="center"/>
          </w:tcPr>
          <w:p>
            <w:pPr>
              <w:pStyle w:val="TableContents"/>
              <w:bidi w:val="0"/>
              <w:spacing w:before="0" w:after="30"/>
              <w:ind w:left="0" w:right="0" w:hanging="0"/>
              <w:jc w:val="left"/>
              <w:rPr>
                <w:rFonts w:ascii="Times New Roman;Times;serif" w:hAnsi="Times New Roman;Times;serif"/>
                <w:sz w:val="19"/>
              </w:rPr>
            </w:pPr>
            <w:r>
              <w:rPr>
                <w:rFonts w:ascii="Times New Roman;Times;serif" w:hAnsi="Times New Roman;Times;serif"/>
                <w:sz w:val="19"/>
              </w:rPr>
              <w:t>Inline XBRL Taxonomy Extension Calculation Linkbase Document</w:t>
            </w:r>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101.DEF*</w:t>
            </w:r>
          </w:p>
        </w:tc>
        <w:tc>
          <w:tcPr>
            <w:tcW w:w="346"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30"/>
              <w:ind w:left="0" w:right="0" w:hanging="0"/>
              <w:jc w:val="left"/>
              <w:rPr>
                <w:rFonts w:ascii="Times New Roman;Times;serif" w:hAnsi="Times New Roman;Times;serif"/>
                <w:sz w:val="19"/>
              </w:rPr>
            </w:pPr>
            <w:r>
              <w:rPr>
                <w:rFonts w:ascii="Times New Roman;Times;serif" w:hAnsi="Times New Roman;Times;serif"/>
                <w:sz w:val="19"/>
              </w:rPr>
              <w:t>Inline XBRL Taxonomy Extension Definition Linkbase Document</w:t>
            </w:r>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101.LAB*</w:t>
            </w:r>
          </w:p>
        </w:tc>
        <w:tc>
          <w:tcPr>
            <w:tcW w:w="346" w:type="dxa"/>
            <w:tcBorders/>
            <w:shd w:fill="CCEEFF" w:val="clear"/>
            <w:vAlign w:val="center"/>
          </w:tcPr>
          <w:p>
            <w:pPr>
              <w:pStyle w:val="TableContents"/>
              <w:bidi w:val="0"/>
              <w:spacing w:before="0" w:after="0"/>
              <w:ind w:left="0" w:right="0" w:hanging="0"/>
              <w:jc w:val="left"/>
              <w:rPr/>
            </w:pPr>
            <w:r>
              <w:rPr/>
              <w:t>​</w:t>
            </w:r>
          </w:p>
        </w:tc>
        <w:tc>
          <w:tcPr>
            <w:tcW w:w="8883" w:type="dxa"/>
            <w:tcBorders/>
            <w:shd w:fill="CCEEFF" w:val="clear"/>
            <w:vAlign w:val="center"/>
          </w:tcPr>
          <w:p>
            <w:pPr>
              <w:pStyle w:val="TableContents"/>
              <w:bidi w:val="0"/>
              <w:spacing w:before="0" w:after="30"/>
              <w:ind w:left="0" w:right="0" w:hanging="0"/>
              <w:jc w:val="left"/>
              <w:rPr>
                <w:rFonts w:ascii="Times New Roman;Times;serif" w:hAnsi="Times New Roman;Times;serif"/>
                <w:sz w:val="19"/>
              </w:rPr>
            </w:pPr>
            <w:r>
              <w:rPr>
                <w:rFonts w:ascii="Times New Roman;Times;serif" w:hAnsi="Times New Roman;Times;serif"/>
                <w:sz w:val="19"/>
              </w:rPr>
              <w:t>Inline XBRL Taxonomy Extension Label Linkbase Document</w:t>
            </w:r>
          </w:p>
        </w:tc>
      </w:tr>
      <w:tr>
        <w:trPr/>
        <w:tc>
          <w:tcPr>
            <w:tcW w:w="976" w:type="dxa"/>
            <w:tcBorders/>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101.PRE*</w:t>
            </w:r>
          </w:p>
        </w:tc>
        <w:tc>
          <w:tcPr>
            <w:tcW w:w="346" w:type="dxa"/>
            <w:tcBorders/>
            <w:vAlign w:val="center"/>
          </w:tcPr>
          <w:p>
            <w:pPr>
              <w:pStyle w:val="TableContents"/>
              <w:bidi w:val="0"/>
              <w:spacing w:before="0" w:after="0"/>
              <w:ind w:left="0" w:right="0" w:hanging="0"/>
              <w:jc w:val="left"/>
              <w:rPr/>
            </w:pPr>
            <w:r>
              <w:rPr/>
              <w:t>​</w:t>
            </w:r>
          </w:p>
        </w:tc>
        <w:tc>
          <w:tcPr>
            <w:tcW w:w="8883" w:type="dxa"/>
            <w:tcBorders/>
            <w:vAlign w:val="center"/>
          </w:tcPr>
          <w:p>
            <w:pPr>
              <w:pStyle w:val="TableContents"/>
              <w:bidi w:val="0"/>
              <w:spacing w:before="0" w:after="30"/>
              <w:ind w:left="0" w:right="0" w:hanging="0"/>
              <w:jc w:val="left"/>
              <w:rPr>
                <w:rFonts w:ascii="Times New Roman;Times;serif" w:hAnsi="Times New Roman;Times;serif"/>
                <w:sz w:val="19"/>
              </w:rPr>
            </w:pPr>
            <w:r>
              <w:rPr>
                <w:rFonts w:ascii="Times New Roman;Times;serif" w:hAnsi="Times New Roman;Times;serif"/>
                <w:sz w:val="19"/>
              </w:rPr>
              <w:t>Inline XBRL Taxonomy Extension Presentation Linkbase Document</w:t>
            </w:r>
          </w:p>
        </w:tc>
      </w:tr>
      <w:tr>
        <w:trPr/>
        <w:tc>
          <w:tcPr>
            <w:tcW w:w="976" w:type="dxa"/>
            <w:tcBorders/>
            <w:shd w:fill="CCEEFF" w:val="clear"/>
            <w:vAlign w:val="center"/>
          </w:tcPr>
          <w:p>
            <w:pPr>
              <w:pStyle w:val="TableContents"/>
              <w:bidi w:val="0"/>
              <w:spacing w:before="0" w:after="30"/>
              <w:ind w:left="0" w:right="0" w:hanging="0"/>
              <w:jc w:val="right"/>
              <w:rPr>
                <w:rFonts w:ascii="Times New Roman;Times;serif" w:hAnsi="Times New Roman;Times;serif"/>
                <w:sz w:val="19"/>
              </w:rPr>
            </w:pPr>
            <w:r>
              <w:rPr>
                <w:rFonts w:ascii="Times New Roman;Times;serif" w:hAnsi="Times New Roman;Times;serif"/>
                <w:sz w:val="19"/>
              </w:rPr>
              <w:t>104*</w:t>
            </w:r>
          </w:p>
        </w:tc>
        <w:tc>
          <w:tcPr>
            <w:tcW w:w="346" w:type="dxa"/>
            <w:tcBorders/>
            <w:shd w:fill="CCEEFF" w:val="clear"/>
            <w:vAlign w:val="center"/>
          </w:tcPr>
          <w:p>
            <w:pPr>
              <w:pStyle w:val="TableContents"/>
              <w:bidi w:val="0"/>
              <w:spacing w:before="0" w:after="0"/>
              <w:ind w:left="0" w:right="0" w:hanging="0"/>
              <w:jc w:val="left"/>
              <w:rPr/>
            </w:pPr>
            <w:r>
              <w:rPr/>
              <w:t>​</w:t>
            </w:r>
          </w:p>
        </w:tc>
        <w:tc>
          <w:tcPr>
            <w:tcW w:w="8883" w:type="dxa"/>
            <w:tcBorders/>
            <w:shd w:fill="CCEEFF" w:val="clear"/>
            <w:vAlign w:val="center"/>
          </w:tcPr>
          <w:p>
            <w:pPr>
              <w:pStyle w:val="TableContents"/>
              <w:bidi w:val="0"/>
              <w:spacing w:before="0" w:after="30"/>
              <w:ind w:left="0" w:right="0" w:hanging="0"/>
              <w:jc w:val="left"/>
              <w:rPr>
                <w:rFonts w:ascii="Times New Roman;Times;serif" w:hAnsi="Times New Roman;Times;serif"/>
                <w:sz w:val="19"/>
              </w:rPr>
            </w:pPr>
            <w:r>
              <w:rPr>
                <w:rFonts w:ascii="Times New Roman;Times;serif" w:hAnsi="Times New Roman;Times;serif"/>
                <w:sz w:val="19"/>
              </w:rPr>
              <w:t>Cover Page Interactive Data File (embedded within the Inline XBRL document)</w:t>
            </w:r>
          </w:p>
        </w:tc>
      </w:tr>
    </w:tbl>
    <w:p>
      <w:pPr>
        <w:pStyle w:val="TextBody"/>
        <w:bidi w:val="0"/>
        <w:spacing w:before="0" w:after="120"/>
        <w:ind w:left="0" w:right="0" w:hanging="0"/>
        <w:jc w:val="left"/>
        <w:rPr>
          <w:rFonts w:ascii="Times New Roman;Times;serif" w:hAnsi="Times New Roman;Times;serif"/>
          <w:b w:val="false"/>
          <w:i/>
          <w:sz w:val="18"/>
        </w:rPr>
      </w:pPr>
      <w:r>
        <w:rPr>
          <w:rFonts w:ascii="Times New Roman;Times;serif" w:hAnsi="Times New Roman;Times;serif"/>
          <w:b w:val="false"/>
          <w:i/>
          <w:sz w:val="18"/>
        </w:rPr>
        <w:t>* Attached hereto.</w:t>
      </w:r>
    </w:p>
    <w:p>
      <w:pPr>
        <w:pStyle w:val="TextBody"/>
        <w:bidi w:val="0"/>
        <w:spacing w:before="0" w:after="120"/>
        <w:ind w:left="0" w:right="0" w:hanging="0"/>
        <w:jc w:val="left"/>
        <w:rPr>
          <w:rFonts w:ascii="Times New Roman;Times;serif" w:hAnsi="Times New Roman;Times;serif"/>
          <w:b w:val="false"/>
          <w:i/>
          <w:sz w:val="18"/>
        </w:rPr>
      </w:pPr>
      <w:r>
        <w:rPr>
          <w:rFonts w:ascii="Times New Roman;Times;serif" w:hAnsi="Times New Roman;Times;serif"/>
          <w:b w:val="false"/>
          <w:i/>
          <w:sz w:val="18"/>
        </w:rPr>
        <w:t>** Furnished herewith.</w:t>
      </w:r>
    </w:p>
    <w:p>
      <w:pPr>
        <w:pStyle w:val="TextBody"/>
        <w:bidi w:val="0"/>
        <w:spacing w:before="0" w:after="120"/>
        <w:ind w:left="0" w:right="0" w:hanging="0"/>
        <w:jc w:val="left"/>
        <w:rPr/>
      </w:pPr>
      <w:r>
        <w:rPr/>
        <w:t xml:space="preserve">† </w:t>
      </w:r>
      <w:r>
        <w:rPr>
          <w:rFonts w:ascii="Times New Roman;Times;serif" w:hAnsi="Times New Roman;Times;serif"/>
          <w:b w:val="false"/>
          <w:i/>
          <w:sz w:val="18"/>
        </w:rPr>
        <w:t>Indicates management contract or compensatory plan or arrangement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98" w:name="SIGNATURES_679961"/>
      <w:bookmarkStart w:id="1199" w:name="_f8b3fb22_df07_4305_adfe_8ad3dbc4c70f"/>
      <w:bookmarkEnd w:id="1198"/>
      <w:bookmarkEnd w:id="1199"/>
      <w:r>
        <w:rPr>
          <w:rFonts w:ascii="Times New Roman;Times;serif" w:hAnsi="Times New Roman;Times;serif"/>
          <w:b/>
          <w:sz w:val="20"/>
        </w:rPr>
        <w:t>SIGNATURES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accordance with Section 13 or 15(d) of the Securities Exchange Act of 1934, the registrant caused this report to be signed on its behalf by the undersigned, thereunto duly authorized in the City of Houston, Texas, on the date indicated.</w:t>
      </w:r>
    </w:p>
    <w:tbl>
      <w:tblPr>
        <w:tblW w:w="6574" w:type="dxa"/>
        <w:jc w:val="left"/>
        <w:tblInd w:w="0" w:type="dxa"/>
        <w:tblLayout w:type="fixed"/>
        <w:tblCellMar>
          <w:top w:w="0" w:type="dxa"/>
          <w:left w:w="0" w:type="dxa"/>
          <w:bottom w:w="0" w:type="dxa"/>
          <w:right w:w="0" w:type="dxa"/>
        </w:tblCellMar>
      </w:tblPr>
      <w:tblGrid>
        <w:gridCol w:w="2221"/>
        <w:gridCol w:w="346"/>
        <w:gridCol w:w="406"/>
        <w:gridCol w:w="3601"/>
      </w:tblGrid>
      <w:tr>
        <w:trPr/>
        <w:tc>
          <w:tcPr>
            <w:tcW w:w="2221" w:type="dxa"/>
            <w:tcBorders/>
            <w:vAlign w:val="center"/>
          </w:tcPr>
          <w:p>
            <w:pPr>
              <w:pStyle w:val="TableContents"/>
              <w:bidi w:val="0"/>
              <w:spacing w:before="0" w:after="3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 ​ ​</w:t>
            </w:r>
          </w:p>
        </w:tc>
        <w:tc>
          <w:tcPr>
            <w:tcW w:w="4007" w:type="dxa"/>
            <w:gridSpan w:val="2"/>
            <w:tcBorders/>
            <w:vAlign w:val="center"/>
          </w:tcPr>
          <w:p>
            <w:pPr>
              <w:pStyle w:val="TableContents"/>
              <w:bidi w:val="0"/>
              <w:spacing w:before="0" w:after="30"/>
              <w:ind w:left="0" w:right="0" w:hanging="0"/>
              <w:jc w:val="left"/>
              <w:rPr>
                <w:rFonts w:ascii="Times New Roman;Times;serif" w:hAnsi="Times New Roman;Times;serif"/>
                <w:b/>
                <w:sz w:val="20"/>
              </w:rPr>
            </w:pPr>
            <w:r>
              <w:rPr>
                <w:rFonts w:ascii="Times New Roman;Times;serif" w:hAnsi="Times New Roman;Times;serif"/>
                <w:b/>
                <w:sz w:val="20"/>
              </w:rPr>
              <w:t>Evolution Petroleum Corporation</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16, 2026</w:t>
            </w:r>
          </w:p>
        </w:tc>
        <w:tc>
          <w:tcPr>
            <w:tcW w:w="346"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601"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KELLY W. LOYD</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left"/>
              <w:rPr/>
            </w:pPr>
            <w:r>
              <w:rPr/>
              <w:t>​</w:t>
            </w:r>
          </w:p>
        </w:tc>
        <w:tc>
          <w:tcPr>
            <w:tcW w:w="360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Kelly W. Loyd</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President and Chief Executive Officer</w:t>
            </w:r>
            <w:r>
              <w:rPr>
                <w:rFonts w:ascii="Times New Roman;Times;serif" w:hAnsi="Times New Roman;Times;serif"/>
                <w:sz w:val="20"/>
              </w:rPr>
              <w:br/>
            </w:r>
            <w:r>
              <w:rPr>
                <w:rFonts w:ascii="Times New Roman;Times;serif" w:hAnsi="Times New Roman;Times;serif"/>
                <w:i/>
                <w:sz w:val="20"/>
              </w:rPr>
              <w:t>(Principal Executive Officer) and Director</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accordance with the Securities Exchange Act of 1934, this report has been signed below by the following persons on behalf of the registrant and in the capacities and on the dates indicated.</w:t>
      </w:r>
    </w:p>
    <w:tbl>
      <w:tblPr>
        <w:tblW w:w="10205" w:type="dxa"/>
        <w:jc w:val="left"/>
        <w:tblInd w:w="0" w:type="dxa"/>
        <w:tblLayout w:type="fixed"/>
        <w:tblCellMar>
          <w:top w:w="0" w:type="dxa"/>
          <w:left w:w="0" w:type="dxa"/>
          <w:bottom w:w="0" w:type="dxa"/>
          <w:right w:w="0" w:type="dxa"/>
        </w:tblCellMar>
      </w:tblPr>
      <w:tblGrid>
        <w:gridCol w:w="1721"/>
        <w:gridCol w:w="109"/>
        <w:gridCol w:w="2599"/>
        <w:gridCol w:w="109"/>
        <w:gridCol w:w="5667"/>
      </w:tblGrid>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pPr>
            <w:r>
              <w:rPr/>
              <w:t>​</w:t>
            </w:r>
          </w:p>
        </w:tc>
      </w:tr>
      <w:tr>
        <w:trPr/>
        <w:tc>
          <w:tcPr>
            <w:tcW w:w="1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109" w:type="dxa"/>
            <w:tcBorders/>
            <w:vAlign w:val="center"/>
          </w:tcPr>
          <w:p>
            <w:pPr>
              <w:pStyle w:val="TableContents"/>
              <w:bidi w:val="0"/>
              <w:spacing w:before="0" w:after="0"/>
              <w:ind w:left="0" w:right="0" w:hanging="0"/>
              <w:jc w:val="center"/>
              <w:rPr/>
            </w:pPr>
            <w:r>
              <w:rPr/>
              <w:t>​</w:t>
            </w:r>
          </w:p>
        </w:tc>
        <w:tc>
          <w:tcPr>
            <w:tcW w:w="259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Signature</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w:t>
            </w:r>
          </w:p>
        </w:tc>
      </w:tr>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pPr>
            <w:r>
              <w:rPr/>
              <w:t>​</w:t>
            </w:r>
          </w:p>
        </w:tc>
      </w:tr>
      <w:tr>
        <w:trPr/>
        <w:tc>
          <w:tcPr>
            <w:tcW w:w="1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16, 2026</w:t>
            </w:r>
          </w:p>
        </w:tc>
        <w:tc>
          <w:tcPr>
            <w:tcW w:w="109" w:type="dxa"/>
            <w:tcBorders/>
            <w:vAlign w:val="center"/>
          </w:tcPr>
          <w:p>
            <w:pPr>
              <w:pStyle w:val="TableContents"/>
              <w:bidi w:val="0"/>
              <w:spacing w:before="0" w:after="0"/>
              <w:ind w:left="0" w:right="0" w:hanging="0"/>
              <w:jc w:val="center"/>
              <w:rPr/>
            </w:pPr>
            <w:r>
              <w:rPr/>
              <w:t>​</w:t>
            </w:r>
          </w:p>
        </w:tc>
        <w:tc>
          <w:tcPr>
            <w:tcW w:w="25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ROBERT S. HERLIN</w:t>
            </w:r>
          </w:p>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Chairman of the Board</w:t>
            </w:r>
          </w:p>
        </w:tc>
      </w:tr>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Robert S. Herlin</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pPr>
            <w:r>
              <w:rPr/>
              <w:t>​</w:t>
            </w:r>
          </w:p>
        </w:tc>
      </w:tr>
      <w:tr>
        <w:trPr/>
        <w:tc>
          <w:tcPr>
            <w:tcW w:w="1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16, 2026</w:t>
            </w:r>
          </w:p>
        </w:tc>
        <w:tc>
          <w:tcPr>
            <w:tcW w:w="109" w:type="dxa"/>
            <w:tcBorders/>
            <w:vAlign w:val="center"/>
          </w:tcPr>
          <w:p>
            <w:pPr>
              <w:pStyle w:val="TableContents"/>
              <w:bidi w:val="0"/>
              <w:spacing w:before="0" w:after="0"/>
              <w:ind w:left="0" w:right="0" w:hanging="0"/>
              <w:jc w:val="center"/>
              <w:rPr/>
            </w:pPr>
            <w:r>
              <w:rPr/>
              <w:t>​</w:t>
            </w:r>
          </w:p>
        </w:tc>
        <w:tc>
          <w:tcPr>
            <w:tcW w:w="25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KELLY W. LOYD</w:t>
            </w:r>
          </w:p>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President and Chief Executive </w:t>
            </w:r>
          </w:p>
          <w:p>
            <w:pPr>
              <w:pStyle w:val="TableContents"/>
              <w:bidi w:val="0"/>
              <w:spacing w:before="0" w:after="0"/>
              <w:ind w:left="0" w:right="0" w:hanging="0"/>
              <w:jc w:val="center"/>
              <w:rPr/>
            </w:pPr>
            <w:r>
              <w:rPr/>
              <w:t>​</w:t>
            </w:r>
          </w:p>
        </w:tc>
      </w:tr>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Kelly W. Loyd</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Officer (Principal Executive Officer) and Director</w:t>
            </w:r>
          </w:p>
        </w:tc>
      </w:tr>
      <w:tr>
        <w:trPr/>
        <w:tc>
          <w:tcPr>
            <w:tcW w:w="1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1092835" cy="146685"/>
                      <wp:effectExtent l="0" t="0" r="0" b="0"/>
                      <wp:wrapNone/>
                      <wp:docPr id="511" name="Frame510"/>
                      <a:graphic xmlns:a="http://schemas.openxmlformats.org/drawingml/2006/main">
                        <a:graphicData uri="http://schemas.microsoft.com/office/word/2010/wordprocessingShape">
                          <wps:wsp>
                            <wps:cNvSpPr txBox="1"/>
                            <wps:spPr>
                              <a:xfrm>
                                <a:off x="0" y="0"/>
                                <a:ext cx="1092835" cy="14668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16,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0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16, 2026</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69215" cy="175260"/>
                      <wp:effectExtent l="0" t="0" r="0" b="0"/>
                      <wp:wrapNone/>
                      <wp:docPr id="512" name="Frame5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259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1650365" cy="146685"/>
                      <wp:effectExtent l="0" t="0" r="0" b="0"/>
                      <wp:wrapNone/>
                      <wp:docPr id="513" name="Frame512"/>
                      <a:graphic xmlns:a="http://schemas.openxmlformats.org/drawingml/2006/main">
                        <a:graphicData uri="http://schemas.microsoft.com/office/word/2010/wordprocessingShape">
                          <wps:wsp>
                            <wps:cNvSpPr txBox="1"/>
                            <wps:spPr>
                              <a:xfrm>
                                <a:off x="0" y="0"/>
                                <a:ext cx="1650365" cy="14668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RYAN STASH</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RYAN STASH</w:t>
                            </w:r>
                          </w:p>
                        </w:txbxContent>
                      </v:textbox>
                      <w10:wrap type="none"/>
                    </v:rect>
                  </w:pict>
                </mc:Fallback>
              </mc:AlternateConten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Senior Vice President, Chief Financial Officer and Treasurer (Principal </w:t>
            </w:r>
          </w:p>
        </w:tc>
      </w:tr>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Ryan Stash</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Financial Officer)</w:t>
            </w:r>
          </w:p>
        </w:tc>
      </w:tr>
      <w:tr>
        <w:trPr/>
        <w:tc>
          <w:tcPr>
            <w:tcW w:w="1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1092835" cy="146685"/>
                      <wp:effectExtent l="0" t="0" r="0" b="0"/>
                      <wp:wrapNone/>
                      <wp:docPr id="514" name="Frame513"/>
                      <a:graphic xmlns:a="http://schemas.openxmlformats.org/drawingml/2006/main">
                        <a:graphicData uri="http://schemas.microsoft.com/office/word/2010/wordprocessingShape">
                          <wps:wsp>
                            <wps:cNvSpPr txBox="1"/>
                            <wps:spPr>
                              <a:xfrm>
                                <a:off x="0" y="0"/>
                                <a:ext cx="1092835" cy="14668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16,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0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16, 2026</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9215" cy="175260"/>
                      <wp:effectExtent l="0" t="0" r="0" b="0"/>
                      <wp:wrapNone/>
                      <wp:docPr id="515" name="Frame5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2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650365" cy="146685"/>
                      <wp:effectExtent l="0" t="0" r="0" b="0"/>
                      <wp:wrapNone/>
                      <wp:docPr id="516" name="Frame515"/>
                      <a:graphic xmlns:a="http://schemas.openxmlformats.org/drawingml/2006/main">
                        <a:graphicData uri="http://schemas.microsoft.com/office/word/2010/wordprocessingShape">
                          <wps:wsp>
                            <wps:cNvSpPr txBox="1"/>
                            <wps:spPr>
                              <a:xfrm>
                                <a:off x="0" y="0"/>
                                <a:ext cx="1650365" cy="14668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KELLY M. BEATTY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KELLY M. BEATTY</w:t>
                            </w:r>
                          </w:p>
                        </w:txbxContent>
                      </v:textbox>
                      <w10:wrap type="none"/>
                    </v:rect>
                  </w:pict>
                </mc:Fallback>
              </mc:AlternateConten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3598545" cy="146685"/>
                      <wp:effectExtent l="0" t="0" r="0" b="0"/>
                      <wp:wrapNone/>
                      <wp:docPr id="517" name="Frame516"/>
                      <a:graphic xmlns:a="http://schemas.openxmlformats.org/drawingml/2006/main">
                        <a:graphicData uri="http://schemas.microsoft.com/office/word/2010/wordprocessingShape">
                          <wps:wsp>
                            <wps:cNvSpPr txBox="1"/>
                            <wps:spPr>
                              <a:xfrm>
                                <a:off x="0" y="0"/>
                                <a:ext cx="3598545" cy="14668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Accounting Officer (Principal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3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Accounting Officer (Principal</w:t>
                            </w:r>
                          </w:p>
                        </w:txbxContent>
                      </v:textbox>
                      <w10:wrap type="none"/>
                    </v:rect>
                  </w:pict>
                </mc:Fallback>
              </mc:AlternateContent>
            </w:r>
          </w:p>
        </w:tc>
      </w:tr>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Kelly M. Beatty</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Accounting Officer)</w:t>
            </w:r>
          </w:p>
        </w:tc>
      </w:tr>
      <w:tr>
        <w:trPr/>
        <w:tc>
          <w:tcPr>
            <w:tcW w:w="1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16, 2026</w:t>
            </w:r>
          </w:p>
        </w:tc>
        <w:tc>
          <w:tcPr>
            <w:tcW w:w="109" w:type="dxa"/>
            <w:tcBorders/>
            <w:vAlign w:val="center"/>
          </w:tcPr>
          <w:p>
            <w:pPr>
              <w:pStyle w:val="TableContents"/>
              <w:bidi w:val="0"/>
              <w:spacing w:before="0" w:after="0"/>
              <w:ind w:left="0" w:right="0" w:hanging="0"/>
              <w:jc w:val="center"/>
              <w:rPr/>
            </w:pPr>
            <w:r>
              <w:rPr/>
              <w:t>​</w:t>
            </w:r>
          </w:p>
        </w:tc>
        <w:tc>
          <w:tcPr>
            <w:tcW w:w="25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EDWARD J. DIPAOLO</w:t>
            </w:r>
          </w:p>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Lead Director</w:t>
            </w:r>
          </w:p>
        </w:tc>
      </w:tr>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Edward J. DiPaolo</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pPr>
            <w:r>
              <w:rPr/>
              <w:t>​</w:t>
            </w:r>
          </w:p>
        </w:tc>
      </w:tr>
      <w:tr>
        <w:trPr/>
        <w:tc>
          <w:tcPr>
            <w:tcW w:w="1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16, 2026</w:t>
            </w:r>
          </w:p>
        </w:tc>
        <w:tc>
          <w:tcPr>
            <w:tcW w:w="109" w:type="dxa"/>
            <w:tcBorders/>
            <w:vAlign w:val="center"/>
          </w:tcPr>
          <w:p>
            <w:pPr>
              <w:pStyle w:val="TableContents"/>
              <w:bidi w:val="0"/>
              <w:spacing w:before="0" w:after="0"/>
              <w:ind w:left="0" w:right="0" w:hanging="0"/>
              <w:jc w:val="center"/>
              <w:rPr/>
            </w:pPr>
            <w:r>
              <w:rPr/>
              <w:t>​</w:t>
            </w:r>
          </w:p>
        </w:tc>
        <w:tc>
          <w:tcPr>
            <w:tcW w:w="25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MYRA C. BIERRIA</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r>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Myra C. Bierria</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pPr>
            <w:r>
              <w:rPr/>
              <w:t>​</w:t>
            </w:r>
          </w:p>
        </w:tc>
      </w:tr>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pPr>
            <w:r>
              <w:rPr/>
              <w:t>​</w:t>
            </w:r>
          </w:p>
        </w:tc>
      </w:tr>
      <w:tr>
        <w:trPr/>
        <w:tc>
          <w:tcPr>
            <w:tcW w:w="1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16, 2026</w:t>
            </w:r>
          </w:p>
        </w:tc>
        <w:tc>
          <w:tcPr>
            <w:tcW w:w="109" w:type="dxa"/>
            <w:tcBorders/>
            <w:vAlign w:val="center"/>
          </w:tcPr>
          <w:p>
            <w:pPr>
              <w:pStyle w:val="TableContents"/>
              <w:bidi w:val="0"/>
              <w:spacing w:before="0" w:after="0"/>
              <w:ind w:left="0" w:right="0" w:hanging="0"/>
              <w:jc w:val="center"/>
              <w:rPr/>
            </w:pPr>
            <w:r>
              <w:rPr/>
              <w:t>​</w:t>
            </w:r>
          </w:p>
        </w:tc>
        <w:tc>
          <w:tcPr>
            <w:tcW w:w="25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WILLIAM DOZIER</w:t>
            </w:r>
          </w:p>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r>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William Dozier</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pPr>
            <w:r>
              <w:rPr/>
              <w:t>​</w:t>
            </w:r>
          </w:p>
        </w:tc>
      </w:tr>
      <w:tr>
        <w:trPr/>
        <w:tc>
          <w:tcPr>
            <w:tcW w:w="1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16, 2026</w:t>
            </w:r>
          </w:p>
        </w:tc>
        <w:tc>
          <w:tcPr>
            <w:tcW w:w="109" w:type="dxa"/>
            <w:tcBorders/>
            <w:vAlign w:val="center"/>
          </w:tcPr>
          <w:p>
            <w:pPr>
              <w:pStyle w:val="TableContents"/>
              <w:bidi w:val="0"/>
              <w:spacing w:before="0" w:after="0"/>
              <w:ind w:left="0" w:right="0" w:hanging="0"/>
              <w:jc w:val="center"/>
              <w:rPr/>
            </w:pPr>
            <w:r>
              <w:rPr/>
              <w:t>​</w:t>
            </w:r>
          </w:p>
        </w:tc>
        <w:tc>
          <w:tcPr>
            <w:tcW w:w="25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MARJORIE A. HARGRAVE</w:t>
            </w:r>
          </w:p>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r>
      <w:tr>
        <w:trPr/>
        <w:tc>
          <w:tcPr>
            <w:tcW w:w="1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99"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Marjorie A. Hargrave</w:t>
            </w:r>
          </w:p>
        </w:tc>
        <w:tc>
          <w:tcPr>
            <w:tcW w:w="109" w:type="dxa"/>
            <w:tcBorders/>
            <w:vAlign w:val="center"/>
          </w:tcPr>
          <w:p>
            <w:pPr>
              <w:pStyle w:val="TableContents"/>
              <w:bidi w:val="0"/>
              <w:spacing w:before="0" w:after="0"/>
              <w:ind w:left="0" w:right="0" w:hanging="0"/>
              <w:jc w:val="center"/>
              <w:rPr/>
            </w:pPr>
            <w:r>
              <w:rPr/>
              <w:t>​</w:t>
            </w:r>
          </w:p>
        </w:tc>
        <w:tc>
          <w:tcPr>
            <w:tcW w:w="5667"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lineRule="auto" w:line="285" w:before="0" w:after="0"/>
        <w:ind w:left="0" w:right="0" w:hanging="0"/>
        <w:jc w:val="right"/>
        <w:rPr>
          <w:rFonts w:ascii="Times New Roman;Times;serif" w:hAnsi="Times New Roman;Times;serif"/>
          <w:b/>
          <w:sz w:val="24"/>
        </w:rPr>
      </w:pPr>
      <w:bookmarkStart w:id="1200" w:name="epm-20260630xex10d24.htm"/>
      <w:bookmarkStart w:id="1201" w:name="ksepm20260630xex10d24"/>
      <w:bookmarkEnd w:id="1200"/>
      <w:bookmarkEnd w:id="1201"/>
      <w:r>
        <w:rPr>
          <w:rFonts w:ascii="Times New Roman;Times;serif" w:hAnsi="Times New Roman;Times;serif"/>
          <w:b/>
          <w:sz w:val="24"/>
        </w:rPr>
        <w:t>EXHIBIT 10.2.4</w:t>
      </w:r>
      <w:r>
        <w:br w:type="page"/>
      </w:r>
    </w:p>
    <w:p>
      <w:pPr>
        <w:pStyle w:val="TextBody"/>
        <w:bidi w:val="0"/>
        <w:spacing w:lineRule="auto" w:line="285" w:before="0" w:after="0"/>
        <w:ind w:left="0" w:right="0" w:hanging="0"/>
        <w:jc w:val="center"/>
        <w:rPr>
          <w:rFonts w:ascii="Times New Roman;Times;serif" w:hAnsi="Times New Roman;Times;serif"/>
          <w:b/>
          <w:sz w:val="24"/>
        </w:rPr>
      </w:pPr>
      <w:bookmarkStart w:id="1202" w:name="_Hlk216650283"/>
      <w:bookmarkEnd w:id="1202"/>
      <w:r>
        <w:rPr>
          <w:rFonts w:ascii="Times New Roman;Times;serif" w:hAnsi="Times New Roman;Times;serif"/>
          <w:b/>
          <w:sz w:val="24"/>
        </w:rPr>
        <w:t>INTERIM INCREASED COMMITMENT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AND SUPPLEMENT TO AMENDED</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AND RESTATED CREDIT AGREEMENT</w:t>
      </w:r>
    </w:p>
    <w:p>
      <w:pPr>
        <w:pStyle w:val="TextBody"/>
        <w:bidi w:val="0"/>
        <w:spacing w:lineRule="auto" w:line="285" w:before="0" w:after="0"/>
        <w:ind w:left="0" w:right="0" w:hanging="0"/>
        <w:jc w:val="both"/>
        <w:rPr/>
      </w:pPr>
      <w:r>
        <w:rPr/>
        <w:t>​</w:t>
      </w:r>
      <w:r>
        <w:rPr>
          <w:rFonts w:ascii="Times New Roman;Times;serif" w:hAnsi="Times New Roman;Times;serif"/>
          <w:sz w:val="24"/>
        </w:rPr>
        <w:br/>
        <w:t xml:space="preserve">This </w:t>
      </w:r>
      <w:bookmarkStart w:id="1203" w:name="_Hlk216792550"/>
      <w:bookmarkEnd w:id="1203"/>
      <w:r>
        <w:rPr>
          <w:rFonts w:ascii="Times New Roman;Times;serif" w:hAnsi="Times New Roman;Times;serif"/>
          <w:b/>
          <w:sz w:val="24"/>
        </w:rPr>
        <w:t xml:space="preserve">INTERIM INCREASED COMMITMENT AND SUPPLEMENT TO AMENDED AND RESTATED CREDIT AGREEMENT </w:t>
      </w:r>
      <w:r>
        <w:rPr>
          <w:rFonts w:ascii="Times New Roman;Times;serif" w:hAnsi="Times New Roman;Times;serif"/>
          <w:sz w:val="24"/>
        </w:rPr>
        <w:t>(this “</w:t>
      </w:r>
      <w:r>
        <w:rPr>
          <w:rFonts w:ascii="Times New Roman;Times;serif" w:hAnsi="Times New Roman;Times;serif"/>
          <w:sz w:val="24"/>
          <w:u w:val="single"/>
        </w:rPr>
        <w:t>Agreement</w:t>
      </w:r>
      <w:r>
        <w:rPr>
          <w:rFonts w:ascii="Aptos" w:hAnsi="Aptos"/>
          <w:sz w:val="22"/>
        </w:rPr>
        <w:t>”</w:t>
      </w:r>
      <w:r>
        <w:rPr>
          <w:rFonts w:ascii="Times New Roman;Times;serif" w:hAnsi="Times New Roman;Times;serif"/>
          <w:sz w:val="24"/>
        </w:rPr>
        <w:t>) is entered into as of August 20, 2026 (the “</w:t>
      </w:r>
      <w:r>
        <w:rPr>
          <w:rFonts w:ascii="Times New Roman;Times;serif" w:hAnsi="Times New Roman;Times;serif"/>
          <w:b/>
          <w:i/>
          <w:sz w:val="24"/>
        </w:rPr>
        <w:t>Effective Date</w:t>
      </w:r>
      <w:r>
        <w:rPr>
          <w:rFonts w:ascii="Aptos" w:hAnsi="Aptos"/>
          <w:sz w:val="22"/>
        </w:rPr>
        <w:t>”</w:t>
      </w:r>
      <w:r>
        <w:rPr>
          <w:rFonts w:ascii="Times New Roman;Times;serif" w:hAnsi="Times New Roman;Times;serif"/>
          <w:sz w:val="24"/>
        </w:rPr>
        <w:t xml:space="preserve">), by and among </w:t>
      </w:r>
      <w:r>
        <w:rPr>
          <w:rFonts w:ascii="Times New Roman;Times;serif" w:hAnsi="Times New Roman;Times;serif"/>
          <w:b/>
          <w:sz w:val="22"/>
        </w:rPr>
        <w:t>EVOLUTION PETROLEUM CORPORATION</w:t>
      </w:r>
      <w:r>
        <w:rPr>
          <w:rFonts w:ascii="Times New Roman;Times;serif" w:hAnsi="Times New Roman;Times;serif"/>
          <w:sz w:val="22"/>
        </w:rPr>
        <w:t>, a Nevada corporation (“</w:t>
      </w:r>
      <w:bookmarkStart w:id="1204" w:name="_9kR3WTr19A48IUsr"/>
      <w:bookmarkEnd w:id="1204"/>
      <w:r>
        <w:rPr>
          <w:rFonts w:ascii="Times New Roman;Times;serif" w:hAnsi="Times New Roman;Times;serif"/>
          <w:sz w:val="22"/>
          <w:u w:val="single"/>
        </w:rPr>
        <w:t>EPC</w:t>
      </w:r>
      <w:r>
        <w:rPr>
          <w:rFonts w:ascii="Aptos" w:hAnsi="Aptos"/>
          <w:sz w:val="22"/>
        </w:rPr>
        <w:t>”</w:t>
      </w:r>
      <w:r>
        <w:rPr>
          <w:rFonts w:ascii="Times New Roman;Times;serif" w:hAnsi="Times New Roman;Times;serif"/>
          <w:sz w:val="22"/>
        </w:rPr>
        <w:t xml:space="preserve">), </w:t>
      </w:r>
      <w:r>
        <w:rPr>
          <w:rFonts w:ascii="Times New Roman;Times;serif" w:hAnsi="Times New Roman;Times;serif"/>
          <w:b/>
          <w:sz w:val="22"/>
        </w:rPr>
        <w:t>EVOLUTION PETROLEUM OK, INC</w:t>
      </w:r>
      <w:r>
        <w:rPr>
          <w:rFonts w:ascii="Times New Roman;Times;serif" w:hAnsi="Times New Roman;Times;serif"/>
          <w:sz w:val="22"/>
        </w:rPr>
        <w:t>., a Texas corporation (“</w:t>
      </w:r>
      <w:bookmarkStart w:id="1205" w:name="_9kR3WTr19A49ALO5w3C1x3jV63z"/>
      <w:bookmarkEnd w:id="1205"/>
      <w:r>
        <w:rPr>
          <w:rFonts w:ascii="Times New Roman;Times;serif" w:hAnsi="Times New Roman;Times;serif"/>
          <w:sz w:val="22"/>
          <w:u w:val="single"/>
        </w:rPr>
        <w:t>Evolution Texas</w:t>
      </w:r>
      <w:r>
        <w:rPr>
          <w:rFonts w:ascii="Aptos" w:hAnsi="Aptos"/>
          <w:sz w:val="22"/>
        </w:rPr>
        <w:t>”</w:t>
      </w:r>
      <w:r>
        <w:rPr>
          <w:rFonts w:ascii="Times New Roman;Times;serif" w:hAnsi="Times New Roman;Times;serif"/>
          <w:sz w:val="22"/>
        </w:rPr>
        <w:t xml:space="preserve">), </w:t>
      </w:r>
      <w:r>
        <w:rPr>
          <w:rFonts w:ascii="Times New Roman;Times;serif" w:hAnsi="Times New Roman;Times;serif"/>
          <w:b/>
          <w:sz w:val="22"/>
        </w:rPr>
        <w:t>NGS TECHNOLOGIES, INC.</w:t>
      </w:r>
      <w:r>
        <w:rPr>
          <w:rFonts w:ascii="Times New Roman;Times;serif" w:hAnsi="Times New Roman;Times;serif"/>
          <w:sz w:val="22"/>
        </w:rPr>
        <w:t>, a Delaware corporation (“</w:t>
      </w:r>
      <w:bookmarkStart w:id="1206" w:name="_9kR3WTr19A4CFWsy"/>
      <w:bookmarkEnd w:id="1206"/>
      <w:r>
        <w:rPr>
          <w:rFonts w:ascii="Times New Roman;Times;serif" w:hAnsi="Times New Roman;Times;serif"/>
          <w:sz w:val="22"/>
          <w:u w:val="single"/>
        </w:rPr>
        <w:t>NGS</w:t>
      </w:r>
      <w:r>
        <w:rPr>
          <w:rFonts w:ascii="Aptos" w:hAnsi="Aptos"/>
          <w:sz w:val="22"/>
        </w:rPr>
        <w:t>”</w:t>
      </w:r>
      <w:r>
        <w:rPr>
          <w:rFonts w:ascii="Times New Roman;Times;serif" w:hAnsi="Times New Roman;Times;serif"/>
          <w:sz w:val="22"/>
        </w:rPr>
        <w:t xml:space="preserve">), </w:t>
      </w:r>
      <w:r>
        <w:rPr>
          <w:rFonts w:ascii="Times New Roman;Times;serif" w:hAnsi="Times New Roman;Times;serif"/>
          <w:b/>
          <w:sz w:val="22"/>
        </w:rPr>
        <w:t>EVOLUTION ROYALTIES, INC</w:t>
      </w:r>
      <w:r>
        <w:rPr>
          <w:rFonts w:ascii="Times New Roman;Times;serif" w:hAnsi="Times New Roman;Times;serif"/>
          <w:sz w:val="22"/>
        </w:rPr>
        <w:t>., a Delaware corporation (“</w:t>
      </w:r>
      <w:bookmarkStart w:id="1207" w:name="_9kR3WTr19A4BKTO5w3C1x3hdH4sCAw7"/>
      <w:bookmarkEnd w:id="1207"/>
      <w:r>
        <w:rPr>
          <w:rFonts w:ascii="Times New Roman;Times;serif" w:hAnsi="Times New Roman;Times;serif"/>
          <w:sz w:val="22"/>
          <w:u w:val="single"/>
        </w:rPr>
        <w:t>Evolution Royalties</w:t>
      </w:r>
      <w:r>
        <w:rPr>
          <w:rFonts w:ascii="Aptos" w:hAnsi="Aptos"/>
          <w:sz w:val="22"/>
        </w:rPr>
        <w:t>”</w:t>
      </w:r>
      <w:r>
        <w:rPr>
          <w:rFonts w:ascii="Times New Roman;Times;serif" w:hAnsi="Times New Roman;Times;serif"/>
          <w:sz w:val="22"/>
        </w:rPr>
        <w:t xml:space="preserve">), </w:t>
      </w:r>
      <w:r>
        <w:rPr>
          <w:rFonts w:ascii="Times New Roman;Times;serif" w:hAnsi="Times New Roman;Times;serif"/>
          <w:b/>
          <w:sz w:val="22"/>
        </w:rPr>
        <w:t>EVOLUTION PETROLEUM WEST, INC</w:t>
      </w:r>
      <w:r>
        <w:rPr>
          <w:rFonts w:ascii="Times New Roman;Times;serif" w:hAnsi="Times New Roman;Times;serif"/>
          <w:sz w:val="22"/>
        </w:rPr>
        <w:t>., a Delaware corporation (“</w:t>
      </w:r>
      <w:bookmarkStart w:id="1208" w:name="_9kR3WTr19A4BLUO5w3C1x3mY1H"/>
      <w:bookmarkEnd w:id="1208"/>
      <w:r>
        <w:rPr>
          <w:rFonts w:ascii="Times New Roman;Times;serif" w:hAnsi="Times New Roman;Times;serif"/>
          <w:sz w:val="22"/>
          <w:u w:val="single"/>
        </w:rPr>
        <w:t>Evolution West</w:t>
      </w:r>
      <w:r>
        <w:rPr>
          <w:rFonts w:ascii="Aptos" w:hAnsi="Aptos"/>
          <w:sz w:val="22"/>
        </w:rPr>
        <w:t>”</w:t>
      </w:r>
      <w:r>
        <w:rPr>
          <w:rFonts w:ascii="Times New Roman;Times;serif" w:hAnsi="Times New Roman;Times;serif"/>
          <w:sz w:val="22"/>
        </w:rPr>
        <w:t>; EPC, Evolution Texas, NGS, Evolution Royalties, and Evolution West are collectively referred to herein as the “</w:t>
      </w:r>
      <w:r>
        <w:rPr>
          <w:rFonts w:ascii="Times New Roman;Times;serif" w:hAnsi="Times New Roman;Times;serif"/>
          <w:sz w:val="22"/>
          <w:u w:val="single"/>
        </w:rPr>
        <w:t>Borrowers</w:t>
      </w:r>
      <w:r>
        <w:rPr>
          <w:rFonts w:ascii="Aptos" w:hAnsi="Aptos"/>
          <w:sz w:val="22"/>
        </w:rPr>
        <w:t xml:space="preserve">” </w:t>
      </w:r>
      <w:r>
        <w:rPr>
          <w:rFonts w:ascii="Times New Roman;Times;serif" w:hAnsi="Times New Roman;Times;serif"/>
          <w:sz w:val="22"/>
        </w:rPr>
        <w:t>and each as a “</w:t>
      </w:r>
      <w:bookmarkStart w:id="1209" w:name="_9kR3WTr19A4BIOE15390w"/>
      <w:bookmarkEnd w:id="1209"/>
      <w:r>
        <w:rPr>
          <w:rFonts w:ascii="Times New Roman;Times;serif" w:hAnsi="Times New Roman;Times;serif"/>
          <w:sz w:val="22"/>
          <w:u w:val="single"/>
        </w:rPr>
        <w:t>Borrower</w:t>
      </w:r>
      <w:r>
        <w:rPr>
          <w:rFonts w:ascii="Aptos" w:hAnsi="Aptos"/>
          <w:sz w:val="22"/>
        </w:rPr>
        <w:t>”</w:t>
      </w:r>
      <w:r>
        <w:rPr>
          <w:rFonts w:ascii="Times New Roman;Times;serif" w:hAnsi="Times New Roman;Times;serif"/>
          <w:sz w:val="22"/>
        </w:rPr>
        <w:t xml:space="preserve">) </w:t>
      </w:r>
      <w:r>
        <w:rPr>
          <w:rFonts w:ascii="Times New Roman;Times;serif" w:hAnsi="Times New Roman;Times;serif"/>
          <w:sz w:val="24"/>
        </w:rPr>
        <w:t xml:space="preserve">and </w:t>
      </w:r>
      <w:r>
        <w:rPr>
          <w:rFonts w:ascii="Times New Roman;Times;serif" w:hAnsi="Times New Roman;Times;serif"/>
          <w:sz w:val="22"/>
        </w:rPr>
        <w:t xml:space="preserve">the Lenders from time to time party hereto, and </w:t>
      </w:r>
      <w:r>
        <w:rPr>
          <w:rFonts w:ascii="Times New Roman;Times;serif" w:hAnsi="Times New Roman;Times;serif"/>
          <w:b/>
          <w:sz w:val="22"/>
        </w:rPr>
        <w:t>MIDFIRST BANK</w:t>
      </w:r>
      <w:r>
        <w:rPr>
          <w:rFonts w:ascii="Times New Roman;Times;serif" w:hAnsi="Times New Roman;Times;serif"/>
          <w:sz w:val="22"/>
        </w:rPr>
        <w:t>, a federally chartered savings association, in its individual capacity as a Lender (the “</w:t>
      </w:r>
      <w:r>
        <w:rPr>
          <w:rFonts w:ascii="Times New Roman;Times;serif" w:hAnsi="Times New Roman;Times;serif"/>
          <w:sz w:val="22"/>
          <w:u w:val="single"/>
        </w:rPr>
        <w:t>Increasing Lender</w:t>
      </w:r>
      <w:r>
        <w:rPr>
          <w:rFonts w:ascii="Aptos" w:hAnsi="Aptos"/>
          <w:sz w:val="22"/>
        </w:rPr>
        <w:t>”</w:t>
      </w:r>
      <w:r>
        <w:rPr>
          <w:rFonts w:ascii="Times New Roman;Times;serif" w:hAnsi="Times New Roman;Times;serif"/>
          <w:sz w:val="22"/>
        </w:rPr>
        <w:t>) and in its capacity as administrative agent for other Lenders (the “</w:t>
      </w:r>
      <w:r>
        <w:rPr>
          <w:rFonts w:ascii="Times New Roman;Times;serif" w:hAnsi="Times New Roman;Times;serif"/>
          <w:sz w:val="22"/>
          <w:u w:val="single"/>
        </w:rPr>
        <w:t>Administrative Agent</w:t>
      </w:r>
      <w:r>
        <w:rPr>
          <w:rFonts w:ascii="Aptos" w:hAnsi="Aptos"/>
          <w:sz w:val="22"/>
        </w:rPr>
        <w:t>”</w:t>
      </w:r>
      <w:r>
        <w:rPr>
          <w:rFonts w:ascii="Times New Roman;Times;serif" w:hAnsi="Times New Roman;Times;serif"/>
          <w:sz w:val="22"/>
        </w:rPr>
        <w:t>)</w:t>
      </w:r>
      <w:r>
        <w:rPr>
          <w:rFonts w:ascii="Times New Roman;Times;serif" w:hAnsi="Times New Roman;Times;serif"/>
          <w:sz w:val="24"/>
        </w:rPr>
        <w:t>.</w:t>
      </w:r>
    </w:p>
    <w:p>
      <w:pPr>
        <w:pStyle w:val="TextBody"/>
        <w:bidi w:val="0"/>
        <w:spacing w:lineRule="auto" w:line="331" w:before="0" w:after="160"/>
        <w:ind w:left="0" w:right="0" w:hanging="0"/>
        <w:jc w:val="both"/>
        <w:rPr/>
      </w:pPr>
      <w:r>
        <w:rPr/>
        <w:t>​</w:t>
      </w:r>
    </w:p>
    <w:p>
      <w:pPr>
        <w:pStyle w:val="TextBody"/>
        <w:bidi w:val="0"/>
        <w:spacing w:lineRule="auto" w:line="285" w:before="0" w:after="0"/>
        <w:ind w:left="0" w:right="0" w:hanging="0"/>
        <w:jc w:val="center"/>
        <w:rPr>
          <w:rFonts w:ascii="Times New Roman;Times;serif" w:hAnsi="Times New Roman;Times;serif"/>
          <w:b/>
          <w:sz w:val="24"/>
        </w:rPr>
      </w:pPr>
      <w:bookmarkStart w:id="1210" w:name="_Hlk216650158"/>
      <w:bookmarkEnd w:id="1210"/>
      <w:r>
        <w:rPr>
          <w:rFonts w:ascii="Times New Roman;Times;serif" w:hAnsi="Times New Roman;Times;serif"/>
          <w:b/>
          <w:sz w:val="24"/>
        </w:rPr>
        <w:t>BACKGROUND</w:t>
      </w:r>
    </w:p>
    <w:p>
      <w:pPr>
        <w:pStyle w:val="TextBody"/>
        <w:bidi w:val="0"/>
        <w:spacing w:lineRule="auto" w:line="331" w:before="0" w:after="16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992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The Borrowers and certain Lenders are parties to that certain </w:t>
            </w:r>
            <w:bookmarkStart w:id="1211" w:name="_Hlk216792692"/>
            <w:bookmarkEnd w:id="1211"/>
            <w:r>
              <w:rPr>
                <w:rFonts w:ascii="Times New Roman;Times;serif" w:hAnsi="Times New Roman;Times;serif"/>
                <w:b w:val="false"/>
                <w:i w:val="false"/>
                <w:caps w:val="false"/>
                <w:smallCaps w:val="false"/>
                <w:sz w:val="24"/>
              </w:rPr>
              <w:t>Amended and Restated Credit Agreement dated as of June 30, 2025 (as amended, restated, supplemented, or otherwise modified from time to time to the Effective Date, the “</w:t>
            </w:r>
            <w:r>
              <w:rPr>
                <w:rFonts w:ascii="Times New Roman;Times;serif" w:hAnsi="Times New Roman;Times;serif"/>
                <w:b/>
                <w:i/>
                <w:sz w:val="24"/>
              </w:rPr>
              <w:t>Credit Agreement</w:t>
            </w:r>
            <w:r>
              <w:rPr>
                <w:caps w:val="false"/>
                <w:smallCaps w:val="false"/>
              </w:rPr>
              <w:t>”</w:t>
            </w:r>
            <w:r>
              <w:rPr>
                <w:rFonts w:ascii="Times New Roman;Times;serif" w:hAnsi="Times New Roman;Times;serif"/>
                <w:b w:val="false"/>
                <w:i w:val="false"/>
                <w:caps w:val="false"/>
                <w:smallCaps w:val="false"/>
                <w:sz w:val="24"/>
              </w:rPr>
              <w:t>).</w:t>
            </w:r>
          </w:p>
        </w:tc>
      </w:tr>
    </w:tbl>
    <w:p>
      <w:pPr>
        <w:pStyle w:val="TextBody"/>
        <w:bidi w:val="0"/>
        <w:spacing w:lineRule="auto" w:line="331" w:before="0" w:after="16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Increasing Lender is the Administrative Agent under the Credit Agreement and also a Lender thereunder.</w:t>
            </w:r>
          </w:p>
        </w:tc>
      </w:tr>
    </w:tbl>
    <w:p>
      <w:pPr>
        <w:pStyle w:val="TextBody"/>
        <w:bidi w:val="0"/>
        <w:spacing w:lineRule="auto" w:line="331" w:before="0" w:after="16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C.</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Borrowers have requested, and the Increasing Lender has agreed, subject to the terms and conditions hereof and the consent of the Lenders under the Credit Agreement, to increase its Commitment under the Credit Agreement on an interim basis. Unless otherwise expressly defined here, all capitalized terms used in this Agreement have their respective meanings set forth in the Credit Agreement.</w:t>
            </w:r>
          </w:p>
        </w:tc>
      </w:tr>
    </w:tbl>
    <w:p>
      <w:pPr>
        <w:pStyle w:val="TextBody"/>
        <w:bidi w:val="0"/>
        <w:spacing w:lineRule="auto" w:line="331" w:before="0" w:after="160"/>
        <w:ind w:left="72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AGREEMENT</w:t>
      </w:r>
    </w:p>
    <w:p>
      <w:pPr>
        <w:pStyle w:val="TextBody"/>
        <w:bidi w:val="0"/>
        <w:spacing w:lineRule="auto" w:line="331" w:before="0" w:after="160"/>
        <w:ind w:left="0" w:right="0" w:hanging="0"/>
        <w:jc w:val="left"/>
        <w:rPr/>
      </w:pPr>
      <w:r>
        <w:rPr/>
        <w:t>​</w:t>
      </w:r>
    </w:p>
    <w:p>
      <w:pPr>
        <w:pStyle w:val="TextBody"/>
        <w:bidi w:val="0"/>
        <w:spacing w:lineRule="auto" w:line="285" w:before="0" w:after="0"/>
        <w:ind w:left="90" w:right="0" w:firstLine="630"/>
        <w:jc w:val="both"/>
        <w:rPr>
          <w:rFonts w:ascii="Times New Roman;Times;serif" w:hAnsi="Times New Roman;Times;serif"/>
          <w:sz w:val="24"/>
        </w:rPr>
      </w:pPr>
      <w:r>
        <w:rPr>
          <w:rFonts w:ascii="Times New Roman;Times;serif" w:hAnsi="Times New Roman;Times;serif"/>
          <w:sz w:val="24"/>
        </w:rPr>
        <w:t>In consideration of these premises, the promises, mutual covenants, and agreements contained in this Agreement, and for other good and valuable consideration, the receipt and sufficiency of which are hereby acknowledged, the parties agree as follows:</w:t>
      </w:r>
    </w:p>
    <w:p>
      <w:pPr>
        <w:pStyle w:val="TextBody"/>
        <w:bidi w:val="0"/>
        <w:spacing w:lineRule="auto" w:line="331" w:before="0" w:after="160"/>
        <w:ind w:left="90" w:right="0" w:hanging="0"/>
        <w:jc w:val="both"/>
        <w:rPr/>
      </w:pPr>
      <w:r>
        <w:rPr/>
        <w:t>​</w:t>
      </w:r>
    </w:p>
    <w:tbl>
      <w:tblPr>
        <w:tblW w:w="3513" w:type="dxa"/>
        <w:jc w:val="left"/>
        <w:tblInd w:w="0" w:type="dxa"/>
        <w:tblLayout w:type="fixed"/>
        <w:tblCellMar>
          <w:top w:w="0" w:type="dxa"/>
          <w:left w:w="0" w:type="dxa"/>
          <w:bottom w:w="0" w:type="dxa"/>
          <w:right w:w="0" w:type="dxa"/>
        </w:tblCellMar>
      </w:tblPr>
      <w:tblGrid>
        <w:gridCol w:w="23"/>
        <w:gridCol w:w="200"/>
        <w:gridCol w:w="329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1.</w:t>
            </w:r>
          </w:p>
        </w:tc>
        <w:tc>
          <w:tcPr>
            <w:tcW w:w="329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Interim Increased Commitment.</w:t>
            </w:r>
          </w:p>
        </w:tc>
      </w:tr>
    </w:tbl>
    <w:p>
      <w:pPr>
        <w:pStyle w:val="TextBody"/>
        <w:bidi w:val="0"/>
        <w:spacing w:lineRule="auto" w:line="331" w:before="0" w:after="160"/>
        <w:ind w:left="0" w:right="0" w:hanging="0"/>
        <w:jc w:val="both"/>
        <w:rPr/>
      </w:pPr>
      <w:r>
        <w:rPr/>
        <w:t>​</w:t>
      </w:r>
    </w:p>
    <w:p>
      <w:pPr>
        <w:pStyle w:val="TextBody"/>
        <w:bidi w:val="0"/>
        <w:spacing w:lineRule="auto" w:line="331" w:before="0" w:after="160"/>
        <w:ind w:left="81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9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During that period of time from and including August 20, 2026 (the “Increase Effective Date”) until October 20, 2026 (the “Reduction Date”, unless otherwise reduced, increased or otherwise modified in accordance with the terms of the Credit Agreement, the table at Schedule 2.1 of the Credit Agreement shall be deleted in its entirety and the following is substituted in its place:  </w:t>
            </w:r>
          </w:p>
        </w:tc>
      </w:tr>
    </w:tbl>
    <w:p>
      <w:pPr>
        <w:pStyle w:val="TextBody"/>
        <w:bidi w:val="0"/>
        <w:spacing w:lineRule="auto" w:line="331" w:before="0" w:after="160"/>
        <w:ind w:left="0" w:right="0" w:hanging="0"/>
        <w:jc w:val="both"/>
        <w:rPr/>
      </w:pPr>
      <w:r>
        <w:rPr/>
        <w:t>​</w:t>
      </w:r>
    </w:p>
    <w:p>
      <w:pPr>
        <w:pStyle w:val="TextBody"/>
        <w:bidi w:val="0"/>
        <w:spacing w:lineRule="auto" w:line="331" w:before="0" w:after="160"/>
        <w:ind w:left="720" w:right="0" w:hanging="0"/>
        <w:jc w:val="center"/>
        <w:rPr/>
      </w:pPr>
      <w:r>
        <w:rPr/>
        <w:t>​</w:t>
      </w:r>
    </w:p>
    <w:p>
      <w:pPr>
        <w:pStyle w:val="TextBody"/>
        <w:bidi w:val="0"/>
        <w:spacing w:lineRule="auto" w:line="285" w:before="0" w:after="0"/>
        <w:ind w:left="0" w:right="0" w:hanging="0"/>
        <w:jc w:val="left"/>
        <w:rPr/>
      </w:pPr>
      <w:r>
        <w:rPr/>
        <w:t>​</w:t>
      </w:r>
    </w:p>
    <w:p>
      <w:pPr>
        <w:pStyle w:val="TextBody"/>
        <w:pBdr/>
        <w:bidi w:val="0"/>
        <w:spacing w:lineRule="auto" w:line="331" w:before="0" w:after="160"/>
        <w:ind w:left="0" w:right="0" w:hanging="0"/>
        <w:jc w:val="left"/>
        <w:rPr/>
      </w:pPr>
      <w:r>
        <w:rPr/>
        <w:t>​</w:t>
      </w:r>
    </w:p>
    <w:p>
      <w:pPr>
        <w:pStyle w:val="TextBody"/>
        <w:bidi w:val="0"/>
        <w:spacing w:lineRule="auto" w:line="331"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720" w:right="0" w:hanging="0"/>
        <w:jc w:val="center"/>
        <w:rPr>
          <w:rFonts w:ascii="Times New Roman;Times;serif" w:hAnsi="Times New Roman;Times;serif"/>
          <w:b/>
          <w:sz w:val="22"/>
        </w:rPr>
      </w:pPr>
      <w:r>
        <w:rPr>
          <w:rFonts w:ascii="Times New Roman;Times;serif" w:hAnsi="Times New Roman;Times;serif"/>
          <w:b/>
          <w:sz w:val="22"/>
        </w:rPr>
        <w:t>COMMITMENTS AND APPLICABLE PERCENTAGES</w:t>
      </w:r>
    </w:p>
    <w:p>
      <w:pPr>
        <w:pStyle w:val="TextBody"/>
        <w:bidi w:val="0"/>
        <w:spacing w:lineRule="auto" w:line="331" w:before="0" w:after="160"/>
        <w:ind w:left="2085" w:right="0" w:hanging="0"/>
        <w:jc w:val="both"/>
        <w:rPr>
          <w:spacing w:val="-3"/>
        </w:rPr>
      </w:pPr>
      <w:r>
        <w:rPr>
          <w:spacing w:val="-3"/>
        </w:rPr>
        <w:t>​</w:t>
      </w:r>
    </w:p>
    <w:tbl>
      <w:tblPr>
        <w:tblW w:w="5313" w:type="dxa"/>
        <w:jc w:val="left"/>
        <w:tblInd w:w="0" w:type="dxa"/>
        <w:tblLayout w:type="fixed"/>
        <w:tblCellMar>
          <w:top w:w="0" w:type="dxa"/>
          <w:left w:w="0" w:type="dxa"/>
          <w:bottom w:w="0" w:type="dxa"/>
          <w:right w:w="0" w:type="dxa"/>
        </w:tblCellMar>
      </w:tblPr>
      <w:tblGrid>
        <w:gridCol w:w="1546"/>
        <w:gridCol w:w="1426"/>
        <w:gridCol w:w="2341"/>
      </w:tblGrid>
      <w:tr>
        <w:trPr/>
        <w:tc>
          <w:tcPr>
            <w:tcW w:w="1546" w:type="dxa"/>
            <w:tcBorders/>
            <w:vAlign w:val="center"/>
          </w:tcPr>
          <w:p>
            <w:pPr>
              <w:pStyle w:val="TableContents"/>
              <w:bidi w:val="0"/>
              <w:spacing w:lineRule="auto" w:line="331" w:before="0" w:after="160"/>
              <w:ind w:left="0" w:right="0" w:hanging="0"/>
              <w:jc w:val="left"/>
              <w:rPr/>
            </w:pPr>
            <w:r>
              <w:rPr/>
              <w:t>​</w:t>
            </w:r>
          </w:p>
        </w:tc>
        <w:tc>
          <w:tcPr>
            <w:tcW w:w="1426" w:type="dxa"/>
            <w:tcBorders/>
            <w:vAlign w:val="center"/>
          </w:tcPr>
          <w:p>
            <w:pPr>
              <w:pStyle w:val="TableContents"/>
              <w:bidi w:val="0"/>
              <w:spacing w:lineRule="auto" w:line="331" w:before="0" w:after="160"/>
              <w:ind w:left="0" w:right="0" w:hanging="0"/>
              <w:jc w:val="left"/>
              <w:rPr/>
            </w:pPr>
            <w:r>
              <w:rPr/>
              <w:t>​</w:t>
            </w:r>
          </w:p>
        </w:tc>
        <w:tc>
          <w:tcPr>
            <w:tcW w:w="2341" w:type="dxa"/>
            <w:tcBorders/>
            <w:vAlign w:val="center"/>
          </w:tcPr>
          <w:p>
            <w:pPr>
              <w:pStyle w:val="TableContents"/>
              <w:bidi w:val="0"/>
              <w:spacing w:lineRule="auto" w:line="331" w:before="0" w:after="160"/>
              <w:ind w:left="0" w:right="0" w:hanging="0"/>
              <w:jc w:val="left"/>
              <w:rPr/>
            </w:pPr>
            <w:r>
              <w:rPr/>
              <w:t>​</w:t>
            </w:r>
          </w:p>
        </w:tc>
      </w:tr>
      <w:tr>
        <w:trPr/>
        <w:tc>
          <w:tcPr>
            <w:tcW w:w="15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b/>
                <w:sz w:val="22"/>
              </w:rPr>
            </w:pPr>
            <w:r>
              <w:rPr>
                <w:rFonts w:ascii="Times New Roman;Times;serif" w:hAnsi="Times New Roman;Times;serif"/>
                <w:b/>
                <w:sz w:val="22"/>
              </w:rPr>
              <w:t>Lender</w:t>
            </w:r>
          </w:p>
        </w:tc>
        <w:tc>
          <w:tcPr>
            <w:tcW w:w="14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b/>
                <w:sz w:val="22"/>
              </w:rPr>
            </w:pPr>
            <w:r>
              <w:rPr>
                <w:rFonts w:ascii="Times New Roman;Times;serif" w:hAnsi="Times New Roman;Times;serif"/>
                <w:b/>
                <w:sz w:val="22"/>
              </w:rPr>
              <w:t>Commitment</w:t>
            </w:r>
          </w:p>
        </w:tc>
        <w:tc>
          <w:tcPr>
            <w:tcW w:w="23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b/>
                <w:sz w:val="22"/>
              </w:rPr>
            </w:pPr>
            <w:r>
              <w:rPr>
                <w:rFonts w:ascii="Times New Roman;Times;serif" w:hAnsi="Times New Roman;Times;serif"/>
                <w:b/>
                <w:sz w:val="22"/>
              </w:rPr>
              <w:t>Applicable Percentage</w:t>
            </w:r>
          </w:p>
        </w:tc>
      </w:tr>
      <w:tr>
        <w:trPr/>
        <w:tc>
          <w:tcPr>
            <w:tcW w:w="15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120" w:after="120"/>
              <w:ind w:left="0" w:right="0" w:hanging="0"/>
              <w:jc w:val="left"/>
              <w:rPr>
                <w:rFonts w:ascii="Times New Roman;Times;serif" w:hAnsi="Times New Roman;Times;serif"/>
                <w:b/>
                <w:sz w:val="22"/>
              </w:rPr>
            </w:pPr>
            <w:r>
              <w:rPr>
                <w:rFonts w:ascii="Times New Roman;Times;serif" w:hAnsi="Times New Roman;Times;serif"/>
                <w:b/>
                <w:sz w:val="22"/>
              </w:rPr>
              <w:t>MidFirst Bank</w:t>
            </w:r>
          </w:p>
        </w:tc>
        <w:tc>
          <w:tcPr>
            <w:tcW w:w="14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120" w:after="120"/>
              <w:ind w:left="0" w:right="0" w:hanging="0"/>
              <w:jc w:val="left"/>
              <w:rPr>
                <w:rFonts w:ascii="Times New Roman;Times;serif" w:hAnsi="Times New Roman;Times;serif"/>
                <w:sz w:val="22"/>
              </w:rPr>
            </w:pPr>
            <w:r>
              <w:rPr>
                <w:rFonts w:ascii="Times New Roman;Times;serif" w:hAnsi="Times New Roman;Times;serif"/>
                <w:sz w:val="22"/>
              </w:rPr>
              <w:t>$172,602,740</w:t>
            </w:r>
          </w:p>
        </w:tc>
        <w:tc>
          <w:tcPr>
            <w:tcW w:w="23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120" w:after="120"/>
              <w:ind w:left="0" w:right="0" w:hanging="0"/>
              <w:jc w:val="left"/>
              <w:rPr>
                <w:rFonts w:ascii="Times New Roman;Times;serif" w:hAnsi="Times New Roman;Times;serif"/>
                <w:sz w:val="22"/>
              </w:rPr>
            </w:pPr>
            <w:r>
              <w:rPr>
                <w:rFonts w:ascii="Times New Roman;Times;serif" w:hAnsi="Times New Roman;Times;serif"/>
                <w:sz w:val="22"/>
              </w:rPr>
              <w:t>86.30137%</w:t>
            </w:r>
          </w:p>
        </w:tc>
      </w:tr>
      <w:tr>
        <w:trPr/>
        <w:tc>
          <w:tcPr>
            <w:tcW w:w="15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120" w:after="120"/>
              <w:ind w:left="0" w:right="0" w:hanging="0"/>
              <w:jc w:val="left"/>
              <w:rPr>
                <w:rFonts w:ascii="Times New Roman;Times;serif" w:hAnsi="Times New Roman;Times;serif"/>
                <w:b/>
                <w:sz w:val="22"/>
              </w:rPr>
            </w:pPr>
            <w:r>
              <w:rPr>
                <w:rFonts w:ascii="Times New Roman;Times;serif" w:hAnsi="Times New Roman;Times;serif"/>
                <w:b/>
                <w:sz w:val="22"/>
              </w:rPr>
              <w:t>Prism Bank</w:t>
            </w:r>
          </w:p>
        </w:tc>
        <w:tc>
          <w:tcPr>
            <w:tcW w:w="14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120" w:after="120"/>
              <w:ind w:left="0" w:right="0" w:hanging="0"/>
              <w:jc w:val="left"/>
              <w:rPr>
                <w:rFonts w:ascii="Times New Roman;Times;serif" w:hAnsi="Times New Roman;Times;serif"/>
                <w:sz w:val="22"/>
              </w:rPr>
            </w:pPr>
            <w:r>
              <w:rPr>
                <w:rFonts w:ascii="Times New Roman;Times;serif" w:hAnsi="Times New Roman;Times;serif"/>
                <w:sz w:val="22"/>
              </w:rPr>
              <w:t>$27,397,260</w:t>
            </w:r>
          </w:p>
        </w:tc>
        <w:tc>
          <w:tcPr>
            <w:tcW w:w="23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120" w:after="120"/>
              <w:ind w:left="0" w:right="0" w:hanging="0"/>
              <w:jc w:val="left"/>
              <w:rPr>
                <w:rFonts w:ascii="Times New Roman;Times;serif" w:hAnsi="Times New Roman;Times;serif"/>
                <w:sz w:val="22"/>
              </w:rPr>
            </w:pPr>
            <w:r>
              <w:rPr>
                <w:rFonts w:ascii="Times New Roman;Times;serif" w:hAnsi="Times New Roman;Times;serif"/>
                <w:sz w:val="22"/>
              </w:rPr>
              <w:t>13.69863%</w:t>
            </w:r>
          </w:p>
        </w:tc>
      </w:tr>
      <w:tr>
        <w:trPr/>
        <w:tc>
          <w:tcPr>
            <w:tcW w:w="15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31" w:before="0" w:after="160"/>
              <w:ind w:left="0" w:right="0" w:hanging="0"/>
              <w:jc w:val="left"/>
              <w:rPr/>
            </w:pPr>
            <w:r>
              <w:rPr/>
              <w:t>​</w:t>
            </w:r>
          </w:p>
        </w:tc>
        <w:tc>
          <w:tcPr>
            <w:tcW w:w="14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31" w:before="0" w:after="160"/>
              <w:ind w:left="0" w:right="0" w:hanging="0"/>
              <w:jc w:val="left"/>
              <w:rPr/>
            </w:pPr>
            <w:r>
              <w:rPr/>
              <w:t>​</w:t>
            </w:r>
          </w:p>
        </w:tc>
        <w:tc>
          <w:tcPr>
            <w:tcW w:w="23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31" w:before="0" w:after="160"/>
              <w:ind w:left="0" w:right="0" w:hanging="0"/>
              <w:jc w:val="left"/>
              <w:rPr/>
            </w:pPr>
            <w:r>
              <w:rPr/>
              <w:t>​</w:t>
            </w:r>
          </w:p>
        </w:tc>
      </w:tr>
      <w:tr>
        <w:trPr/>
        <w:tc>
          <w:tcPr>
            <w:tcW w:w="15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120" w:after="120"/>
              <w:ind w:left="0" w:right="0" w:hanging="0"/>
              <w:jc w:val="left"/>
              <w:rPr>
                <w:rFonts w:ascii="Times New Roman;Times;serif" w:hAnsi="Times New Roman;Times;serif"/>
                <w:b/>
                <w:sz w:val="22"/>
              </w:rPr>
            </w:pPr>
            <w:r>
              <w:rPr>
                <w:rFonts w:ascii="Times New Roman;Times;serif" w:hAnsi="Times New Roman;Times;serif"/>
                <w:b/>
                <w:sz w:val="22"/>
              </w:rPr>
              <w:t>TOTAL</w:t>
            </w:r>
          </w:p>
        </w:tc>
        <w:tc>
          <w:tcPr>
            <w:tcW w:w="14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120" w:after="120"/>
              <w:ind w:left="0" w:right="0" w:hanging="0"/>
              <w:jc w:val="left"/>
              <w:rPr>
                <w:rFonts w:ascii="Times New Roman;Times;serif" w:hAnsi="Times New Roman;Times;serif"/>
                <w:sz w:val="22"/>
              </w:rPr>
            </w:pPr>
            <w:r>
              <w:rPr>
                <w:rFonts w:ascii="Times New Roman;Times;serif" w:hAnsi="Times New Roman;Times;serif"/>
                <w:sz w:val="22"/>
              </w:rPr>
              <w:t>$200,000,000</w:t>
            </w:r>
          </w:p>
        </w:tc>
        <w:tc>
          <w:tcPr>
            <w:tcW w:w="23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120" w:after="120"/>
              <w:ind w:left="0" w:right="0" w:hanging="0"/>
              <w:jc w:val="left"/>
              <w:rPr>
                <w:rFonts w:ascii="Times New Roman;Times;serif" w:hAnsi="Times New Roman;Times;serif"/>
                <w:sz w:val="22"/>
              </w:rPr>
            </w:pPr>
            <w:r>
              <w:rPr>
                <w:rFonts w:ascii="Times New Roman;Times;serif" w:hAnsi="Times New Roman;Times;serif"/>
                <w:sz w:val="22"/>
              </w:rPr>
              <w:t>100.00000%</w:t>
            </w:r>
          </w:p>
        </w:tc>
      </w:tr>
    </w:tbl>
    <w:p>
      <w:pPr>
        <w:pStyle w:val="TextBody"/>
        <w:bidi w:val="0"/>
        <w:spacing w:lineRule="auto" w:line="331"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66"/>
        <w:gridCol w:w="9916"/>
      </w:tblGrid>
      <w:tr>
        <w:trPr/>
        <w:tc>
          <w:tcPr>
            <w:tcW w:w="2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lineRule="auto" w:line="285" w:before="0" w:after="0"/>
              <w:jc w:val="both"/>
              <w:rPr>
                <w:rFonts w:ascii="Times New Roman;Times;serif" w:hAnsi="Times New Roman;Times;serif"/>
                <w:sz w:val="24"/>
              </w:rPr>
            </w:pPr>
            <w:r>
              <w:rPr>
                <w:rFonts w:ascii="Times New Roman;Times;serif" w:hAnsi="Times New Roman;Times;serif"/>
                <w:sz w:val="24"/>
              </w:rPr>
              <w:t xml:space="preserve">B. </w:t>
            </w:r>
          </w:p>
        </w:tc>
        <w:tc>
          <w:tcPr>
            <w:tcW w:w="9916" w:type="dxa"/>
            <w:tcBorders/>
            <w:vAlign w:val="center"/>
          </w:tcPr>
          <w:p>
            <w:pPr>
              <w:pStyle w:val="TableContents"/>
              <w:bidi w:val="0"/>
              <w:spacing w:lineRule="auto" w:line="285" w:before="0" w:after="0"/>
              <w:jc w:val="both"/>
              <w:rPr>
                <w:rFonts w:ascii="Times New Roman;Times;serif" w:hAnsi="Times New Roman;Times;serif"/>
                <w:sz w:val="24"/>
              </w:rPr>
            </w:pPr>
            <w:r>
              <w:rPr>
                <w:rFonts w:ascii="Times New Roman;Times;serif" w:hAnsi="Times New Roman;Times;serif"/>
                <w:sz w:val="24"/>
              </w:rPr>
              <w:t>Upon the Reduction Date, such table in A. above shall immediately and automatically revert, with no further action required by any party, to the table as in effect on the date immediately prior to the Increase Effective Date, which (for the avoidance of doubt) is as follows:</w:t>
            </w:r>
          </w:p>
        </w:tc>
      </w:tr>
    </w:tbl>
    <w:p>
      <w:pPr>
        <w:pStyle w:val="TextBody"/>
        <w:bidi w:val="0"/>
        <w:spacing w:lineRule="auto" w:line="331" w:before="0" w:after="160"/>
        <w:ind w:left="0" w:right="0" w:hanging="0"/>
        <w:jc w:val="left"/>
        <w:rPr>
          <w:spacing w:val="-3"/>
        </w:rPr>
      </w:pPr>
      <w:r>
        <w:rPr>
          <w:spacing w:val="-3"/>
        </w:rPr>
        <w:t>​</w:t>
      </w:r>
    </w:p>
    <w:p>
      <w:pPr>
        <w:pStyle w:val="TextBody"/>
        <w:bidi w:val="0"/>
        <w:spacing w:lineRule="auto" w:line="285" w:before="0" w:after="0"/>
        <w:ind w:left="2085" w:right="0" w:hanging="0"/>
        <w:jc w:val="both"/>
        <w:rPr>
          <w:rFonts w:ascii="Times New Roman;Times;serif" w:hAnsi="Times New Roman;Times;serif"/>
          <w:b/>
          <w:sz w:val="22"/>
        </w:rPr>
      </w:pPr>
      <w:r>
        <w:rPr>
          <w:rFonts w:ascii="Times New Roman;Times;serif" w:hAnsi="Times New Roman;Times;serif"/>
          <w:b/>
          <w:sz w:val="22"/>
        </w:rPr>
        <w:t>COMMITMENTS AND APPLICABLE PERCENTAGES</w:t>
      </w:r>
    </w:p>
    <w:p>
      <w:pPr>
        <w:pStyle w:val="TextBody"/>
        <w:bidi w:val="0"/>
        <w:spacing w:lineRule="auto" w:line="331" w:before="0" w:after="160"/>
        <w:ind w:left="2085" w:right="0" w:hanging="0"/>
        <w:jc w:val="both"/>
        <w:rPr>
          <w:spacing w:val="-3"/>
        </w:rPr>
      </w:pPr>
      <w:r>
        <w:rPr>
          <w:spacing w:val="-3"/>
        </w:rPr>
        <w:t>​</w:t>
      </w:r>
    </w:p>
    <w:tbl>
      <w:tblPr>
        <w:tblW w:w="5313" w:type="dxa"/>
        <w:jc w:val="left"/>
        <w:tblInd w:w="0" w:type="dxa"/>
        <w:tblLayout w:type="fixed"/>
        <w:tblCellMar>
          <w:top w:w="28" w:type="dxa"/>
          <w:left w:w="103" w:type="dxa"/>
          <w:bottom w:w="28" w:type="dxa"/>
          <w:right w:w="103" w:type="dxa"/>
        </w:tblCellMar>
      </w:tblPr>
      <w:tblGrid>
        <w:gridCol w:w="1546"/>
        <w:gridCol w:w="1426"/>
        <w:gridCol w:w="2341"/>
      </w:tblGrid>
      <w:tr>
        <w:trPr/>
        <w:tc>
          <w:tcPr>
            <w:tcW w:w="15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b/>
                <w:sz w:val="22"/>
              </w:rPr>
            </w:pPr>
            <w:r>
              <w:rPr>
                <w:rFonts w:ascii="Times New Roman;Times;serif" w:hAnsi="Times New Roman;Times;serif"/>
                <w:b/>
                <w:sz w:val="22"/>
              </w:rPr>
              <w:t>Lender</w:t>
            </w:r>
          </w:p>
        </w:tc>
        <w:tc>
          <w:tcPr>
            <w:tcW w:w="14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b/>
                <w:sz w:val="22"/>
              </w:rPr>
            </w:pPr>
            <w:r>
              <w:rPr>
                <w:rFonts w:ascii="Times New Roman;Times;serif" w:hAnsi="Times New Roman;Times;serif"/>
                <w:b/>
                <w:sz w:val="22"/>
              </w:rPr>
              <w:t>Commitment</w:t>
            </w:r>
          </w:p>
        </w:tc>
        <w:tc>
          <w:tcPr>
            <w:tcW w:w="2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b/>
                <w:sz w:val="22"/>
              </w:rPr>
            </w:pPr>
            <w:r>
              <w:rPr>
                <w:rFonts w:ascii="Times New Roman;Times;serif" w:hAnsi="Times New Roman;Times;serif"/>
                <w:b/>
                <w:sz w:val="22"/>
              </w:rPr>
              <w:t>Applicable Percentage</w:t>
            </w:r>
          </w:p>
        </w:tc>
      </w:tr>
      <w:tr>
        <w:trPr/>
        <w:tc>
          <w:tcPr>
            <w:tcW w:w="15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20" w:after="120"/>
              <w:ind w:left="0" w:right="0" w:hanging="0"/>
              <w:jc w:val="left"/>
              <w:rPr>
                <w:rFonts w:ascii="Times New Roman;Times;serif" w:hAnsi="Times New Roman;Times;serif"/>
                <w:b/>
                <w:sz w:val="22"/>
              </w:rPr>
            </w:pPr>
            <w:r>
              <w:rPr>
                <w:rFonts w:ascii="Times New Roman;Times;serif" w:hAnsi="Times New Roman;Times;serif"/>
                <w:b/>
                <w:sz w:val="22"/>
              </w:rPr>
              <w:t>MidFirst Bank</w:t>
            </w:r>
          </w:p>
        </w:tc>
        <w:tc>
          <w:tcPr>
            <w:tcW w:w="14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20" w:after="120"/>
              <w:ind w:left="0" w:right="0" w:hanging="0"/>
              <w:jc w:val="left"/>
              <w:rPr>
                <w:rFonts w:ascii="Times New Roman;Times;serif" w:hAnsi="Times New Roman;Times;serif"/>
                <w:sz w:val="22"/>
              </w:rPr>
            </w:pPr>
            <w:r>
              <w:rPr>
                <w:rFonts w:ascii="Times New Roman;Times;serif" w:hAnsi="Times New Roman;Times;serif"/>
                <w:sz w:val="22"/>
              </w:rPr>
              <w:t>$169,230,770</w:t>
            </w:r>
          </w:p>
        </w:tc>
        <w:tc>
          <w:tcPr>
            <w:tcW w:w="2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20" w:after="120"/>
              <w:ind w:left="0" w:right="0" w:hanging="0"/>
              <w:jc w:val="left"/>
              <w:rPr>
                <w:rFonts w:ascii="Times New Roman;Times;serif" w:hAnsi="Times New Roman;Times;serif"/>
                <w:sz w:val="22"/>
              </w:rPr>
            </w:pPr>
            <w:r>
              <w:rPr>
                <w:rFonts w:ascii="Times New Roman;Times;serif" w:hAnsi="Times New Roman;Times;serif"/>
                <w:sz w:val="22"/>
              </w:rPr>
              <w:t>84.615385%</w:t>
            </w:r>
          </w:p>
        </w:tc>
      </w:tr>
      <w:tr>
        <w:trPr/>
        <w:tc>
          <w:tcPr>
            <w:tcW w:w="15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20" w:after="120"/>
              <w:ind w:left="0" w:right="0" w:hanging="0"/>
              <w:jc w:val="left"/>
              <w:rPr>
                <w:rFonts w:ascii="Times New Roman;Times;serif" w:hAnsi="Times New Roman;Times;serif"/>
                <w:b/>
                <w:sz w:val="22"/>
              </w:rPr>
            </w:pPr>
            <w:r>
              <w:rPr>
                <w:rFonts w:ascii="Times New Roman;Times;serif" w:hAnsi="Times New Roman;Times;serif"/>
                <w:b/>
                <w:sz w:val="22"/>
              </w:rPr>
              <w:t>Prism Bank</w:t>
            </w:r>
          </w:p>
        </w:tc>
        <w:tc>
          <w:tcPr>
            <w:tcW w:w="14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20" w:after="120"/>
              <w:ind w:left="0" w:right="0" w:hanging="0"/>
              <w:jc w:val="left"/>
              <w:rPr>
                <w:rFonts w:ascii="Times New Roman;Times;serif" w:hAnsi="Times New Roman;Times;serif"/>
                <w:sz w:val="22"/>
              </w:rPr>
            </w:pPr>
            <w:r>
              <w:rPr>
                <w:rFonts w:ascii="Times New Roman;Times;serif" w:hAnsi="Times New Roman;Times;serif"/>
                <w:sz w:val="22"/>
              </w:rPr>
              <w:t>$30,769,230</w:t>
            </w:r>
          </w:p>
        </w:tc>
        <w:tc>
          <w:tcPr>
            <w:tcW w:w="2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20" w:after="120"/>
              <w:ind w:left="0" w:right="0" w:hanging="0"/>
              <w:jc w:val="left"/>
              <w:rPr>
                <w:rFonts w:ascii="Times New Roman;Times;serif" w:hAnsi="Times New Roman;Times;serif"/>
                <w:sz w:val="22"/>
              </w:rPr>
            </w:pPr>
            <w:r>
              <w:rPr>
                <w:rFonts w:ascii="Times New Roman;Times;serif" w:hAnsi="Times New Roman;Times;serif"/>
                <w:sz w:val="22"/>
              </w:rPr>
              <w:t>15.384615%</w:t>
            </w:r>
          </w:p>
        </w:tc>
      </w:tr>
      <w:tr>
        <w:trPr/>
        <w:tc>
          <w:tcPr>
            <w:tcW w:w="15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31" w:before="0" w:after="160"/>
              <w:ind w:left="0" w:right="0" w:hanging="0"/>
              <w:jc w:val="left"/>
              <w:rPr/>
            </w:pPr>
            <w:r>
              <w:rPr/>
              <w:t>​</w:t>
            </w:r>
          </w:p>
        </w:tc>
        <w:tc>
          <w:tcPr>
            <w:tcW w:w="14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31" w:before="0" w:after="160"/>
              <w:ind w:left="0" w:right="0" w:hanging="0"/>
              <w:jc w:val="left"/>
              <w:rPr/>
            </w:pPr>
            <w:r>
              <w:rPr/>
              <w:t>​</w:t>
            </w:r>
          </w:p>
        </w:tc>
        <w:tc>
          <w:tcPr>
            <w:tcW w:w="2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31" w:before="0" w:after="160"/>
              <w:ind w:left="0" w:right="0" w:hanging="0"/>
              <w:jc w:val="left"/>
              <w:rPr/>
            </w:pPr>
            <w:r>
              <w:rPr/>
              <w:t>​</w:t>
            </w:r>
          </w:p>
        </w:tc>
      </w:tr>
      <w:tr>
        <w:trPr/>
        <w:tc>
          <w:tcPr>
            <w:tcW w:w="15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20" w:after="120"/>
              <w:ind w:left="0" w:right="0" w:hanging="0"/>
              <w:jc w:val="left"/>
              <w:rPr>
                <w:rFonts w:ascii="Times New Roman;Times;serif" w:hAnsi="Times New Roman;Times;serif"/>
                <w:b/>
                <w:sz w:val="22"/>
              </w:rPr>
            </w:pPr>
            <w:r>
              <w:rPr>
                <w:rFonts w:ascii="Times New Roman;Times;serif" w:hAnsi="Times New Roman;Times;serif"/>
                <w:b/>
                <w:sz w:val="22"/>
              </w:rPr>
              <w:t>TOTAL</w:t>
            </w:r>
          </w:p>
        </w:tc>
        <w:tc>
          <w:tcPr>
            <w:tcW w:w="14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20" w:after="120"/>
              <w:ind w:left="0" w:right="0" w:hanging="0"/>
              <w:jc w:val="left"/>
              <w:rPr>
                <w:rFonts w:ascii="Times New Roman;Times;serif" w:hAnsi="Times New Roman;Times;serif"/>
                <w:sz w:val="22"/>
              </w:rPr>
            </w:pPr>
            <w:r>
              <w:rPr>
                <w:rFonts w:ascii="Times New Roman;Times;serif" w:hAnsi="Times New Roman;Times;serif"/>
                <w:sz w:val="22"/>
              </w:rPr>
              <w:t>$200,000,000</w:t>
            </w:r>
          </w:p>
        </w:tc>
        <w:tc>
          <w:tcPr>
            <w:tcW w:w="2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120" w:after="120"/>
              <w:ind w:left="0" w:right="0" w:hanging="0"/>
              <w:jc w:val="left"/>
              <w:rPr>
                <w:rFonts w:ascii="Times New Roman;Times;serif" w:hAnsi="Times New Roman;Times;serif"/>
                <w:sz w:val="22"/>
              </w:rPr>
            </w:pPr>
            <w:r>
              <w:rPr>
                <w:rFonts w:ascii="Times New Roman;Times;serif" w:hAnsi="Times New Roman;Times;serif"/>
                <w:sz w:val="22"/>
              </w:rPr>
              <w:t>100.00000%</w:t>
            </w:r>
          </w:p>
        </w:tc>
      </w:tr>
    </w:tbl>
    <w:p>
      <w:pPr>
        <w:pStyle w:val="TextBody"/>
        <w:bidi w:val="0"/>
        <w:spacing w:lineRule="auto" w:line="331" w:before="0" w:after="160"/>
        <w:ind w:left="0" w:right="0" w:hanging="0"/>
        <w:jc w:val="both"/>
        <w:rPr/>
      </w:pPr>
      <w:r>
        <w:rPr/>
        <w:t>​</w:t>
      </w:r>
    </w:p>
    <w:p>
      <w:pPr>
        <w:pStyle w:val="TextBody"/>
        <w:bidi w:val="0"/>
        <w:spacing w:lineRule="auto" w:line="285" w:before="0" w:after="0"/>
        <w:ind w:left="360" w:right="0" w:hanging="0"/>
        <w:jc w:val="both"/>
        <w:rPr>
          <w:rFonts w:ascii="Aptos" w:hAnsi="Aptos"/>
          <w:sz w:val="24"/>
        </w:rPr>
      </w:pPr>
      <w:r>
        <w:rPr>
          <w:rFonts w:ascii="Times New Roman;Times;serif" w:hAnsi="Times New Roman;Times;serif"/>
          <w:sz w:val="24"/>
        </w:rPr>
        <w:t xml:space="preserve">The Administrative Agent shall make </w:t>
      </w:r>
      <w:bookmarkStart w:id="1212" w:name="_Hlk216855410"/>
      <w:bookmarkEnd w:id="1212"/>
      <w:r>
        <w:rPr>
          <w:rFonts w:ascii="Times New Roman;Times;serif" w:hAnsi="Times New Roman;Times;serif"/>
          <w:sz w:val="24"/>
        </w:rPr>
        <w:t xml:space="preserve">appropriate adjustments to the balance of any Loans, Letters of Credit and other Obligations held by each Lender outstanding on the Increase Effective Date to the extent necessary to keep the outstanding Loans, Letters of Credit and other Obligations ratable with any revised pro rata shares arising from any reapportionment of the Commitments under this Agreement.  Similarly, the Administrative Agent shall make appropriate adjustments to the balance of any Loans, Letters of Credit and other Obligations held by each Lender outstanding on the Reduction Date to the extent necessary to keep the outstanding Loans ratable with any revised pro rata shares arising from any reapportionment of the Commitments under this Agreement. The Lenders hereby irrevocably direct the Administrative Agent to disburse funds in accordance with the foregoing and each Lender hereby agrees to fund its applicable portion when requested by the Administrative Agent in connection with the foregoing. </w:t>
      </w:r>
    </w:p>
    <w:p>
      <w:pPr>
        <w:pStyle w:val="TextBody"/>
        <w:bidi w:val="0"/>
        <w:spacing w:lineRule="auto" w:line="331" w:before="0" w:after="16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lineRule="auto" w:line="285" w:before="0" w:after="0"/>
              <w:jc w:val="both"/>
              <w:rPr>
                <w:rFonts w:ascii="Times New Roman;Times;serif" w:hAnsi="Times New Roman;Times;serif"/>
                <w:sz w:val="24"/>
              </w:rPr>
            </w:pPr>
            <w:r>
              <w:rPr>
                <w:rFonts w:ascii="Times New Roman;Times;serif" w:hAnsi="Times New Roman;Times;serif"/>
                <w:sz w:val="24"/>
              </w:rPr>
              <w:t>C.</w:t>
            </w:r>
          </w:p>
        </w:tc>
        <w:tc>
          <w:tcPr>
            <w:tcW w:w="9937" w:type="dxa"/>
            <w:tcBorders/>
            <w:vAlign w:val="center"/>
          </w:tcPr>
          <w:p>
            <w:pPr>
              <w:pStyle w:val="TableContents"/>
              <w:bidi w:val="0"/>
              <w:spacing w:lineRule="auto" w:line="285" w:before="0" w:after="0"/>
              <w:jc w:val="both"/>
              <w:rPr>
                <w:rFonts w:ascii="Times New Roman;Times;serif" w:hAnsi="Times New Roman;Times;serif"/>
                <w:sz w:val="24"/>
              </w:rPr>
            </w:pPr>
            <w:r>
              <w:rPr>
                <w:rFonts w:ascii="Times New Roman;Times;serif" w:hAnsi="Times New Roman;Times;serif"/>
                <w:sz w:val="24"/>
              </w:rPr>
              <w:t xml:space="preserve">From the effective date of the increase to the Commitment until Reduction Date, the Borrowing Base shall be increased to $73,000,000.00 unless redetermined in accordance with the Credit Agreement.  It is expressly understood that nothing in this Agreement is intended to be deemed an exercise by Borrower of its right to a special determination of the Borrowing Base pursuant </w:t>
            </w:r>
          </w:p>
        </w:tc>
      </w:tr>
    </w:tbl>
    <w:p>
      <w:pPr>
        <w:pStyle w:val="TextBody"/>
        <w:bidi w:val="0"/>
        <w:spacing w:lineRule="auto" w:line="285" w:before="0" w:after="0"/>
        <w:ind w:left="0" w:right="0" w:hanging="0"/>
        <w:jc w:val="center"/>
        <w:rPr>
          <w:rFonts w:ascii="Aptos" w:hAnsi="Aptos"/>
          <w:sz w:val="24"/>
        </w:rPr>
      </w:pPr>
      <w:r>
        <w:rPr>
          <w:rFonts w:ascii="Aptos" w:hAnsi="Aptos"/>
          <w:sz w:val="24"/>
        </w:rPr>
        <w:t>2</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810" w:right="0" w:hanging="0"/>
        <w:jc w:val="both"/>
        <w:rPr>
          <w:rFonts w:ascii="Times New Roman;Times;serif" w:hAnsi="Times New Roman;Times;serif"/>
          <w:sz w:val="24"/>
        </w:rPr>
      </w:pPr>
      <w:r>
        <w:rPr>
          <w:rFonts w:ascii="Times New Roman;Times;serif" w:hAnsi="Times New Roman;Times;serif"/>
          <w:sz w:val="24"/>
        </w:rPr>
        <w:t xml:space="preserve">to Section 2.9(c) of the Credit Agreement nor is it intended to change the MFB Margined Collateral Value. </w:t>
      </w:r>
    </w:p>
    <w:p>
      <w:pPr>
        <w:pStyle w:val="TextBody"/>
        <w:bidi w:val="0"/>
        <w:spacing w:lineRule="auto" w:line="331" w:before="0" w:after="16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69"/>
        <w:gridCol w:w="10013"/>
      </w:tblGrid>
      <w:tr>
        <w:trPr/>
        <w:tc>
          <w:tcPr>
            <w:tcW w:w="2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w:t>
            </w:r>
          </w:p>
        </w:tc>
        <w:tc>
          <w:tcPr>
            <w:tcW w:w="10013"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Conditions Precedent.  </w:t>
            </w:r>
            <w:r>
              <w:rPr>
                <w:rFonts w:ascii="Times New Roman;Times;serif" w:hAnsi="Times New Roman;Times;serif"/>
                <w:b w:val="false"/>
                <w:i w:val="false"/>
                <w:caps w:val="false"/>
                <w:smallCaps w:val="false"/>
                <w:sz w:val="24"/>
              </w:rPr>
              <w:t>The Interim Increased Commitment shall not become effective unless and until each of the following conditions has been satisfied (or waived in writing by the Increasing Lender):</w:t>
            </w:r>
          </w:p>
        </w:tc>
      </w:tr>
    </w:tbl>
    <w:p>
      <w:pPr>
        <w:pStyle w:val="TextBody"/>
        <w:bidi w:val="0"/>
        <w:spacing w:lineRule="auto" w:line="331" w:before="0" w:after="16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68"/>
        <w:gridCol w:w="9914"/>
      </w:tblGrid>
      <w:tr>
        <w:trPr/>
        <w:tc>
          <w:tcPr>
            <w:tcW w:w="2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9914"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Agreement.  </w:t>
            </w:r>
            <w:r>
              <w:rPr>
                <w:rFonts w:ascii="Times New Roman;Times;serif" w:hAnsi="Times New Roman;Times;serif"/>
                <w:b w:val="false"/>
                <w:i w:val="false"/>
                <w:caps w:val="false"/>
                <w:smallCaps w:val="false"/>
                <w:sz w:val="24"/>
              </w:rPr>
              <w:t>This Agreement, duly executed by the Borrowers, Guarantors, Administrative Agent, and Lenders.</w:t>
            </w:r>
          </w:p>
        </w:tc>
      </w:tr>
    </w:tbl>
    <w:p>
      <w:pPr>
        <w:pStyle w:val="TextBody"/>
        <w:bidi w:val="0"/>
        <w:spacing w:lineRule="auto" w:line="331" w:before="0" w:after="16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994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Lender Consent.  </w:t>
            </w:r>
            <w:r>
              <w:rPr>
                <w:rFonts w:ascii="Times New Roman;Times;serif" w:hAnsi="Times New Roman;Times;serif"/>
                <w:b w:val="false"/>
                <w:i w:val="false"/>
                <w:caps w:val="false"/>
                <w:smallCaps w:val="false"/>
                <w:sz w:val="24"/>
              </w:rPr>
              <w:t>The Administrative Agent shall have received the written consent or approval of the Lenders</w:t>
            </w:r>
            <w:r>
              <w:rPr>
                <w:rFonts w:ascii="Times New Roman;Times;serif" w:hAnsi="Times New Roman;Times;serif"/>
                <w:b/>
                <w:i w:val="false"/>
                <w:caps w:val="false"/>
                <w:smallCaps w:val="false"/>
                <w:sz w:val="24"/>
              </w:rPr>
              <w:t xml:space="preserve">, </w:t>
            </w:r>
            <w:r>
              <w:rPr>
                <w:rFonts w:ascii="Times New Roman;Times;serif" w:hAnsi="Times New Roman;Times;serif"/>
                <w:b w:val="false"/>
                <w:i w:val="false"/>
                <w:caps w:val="false"/>
                <w:smallCaps w:val="false"/>
                <w:sz w:val="24"/>
              </w:rPr>
              <w:t>as defined in the Credit Agreement) authorizing the Interim Increased Commitment and acknowledging this Agreement (the “</w:t>
            </w:r>
            <w:r>
              <w:rPr>
                <w:rFonts w:ascii="Times New Roman;Times;serif" w:hAnsi="Times New Roman;Times;serif"/>
                <w:b/>
                <w:i w:val="false"/>
                <w:caps w:val="false"/>
                <w:smallCaps w:val="false"/>
                <w:sz w:val="24"/>
              </w:rPr>
              <w:t>Lender Consent</w:t>
            </w:r>
            <w:r>
              <w:rPr>
                <w:caps w:val="false"/>
                <w:smallCaps w:val="false"/>
              </w:rPr>
              <w:t>”</w:t>
            </w:r>
            <w:r>
              <w:rPr>
                <w:rFonts w:ascii="Times New Roman;Times;serif" w:hAnsi="Times New Roman;Times;serif"/>
                <w:b w:val="false"/>
                <w:i w:val="false"/>
                <w:caps w:val="false"/>
                <w:smallCaps w:val="false"/>
                <w:sz w:val="24"/>
              </w:rPr>
              <w:t>).</w:t>
            </w:r>
          </w:p>
        </w:tc>
      </w:tr>
    </w:tbl>
    <w:p>
      <w:pPr>
        <w:pStyle w:val="TextBody"/>
        <w:bidi w:val="0"/>
        <w:spacing w:lineRule="auto" w:line="331" w:before="0" w:after="16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9"/>
        <w:gridCol w:w="9943"/>
      </w:tblGrid>
      <w:tr>
        <w:trPr/>
        <w:tc>
          <w:tcPr>
            <w:tcW w:w="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(c)</w:t>
            </w:r>
          </w:p>
        </w:tc>
        <w:tc>
          <w:tcPr>
            <w:tcW w:w="9943"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No Default.  </w:t>
            </w:r>
            <w:r>
              <w:rPr>
                <w:rFonts w:ascii="Times New Roman;Times;serif" w:hAnsi="Times New Roman;Times;serif"/>
                <w:b w:val="false"/>
                <w:i w:val="false"/>
                <w:caps w:val="false"/>
                <w:smallCaps w:val="false"/>
                <w:sz w:val="24"/>
              </w:rPr>
              <w:t>No Default or Event of Default shall have occurred and be continuing on the Increase Effective Date or would result from giving effect to the Interim Increased Commitment.</w:t>
            </w:r>
          </w:p>
        </w:tc>
      </w:tr>
    </w:tbl>
    <w:p>
      <w:pPr>
        <w:pStyle w:val="TextBody"/>
        <w:bidi w:val="0"/>
        <w:spacing w:lineRule="auto" w:line="331" w:before="0" w:after="16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9"/>
        <w:gridCol w:w="9943"/>
      </w:tblGrid>
      <w:tr>
        <w:trPr/>
        <w:tc>
          <w:tcPr>
            <w:tcW w:w="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(d)</w:t>
            </w:r>
          </w:p>
        </w:tc>
        <w:tc>
          <w:tcPr>
            <w:tcW w:w="9943"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Representations and Warranties.  </w:t>
            </w:r>
            <w:r>
              <w:rPr>
                <w:rFonts w:ascii="Times New Roman;Times;serif" w:hAnsi="Times New Roman;Times;serif"/>
                <w:b w:val="false"/>
                <w:i w:val="false"/>
                <w:caps w:val="false"/>
                <w:smallCaps w:val="false"/>
                <w:sz w:val="24"/>
              </w:rPr>
              <w:t>All representations and warranties of the Borrowers contained in the Credit Agreement and the other Loan Documents shall be true and correct in all material respects (or in all respects if qualified by materiality) on and as of the Increase Effective Date.</w:t>
            </w:r>
          </w:p>
        </w:tc>
      </w:tr>
    </w:tbl>
    <w:p>
      <w:pPr>
        <w:pStyle w:val="TextBody"/>
        <w:bidi w:val="0"/>
        <w:spacing w:lineRule="auto" w:line="331" w:before="0" w:after="160"/>
        <w:ind w:left="1440" w:right="0" w:hanging="0"/>
        <w:jc w:val="both"/>
        <w:rPr/>
      </w:pPr>
      <w:r>
        <w:rPr/>
        <w:t>​</w:t>
      </w:r>
    </w:p>
    <w:p>
      <w:pPr>
        <w:pStyle w:val="TextBody"/>
        <w:bidi w:val="0"/>
        <w:spacing w:lineRule="auto" w:line="331" w:before="0" w:after="16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1"/>
        <w:gridCol w:w="9951"/>
      </w:tblGrid>
      <w:tr>
        <w:trPr/>
        <w:tc>
          <w:tcPr>
            <w:tcW w:w="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(e)</w:t>
            </w:r>
          </w:p>
        </w:tc>
        <w:tc>
          <w:tcPr>
            <w:tcW w:w="9951"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Fee.  </w:t>
            </w:r>
            <w:r>
              <w:rPr>
                <w:rFonts w:ascii="Times New Roman;Times;serif" w:hAnsi="Times New Roman;Times;serif"/>
                <w:b w:val="false"/>
                <w:i w:val="false"/>
                <w:caps w:val="false"/>
                <w:smallCaps w:val="false"/>
                <w:sz w:val="24"/>
              </w:rPr>
              <w:t>Borrowers agree to pay Increasing Lender an earned, non-refundable origination fee for making the Interim Increased Commitment in the amount invoiced to and agreed to by Borrowers on or before the Increase Effective Date.</w:t>
            </w:r>
          </w:p>
        </w:tc>
      </w:tr>
    </w:tbl>
    <w:p>
      <w:pPr>
        <w:pStyle w:val="TextBody"/>
        <w:bidi w:val="0"/>
        <w:spacing w:lineRule="auto" w:line="331" w:before="0" w:after="16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w:t>
            </w:r>
          </w:p>
        </w:tc>
        <w:tc>
          <w:tcPr>
            <w:tcW w:w="9986"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Covenant Compliance.  </w:t>
            </w:r>
            <w:r>
              <w:rPr>
                <w:rFonts w:ascii="Times New Roman;Times;serif" w:hAnsi="Times New Roman;Times;serif"/>
                <w:b w:val="false"/>
                <w:i w:val="false"/>
                <w:caps w:val="false"/>
                <w:smallCaps w:val="false"/>
                <w:sz w:val="24"/>
              </w:rPr>
              <w:t>After giving pro forma effect to the Interim Increased Commitment and assuming it has been fully advanced, and any Loans made in reliance thereon, the Borrowers shall be in compliance with all financial covenants under the Credit Agreement.</w:t>
            </w:r>
          </w:p>
        </w:tc>
      </w:tr>
    </w:tbl>
    <w:p>
      <w:pPr>
        <w:pStyle w:val="TextBody"/>
        <w:bidi w:val="0"/>
        <w:spacing w:lineRule="auto" w:line="331" w:before="0" w:after="16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lineRule="auto" w:line="285" w:before="0" w:after="0"/>
              <w:jc w:val="both"/>
              <w:rPr>
                <w:rFonts w:ascii="Times New Roman;Times;serif" w:hAnsi="Times New Roman;Times;serif"/>
                <w:b/>
                <w:sz w:val="24"/>
              </w:rPr>
            </w:pPr>
            <w:r>
              <w:rPr>
                <w:rFonts w:ascii="Times New Roman;Times;serif" w:hAnsi="Times New Roman;Times;serif"/>
                <w:b/>
                <w:sz w:val="24"/>
              </w:rPr>
              <w:t>3.</w:t>
            </w:r>
          </w:p>
        </w:tc>
        <w:tc>
          <w:tcPr>
            <w:tcW w:w="10033" w:type="dxa"/>
            <w:tcBorders/>
            <w:vAlign w:val="center"/>
          </w:tcPr>
          <w:p>
            <w:pPr>
              <w:pStyle w:val="TableContents"/>
              <w:bidi w:val="0"/>
              <w:spacing w:lineRule="auto" w:line="285" w:before="0" w:after="0"/>
              <w:jc w:val="both"/>
              <w:rPr>
                <w:rFonts w:ascii="Aptos" w:hAnsi="Aptos"/>
                <w:sz w:val="24"/>
              </w:rPr>
            </w:pPr>
            <w:r>
              <w:rPr>
                <w:rFonts w:ascii="Times New Roman;Times;serif" w:hAnsi="Times New Roman;Times;serif"/>
                <w:b/>
                <w:sz w:val="24"/>
              </w:rPr>
              <w:t>Effectiveness</w:t>
            </w:r>
            <w:r>
              <w:rPr>
                <w:rFonts w:ascii="Times New Roman;Times;serif" w:hAnsi="Times New Roman;Times;serif"/>
                <w:sz w:val="24"/>
              </w:rPr>
              <w:t xml:space="preserve">. The modifications set forth in this Agreement are incorporated into the Loan Documents, </w:t>
            </w:r>
            <w:r>
              <w:rPr>
                <w:rFonts w:ascii="Times New Roman;Times;serif" w:hAnsi="Times New Roman;Times;serif"/>
                <w:i/>
                <w:sz w:val="24"/>
              </w:rPr>
              <w:t xml:space="preserve">mutatis mutandis. </w:t>
            </w:r>
            <w:r>
              <w:rPr>
                <w:rFonts w:ascii="Times New Roman;Times;serif" w:hAnsi="Times New Roman;Times;serif"/>
                <w:sz w:val="24"/>
              </w:rPr>
              <w:t>Except to the extent specifically amended by this Agreement, all of the terms, conditions and provisions of the Loan Documents will remain unmodified, and the Loan Documents, as amended and supplemented by this Agreement, are each confirmed as being in full force and effect. All references to the Credit Agreement here or in any other document or instrument between Borrowers and Lenders will be construed to be references to the Credit Agreement as modified by this Agreement.</w:t>
            </w:r>
          </w:p>
        </w:tc>
      </w:tr>
    </w:tbl>
    <w:p>
      <w:pPr>
        <w:pStyle w:val="TextBody"/>
        <w:bidi w:val="0"/>
        <w:spacing w:lineRule="auto" w:line="331" w:before="0" w:after="16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4"/>
        <w:gridCol w:w="10028"/>
      </w:tblGrid>
      <w:tr>
        <w:trPr/>
        <w:tc>
          <w:tcPr>
            <w:tcW w:w="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lineRule="auto" w:line="285" w:before="0" w:after="0"/>
              <w:jc w:val="both"/>
              <w:rPr>
                <w:rFonts w:ascii="Times New Roman;Times;serif" w:hAnsi="Times New Roman;Times;serif"/>
                <w:b/>
                <w:sz w:val="24"/>
              </w:rPr>
            </w:pPr>
            <w:r>
              <w:rPr>
                <w:rFonts w:ascii="Times New Roman;Times;serif" w:hAnsi="Times New Roman;Times;serif"/>
                <w:b/>
                <w:sz w:val="24"/>
              </w:rPr>
              <w:t>4.</w:t>
            </w:r>
          </w:p>
        </w:tc>
        <w:tc>
          <w:tcPr>
            <w:tcW w:w="10028" w:type="dxa"/>
            <w:tcBorders/>
            <w:vAlign w:val="center"/>
          </w:tcPr>
          <w:p>
            <w:pPr>
              <w:pStyle w:val="TableContents"/>
              <w:bidi w:val="0"/>
              <w:spacing w:lineRule="auto" w:line="285" w:before="0" w:after="0"/>
              <w:jc w:val="both"/>
              <w:rPr>
                <w:rFonts w:ascii="Aptos" w:hAnsi="Aptos"/>
                <w:sz w:val="24"/>
              </w:rPr>
            </w:pPr>
            <w:r>
              <w:rPr>
                <w:rFonts w:ascii="Times New Roman;Times;serif" w:hAnsi="Times New Roman;Times;serif"/>
                <w:b/>
                <w:sz w:val="24"/>
              </w:rPr>
              <w:t>Mandatory Reduction; Prepayment.  </w:t>
            </w:r>
            <w:r>
              <w:rPr>
                <w:rFonts w:ascii="Times New Roman;Times;serif" w:hAnsi="Times New Roman;Times;serif"/>
                <w:sz w:val="24"/>
              </w:rPr>
              <w:t xml:space="preserve">Upon the Reduction Date, the Commitment of the Increasing Lender shall automatically be reduced to </w:t>
            </w:r>
            <w:r>
              <w:rPr>
                <w:rFonts w:ascii="Times New Roman;Times;serif" w:hAnsi="Times New Roman;Times;serif"/>
                <w:b/>
                <w:sz w:val="24"/>
              </w:rPr>
              <w:t>$169,230,770.</w:t>
            </w:r>
            <w:r>
              <w:rPr>
                <w:rFonts w:ascii="Times New Roman;Times;serif" w:hAnsi="Times New Roman;Times;serif"/>
                <w:sz w:val="24"/>
              </w:rPr>
              <w:t xml:space="preserve">00 (with a Borrowing Base of $65,000,000.00). To the extent the aggregate outstanding principal balance of the Loan owing to the Increasing Lender exceeds such reduced Commitment, the Borrowers shall immediately </w:t>
            </w:r>
          </w:p>
        </w:tc>
      </w:tr>
    </w:tbl>
    <w:p>
      <w:pPr>
        <w:pStyle w:val="TextBody"/>
        <w:bidi w:val="0"/>
        <w:spacing w:lineRule="auto" w:line="285" w:before="0" w:after="0"/>
        <w:ind w:left="0" w:right="0" w:hanging="0"/>
        <w:jc w:val="center"/>
        <w:rPr>
          <w:rFonts w:ascii="Aptos" w:hAnsi="Aptos"/>
          <w:sz w:val="24"/>
        </w:rPr>
      </w:pPr>
      <w:r>
        <w:rPr>
          <w:rFonts w:ascii="Aptos" w:hAnsi="Aptos"/>
          <w:sz w:val="24"/>
        </w:rPr>
        <w:t>3</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prepay such excess, together with all accrued and unpaid interest thereon and any applicable fees, in accordance with the Credit Agreement.</w:t>
      </w:r>
    </w:p>
    <w:p>
      <w:pPr>
        <w:pStyle w:val="TextBody"/>
        <w:pBdr/>
        <w:bidi w:val="0"/>
        <w:spacing w:lineRule="auto" w:line="331" w:before="0" w:after="16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7"/>
        <w:gridCol w:w="10005"/>
      </w:tblGrid>
      <w:tr>
        <w:trPr/>
        <w:tc>
          <w:tcPr>
            <w:tcW w:w="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lineRule="auto" w:line="285" w:before="0" w:after="0"/>
              <w:jc w:val="both"/>
              <w:rPr>
                <w:rFonts w:ascii="Times New Roman;Times;serif" w:hAnsi="Times New Roman;Times;serif"/>
                <w:b/>
                <w:sz w:val="24"/>
              </w:rPr>
            </w:pPr>
            <w:r>
              <w:rPr>
                <w:rFonts w:ascii="Times New Roman;Times;serif" w:hAnsi="Times New Roman;Times;serif"/>
                <w:b/>
                <w:sz w:val="24"/>
              </w:rPr>
              <w:t xml:space="preserve">5. </w:t>
            </w:r>
          </w:p>
        </w:tc>
        <w:tc>
          <w:tcPr>
            <w:tcW w:w="10005" w:type="dxa"/>
            <w:tcBorders/>
            <w:vAlign w:val="center"/>
          </w:tcPr>
          <w:p>
            <w:pPr>
              <w:pStyle w:val="TableContents"/>
              <w:bidi w:val="0"/>
              <w:spacing w:lineRule="auto" w:line="285" w:before="0" w:after="0"/>
              <w:jc w:val="both"/>
              <w:rPr>
                <w:rFonts w:ascii="Aptos" w:hAnsi="Aptos"/>
                <w:sz w:val="24"/>
              </w:rPr>
            </w:pPr>
            <w:r>
              <w:rPr>
                <w:rFonts w:ascii="Times New Roman;Times;serif" w:hAnsi="Times New Roman;Times;serif"/>
                <w:b/>
                <w:sz w:val="24"/>
              </w:rPr>
              <w:t>Relationship to Credit Agreement.  </w:t>
            </w:r>
            <w:r>
              <w:rPr>
                <w:rFonts w:ascii="Times New Roman;Times;serif" w:hAnsi="Times New Roman;Times;serif"/>
                <w:sz w:val="24"/>
              </w:rPr>
              <w:t>Except as expressly provided herein and as consented to by the Lenders, the Credit Agreement and the other Loan Documents shall remain unchanged and in full force and effect. This Agreement shall constitute a Loan Document for all purposes of the Credit Agreement.</w:t>
            </w:r>
          </w:p>
        </w:tc>
      </w:tr>
    </w:tbl>
    <w:p>
      <w:pPr>
        <w:pStyle w:val="TextBody"/>
        <w:pBdr/>
        <w:bidi w:val="0"/>
        <w:spacing w:lineRule="auto" w:line="331" w:before="0" w:after="16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lineRule="auto" w:line="285" w:before="0" w:after="0"/>
              <w:jc w:val="both"/>
              <w:rPr>
                <w:rFonts w:ascii="Times New Roman;Times;serif" w:hAnsi="Times New Roman;Times;serif"/>
                <w:b/>
                <w:sz w:val="24"/>
              </w:rPr>
            </w:pPr>
            <w:r>
              <w:rPr>
                <w:rFonts w:ascii="Times New Roman;Times;serif" w:hAnsi="Times New Roman;Times;serif"/>
                <w:b/>
                <w:sz w:val="24"/>
              </w:rPr>
              <w:t xml:space="preserve">6. </w:t>
            </w:r>
          </w:p>
        </w:tc>
        <w:tc>
          <w:tcPr>
            <w:tcW w:w="9993" w:type="dxa"/>
            <w:tcBorders/>
            <w:vAlign w:val="center"/>
          </w:tcPr>
          <w:p>
            <w:pPr>
              <w:pStyle w:val="TableContents"/>
              <w:bidi w:val="0"/>
              <w:spacing w:lineRule="auto" w:line="285" w:before="0" w:after="0"/>
              <w:jc w:val="both"/>
              <w:rPr>
                <w:rFonts w:ascii="Aptos" w:hAnsi="Aptos"/>
                <w:sz w:val="24"/>
              </w:rPr>
            </w:pPr>
            <w:r>
              <w:rPr>
                <w:rFonts w:ascii="Times New Roman;Times;serif" w:hAnsi="Times New Roman;Times;serif"/>
                <w:b/>
                <w:sz w:val="24"/>
              </w:rPr>
              <w:t>No Further Obligation.  </w:t>
            </w:r>
            <w:r>
              <w:rPr>
                <w:rFonts w:ascii="Times New Roman;Times;serif" w:hAnsi="Times New Roman;Times;serif"/>
                <w:sz w:val="24"/>
              </w:rPr>
              <w:t>The Interim Increased Commitment is a one-time accommodation and shall not obligate the Increasing Lender to provide any additional or future increases in its Commitment, whether temporary or permanent.</w:t>
            </w:r>
          </w:p>
        </w:tc>
      </w:tr>
    </w:tbl>
    <w:p>
      <w:pPr>
        <w:pStyle w:val="TextBody"/>
        <w:pBdr/>
        <w:bidi w:val="0"/>
        <w:spacing w:lineRule="auto" w:line="331" w:before="0" w:after="16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7"/>
        <w:gridCol w:w="10025"/>
      </w:tblGrid>
      <w:tr>
        <w:trPr/>
        <w:tc>
          <w:tcPr>
            <w:tcW w:w="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lineRule="auto" w:line="285" w:before="0" w:after="0"/>
              <w:jc w:val="both"/>
              <w:rPr>
                <w:rFonts w:ascii="Times New Roman;Times;serif" w:hAnsi="Times New Roman;Times;serif"/>
                <w:b/>
                <w:sz w:val="24"/>
              </w:rPr>
            </w:pPr>
            <w:r>
              <w:rPr>
                <w:rFonts w:ascii="Times New Roman;Times;serif" w:hAnsi="Times New Roman;Times;serif"/>
                <w:b/>
                <w:sz w:val="24"/>
              </w:rPr>
              <w:t xml:space="preserve">7. </w:t>
            </w:r>
          </w:p>
        </w:tc>
        <w:tc>
          <w:tcPr>
            <w:tcW w:w="10025" w:type="dxa"/>
            <w:tcBorders/>
            <w:vAlign w:val="center"/>
          </w:tcPr>
          <w:p>
            <w:pPr>
              <w:pStyle w:val="TableContents"/>
              <w:bidi w:val="0"/>
              <w:spacing w:lineRule="auto" w:line="285" w:before="0" w:after="0"/>
              <w:jc w:val="both"/>
              <w:rPr>
                <w:rFonts w:ascii="Aptos" w:hAnsi="Aptos"/>
                <w:sz w:val="24"/>
              </w:rPr>
            </w:pPr>
            <w:r>
              <w:rPr>
                <w:rFonts w:ascii="Times New Roman;Times;serif" w:hAnsi="Times New Roman;Times;serif"/>
                <w:b/>
                <w:sz w:val="24"/>
              </w:rPr>
              <w:t xml:space="preserve">Release. </w:t>
            </w:r>
            <w:r>
              <w:rPr>
                <w:rFonts w:ascii="Times New Roman;Times;serif" w:hAnsi="Times New Roman;Times;serif"/>
                <w:sz w:val="24"/>
              </w:rPr>
              <w:t xml:space="preserve">Borrowers hereby release, acquit, and forever discharge </w:t>
            </w:r>
            <w:bookmarkStart w:id="1213" w:name="_Hlk216813355"/>
            <w:bookmarkEnd w:id="1213"/>
            <w:r>
              <w:rPr>
                <w:rFonts w:ascii="Times New Roman;Times;serif" w:hAnsi="Times New Roman;Times;serif"/>
                <w:sz w:val="24"/>
              </w:rPr>
              <w:t>Lenders, Administrative Agent, and all of Lenders’ and Administrative Agent’s subsidiaries, affiliates, officers, directors, shareholders, agents, employees, attorneys, and representatives, as well as the respective successors and assigns of any and all of them, from any and all claims, actions, causes of action, suits, obligations, defenses, offsets against indebtedness, and liabilities of any kind or character whatsoever, known or unknown, suspected or unsuspected, in contract or in tort, at law or in equity, which they ever had or now have against such persons.</w:t>
            </w:r>
          </w:p>
        </w:tc>
      </w:tr>
    </w:tbl>
    <w:p>
      <w:pPr>
        <w:pStyle w:val="TextBody"/>
        <w:pBdr/>
        <w:bidi w:val="0"/>
        <w:spacing w:lineRule="auto" w:line="331" w:before="0" w:after="16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2"/>
        <w:gridCol w:w="10000"/>
      </w:tblGrid>
      <w:tr>
        <w:trPr/>
        <w:tc>
          <w:tcPr>
            <w:tcW w:w="2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lineRule="auto" w:line="285" w:before="0" w:after="0"/>
              <w:jc w:val="both"/>
              <w:rPr>
                <w:rFonts w:ascii="Times New Roman;Times;serif" w:hAnsi="Times New Roman;Times;serif"/>
                <w:b/>
                <w:sz w:val="24"/>
              </w:rPr>
            </w:pPr>
            <w:r>
              <w:rPr>
                <w:rFonts w:ascii="Times New Roman;Times;serif" w:hAnsi="Times New Roman;Times;serif"/>
                <w:b/>
                <w:sz w:val="24"/>
              </w:rPr>
              <w:t xml:space="preserve">8. </w:t>
            </w:r>
          </w:p>
        </w:tc>
        <w:tc>
          <w:tcPr>
            <w:tcW w:w="10000" w:type="dxa"/>
            <w:tcBorders/>
            <w:vAlign w:val="center"/>
          </w:tcPr>
          <w:p>
            <w:pPr>
              <w:pStyle w:val="TableContents"/>
              <w:bidi w:val="0"/>
              <w:spacing w:lineRule="auto" w:line="285" w:before="0" w:after="0"/>
              <w:jc w:val="both"/>
              <w:rPr>
                <w:rFonts w:ascii="Aptos" w:hAnsi="Aptos"/>
                <w:sz w:val="24"/>
              </w:rPr>
            </w:pPr>
            <w:r>
              <w:rPr>
                <w:rFonts w:ascii="Times New Roman;Times;serif" w:hAnsi="Times New Roman;Times;serif"/>
                <w:b/>
                <w:sz w:val="24"/>
              </w:rPr>
              <w:t>Governing Law; Jurisdiction.  </w:t>
            </w:r>
            <w:r>
              <w:rPr>
                <w:rFonts w:ascii="Times New Roman;Times;serif" w:hAnsi="Times New Roman;Times;serif"/>
                <w:sz w:val="24"/>
              </w:rPr>
              <w:t>This Agreement shall be governed by and construed in accordance with the laws of the State of Texas, without regard to conflicts of law principles. The Borrowers hereby submit to the jurisdiction provisions set forth in the Credit Agreement.</w:t>
            </w:r>
          </w:p>
        </w:tc>
      </w:tr>
    </w:tbl>
    <w:p>
      <w:pPr>
        <w:pStyle w:val="TextBody"/>
        <w:pBdr/>
        <w:bidi w:val="0"/>
        <w:spacing w:lineRule="auto" w:line="331" w:before="0" w:after="16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9"/>
        <w:gridCol w:w="10023"/>
      </w:tblGrid>
      <w:tr>
        <w:trPr/>
        <w:tc>
          <w:tcPr>
            <w:tcW w:w="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lineRule="auto" w:line="285" w:before="0" w:after="0"/>
              <w:jc w:val="both"/>
              <w:rPr>
                <w:rFonts w:ascii="Times New Roman;Times;serif" w:hAnsi="Times New Roman;Times;serif"/>
                <w:b/>
                <w:sz w:val="24"/>
              </w:rPr>
            </w:pPr>
            <w:r>
              <w:rPr>
                <w:rFonts w:ascii="Times New Roman;Times;serif" w:hAnsi="Times New Roman;Times;serif"/>
                <w:b/>
                <w:sz w:val="24"/>
              </w:rPr>
              <w:t xml:space="preserve">9. </w:t>
            </w:r>
          </w:p>
        </w:tc>
        <w:tc>
          <w:tcPr>
            <w:tcW w:w="10023" w:type="dxa"/>
            <w:tcBorders/>
            <w:vAlign w:val="center"/>
          </w:tcPr>
          <w:p>
            <w:pPr>
              <w:pStyle w:val="TableContents"/>
              <w:bidi w:val="0"/>
              <w:spacing w:lineRule="auto" w:line="285" w:before="0" w:after="0"/>
              <w:jc w:val="both"/>
              <w:rPr>
                <w:rFonts w:ascii="Aptos" w:hAnsi="Aptos"/>
                <w:sz w:val="24"/>
              </w:rPr>
            </w:pPr>
            <w:r>
              <w:rPr>
                <w:rFonts w:ascii="Times New Roman;Times;serif" w:hAnsi="Times New Roman;Times;serif"/>
                <w:b/>
                <w:sz w:val="24"/>
              </w:rPr>
              <w:t>Counterparts; Effectiveness.  </w:t>
            </w:r>
            <w:r>
              <w:rPr>
                <w:rFonts w:ascii="Times New Roman;Times;serif" w:hAnsi="Times New Roman;Times;serif"/>
                <w:sz w:val="24"/>
              </w:rPr>
              <w:t>This Agreement</w:t>
            </w:r>
            <w:r>
              <w:rPr>
                <w:rFonts w:ascii="Aptos" w:hAnsi="Aptos"/>
                <w:sz w:val="24"/>
              </w:rPr>
              <w:t xml:space="preserve"> </w:t>
            </w:r>
            <w:r>
              <w:rPr>
                <w:rFonts w:ascii="Times New Roman;Times;serif" w:hAnsi="Times New Roman;Times;serif"/>
                <w:sz w:val="24"/>
              </w:rPr>
              <w:t>may be executed in any number of counterparts, each of which when executed and delivered will be deemed an original, but all of which constitute one instrument.  In making proof of this Agreement, it will not be necessary to produce or account for more than one counterpart thereof signed by each of the parties hereto.  Delivery of an executed counterpart of a signature page of this Agreement by facsimile or in electronic (i.e., “pdf” or “tif”) format shall be effective as delivery of a manually executed counterpart of this Agreement.</w:t>
            </w:r>
          </w:p>
        </w:tc>
      </w:tr>
    </w:tbl>
    <w:p>
      <w:pPr>
        <w:pStyle w:val="TextBody"/>
        <w:bidi w:val="0"/>
        <w:spacing w:lineRule="auto" w:line="331" w:before="0" w:after="160"/>
        <w:ind w:left="0" w:right="0" w:hanging="0"/>
        <w:jc w:val="both"/>
        <w:rPr/>
      </w:pPr>
      <w:r>
        <w:rPr/>
        <w:t>​</w:t>
      </w:r>
    </w:p>
    <w:p>
      <w:pPr>
        <w:pStyle w:val="TextBody"/>
        <w:bidi w:val="0"/>
        <w:spacing w:lineRule="auto" w:line="331" w:before="0" w:after="160"/>
        <w:ind w:left="0" w:right="0" w:hanging="0"/>
        <w:jc w:val="both"/>
        <w:rPr/>
      </w:pPr>
      <w:r>
        <w:rPr/>
        <w:t>​</w:t>
      </w:r>
    </w:p>
    <w:p>
      <w:pPr>
        <w:pStyle w:val="TextBody"/>
        <w:bidi w:val="0"/>
        <w:spacing w:lineRule="auto" w:line="285" w:before="0" w:after="0"/>
        <w:ind w:left="0" w:right="0" w:hanging="0"/>
        <w:jc w:val="center"/>
        <w:rPr>
          <w:rFonts w:ascii="Times New Roman;Times;serif" w:hAnsi="Times New Roman;Times;serif"/>
          <w:b/>
          <w:i/>
          <w:sz w:val="24"/>
        </w:rPr>
      </w:pPr>
      <w:r>
        <w:rPr>
          <w:rFonts w:ascii="Times New Roman;Times;serif" w:hAnsi="Times New Roman;Times;serif"/>
          <w:b/>
          <w:i/>
          <w:sz w:val="24"/>
        </w:rPr>
        <w:t>[Signatures immediately following]</w:t>
      </w:r>
    </w:p>
    <w:p>
      <w:pPr>
        <w:pStyle w:val="TextBody"/>
        <w:bidi w:val="0"/>
        <w:spacing w:lineRule="auto" w:line="285" w:before="0" w:after="0"/>
        <w:ind w:left="0" w:right="0" w:hanging="0"/>
        <w:jc w:val="center"/>
        <w:rPr>
          <w:rFonts w:ascii="Aptos" w:hAnsi="Aptos"/>
          <w:sz w:val="24"/>
        </w:rPr>
      </w:pPr>
      <w:r>
        <w:rPr>
          <w:rFonts w:ascii="Aptos" w:hAnsi="Aptos"/>
          <w:sz w:val="24"/>
        </w:rPr>
        <w:t>4</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uto" w:line="331" w:before="0" w:after="160"/>
        <w:ind w:left="0" w:right="0" w:hanging="0"/>
        <w:jc w:val="center"/>
        <w:rPr/>
      </w:pPr>
      <w:r>
        <w:rPr/>
        <w:t>​</w:t>
      </w:r>
    </w:p>
    <w:tbl>
      <w:tblPr>
        <w:tblW w:w="8560" w:type="dxa"/>
        <w:jc w:val="left"/>
        <w:tblInd w:w="0" w:type="dxa"/>
        <w:tblLayout w:type="fixed"/>
        <w:tblCellMar>
          <w:top w:w="0" w:type="dxa"/>
          <w:left w:w="0" w:type="dxa"/>
          <w:bottom w:w="0" w:type="dxa"/>
          <w:right w:w="0" w:type="dxa"/>
        </w:tblCellMar>
      </w:tblPr>
      <w:tblGrid>
        <w:gridCol w:w="1610"/>
        <w:gridCol w:w="6950"/>
      </w:tblGrid>
      <w:tr>
        <w:trPr/>
        <w:tc>
          <w:tcPr>
            <w:tcW w:w="1610" w:type="dxa"/>
            <w:tcBorders/>
            <w:vAlign w:val="center"/>
          </w:tcPr>
          <w:p>
            <w:pPr>
              <w:pStyle w:val="TableContents"/>
              <w:bidi w:val="0"/>
              <w:spacing w:lineRule="auto" w:line="331" w:before="0" w:after="160"/>
              <w:jc w:val="left"/>
              <w:rPr>
                <w:rFonts w:ascii="Times New Roman;Times;serif" w:hAnsi="Times New Roman;Times;serif"/>
                <w:sz w:val="24"/>
              </w:rPr>
            </w:pPr>
            <w:bookmarkStart w:id="1214" w:name="_Hlk216793045"/>
            <w:bookmarkEnd w:id="1214"/>
            <w:r>
              <w:rPr>
                <w:rFonts w:ascii="Times New Roman;Times;serif" w:hAnsi="Times New Roman;Times;serif"/>
                <w:sz w:val="24"/>
              </w:rPr>
              <w:t>BORROWERS:</w:t>
            </w:r>
          </w:p>
        </w:tc>
        <w:tc>
          <w:tcPr>
            <w:tcW w:w="6950" w:type="dxa"/>
            <w:tcBorders/>
            <w:vAlign w:val="center"/>
          </w:tcPr>
          <w:p>
            <w:pPr>
              <w:pStyle w:val="TableContents"/>
              <w:bidi w:val="0"/>
              <w:spacing w:lineRule="auto" w:line="331" w:before="0" w:after="160"/>
              <w:jc w:val="left"/>
              <w:rPr>
                <w:rFonts w:ascii="Times New Roman;Times;serif" w:hAnsi="Times New Roman;Times;serif"/>
                <w:color w:val="262626"/>
                <w:sz w:val="24"/>
              </w:rPr>
            </w:pPr>
            <w:r>
              <w:rPr>
                <w:rFonts w:ascii="Times New Roman;Times;serif" w:hAnsi="Times New Roman;Times;serif"/>
                <w:color w:val="262626"/>
                <w:sz w:val="24"/>
              </w:rPr>
              <w:t>EVOLUTION PETROLEUM CORPORATION, a Nevada corporation</w:t>
            </w:r>
          </w:p>
        </w:tc>
      </w:tr>
    </w:tbl>
    <w:p>
      <w:pPr>
        <w:pStyle w:val="TextBody"/>
        <w:bidi w:val="0"/>
        <w:spacing w:lineRule="auto" w:line="331" w:before="0" w:after="160"/>
        <w:ind w:left="4320" w:right="0" w:firstLine="2"/>
        <w:jc w:val="left"/>
        <w:rPr>
          <w:color w:val="262626"/>
        </w:rPr>
      </w:pPr>
      <w:r>
        <w:rPr>
          <w:color w:val="262626"/>
        </w:rPr>
        <w:t>​</w:t>
      </w:r>
    </w:p>
    <w:tbl>
      <w:tblPr>
        <w:tblW w:w="4217" w:type="dxa"/>
        <w:jc w:val="left"/>
        <w:tblInd w:w="0" w:type="dxa"/>
        <w:tblLayout w:type="fixed"/>
        <w:tblCellMar>
          <w:top w:w="0" w:type="dxa"/>
          <w:left w:w="0" w:type="dxa"/>
          <w:bottom w:w="0" w:type="dxa"/>
          <w:right w:w="0" w:type="dxa"/>
        </w:tblCellMar>
      </w:tblPr>
      <w:tblGrid>
        <w:gridCol w:w="466"/>
        <w:gridCol w:w="3751"/>
      </w:tblGrid>
      <w:tr>
        <w:trPr/>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95910" cy="29210"/>
                      <wp:effectExtent l="0" t="0" r="0" b="0"/>
                      <wp:wrapNone/>
                      <wp:docPr id="518" name="Frame517"/>
                      <a:graphic xmlns:a="http://schemas.openxmlformats.org/drawingml/2006/main">
                        <a:graphicData uri="http://schemas.microsoft.com/office/word/2010/wordprocessingShape">
                          <wps:wsp>
                            <wps:cNvSpPr txBox="1"/>
                            <wps:spPr>
                              <a:xfrm>
                                <a:off x="0" y="0"/>
                                <a:ext cx="295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381885" cy="29210"/>
                      <wp:effectExtent l="0" t="0" r="0" b="0"/>
                      <wp:wrapNone/>
                      <wp:docPr id="519" name="Frame518"/>
                      <a:graphic xmlns:a="http://schemas.openxmlformats.org/drawingml/2006/main">
                        <a:graphicData uri="http://schemas.microsoft.com/office/word/2010/wordprocessingShape">
                          <wps:wsp>
                            <wps:cNvSpPr txBox="1"/>
                            <wps:spPr>
                              <a:xfrm>
                                <a:off x="0" y="0"/>
                                <a:ext cx="23818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66"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75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 KELLY LOYD</w:t>
            </w:r>
          </w:p>
        </w:tc>
      </w:tr>
      <w:tr>
        <w:trPr/>
        <w:tc>
          <w:tcPr>
            <w:tcW w:w="466" w:type="dxa"/>
            <w:tcBorders/>
            <w:vAlign w:val="center"/>
          </w:tcPr>
          <w:p>
            <w:pPr>
              <w:pStyle w:val="TableContents"/>
              <w:bidi w:val="0"/>
              <w:spacing w:lineRule="auto" w:line="285" w:before="0" w:after="240"/>
              <w:ind w:left="0" w:right="0" w:hanging="0"/>
              <w:jc w:val="left"/>
              <w:rPr/>
            </w:pPr>
            <w:r>
              <w:rPr/>
              <w:t>​</w:t>
            </w:r>
          </w:p>
        </w:tc>
        <w:tc>
          <w:tcPr>
            <w:tcW w:w="375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Kelly Loyd</w:t>
            </w:r>
          </w:p>
        </w:tc>
      </w:tr>
      <w:tr>
        <w:trPr/>
        <w:tc>
          <w:tcPr>
            <w:tcW w:w="466" w:type="dxa"/>
            <w:tcBorders/>
            <w:vAlign w:val="center"/>
          </w:tcPr>
          <w:p>
            <w:pPr>
              <w:pStyle w:val="TableContents"/>
              <w:bidi w:val="0"/>
              <w:spacing w:lineRule="auto" w:line="285" w:before="0" w:after="240"/>
              <w:ind w:left="0" w:right="0" w:hanging="0"/>
              <w:jc w:val="left"/>
              <w:rPr/>
            </w:pPr>
            <w:r>
              <w:rPr/>
              <w:t>​</w:t>
            </w:r>
          </w:p>
        </w:tc>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Chief Executive Officer and President</w:t>
            </w:r>
          </w:p>
        </w:tc>
      </w:tr>
    </w:tbl>
    <w:p>
      <w:pPr>
        <w:pStyle w:val="TextBody"/>
        <w:bidi w:val="0"/>
        <w:spacing w:lineRule="auto" w:line="331" w:before="0" w:after="160"/>
        <w:ind w:left="4320" w:right="0" w:firstLine="2"/>
        <w:jc w:val="left"/>
        <w:rPr>
          <w:color w:val="262626"/>
        </w:rPr>
      </w:pPr>
      <w:r>
        <w:rPr>
          <w:color w:val="262626"/>
        </w:rPr>
        <w:t>​</w:t>
      </w:r>
    </w:p>
    <w:p>
      <w:pPr>
        <w:pStyle w:val="TextBody"/>
        <w:bidi w:val="0"/>
        <w:spacing w:lineRule="auto" w:line="331" w:before="0" w:after="160"/>
        <w:ind w:left="4320" w:right="0" w:firstLine="2"/>
        <w:jc w:val="left"/>
        <w:rPr>
          <w:color w:val="262626"/>
        </w:rPr>
      </w:pPr>
      <w:r>
        <w:rPr>
          <w:color w:val="262626"/>
        </w:rPr>
        <w:t>​</w:t>
      </w:r>
    </w:p>
    <w:p>
      <w:pPr>
        <w:pStyle w:val="TextBody"/>
        <w:bidi w:val="0"/>
        <w:spacing w:lineRule="auto" w:line="285" w:before="0" w:after="0"/>
        <w:ind w:left="4320" w:right="0" w:firstLine="2"/>
        <w:jc w:val="left"/>
        <w:rPr>
          <w:rFonts w:ascii="Times New Roman;Times;serif" w:hAnsi="Times New Roman;Times;serif"/>
          <w:color w:val="262626"/>
          <w:sz w:val="24"/>
        </w:rPr>
      </w:pPr>
      <w:r>
        <w:rPr>
          <w:rFonts w:ascii="Times New Roman;Times;serif" w:hAnsi="Times New Roman;Times;serif"/>
          <w:color w:val="262626"/>
          <w:sz w:val="24"/>
        </w:rPr>
        <w:t>EVOLUTION PETROLEUM OK, INC., a Texas corporation</w:t>
      </w:r>
    </w:p>
    <w:p>
      <w:pPr>
        <w:pStyle w:val="TextBody"/>
        <w:bidi w:val="0"/>
        <w:spacing w:lineRule="auto" w:line="331" w:before="0" w:after="160"/>
        <w:ind w:left="4320" w:right="0" w:firstLine="2"/>
        <w:jc w:val="left"/>
        <w:rPr>
          <w:color w:val="262626"/>
        </w:rPr>
      </w:pPr>
      <w:r>
        <w:rPr>
          <w:color w:val="262626"/>
        </w:rPr>
        <w:t>​</w:t>
      </w:r>
    </w:p>
    <w:p>
      <w:pPr>
        <w:pStyle w:val="TextBody"/>
        <w:bidi w:val="0"/>
        <w:spacing w:lineRule="auto" w:line="331" w:before="0" w:after="160"/>
        <w:ind w:left="4320" w:right="0" w:firstLine="2"/>
        <w:jc w:val="left"/>
        <w:rPr>
          <w:color w:val="262626"/>
        </w:rPr>
      </w:pPr>
      <w:r>
        <w:rPr>
          <w:color w:val="262626"/>
        </w:rPr>
        <w:t>​</w:t>
      </w:r>
    </w:p>
    <w:tbl>
      <w:tblPr>
        <w:tblW w:w="4217" w:type="dxa"/>
        <w:jc w:val="left"/>
        <w:tblInd w:w="0" w:type="dxa"/>
        <w:tblLayout w:type="fixed"/>
        <w:tblCellMar>
          <w:top w:w="0" w:type="dxa"/>
          <w:left w:w="0" w:type="dxa"/>
          <w:bottom w:w="0" w:type="dxa"/>
          <w:right w:w="0" w:type="dxa"/>
        </w:tblCellMar>
      </w:tblPr>
      <w:tblGrid>
        <w:gridCol w:w="466"/>
        <w:gridCol w:w="3751"/>
      </w:tblGrid>
      <w:tr>
        <w:trPr/>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95910" cy="29210"/>
                      <wp:effectExtent l="0" t="0" r="0" b="0"/>
                      <wp:wrapNone/>
                      <wp:docPr id="520" name="Frame519"/>
                      <a:graphic xmlns:a="http://schemas.openxmlformats.org/drawingml/2006/main">
                        <a:graphicData uri="http://schemas.microsoft.com/office/word/2010/wordprocessingShape">
                          <wps:wsp>
                            <wps:cNvSpPr txBox="1"/>
                            <wps:spPr>
                              <a:xfrm>
                                <a:off x="0" y="0"/>
                                <a:ext cx="295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381885" cy="29210"/>
                      <wp:effectExtent l="0" t="0" r="0" b="0"/>
                      <wp:wrapNone/>
                      <wp:docPr id="521" name="Frame520"/>
                      <a:graphic xmlns:a="http://schemas.openxmlformats.org/drawingml/2006/main">
                        <a:graphicData uri="http://schemas.microsoft.com/office/word/2010/wordprocessingShape">
                          <wps:wsp>
                            <wps:cNvSpPr txBox="1"/>
                            <wps:spPr>
                              <a:xfrm>
                                <a:off x="0" y="0"/>
                                <a:ext cx="23818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66"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75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 KELLY LOYD</w:t>
            </w:r>
          </w:p>
        </w:tc>
      </w:tr>
      <w:tr>
        <w:trPr/>
        <w:tc>
          <w:tcPr>
            <w:tcW w:w="466" w:type="dxa"/>
            <w:tcBorders/>
            <w:vAlign w:val="center"/>
          </w:tcPr>
          <w:p>
            <w:pPr>
              <w:pStyle w:val="TableContents"/>
              <w:bidi w:val="0"/>
              <w:spacing w:lineRule="auto" w:line="285" w:before="0" w:after="240"/>
              <w:ind w:left="0" w:right="0" w:hanging="0"/>
              <w:jc w:val="left"/>
              <w:rPr/>
            </w:pPr>
            <w:r>
              <w:rPr/>
              <w:t>​</w:t>
            </w:r>
          </w:p>
        </w:tc>
        <w:tc>
          <w:tcPr>
            <w:tcW w:w="375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Kelly Loyd</w:t>
            </w:r>
          </w:p>
        </w:tc>
      </w:tr>
      <w:tr>
        <w:trPr/>
        <w:tc>
          <w:tcPr>
            <w:tcW w:w="466" w:type="dxa"/>
            <w:tcBorders/>
            <w:vAlign w:val="center"/>
          </w:tcPr>
          <w:p>
            <w:pPr>
              <w:pStyle w:val="TableContents"/>
              <w:bidi w:val="0"/>
              <w:spacing w:lineRule="auto" w:line="285" w:before="0" w:after="240"/>
              <w:ind w:left="0" w:right="0" w:hanging="0"/>
              <w:jc w:val="left"/>
              <w:rPr/>
            </w:pPr>
            <w:r>
              <w:rPr/>
              <w:t>​</w:t>
            </w:r>
          </w:p>
        </w:tc>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Chief Executive Officer and President</w:t>
            </w:r>
          </w:p>
        </w:tc>
      </w:tr>
    </w:tbl>
    <w:p>
      <w:pPr>
        <w:pStyle w:val="TextBody"/>
        <w:bidi w:val="0"/>
        <w:spacing w:lineRule="auto" w:line="331" w:before="0" w:after="160"/>
        <w:ind w:left="4320" w:right="0" w:firstLine="2"/>
        <w:jc w:val="left"/>
        <w:rPr>
          <w:color w:val="262626"/>
        </w:rPr>
      </w:pPr>
      <w:r>
        <w:rPr>
          <w:color w:val="262626"/>
        </w:rPr>
        <w:t>​</w:t>
      </w:r>
    </w:p>
    <w:p>
      <w:pPr>
        <w:pStyle w:val="TextBody"/>
        <w:bidi w:val="0"/>
        <w:spacing w:lineRule="auto" w:line="331" w:before="0" w:after="160"/>
        <w:ind w:left="4320" w:right="0" w:firstLine="2"/>
        <w:jc w:val="left"/>
        <w:rPr>
          <w:color w:val="262626"/>
        </w:rPr>
      </w:pPr>
      <w:r>
        <w:rPr>
          <w:color w:val="262626"/>
        </w:rPr>
        <w:t>​</w:t>
      </w:r>
    </w:p>
    <w:p>
      <w:pPr>
        <w:pStyle w:val="TextBody"/>
        <w:bidi w:val="0"/>
        <w:spacing w:lineRule="auto" w:line="285" w:before="0" w:after="0"/>
        <w:ind w:left="4320" w:right="0" w:firstLine="2"/>
        <w:jc w:val="left"/>
        <w:rPr>
          <w:rFonts w:ascii="Times New Roman;Times;serif" w:hAnsi="Times New Roman;Times;serif"/>
          <w:color w:val="262626"/>
          <w:sz w:val="24"/>
        </w:rPr>
      </w:pPr>
      <w:r>
        <w:rPr>
          <w:rFonts w:ascii="Times New Roman;Times;serif" w:hAnsi="Times New Roman;Times;serif"/>
          <w:color w:val="262626"/>
          <w:sz w:val="24"/>
        </w:rPr>
        <w:t>NGS TECHNOLOGIES, INC., a Delaware corporation</w:t>
      </w:r>
    </w:p>
    <w:p>
      <w:pPr>
        <w:pStyle w:val="TextBody"/>
        <w:bidi w:val="0"/>
        <w:spacing w:lineRule="auto" w:line="331" w:before="0" w:after="160"/>
        <w:ind w:left="4320" w:right="0" w:firstLine="2"/>
        <w:jc w:val="left"/>
        <w:rPr>
          <w:color w:val="262626"/>
        </w:rPr>
      </w:pPr>
      <w:r>
        <w:rPr>
          <w:color w:val="262626"/>
        </w:rPr>
        <w:t>​</w:t>
      </w:r>
    </w:p>
    <w:p>
      <w:pPr>
        <w:pStyle w:val="TextBody"/>
        <w:bidi w:val="0"/>
        <w:spacing w:lineRule="auto" w:line="331" w:before="0" w:after="160"/>
        <w:ind w:left="4320" w:right="0" w:firstLine="2"/>
        <w:jc w:val="left"/>
        <w:rPr>
          <w:color w:val="262626"/>
        </w:rPr>
      </w:pPr>
      <w:r>
        <w:rPr>
          <w:color w:val="262626"/>
        </w:rPr>
        <w:t>​</w:t>
      </w:r>
    </w:p>
    <w:tbl>
      <w:tblPr>
        <w:tblW w:w="4217" w:type="dxa"/>
        <w:jc w:val="left"/>
        <w:tblInd w:w="0" w:type="dxa"/>
        <w:tblLayout w:type="fixed"/>
        <w:tblCellMar>
          <w:top w:w="0" w:type="dxa"/>
          <w:left w:w="0" w:type="dxa"/>
          <w:bottom w:w="0" w:type="dxa"/>
          <w:right w:w="0" w:type="dxa"/>
        </w:tblCellMar>
      </w:tblPr>
      <w:tblGrid>
        <w:gridCol w:w="466"/>
        <w:gridCol w:w="3751"/>
      </w:tblGrid>
      <w:tr>
        <w:trPr/>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95910" cy="29210"/>
                      <wp:effectExtent l="0" t="0" r="0" b="0"/>
                      <wp:wrapNone/>
                      <wp:docPr id="522" name="Frame521"/>
                      <a:graphic xmlns:a="http://schemas.openxmlformats.org/drawingml/2006/main">
                        <a:graphicData uri="http://schemas.microsoft.com/office/word/2010/wordprocessingShape">
                          <wps:wsp>
                            <wps:cNvSpPr txBox="1"/>
                            <wps:spPr>
                              <a:xfrm>
                                <a:off x="0" y="0"/>
                                <a:ext cx="295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381885" cy="29210"/>
                      <wp:effectExtent l="0" t="0" r="0" b="0"/>
                      <wp:wrapNone/>
                      <wp:docPr id="523" name="Frame522"/>
                      <a:graphic xmlns:a="http://schemas.openxmlformats.org/drawingml/2006/main">
                        <a:graphicData uri="http://schemas.microsoft.com/office/word/2010/wordprocessingShape">
                          <wps:wsp>
                            <wps:cNvSpPr txBox="1"/>
                            <wps:spPr>
                              <a:xfrm>
                                <a:off x="0" y="0"/>
                                <a:ext cx="23818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66"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75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 KELLY LOYD</w:t>
            </w:r>
          </w:p>
        </w:tc>
      </w:tr>
      <w:tr>
        <w:trPr/>
        <w:tc>
          <w:tcPr>
            <w:tcW w:w="466" w:type="dxa"/>
            <w:tcBorders/>
            <w:vAlign w:val="center"/>
          </w:tcPr>
          <w:p>
            <w:pPr>
              <w:pStyle w:val="TableContents"/>
              <w:bidi w:val="0"/>
              <w:spacing w:lineRule="auto" w:line="285" w:before="0" w:after="240"/>
              <w:ind w:left="0" w:right="0" w:hanging="0"/>
              <w:jc w:val="left"/>
              <w:rPr/>
            </w:pPr>
            <w:r>
              <w:rPr/>
              <w:t>​</w:t>
            </w:r>
          </w:p>
        </w:tc>
        <w:tc>
          <w:tcPr>
            <w:tcW w:w="375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Kelly Loyd</w:t>
            </w:r>
          </w:p>
        </w:tc>
      </w:tr>
      <w:tr>
        <w:trPr/>
        <w:tc>
          <w:tcPr>
            <w:tcW w:w="466" w:type="dxa"/>
            <w:tcBorders/>
            <w:vAlign w:val="center"/>
          </w:tcPr>
          <w:p>
            <w:pPr>
              <w:pStyle w:val="TableContents"/>
              <w:bidi w:val="0"/>
              <w:spacing w:lineRule="auto" w:line="285" w:before="0" w:after="240"/>
              <w:ind w:left="0" w:right="0" w:hanging="0"/>
              <w:jc w:val="left"/>
              <w:rPr/>
            </w:pPr>
            <w:r>
              <w:rPr/>
              <w:t>​</w:t>
            </w:r>
          </w:p>
        </w:tc>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Chief Executive Officer and President</w:t>
            </w:r>
          </w:p>
        </w:tc>
      </w:tr>
    </w:tbl>
    <w:p>
      <w:pPr>
        <w:pStyle w:val="TextBody"/>
        <w:bidi w:val="0"/>
        <w:spacing w:lineRule="auto" w:line="331" w:before="0" w:after="160"/>
        <w:ind w:left="4320" w:right="0" w:firstLine="2"/>
        <w:jc w:val="left"/>
        <w:rPr>
          <w:color w:val="262626"/>
        </w:rPr>
      </w:pPr>
      <w:r>
        <w:rPr>
          <w:color w:val="262626"/>
        </w:rPr>
        <w:t>​</w:t>
      </w:r>
    </w:p>
    <w:p>
      <w:pPr>
        <w:pStyle w:val="TextBody"/>
        <w:bidi w:val="0"/>
        <w:spacing w:lineRule="auto" w:line="331" w:before="0" w:after="160"/>
        <w:ind w:left="4320" w:right="0" w:firstLine="2"/>
        <w:jc w:val="left"/>
        <w:rPr>
          <w:color w:val="262626"/>
        </w:rPr>
      </w:pPr>
      <w:r>
        <w:rPr>
          <w:color w:val="262626"/>
        </w:rPr>
        <w:t>​</w:t>
      </w:r>
    </w:p>
    <w:p>
      <w:pPr>
        <w:pStyle w:val="TextBody"/>
        <w:bidi w:val="0"/>
        <w:spacing w:lineRule="auto" w:line="285" w:before="0" w:after="0"/>
        <w:ind w:left="4320" w:right="0" w:firstLine="2"/>
        <w:jc w:val="left"/>
        <w:rPr>
          <w:rFonts w:ascii="Times New Roman;Times;serif" w:hAnsi="Times New Roman;Times;serif"/>
          <w:color w:val="262626"/>
          <w:sz w:val="24"/>
        </w:rPr>
      </w:pPr>
      <w:r>
        <w:rPr>
          <w:rFonts w:ascii="Times New Roman;Times;serif" w:hAnsi="Times New Roman;Times;serif"/>
          <w:color w:val="262626"/>
          <w:sz w:val="24"/>
        </w:rPr>
        <w:t>EVOLUTION ROYALTIES, INC., a Delaware corporation</w:t>
      </w:r>
    </w:p>
    <w:p>
      <w:pPr>
        <w:pStyle w:val="TextBody"/>
        <w:bidi w:val="0"/>
        <w:spacing w:lineRule="auto" w:line="331" w:before="0" w:after="160"/>
        <w:ind w:left="4320" w:right="0" w:firstLine="2"/>
        <w:jc w:val="left"/>
        <w:rPr>
          <w:color w:val="262626"/>
        </w:rPr>
      </w:pPr>
      <w:r>
        <w:rPr>
          <w:color w:val="262626"/>
        </w:rPr>
        <w:t>​</w:t>
      </w:r>
    </w:p>
    <w:p>
      <w:pPr>
        <w:pStyle w:val="TextBody"/>
        <w:bidi w:val="0"/>
        <w:spacing w:lineRule="auto" w:line="331" w:before="0" w:after="160"/>
        <w:ind w:left="4320" w:right="0" w:firstLine="2"/>
        <w:jc w:val="left"/>
        <w:rPr>
          <w:color w:val="262626"/>
        </w:rPr>
      </w:pPr>
      <w:r>
        <w:rPr>
          <w:color w:val="262626"/>
        </w:rPr>
        <w:t>​</w:t>
      </w:r>
    </w:p>
    <w:tbl>
      <w:tblPr>
        <w:tblW w:w="4217" w:type="dxa"/>
        <w:jc w:val="left"/>
        <w:tblInd w:w="0" w:type="dxa"/>
        <w:tblLayout w:type="fixed"/>
        <w:tblCellMar>
          <w:top w:w="0" w:type="dxa"/>
          <w:left w:w="0" w:type="dxa"/>
          <w:bottom w:w="0" w:type="dxa"/>
          <w:right w:w="0" w:type="dxa"/>
        </w:tblCellMar>
      </w:tblPr>
      <w:tblGrid>
        <w:gridCol w:w="466"/>
        <w:gridCol w:w="3751"/>
      </w:tblGrid>
      <w:tr>
        <w:trPr/>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95910" cy="29210"/>
                      <wp:effectExtent l="0" t="0" r="0" b="0"/>
                      <wp:wrapNone/>
                      <wp:docPr id="524" name="Frame523"/>
                      <a:graphic xmlns:a="http://schemas.openxmlformats.org/drawingml/2006/main">
                        <a:graphicData uri="http://schemas.microsoft.com/office/word/2010/wordprocessingShape">
                          <wps:wsp>
                            <wps:cNvSpPr txBox="1"/>
                            <wps:spPr>
                              <a:xfrm>
                                <a:off x="0" y="0"/>
                                <a:ext cx="295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381885" cy="29210"/>
                      <wp:effectExtent l="0" t="0" r="0" b="0"/>
                      <wp:wrapNone/>
                      <wp:docPr id="525" name="Frame524"/>
                      <a:graphic xmlns:a="http://schemas.openxmlformats.org/drawingml/2006/main">
                        <a:graphicData uri="http://schemas.microsoft.com/office/word/2010/wordprocessingShape">
                          <wps:wsp>
                            <wps:cNvSpPr txBox="1"/>
                            <wps:spPr>
                              <a:xfrm>
                                <a:off x="0" y="0"/>
                                <a:ext cx="23818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66"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75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 KELLY LOYD</w:t>
            </w:r>
          </w:p>
        </w:tc>
      </w:tr>
      <w:tr>
        <w:trPr/>
        <w:tc>
          <w:tcPr>
            <w:tcW w:w="466" w:type="dxa"/>
            <w:tcBorders/>
            <w:vAlign w:val="center"/>
          </w:tcPr>
          <w:p>
            <w:pPr>
              <w:pStyle w:val="TableContents"/>
              <w:bidi w:val="0"/>
              <w:spacing w:lineRule="auto" w:line="285" w:before="0" w:after="240"/>
              <w:ind w:left="0" w:right="0" w:hanging="0"/>
              <w:jc w:val="left"/>
              <w:rPr/>
            </w:pPr>
            <w:r>
              <w:rPr/>
              <w:t>​</w:t>
            </w:r>
          </w:p>
        </w:tc>
        <w:tc>
          <w:tcPr>
            <w:tcW w:w="375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Kelly Loyd</w:t>
            </w:r>
          </w:p>
        </w:tc>
      </w:tr>
      <w:tr>
        <w:trPr/>
        <w:tc>
          <w:tcPr>
            <w:tcW w:w="466" w:type="dxa"/>
            <w:tcBorders/>
            <w:vAlign w:val="center"/>
          </w:tcPr>
          <w:p>
            <w:pPr>
              <w:pStyle w:val="TableContents"/>
              <w:bidi w:val="0"/>
              <w:spacing w:lineRule="auto" w:line="285" w:before="0" w:after="240"/>
              <w:ind w:left="0" w:right="0" w:hanging="0"/>
              <w:jc w:val="left"/>
              <w:rPr/>
            </w:pPr>
            <w:r>
              <w:rPr/>
              <w:t>​</w:t>
            </w:r>
          </w:p>
        </w:tc>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Chief Executive Officer and President</w:t>
            </w:r>
          </w:p>
        </w:tc>
      </w:tr>
    </w:tbl>
    <w:p>
      <w:pPr>
        <w:pStyle w:val="TextBody"/>
        <w:bidi w:val="0"/>
        <w:spacing w:lineRule="auto" w:line="331" w:before="0" w:after="160"/>
        <w:ind w:left="4320" w:right="0" w:firstLine="2"/>
        <w:jc w:val="left"/>
        <w:rPr>
          <w:color w:val="262626"/>
        </w:rPr>
      </w:pPr>
      <w:r>
        <w:rPr>
          <w:color w:val="262626"/>
        </w:rPr>
        <w:t>​</w:t>
      </w:r>
    </w:p>
    <w:p>
      <w:pPr>
        <w:pStyle w:val="TextBody"/>
        <w:bidi w:val="0"/>
        <w:spacing w:lineRule="auto" w:line="331" w:before="0" w:after="160"/>
        <w:ind w:left="4320" w:right="0" w:firstLine="2"/>
        <w:jc w:val="left"/>
        <w:rPr>
          <w:color w:val="262626"/>
        </w:rPr>
      </w:pPr>
      <w:r>
        <w:rPr>
          <w:color w:val="262626"/>
        </w:rPr>
        <w:t>​</w:t>
      </w:r>
    </w:p>
    <w:p>
      <w:pPr>
        <w:pStyle w:val="TextBody"/>
        <w:bidi w:val="0"/>
        <w:spacing w:lineRule="auto" w:line="285" w:before="0" w:after="0"/>
        <w:ind w:left="4320" w:right="0" w:firstLine="2"/>
        <w:jc w:val="left"/>
        <w:rPr>
          <w:rFonts w:ascii="Times New Roman;Times;serif" w:hAnsi="Times New Roman;Times;serif"/>
          <w:color w:val="262626"/>
          <w:sz w:val="24"/>
        </w:rPr>
      </w:pPr>
      <w:r>
        <w:rPr>
          <w:rFonts w:ascii="Times New Roman;Times;serif" w:hAnsi="Times New Roman;Times;serif"/>
          <w:color w:val="262626"/>
          <w:sz w:val="24"/>
        </w:rPr>
        <w:t>EVOLUTION PETROLEUM WEST, INC., a Delaware corporation</w:t>
      </w:r>
    </w:p>
    <w:p>
      <w:pPr>
        <w:pStyle w:val="TextBody"/>
        <w:bidi w:val="0"/>
        <w:spacing w:lineRule="auto" w:line="331" w:before="0" w:after="160"/>
        <w:ind w:left="4320" w:right="0" w:firstLine="2"/>
        <w:jc w:val="left"/>
        <w:rPr>
          <w:color w:val="262626"/>
        </w:rPr>
      </w:pPr>
      <w:r>
        <w:rPr>
          <w:color w:val="262626"/>
        </w:rPr>
        <w:t>​</w:t>
      </w:r>
    </w:p>
    <w:p>
      <w:pPr>
        <w:pStyle w:val="TextBody"/>
        <w:bidi w:val="0"/>
        <w:spacing w:lineRule="auto" w:line="331" w:before="0" w:after="160"/>
        <w:ind w:left="4320" w:right="0" w:firstLine="2"/>
        <w:jc w:val="left"/>
        <w:rPr>
          <w:color w:val="262626"/>
        </w:rPr>
      </w:pPr>
      <w:r>
        <w:rPr>
          <w:color w:val="262626"/>
        </w:rPr>
        <w:t>​</w:t>
      </w:r>
    </w:p>
    <w:tbl>
      <w:tblPr>
        <w:tblW w:w="4217" w:type="dxa"/>
        <w:jc w:val="left"/>
        <w:tblInd w:w="0" w:type="dxa"/>
        <w:tblLayout w:type="fixed"/>
        <w:tblCellMar>
          <w:top w:w="0" w:type="dxa"/>
          <w:left w:w="0" w:type="dxa"/>
          <w:bottom w:w="0" w:type="dxa"/>
          <w:right w:w="0" w:type="dxa"/>
        </w:tblCellMar>
      </w:tblPr>
      <w:tblGrid>
        <w:gridCol w:w="466"/>
        <w:gridCol w:w="3751"/>
      </w:tblGrid>
      <w:tr>
        <w:trPr/>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95910" cy="29210"/>
                      <wp:effectExtent l="0" t="0" r="0" b="0"/>
                      <wp:wrapNone/>
                      <wp:docPr id="526" name="Frame525"/>
                      <a:graphic xmlns:a="http://schemas.openxmlformats.org/drawingml/2006/main">
                        <a:graphicData uri="http://schemas.microsoft.com/office/word/2010/wordprocessingShape">
                          <wps:wsp>
                            <wps:cNvSpPr txBox="1"/>
                            <wps:spPr>
                              <a:xfrm>
                                <a:off x="0" y="0"/>
                                <a:ext cx="295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381885" cy="29210"/>
                      <wp:effectExtent l="0" t="0" r="0" b="0"/>
                      <wp:wrapNone/>
                      <wp:docPr id="527" name="Frame526"/>
                      <a:graphic xmlns:a="http://schemas.openxmlformats.org/drawingml/2006/main">
                        <a:graphicData uri="http://schemas.microsoft.com/office/word/2010/wordprocessingShape">
                          <wps:wsp>
                            <wps:cNvSpPr txBox="1"/>
                            <wps:spPr>
                              <a:xfrm>
                                <a:off x="0" y="0"/>
                                <a:ext cx="23818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66"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75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 KELLY LOYD</w:t>
            </w:r>
          </w:p>
        </w:tc>
      </w:tr>
      <w:tr>
        <w:trPr/>
        <w:tc>
          <w:tcPr>
            <w:tcW w:w="466" w:type="dxa"/>
            <w:tcBorders/>
            <w:vAlign w:val="center"/>
          </w:tcPr>
          <w:p>
            <w:pPr>
              <w:pStyle w:val="TableContents"/>
              <w:bidi w:val="0"/>
              <w:spacing w:lineRule="auto" w:line="285" w:before="0" w:after="240"/>
              <w:ind w:left="0" w:right="0" w:hanging="0"/>
              <w:jc w:val="left"/>
              <w:rPr/>
            </w:pPr>
            <w:r>
              <w:rPr/>
              <w:t>​</w:t>
            </w:r>
          </w:p>
        </w:tc>
        <w:tc>
          <w:tcPr>
            <w:tcW w:w="375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Kelly Loyd</w:t>
            </w:r>
          </w:p>
        </w:tc>
      </w:tr>
      <w:tr>
        <w:trPr/>
        <w:tc>
          <w:tcPr>
            <w:tcW w:w="466" w:type="dxa"/>
            <w:tcBorders/>
            <w:vAlign w:val="center"/>
          </w:tcPr>
          <w:p>
            <w:pPr>
              <w:pStyle w:val="TableContents"/>
              <w:bidi w:val="0"/>
              <w:spacing w:lineRule="auto" w:line="285" w:before="0" w:after="240"/>
              <w:ind w:left="0" w:right="0" w:hanging="0"/>
              <w:jc w:val="left"/>
              <w:rPr/>
            </w:pPr>
            <w:r>
              <w:rPr/>
              <w:t>​</w:t>
            </w:r>
          </w:p>
        </w:tc>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Chief Executive Officer and President</w:t>
            </w:r>
          </w:p>
        </w:tc>
      </w:tr>
    </w:tbl>
    <w:p>
      <w:pPr>
        <w:pStyle w:val="TextBody"/>
        <w:bidi w:val="0"/>
        <w:spacing w:lineRule="auto" w:line="331" w:before="0" w:after="160"/>
        <w:ind w:left="0" w:right="0" w:hanging="0"/>
        <w:jc w:val="left"/>
        <w:rPr/>
      </w:pPr>
      <w:r>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331"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4"/>
        </w:rPr>
        <w:t>INCREASING LENDER:</w:t>
      </w:r>
      <w:bookmarkStart w:id="1215" w:name="_Hlk216793001"/>
      <w:bookmarkEnd w:id="1215"/>
      <w:r>
        <w:rPr>
          <w:rFonts w:ascii="Times New Roman;Times;serif" w:hAnsi="Times New Roman;Times;serif"/>
          <w:sz w:val="24"/>
        </w:rPr>
        <w:t xml:space="preserve">MIDFIRST  BANK, </w:t>
      </w:r>
    </w:p>
    <w:p>
      <w:pPr>
        <w:pStyle w:val="TextBody"/>
        <w:bidi w:val="0"/>
        <w:spacing w:lineRule="auto" w:line="285" w:before="0" w:after="0"/>
        <w:ind w:left="3600" w:right="0" w:firstLine="720"/>
        <w:jc w:val="both"/>
        <w:rPr>
          <w:rFonts w:ascii="Times New Roman;Times;serif" w:hAnsi="Times New Roman;Times;serif"/>
          <w:sz w:val="24"/>
        </w:rPr>
      </w:pPr>
      <w:r>
        <w:rPr>
          <w:rFonts w:ascii="Times New Roman;Times;serif" w:hAnsi="Times New Roman;Times;serif"/>
          <w:sz w:val="24"/>
        </w:rPr>
        <w:t>as Administrative Agent and Lender</w:t>
      </w:r>
    </w:p>
    <w:p>
      <w:pPr>
        <w:pStyle w:val="TextBody"/>
        <w:bidi w:val="0"/>
        <w:spacing w:lineRule="auto" w:line="331" w:before="0" w:after="160"/>
        <w:ind w:left="0" w:right="0" w:hanging="0"/>
        <w:jc w:val="both"/>
        <w:rPr/>
      </w:pPr>
      <w:r>
        <w:rPr/>
        <w:t>​</w:t>
      </w:r>
    </w:p>
    <w:p>
      <w:pPr>
        <w:pStyle w:val="TextBody"/>
        <w:bidi w:val="0"/>
        <w:spacing w:lineRule="auto" w:line="331" w:before="0" w:after="160"/>
        <w:ind w:left="4320" w:right="0" w:hanging="0"/>
        <w:jc w:val="both"/>
        <w:rPr/>
      </w:pPr>
      <w:r>
        <w:rPr/>
        <w:t>​</w:t>
      </w:r>
    </w:p>
    <w:tbl>
      <w:tblPr>
        <w:tblW w:w="2702" w:type="dxa"/>
        <w:jc w:val="left"/>
        <w:tblInd w:w="0" w:type="dxa"/>
        <w:tblLayout w:type="fixed"/>
        <w:tblCellMar>
          <w:top w:w="0" w:type="dxa"/>
          <w:left w:w="0" w:type="dxa"/>
          <w:bottom w:w="0" w:type="dxa"/>
          <w:right w:w="0" w:type="dxa"/>
        </w:tblCellMar>
      </w:tblPr>
      <w:tblGrid>
        <w:gridCol w:w="466"/>
        <w:gridCol w:w="2236"/>
      </w:tblGrid>
      <w:tr>
        <w:trPr/>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95910" cy="29210"/>
                      <wp:effectExtent l="0" t="0" r="0" b="0"/>
                      <wp:wrapNone/>
                      <wp:docPr id="528" name="Frame527"/>
                      <a:graphic xmlns:a="http://schemas.openxmlformats.org/drawingml/2006/main">
                        <a:graphicData uri="http://schemas.microsoft.com/office/word/2010/wordprocessingShape">
                          <wps:wsp>
                            <wps:cNvSpPr txBox="1"/>
                            <wps:spPr>
                              <a:xfrm>
                                <a:off x="0" y="0"/>
                                <a:ext cx="295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1419860" cy="29210"/>
                      <wp:effectExtent l="0" t="0" r="0" b="0"/>
                      <wp:wrapNone/>
                      <wp:docPr id="529" name="Frame528"/>
                      <a:graphic xmlns:a="http://schemas.openxmlformats.org/drawingml/2006/main">
                        <a:graphicData uri="http://schemas.microsoft.com/office/word/2010/wordprocessingShape">
                          <wps:wsp>
                            <wps:cNvSpPr txBox="1"/>
                            <wps:spPr>
                              <a:xfrm>
                                <a:off x="0" y="0"/>
                                <a:ext cx="1419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66"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23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 CHAY KRAMER</w:t>
            </w:r>
          </w:p>
        </w:tc>
      </w:tr>
      <w:tr>
        <w:trPr/>
        <w:tc>
          <w:tcPr>
            <w:tcW w:w="466" w:type="dxa"/>
            <w:tcBorders/>
            <w:vAlign w:val="center"/>
          </w:tcPr>
          <w:p>
            <w:pPr>
              <w:pStyle w:val="TableContents"/>
              <w:bidi w:val="0"/>
              <w:spacing w:lineRule="auto" w:line="285" w:before="0" w:after="240"/>
              <w:ind w:left="0" w:right="0" w:hanging="0"/>
              <w:jc w:val="left"/>
              <w:rPr/>
            </w:pPr>
            <w:r>
              <w:rPr/>
              <w:t>​</w:t>
            </w:r>
          </w:p>
        </w:tc>
        <w:tc>
          <w:tcPr>
            <w:tcW w:w="2236"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Chay Kramer</w:t>
            </w:r>
          </w:p>
        </w:tc>
      </w:tr>
      <w:tr>
        <w:trPr/>
        <w:tc>
          <w:tcPr>
            <w:tcW w:w="466" w:type="dxa"/>
            <w:tcBorders/>
            <w:vAlign w:val="center"/>
          </w:tcPr>
          <w:p>
            <w:pPr>
              <w:pStyle w:val="TableContents"/>
              <w:bidi w:val="0"/>
              <w:spacing w:lineRule="auto" w:line="285" w:before="0" w:after="240"/>
              <w:ind w:left="0" w:right="0" w:hanging="0"/>
              <w:jc w:val="left"/>
              <w:rPr/>
            </w:pPr>
            <w:r>
              <w:rPr/>
              <w:t>​</w:t>
            </w:r>
          </w:p>
        </w:tc>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Senior Vice President</w:t>
            </w:r>
          </w:p>
        </w:tc>
      </w:tr>
    </w:tbl>
    <w:p>
      <w:pPr>
        <w:pStyle w:val="TextBody"/>
        <w:bidi w:val="0"/>
        <w:spacing w:lineRule="auto" w:line="331" w:before="0" w:after="160"/>
        <w:ind w:left="4320" w:right="0" w:hanging="0"/>
        <w:jc w:val="both"/>
        <w:rPr/>
      </w:pPr>
      <w:r>
        <w:rPr/>
        <w:t>​</w:t>
      </w:r>
    </w:p>
    <w:p>
      <w:pPr>
        <w:pStyle w:val="TextBody"/>
        <w:bidi w:val="0"/>
        <w:spacing w:lineRule="auto" w:line="331" w:before="0" w:after="160"/>
        <w:ind w:left="0" w:right="0" w:hanging="0"/>
        <w:jc w:val="both"/>
        <w:rPr/>
      </w:pPr>
      <w:r>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331"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tbl>
      <w:tblPr>
        <w:tblW w:w="2560" w:type="dxa"/>
        <w:jc w:val="left"/>
        <w:tblInd w:w="0" w:type="dxa"/>
        <w:tblLayout w:type="fixed"/>
        <w:tblCellMar>
          <w:top w:w="0" w:type="dxa"/>
          <w:left w:w="0" w:type="dxa"/>
          <w:bottom w:w="0" w:type="dxa"/>
          <w:right w:w="0" w:type="dxa"/>
        </w:tblCellMar>
      </w:tblPr>
      <w:tblGrid>
        <w:gridCol w:w="1055"/>
        <w:gridCol w:w="1505"/>
      </w:tblGrid>
      <w:tr>
        <w:trPr/>
        <w:tc>
          <w:tcPr>
            <w:tcW w:w="1055" w:type="dxa"/>
            <w:tcBorders/>
            <w:vAlign w:val="center"/>
          </w:tcPr>
          <w:p>
            <w:pPr>
              <w:pStyle w:val="TableContents"/>
              <w:bidi w:val="0"/>
              <w:spacing w:lineRule="auto" w:line="331" w:before="0" w:after="160"/>
              <w:jc w:val="left"/>
              <w:rPr>
                <w:rFonts w:ascii="Times New Roman;Times;serif" w:hAnsi="Times New Roman;Times;serif"/>
                <w:sz w:val="24"/>
              </w:rPr>
            </w:pPr>
            <w:r>
              <w:rPr>
                <w:rFonts w:ascii="Times New Roman;Times;serif" w:hAnsi="Times New Roman;Times;serif"/>
                <w:sz w:val="24"/>
              </w:rPr>
              <w:t>LENDER:</w:t>
            </w:r>
          </w:p>
        </w:tc>
        <w:tc>
          <w:tcPr>
            <w:tcW w:w="1505" w:type="dxa"/>
            <w:tcBorders/>
            <w:vAlign w:val="center"/>
          </w:tcPr>
          <w:p>
            <w:pPr>
              <w:pStyle w:val="TableContents"/>
              <w:bidi w:val="0"/>
              <w:spacing w:lineRule="auto" w:line="331" w:before="0" w:after="160"/>
              <w:jc w:val="left"/>
              <w:rPr>
                <w:rFonts w:ascii="Times New Roman;Times;serif" w:hAnsi="Times New Roman;Times;serif"/>
                <w:sz w:val="24"/>
              </w:rPr>
            </w:pPr>
            <w:r>
              <w:rPr>
                <w:rFonts w:ascii="Times New Roman;Times;serif" w:hAnsi="Times New Roman;Times;serif"/>
                <w:sz w:val="24"/>
              </w:rPr>
              <w:t>PRISM BANK</w:t>
            </w:r>
          </w:p>
        </w:tc>
      </w:tr>
    </w:tbl>
    <w:p>
      <w:pPr>
        <w:pStyle w:val="TextBody"/>
        <w:bidi w:val="0"/>
        <w:spacing w:lineRule="auto" w:line="331" w:before="0" w:after="160"/>
        <w:ind w:left="4320" w:right="0" w:hanging="0"/>
        <w:jc w:val="left"/>
        <w:rPr/>
      </w:pPr>
      <w:r>
        <w:rPr/>
        <w:t>​</w:t>
      </w:r>
    </w:p>
    <w:tbl>
      <w:tblPr>
        <w:tblW w:w="4487" w:type="dxa"/>
        <w:jc w:val="left"/>
        <w:tblInd w:w="0" w:type="dxa"/>
        <w:tblLayout w:type="fixed"/>
        <w:tblCellMar>
          <w:top w:w="0" w:type="dxa"/>
          <w:left w:w="0" w:type="dxa"/>
          <w:bottom w:w="0" w:type="dxa"/>
          <w:right w:w="0" w:type="dxa"/>
        </w:tblCellMar>
      </w:tblPr>
      <w:tblGrid>
        <w:gridCol w:w="466"/>
        <w:gridCol w:w="4021"/>
      </w:tblGrid>
      <w:tr>
        <w:trPr/>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95910" cy="29210"/>
                      <wp:effectExtent l="0" t="0" r="0" b="0"/>
                      <wp:wrapNone/>
                      <wp:docPr id="530" name="Frame529"/>
                      <a:graphic xmlns:a="http://schemas.openxmlformats.org/drawingml/2006/main">
                        <a:graphicData uri="http://schemas.microsoft.com/office/word/2010/wordprocessingShape">
                          <wps:wsp>
                            <wps:cNvSpPr txBox="1"/>
                            <wps:spPr>
                              <a:xfrm>
                                <a:off x="0" y="0"/>
                                <a:ext cx="295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553335" cy="29210"/>
                      <wp:effectExtent l="0" t="0" r="0" b="0"/>
                      <wp:wrapNone/>
                      <wp:docPr id="531" name="Frame530"/>
                      <a:graphic xmlns:a="http://schemas.openxmlformats.org/drawingml/2006/main">
                        <a:graphicData uri="http://schemas.microsoft.com/office/word/2010/wordprocessingShape">
                          <wps:wsp>
                            <wps:cNvSpPr txBox="1"/>
                            <wps:spPr>
                              <a:xfrm>
                                <a:off x="0" y="0"/>
                                <a:ext cx="2553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66"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02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 MICHAEL AHOLT</w:t>
            </w:r>
          </w:p>
        </w:tc>
      </w:tr>
      <w:tr>
        <w:trPr/>
        <w:tc>
          <w:tcPr>
            <w:tcW w:w="466" w:type="dxa"/>
            <w:tcBorders/>
            <w:vAlign w:val="center"/>
          </w:tcPr>
          <w:p>
            <w:pPr>
              <w:pStyle w:val="TableContents"/>
              <w:bidi w:val="0"/>
              <w:spacing w:lineRule="auto" w:line="285" w:before="0" w:after="240"/>
              <w:ind w:left="0" w:right="0" w:hanging="0"/>
              <w:jc w:val="left"/>
              <w:rPr/>
            </w:pPr>
            <w:r>
              <w:rPr/>
              <w:t>​</w:t>
            </w:r>
          </w:p>
        </w:tc>
        <w:tc>
          <w:tcPr>
            <w:tcW w:w="402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Michael Aholt</w:t>
            </w:r>
          </w:p>
        </w:tc>
      </w:tr>
      <w:tr>
        <w:trPr/>
        <w:tc>
          <w:tcPr>
            <w:tcW w:w="466" w:type="dxa"/>
            <w:tcBorders/>
            <w:vAlign w:val="center"/>
          </w:tcPr>
          <w:p>
            <w:pPr>
              <w:pStyle w:val="TableContents"/>
              <w:bidi w:val="0"/>
              <w:spacing w:lineRule="auto" w:line="285" w:before="0" w:after="240"/>
              <w:ind w:left="0" w:right="0" w:hanging="0"/>
              <w:jc w:val="left"/>
              <w:rPr/>
            </w:pPr>
            <w:r>
              <w:rPr/>
              <w:t>​</w:t>
            </w:r>
          </w:p>
        </w:tc>
        <w:tc>
          <w:tcPr>
            <w:tcW w:w="4021"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SVP, Commercial Relationship Manager</w:t>
            </w:r>
          </w:p>
        </w:tc>
      </w:tr>
    </w:tbl>
    <w:p>
      <w:pPr>
        <w:pStyle w:val="TextBody"/>
        <w:bidi w:val="0"/>
        <w:spacing w:lineRule="auto" w:line="331" w:before="0" w:after="160"/>
        <w:ind w:left="0" w:right="0" w:hanging="0"/>
        <w:jc w:val="left"/>
        <w:rPr/>
      </w:pPr>
      <w:r>
        <w:rPr/>
        <w: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331"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Aptos" w:hAnsi="Aptos"/>
          <w:sz w:val="24"/>
        </w:rPr>
      </w:pPr>
      <w:r>
        <w:rPr>
          <w:rFonts w:ascii="Times New Roman;Times;serif" w:hAnsi="Times New Roman;Times;serif"/>
          <w:b/>
          <w:sz w:val="24"/>
        </w:rPr>
        <w:t>CONSENT AND REAFFIRMATION</w:t>
      </w:r>
      <w:r>
        <w:rPr>
          <w:rFonts w:ascii="Aptos" w:hAnsi="Aptos"/>
          <w:sz w:val="24"/>
        </w:rPr>
        <w:t xml:space="preserve"> </w:t>
      </w:r>
      <w:r>
        <w:rPr>
          <w:rFonts w:ascii="Times New Roman;Times;serif" w:hAnsi="Times New Roman;Times;serif"/>
          <w:b/>
          <w:sz w:val="24"/>
        </w:rPr>
        <w:t>OF GUARANTORS</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both"/>
        <w:rPr>
          <w:rFonts w:ascii="Aptos" w:hAnsi="Aptos"/>
          <w:sz w:val="24"/>
        </w:rPr>
      </w:pPr>
      <w:r>
        <w:rPr>
          <w:rFonts w:ascii="Times New Roman;Times;serif" w:hAnsi="Times New Roman;Times;serif"/>
          <w:sz w:val="24"/>
        </w:rPr>
        <w:t>Each of the undersigned guarantors (each a “</w:t>
      </w:r>
      <w:r>
        <w:rPr>
          <w:rFonts w:ascii="Times New Roman;Times;serif" w:hAnsi="Times New Roman;Times;serif"/>
          <w:i/>
          <w:sz w:val="24"/>
        </w:rPr>
        <w:t>Guarantor</w:t>
      </w:r>
      <w:r>
        <w:rPr>
          <w:rFonts w:ascii="Aptos" w:hAnsi="Aptos"/>
          <w:sz w:val="24"/>
        </w:rPr>
        <w:t xml:space="preserve">” </w:t>
      </w:r>
      <w:r>
        <w:rPr>
          <w:rFonts w:ascii="Times New Roman;Times;serif" w:hAnsi="Times New Roman;Times;serif"/>
          <w:sz w:val="24"/>
        </w:rPr>
        <w:t>and collectively the “</w:t>
      </w:r>
      <w:r>
        <w:rPr>
          <w:rFonts w:ascii="Times New Roman;Times;serif" w:hAnsi="Times New Roman;Times;serif"/>
          <w:i/>
          <w:sz w:val="24"/>
        </w:rPr>
        <w:t>Guarantors</w:t>
      </w:r>
      <w:r>
        <w:rPr>
          <w:rFonts w:ascii="Aptos" w:hAnsi="Aptos"/>
          <w:sz w:val="24"/>
        </w:rPr>
        <w:t>”</w:t>
      </w:r>
      <w:r>
        <w:rPr>
          <w:rFonts w:ascii="Times New Roman;Times;serif" w:hAnsi="Times New Roman;Times;serif"/>
          <w:sz w:val="24"/>
        </w:rPr>
        <w:t>) has executed and delivered to the Administrative Agent an agreement of guaranty (each a “</w:t>
      </w:r>
      <w:r>
        <w:rPr>
          <w:rFonts w:ascii="Times New Roman;Times;serif" w:hAnsi="Times New Roman;Times;serif"/>
          <w:i/>
          <w:sz w:val="24"/>
        </w:rPr>
        <w:t>Guaranty</w:t>
      </w:r>
      <w:r>
        <w:rPr>
          <w:rFonts w:ascii="Aptos" w:hAnsi="Aptos"/>
          <w:sz w:val="24"/>
        </w:rPr>
        <w:t>”</w:t>
      </w:r>
      <w:r>
        <w:rPr>
          <w:rFonts w:ascii="Times New Roman;Times;serif" w:hAnsi="Times New Roman;Times;serif"/>
          <w:sz w:val="24"/>
        </w:rPr>
        <w:t>), under which each Guarantor guaranteed payment and performance of the Guaranteed Indebtedness of the Borrowers (as used here the term “</w:t>
      </w:r>
      <w:r>
        <w:rPr>
          <w:rFonts w:ascii="Times New Roman;Times;serif" w:hAnsi="Times New Roman;Times;serif"/>
          <w:i/>
          <w:sz w:val="24"/>
        </w:rPr>
        <w:t>Guaranteed Indebtedness</w:t>
      </w:r>
      <w:r>
        <w:rPr>
          <w:rFonts w:ascii="Aptos" w:hAnsi="Aptos"/>
          <w:sz w:val="24"/>
        </w:rPr>
        <w:t xml:space="preserve">” </w:t>
      </w:r>
      <w:r>
        <w:rPr>
          <w:rFonts w:ascii="Times New Roman;Times;serif" w:hAnsi="Times New Roman;Times;serif"/>
          <w:sz w:val="24"/>
        </w:rPr>
        <w:t xml:space="preserve">has the meaning respectively assigned to it in each Guaranty) to the Lenders under the Credit Agreement. </w:t>
      </w:r>
    </w:p>
    <w:p>
      <w:pPr>
        <w:pStyle w:val="TextBody"/>
        <w:bidi w:val="0"/>
        <w:spacing w:lineRule="auto" w:line="331" w:before="0" w:after="16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 xml:space="preserve">Each Guarantor: (i) acknowledges and consents to the foregoing Agreement, (ii) ratifies and reaffirms his, her, or its obligations under its respective Guaranty, and (iii) confirms that its Guaranty remains in full force and effect, without defense, offset, or counterclaim and is extended to the payment and performance of all Guaranteed Indebtedness arising under or in connection with the Credit Agreement and the other Loan Documents. Capitalized terms not otherwise defined here have the meanings specified in this Agreement. </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Dated: August ___ 2026.</w:t>
      </w:r>
    </w:p>
    <w:p>
      <w:pPr>
        <w:pStyle w:val="TextBody"/>
        <w:bidi w:val="0"/>
        <w:spacing w:lineRule="auto" w:line="331" w:before="0" w:after="160"/>
        <w:ind w:left="0" w:right="0" w:hanging="0"/>
        <w:jc w:val="left"/>
        <w:rPr/>
      </w:pPr>
      <w:r>
        <w:rPr/>
        <w:t>​</w:t>
      </w:r>
    </w:p>
    <w:p>
      <w:pPr>
        <w:pStyle w:val="TextBody"/>
        <w:bidi w:val="0"/>
        <w:spacing w:lineRule="auto" w:line="285" w:before="0" w:after="480"/>
        <w:ind w:left="0" w:right="0" w:hanging="0"/>
        <w:jc w:val="left"/>
        <w:rPr>
          <w:rFonts w:ascii="Times New Roman;Times;serif" w:hAnsi="Times New Roman;Times;serif"/>
          <w:sz w:val="24"/>
        </w:rPr>
      </w:pPr>
      <w:r>
        <w:rPr>
          <w:rFonts w:ascii="Times New Roman;Times;serif" w:hAnsi="Times New Roman;Times;serif"/>
          <w:sz w:val="24"/>
        </w:rPr>
        <w:t>GUARANTORS:NGS SUB CORP., a Delaware corporation</w:t>
      </w:r>
    </w:p>
    <w:tbl>
      <w:tblPr>
        <w:tblW w:w="4097" w:type="dxa"/>
        <w:jc w:val="left"/>
        <w:tblInd w:w="0" w:type="dxa"/>
        <w:tblLayout w:type="fixed"/>
        <w:tblCellMar>
          <w:top w:w="0" w:type="dxa"/>
          <w:left w:w="0" w:type="dxa"/>
          <w:bottom w:w="0" w:type="dxa"/>
          <w:right w:w="0" w:type="dxa"/>
        </w:tblCellMar>
      </w:tblPr>
      <w:tblGrid>
        <w:gridCol w:w="466"/>
        <w:gridCol w:w="3631"/>
      </w:tblGrid>
      <w:tr>
        <w:trPr/>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95910" cy="29210"/>
                      <wp:effectExtent l="0" t="0" r="0" b="0"/>
                      <wp:wrapNone/>
                      <wp:docPr id="532" name="Frame531"/>
                      <a:graphic xmlns:a="http://schemas.openxmlformats.org/drawingml/2006/main">
                        <a:graphicData uri="http://schemas.microsoft.com/office/word/2010/wordprocessingShape">
                          <wps:wsp>
                            <wps:cNvSpPr txBox="1"/>
                            <wps:spPr>
                              <a:xfrm>
                                <a:off x="0" y="0"/>
                                <a:ext cx="295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305685" cy="29210"/>
                      <wp:effectExtent l="0" t="0" r="0" b="0"/>
                      <wp:wrapNone/>
                      <wp:docPr id="533" name="Frame532"/>
                      <a:graphic xmlns:a="http://schemas.openxmlformats.org/drawingml/2006/main">
                        <a:graphicData uri="http://schemas.microsoft.com/office/word/2010/wordprocessingShape">
                          <wps:wsp>
                            <wps:cNvSpPr txBox="1"/>
                            <wps:spPr>
                              <a:xfrm>
                                <a:off x="0" y="0"/>
                                <a:ext cx="2305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66"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63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 KELLY LOYD</w:t>
            </w:r>
          </w:p>
        </w:tc>
      </w:tr>
      <w:tr>
        <w:trPr/>
        <w:tc>
          <w:tcPr>
            <w:tcW w:w="466" w:type="dxa"/>
            <w:tcBorders/>
            <w:vAlign w:val="center"/>
          </w:tcPr>
          <w:p>
            <w:pPr>
              <w:pStyle w:val="TableContents"/>
              <w:bidi w:val="0"/>
              <w:spacing w:lineRule="auto" w:line="285" w:before="0" w:after="240"/>
              <w:ind w:left="0" w:right="0" w:hanging="0"/>
              <w:jc w:val="left"/>
              <w:rPr/>
            </w:pPr>
            <w:r>
              <w:rPr/>
              <w:t>​</w:t>
            </w:r>
          </w:p>
        </w:tc>
        <w:tc>
          <w:tcPr>
            <w:tcW w:w="363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Kelly Loyd, Chief Executive Officer</w:t>
            </w:r>
          </w:p>
        </w:tc>
      </w:tr>
    </w:tbl>
    <w:p>
      <w:pPr>
        <w:pStyle w:val="TextBody"/>
        <w:bidi w:val="0"/>
        <w:spacing w:lineRule="auto" w:line="331" w:before="0" w:after="160"/>
        <w:ind w:left="4320" w:right="0" w:hanging="0"/>
        <w:jc w:val="both"/>
        <w:rPr/>
      </w:pPr>
      <w:r>
        <w:rPr/>
        <w:t>​</w:t>
      </w:r>
    </w:p>
    <w:p>
      <w:pPr>
        <w:pStyle w:val="TextBody"/>
        <w:bidi w:val="0"/>
        <w:spacing w:lineRule="auto" w:line="331" w:before="0" w:after="160"/>
        <w:ind w:left="4320" w:right="0" w:hanging="0"/>
        <w:jc w:val="both"/>
        <w:rPr/>
      </w:pPr>
      <w:r>
        <w:rPr/>
        <w:t>​</w:t>
      </w:r>
    </w:p>
    <w:p>
      <w:pPr>
        <w:pStyle w:val="TextBody"/>
        <w:bidi w:val="0"/>
        <w:spacing w:lineRule="auto" w:line="285" w:before="0" w:after="0"/>
        <w:ind w:left="4320" w:right="0" w:hanging="0"/>
        <w:jc w:val="both"/>
        <w:rPr>
          <w:rFonts w:ascii="Aptos" w:hAnsi="Aptos"/>
          <w:sz w:val="24"/>
        </w:rPr>
      </w:pPr>
      <w:r>
        <w:rPr>
          <w:rFonts w:ascii="Times New Roman;Times;serif" w:hAnsi="Times New Roman;Times;serif"/>
          <w:sz w:val="24"/>
        </w:rPr>
        <w:t>EPM</w:t>
      </w:r>
      <w:r>
        <w:rPr>
          <w:rFonts w:ascii="Aptos" w:hAnsi="Aptos"/>
          <w:sz w:val="24"/>
        </w:rPr>
        <w:t xml:space="preserve"> </w:t>
      </w:r>
      <w:r>
        <w:rPr>
          <w:rFonts w:ascii="Times New Roman;Times;serif" w:hAnsi="Times New Roman;Times;serif"/>
          <w:sz w:val="24"/>
        </w:rPr>
        <w:t>CHAVEROO, LLC, a Delaware limited liability company</w:t>
      </w:r>
    </w:p>
    <w:p>
      <w:pPr>
        <w:pStyle w:val="TextBody"/>
        <w:bidi w:val="0"/>
        <w:spacing w:lineRule="auto" w:line="331" w:before="0" w:after="160"/>
        <w:ind w:left="4320" w:right="0" w:hanging="0"/>
        <w:jc w:val="both"/>
        <w:rPr/>
      </w:pPr>
      <w:r>
        <w:rPr/>
        <w:t>​</w:t>
      </w:r>
    </w:p>
    <w:tbl>
      <w:tblPr>
        <w:tblW w:w="4097" w:type="dxa"/>
        <w:jc w:val="left"/>
        <w:tblInd w:w="0" w:type="dxa"/>
        <w:tblLayout w:type="fixed"/>
        <w:tblCellMar>
          <w:top w:w="0" w:type="dxa"/>
          <w:left w:w="0" w:type="dxa"/>
          <w:bottom w:w="0" w:type="dxa"/>
          <w:right w:w="0" w:type="dxa"/>
        </w:tblCellMar>
      </w:tblPr>
      <w:tblGrid>
        <w:gridCol w:w="466"/>
        <w:gridCol w:w="3631"/>
      </w:tblGrid>
      <w:tr>
        <w:trPr/>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95910" cy="29210"/>
                      <wp:effectExtent l="0" t="0" r="0" b="0"/>
                      <wp:wrapNone/>
                      <wp:docPr id="534" name="Frame533"/>
                      <a:graphic xmlns:a="http://schemas.openxmlformats.org/drawingml/2006/main">
                        <a:graphicData uri="http://schemas.microsoft.com/office/word/2010/wordprocessingShape">
                          <wps:wsp>
                            <wps:cNvSpPr txBox="1"/>
                            <wps:spPr>
                              <a:xfrm>
                                <a:off x="0" y="0"/>
                                <a:ext cx="295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305685" cy="29210"/>
                      <wp:effectExtent l="0" t="0" r="0" b="0"/>
                      <wp:wrapNone/>
                      <wp:docPr id="535" name="Frame534"/>
                      <a:graphic xmlns:a="http://schemas.openxmlformats.org/drawingml/2006/main">
                        <a:graphicData uri="http://schemas.microsoft.com/office/word/2010/wordprocessingShape">
                          <wps:wsp>
                            <wps:cNvSpPr txBox="1"/>
                            <wps:spPr>
                              <a:xfrm>
                                <a:off x="0" y="0"/>
                                <a:ext cx="2305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66"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63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 KELLY LOYD</w:t>
            </w:r>
          </w:p>
        </w:tc>
      </w:tr>
      <w:tr>
        <w:trPr/>
        <w:tc>
          <w:tcPr>
            <w:tcW w:w="466" w:type="dxa"/>
            <w:tcBorders/>
            <w:vAlign w:val="center"/>
          </w:tcPr>
          <w:p>
            <w:pPr>
              <w:pStyle w:val="TableContents"/>
              <w:bidi w:val="0"/>
              <w:spacing w:lineRule="auto" w:line="285" w:before="0" w:after="240"/>
              <w:ind w:left="0" w:right="0" w:hanging="0"/>
              <w:jc w:val="left"/>
              <w:rPr/>
            </w:pPr>
            <w:r>
              <w:rPr/>
              <w:t>​</w:t>
            </w:r>
          </w:p>
        </w:tc>
        <w:tc>
          <w:tcPr>
            <w:tcW w:w="363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Kelly Loyd, Chief Executive Officer</w:t>
            </w:r>
          </w:p>
        </w:tc>
      </w:tr>
    </w:tbl>
    <w:p>
      <w:pPr>
        <w:pStyle w:val="TextBody"/>
        <w:bidi w:val="0"/>
        <w:spacing w:lineRule="auto" w:line="331" w:before="0" w:after="160"/>
        <w:ind w:left="4320" w:right="0" w:hanging="0"/>
        <w:jc w:val="both"/>
        <w:rPr/>
      </w:pPr>
      <w:r>
        <w:rPr/>
        <w:t>​</w:t>
      </w:r>
    </w:p>
    <w:p>
      <w:pPr>
        <w:pStyle w:val="TextBody"/>
        <w:bidi w:val="0"/>
        <w:spacing w:lineRule="auto" w:line="331" w:before="0" w:after="160"/>
        <w:ind w:left="4320" w:right="0" w:hanging="0"/>
        <w:jc w:val="both"/>
        <w:rPr/>
      </w:pPr>
      <w:r>
        <w:rPr/>
        <w:t>​</w:t>
      </w:r>
    </w:p>
    <w:p>
      <w:pPr>
        <w:pStyle w:val="TextBody"/>
        <w:bidi w:val="0"/>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TERTIAIRE RESOURCES COMPANY, a Texas</w:t>
      </w:r>
    </w:p>
    <w:p>
      <w:pPr>
        <w:pStyle w:val="TextBody"/>
        <w:bidi w:val="0"/>
        <w:spacing w:lineRule="auto" w:line="285" w:before="0" w:after="480"/>
        <w:ind w:left="4320" w:right="0" w:hanging="0"/>
        <w:jc w:val="both"/>
        <w:rPr>
          <w:rFonts w:ascii="Times New Roman;Times;serif" w:hAnsi="Times New Roman;Times;serif"/>
          <w:sz w:val="24"/>
        </w:rPr>
      </w:pPr>
      <w:r>
        <w:rPr>
          <w:rFonts w:ascii="Times New Roman;Times;serif" w:hAnsi="Times New Roman;Times;serif"/>
          <w:sz w:val="24"/>
        </w:rPr>
        <w:t>corporation</w:t>
      </w:r>
    </w:p>
    <w:tbl>
      <w:tblPr>
        <w:tblW w:w="4097" w:type="dxa"/>
        <w:jc w:val="left"/>
        <w:tblInd w:w="0" w:type="dxa"/>
        <w:tblLayout w:type="fixed"/>
        <w:tblCellMar>
          <w:top w:w="0" w:type="dxa"/>
          <w:left w:w="0" w:type="dxa"/>
          <w:bottom w:w="0" w:type="dxa"/>
          <w:right w:w="0" w:type="dxa"/>
        </w:tblCellMar>
      </w:tblPr>
      <w:tblGrid>
        <w:gridCol w:w="466"/>
        <w:gridCol w:w="3631"/>
      </w:tblGrid>
      <w:tr>
        <w:trPr/>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95910" cy="29210"/>
                      <wp:effectExtent l="0" t="0" r="0" b="0"/>
                      <wp:wrapNone/>
                      <wp:docPr id="536" name="Frame535"/>
                      <a:graphic xmlns:a="http://schemas.openxmlformats.org/drawingml/2006/main">
                        <a:graphicData uri="http://schemas.microsoft.com/office/word/2010/wordprocessingShape">
                          <wps:wsp>
                            <wps:cNvSpPr txBox="1"/>
                            <wps:spPr>
                              <a:xfrm>
                                <a:off x="0" y="0"/>
                                <a:ext cx="295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305685" cy="29210"/>
                      <wp:effectExtent l="0" t="0" r="0" b="0"/>
                      <wp:wrapNone/>
                      <wp:docPr id="537" name="Frame536"/>
                      <a:graphic xmlns:a="http://schemas.openxmlformats.org/drawingml/2006/main">
                        <a:graphicData uri="http://schemas.microsoft.com/office/word/2010/wordprocessingShape">
                          <wps:wsp>
                            <wps:cNvSpPr txBox="1"/>
                            <wps:spPr>
                              <a:xfrm>
                                <a:off x="0" y="0"/>
                                <a:ext cx="2305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66"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63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 KELLY LOYD</w:t>
            </w:r>
          </w:p>
        </w:tc>
      </w:tr>
      <w:tr>
        <w:trPr/>
        <w:tc>
          <w:tcPr>
            <w:tcW w:w="466" w:type="dxa"/>
            <w:tcBorders/>
            <w:vAlign w:val="center"/>
          </w:tcPr>
          <w:p>
            <w:pPr>
              <w:pStyle w:val="TableContents"/>
              <w:bidi w:val="0"/>
              <w:spacing w:lineRule="auto" w:line="285" w:before="0" w:after="240"/>
              <w:ind w:left="0" w:right="0" w:hanging="0"/>
              <w:jc w:val="left"/>
              <w:rPr/>
            </w:pPr>
            <w:r>
              <w:rPr/>
              <w:t>​</w:t>
            </w:r>
          </w:p>
        </w:tc>
        <w:tc>
          <w:tcPr>
            <w:tcW w:w="363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Kelly Loyd, Chief Executive Officer</w:t>
            </w:r>
          </w:p>
        </w:tc>
      </w:tr>
    </w:tbl>
    <w:p>
      <w:pPr>
        <w:pStyle w:val="TextBody"/>
        <w:bidi w:val="0"/>
        <w:spacing w:lineRule="auto" w:line="331" w:before="0" w:after="160"/>
        <w:ind w:left="4320" w:right="0" w:hanging="0"/>
        <w:jc w:val="both"/>
        <w:rPr/>
      </w:pPr>
      <w:r>
        <w:rPr/>
        <w:t>​</w:t>
      </w:r>
    </w:p>
    <w:p>
      <w:pPr>
        <w:pStyle w:val="TextBody"/>
        <w:bidi w:val="0"/>
        <w:spacing w:lineRule="auto" w:line="331" w:before="0" w:after="160"/>
        <w:ind w:left="4320" w:right="0" w:hanging="0"/>
        <w:jc w:val="both"/>
        <w:rPr/>
      </w:pPr>
      <w:r>
        <w:rPr/>
        <w:t>​</w:t>
      </w:r>
    </w:p>
    <w:p>
      <w:pPr>
        <w:pStyle w:val="TextBody"/>
        <w:bidi w:val="0"/>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NGS RESOURCES, LLC, a Texas limited liability company</w:t>
      </w:r>
    </w:p>
    <w:p>
      <w:pPr>
        <w:pStyle w:val="TextBody"/>
        <w:bidi w:val="0"/>
        <w:spacing w:lineRule="auto" w:line="331" w:before="0" w:after="160"/>
        <w:ind w:left="4320" w:right="0" w:hanging="0"/>
        <w:jc w:val="both"/>
        <w:rPr/>
      </w:pPr>
      <w:r>
        <w:rPr/>
        <w:t>​</w:t>
      </w:r>
    </w:p>
    <w:tbl>
      <w:tblPr>
        <w:tblW w:w="4097" w:type="dxa"/>
        <w:jc w:val="left"/>
        <w:tblInd w:w="0" w:type="dxa"/>
        <w:tblLayout w:type="fixed"/>
        <w:tblCellMar>
          <w:top w:w="0" w:type="dxa"/>
          <w:left w:w="0" w:type="dxa"/>
          <w:bottom w:w="0" w:type="dxa"/>
          <w:right w:w="0" w:type="dxa"/>
        </w:tblCellMar>
      </w:tblPr>
      <w:tblGrid>
        <w:gridCol w:w="466"/>
        <w:gridCol w:w="3631"/>
      </w:tblGrid>
      <w:tr>
        <w:trPr/>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95910" cy="29210"/>
                      <wp:effectExtent l="0" t="0" r="0" b="0"/>
                      <wp:wrapNone/>
                      <wp:docPr id="538" name="Frame537"/>
                      <a:graphic xmlns:a="http://schemas.openxmlformats.org/drawingml/2006/main">
                        <a:graphicData uri="http://schemas.microsoft.com/office/word/2010/wordprocessingShape">
                          <wps:wsp>
                            <wps:cNvSpPr txBox="1"/>
                            <wps:spPr>
                              <a:xfrm>
                                <a:off x="0" y="0"/>
                                <a:ext cx="295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305685" cy="29210"/>
                      <wp:effectExtent l="0" t="0" r="0" b="0"/>
                      <wp:wrapNone/>
                      <wp:docPr id="539" name="Frame538"/>
                      <a:graphic xmlns:a="http://schemas.openxmlformats.org/drawingml/2006/main">
                        <a:graphicData uri="http://schemas.microsoft.com/office/word/2010/wordprocessingShape">
                          <wps:wsp>
                            <wps:cNvSpPr txBox="1"/>
                            <wps:spPr>
                              <a:xfrm>
                                <a:off x="0" y="0"/>
                                <a:ext cx="2305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66"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63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 KELLY LOYD</w:t>
            </w:r>
          </w:p>
        </w:tc>
      </w:tr>
      <w:tr>
        <w:trPr/>
        <w:tc>
          <w:tcPr>
            <w:tcW w:w="466" w:type="dxa"/>
            <w:tcBorders/>
            <w:vAlign w:val="center"/>
          </w:tcPr>
          <w:p>
            <w:pPr>
              <w:pStyle w:val="TableContents"/>
              <w:bidi w:val="0"/>
              <w:spacing w:lineRule="auto" w:line="285" w:before="0" w:after="240"/>
              <w:ind w:left="0" w:right="0" w:hanging="0"/>
              <w:jc w:val="left"/>
              <w:rPr/>
            </w:pPr>
            <w:r>
              <w:rPr/>
              <w:t>​</w:t>
            </w:r>
          </w:p>
        </w:tc>
        <w:tc>
          <w:tcPr>
            <w:tcW w:w="363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Kelly Loyd, Chief Executive Officer</w:t>
            </w:r>
          </w:p>
        </w:tc>
      </w:tr>
    </w:tbl>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331"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uto" w:line="285" w:before="0" w:after="0"/>
        <w:ind w:left="4320" w:right="0" w:hanging="0"/>
        <w:jc w:val="both"/>
        <w:rPr>
          <w:rFonts w:ascii="Aptos" w:hAnsi="Aptos"/>
          <w:sz w:val="22"/>
        </w:rPr>
      </w:pPr>
      <w:r>
        <w:rPr>
          <w:rFonts w:ascii="Times New Roman;Times;serif" w:hAnsi="Times New Roman;Times;serif"/>
          <w:sz w:val="22"/>
        </w:rPr>
        <w:t>EVOLUTION OPERATING CO</w:t>
      </w:r>
      <w:bookmarkStart w:id="1216" w:name="_9kR3WTr5DA4CI"/>
      <w:bookmarkEnd w:id="1216"/>
      <w:r>
        <w:rPr>
          <w:rFonts w:ascii="Times New Roman;Times;serif" w:hAnsi="Times New Roman;Times;serif"/>
          <w:sz w:val="22"/>
        </w:rPr>
        <w:t>.</w:t>
      </w:r>
      <w:r>
        <w:rPr>
          <w:rFonts w:ascii="Aptos" w:hAnsi="Aptos"/>
          <w:sz w:val="22"/>
        </w:rPr>
        <w:t xml:space="preserve"> </w:t>
      </w:r>
      <w:r>
        <w:rPr>
          <w:rFonts w:ascii="Times New Roman;Times;serif" w:hAnsi="Times New Roman;Times;serif"/>
          <w:sz w:val="22"/>
        </w:rPr>
        <w:t xml:space="preserve">INC., a Texas </w:t>
      </w:r>
      <w:bookmarkStart w:id="1217" w:name="_9kR3WTr5B84CGml1314ru3z5"/>
      <w:bookmarkEnd w:id="1217"/>
      <w:r>
        <w:rPr>
          <w:rFonts w:ascii="Times New Roman;Times;serif" w:hAnsi="Times New Roman;Times;serif"/>
          <w:sz w:val="24"/>
        </w:rPr>
        <w:t>corporation</w:t>
      </w:r>
    </w:p>
    <w:p>
      <w:pPr>
        <w:pStyle w:val="TextBody"/>
        <w:bidi w:val="0"/>
        <w:spacing w:lineRule="auto" w:line="331" w:before="0" w:after="160"/>
        <w:ind w:left="4320" w:right="0" w:hanging="0"/>
        <w:jc w:val="both"/>
        <w:rPr/>
      </w:pPr>
      <w:r>
        <w:rPr/>
        <w:t>​</w:t>
      </w:r>
    </w:p>
    <w:tbl>
      <w:tblPr>
        <w:tblW w:w="4097" w:type="dxa"/>
        <w:jc w:val="left"/>
        <w:tblInd w:w="0" w:type="dxa"/>
        <w:tblLayout w:type="fixed"/>
        <w:tblCellMar>
          <w:top w:w="0" w:type="dxa"/>
          <w:left w:w="0" w:type="dxa"/>
          <w:bottom w:w="0" w:type="dxa"/>
          <w:right w:w="0" w:type="dxa"/>
        </w:tblCellMar>
      </w:tblPr>
      <w:tblGrid>
        <w:gridCol w:w="466"/>
        <w:gridCol w:w="3631"/>
      </w:tblGrid>
      <w:tr>
        <w:trPr/>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95910" cy="383540"/>
                      <wp:effectExtent l="0" t="0" r="0" b="0"/>
                      <wp:wrapNone/>
                      <wp:docPr id="540" name="Frame539"/>
                      <a:graphic xmlns:a="http://schemas.openxmlformats.org/drawingml/2006/main">
                        <a:graphicData uri="http://schemas.microsoft.com/office/word/2010/wordprocessingShape">
                          <wps:wsp>
                            <wps:cNvSpPr txBox="1"/>
                            <wps:spPr>
                              <a:xfrm>
                                <a:off x="0" y="0"/>
                                <a:ext cx="295910" cy="383540"/>
                              </a:xfrm>
                              <a:prstGeom prst="rect"/>
                              <a:solidFill>
                                <a:srgbClr val="FFFFFF"/>
                              </a:solidFill>
                            </wps:spPr>
                            <wps:txbx>
                              <w:txbxContent>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30.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xbxContent>
                      </v:textbox>
                      <w10:wrap type="none"/>
                    </v:rect>
                  </w:pict>
                </mc:Fallback>
              </mc:AlternateContent>
            </w:r>
          </w:p>
        </w:tc>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305685" cy="29210"/>
                      <wp:effectExtent l="0" t="0" r="0" b="0"/>
                      <wp:wrapNone/>
                      <wp:docPr id="541" name="Frame540"/>
                      <a:graphic xmlns:a="http://schemas.openxmlformats.org/drawingml/2006/main">
                        <a:graphicData uri="http://schemas.microsoft.com/office/word/2010/wordprocessingShape">
                          <wps:wsp>
                            <wps:cNvSpPr txBox="1"/>
                            <wps:spPr>
                              <a:xfrm>
                                <a:off x="0" y="0"/>
                                <a:ext cx="2305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66"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63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 KELLY LOYD</w:t>
            </w:r>
          </w:p>
        </w:tc>
      </w:tr>
      <w:tr>
        <w:trPr/>
        <w:tc>
          <w:tcPr>
            <w:tcW w:w="466" w:type="dxa"/>
            <w:tcBorders/>
            <w:vAlign w:val="center"/>
          </w:tcPr>
          <w:p>
            <w:pPr>
              <w:pStyle w:val="TableContents"/>
              <w:bidi w:val="0"/>
              <w:spacing w:lineRule="auto" w:line="285" w:before="0" w:after="240"/>
              <w:ind w:left="0" w:right="0" w:hanging="0"/>
              <w:jc w:val="left"/>
              <w:rPr/>
            </w:pPr>
            <w:r>
              <w:rPr/>
              <w:t>​</w:t>
            </w:r>
          </w:p>
        </w:tc>
        <w:tc>
          <w:tcPr>
            <w:tcW w:w="363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Kelly Loyd, Chief Executive Officer</w:t>
            </w:r>
          </w:p>
        </w:tc>
      </w:tr>
    </w:tbl>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331"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218" w:name="epm-20260630xex21d1.htm"/>
      <w:bookmarkStart w:id="1219" w:name="ksepm20260630xex21d1"/>
      <w:bookmarkEnd w:id="1218"/>
      <w:bookmarkEnd w:id="1219"/>
      <w:r>
        <w:rPr>
          <w:rFonts w:ascii="Times New Roman;Times;serif" w:hAnsi="Times New Roman;Times;serif"/>
          <w:b/>
          <w:sz w:val="20"/>
        </w:rPr>
        <w:t>Exhibit 21.1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List of Subsidiaries of Evolution Petroleum Corporation</w:t>
      </w:r>
    </w:p>
    <w:p>
      <w:pPr>
        <w:pStyle w:val="TextBody"/>
        <w:bidi w:val="0"/>
        <w:spacing w:before="0" w:after="0"/>
        <w:ind w:left="0" w:right="0" w:hanging="0"/>
        <w:jc w:val="left"/>
        <w:rPr/>
      </w:pPr>
      <w:r>
        <w:rPr/>
        <w:t>​</w:t>
      </w:r>
    </w:p>
    <w:tbl>
      <w:tblPr>
        <w:tblW w:w="6978" w:type="dxa"/>
        <w:jc w:val="center"/>
        <w:tblInd w:w="0" w:type="dxa"/>
        <w:tblLayout w:type="fixed"/>
        <w:tblCellMar>
          <w:top w:w="0" w:type="dxa"/>
          <w:left w:w="0" w:type="dxa"/>
          <w:bottom w:w="0" w:type="dxa"/>
          <w:right w:w="0" w:type="dxa"/>
        </w:tblCellMar>
      </w:tblPr>
      <w:tblGrid>
        <w:gridCol w:w="5041"/>
        <w:gridCol w:w="346"/>
        <w:gridCol w:w="1591"/>
      </w:tblGrid>
      <w:tr>
        <w:trPr/>
        <w:tc>
          <w:tcPr>
            <w:tcW w:w="5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3201035" cy="175260"/>
                      <wp:effectExtent l="0" t="0" r="0" b="0"/>
                      <wp:wrapNone/>
                      <wp:docPr id="542" name="Frame541"/>
                      <a:graphic xmlns:a="http://schemas.openxmlformats.org/drawingml/2006/main">
                        <a:graphicData uri="http://schemas.microsoft.com/office/word/2010/wordprocessingShape">
                          <wps:wsp>
                            <wps:cNvSpPr txBox="1"/>
                            <wps:spPr>
                              <a:xfrm>
                                <a:off x="0" y="0"/>
                                <a:ext cx="3201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1010920" cy="175260"/>
                      <wp:effectExtent l="0" t="0" r="0" b="0"/>
                      <wp:wrapNone/>
                      <wp:docPr id="543" name="Frame542"/>
                      <a:graphic xmlns:a="http://schemas.openxmlformats.org/drawingml/2006/main">
                        <a:graphicData uri="http://schemas.microsoft.com/office/word/2010/wordprocessingShape">
                          <wps:wsp>
                            <wps:cNvSpPr txBox="1"/>
                            <wps:spPr>
                              <a:xfrm>
                                <a:off x="0" y="0"/>
                                <a:ext cx="1010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5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Jurisdiction of</w:t>
            </w:r>
          </w:p>
        </w:tc>
      </w:tr>
      <w:tr>
        <w:trPr/>
        <w:tc>
          <w:tcPr>
            <w:tcW w:w="5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Incorporation or</w:t>
            </w:r>
          </w:p>
        </w:tc>
      </w:tr>
      <w:tr>
        <w:trPr/>
        <w:tc>
          <w:tcPr>
            <w:tcW w:w="50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Subsidiary</w:t>
            </w:r>
          </w:p>
        </w:tc>
        <w:tc>
          <w:tcPr>
            <w:tcW w:w="346" w:type="dxa"/>
            <w:tcBorders/>
            <w:vAlign w:val="center"/>
          </w:tcPr>
          <w:p>
            <w:pPr>
              <w:pStyle w:val="TableContents"/>
              <w:bidi w:val="0"/>
              <w:spacing w:before="0" w:after="0"/>
              <w:ind w:left="0" w:right="0" w:hanging="0"/>
              <w:jc w:val="center"/>
              <w:rPr/>
            </w:pPr>
            <w:r>
              <w:rPr/>
              <w:t>  ​ ​ ​</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Organization</w:t>
            </w:r>
          </w:p>
        </w:tc>
      </w:tr>
      <w:tr>
        <w:trPr/>
        <w:tc>
          <w:tcPr>
            <w:tcW w:w="50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Evolution Royalties, Inc.</w:t>
            </w:r>
          </w:p>
        </w:tc>
        <w:tc>
          <w:tcPr>
            <w:tcW w:w="346" w:type="dxa"/>
            <w:tcBorders/>
            <w:vAlign w:val="center"/>
          </w:tcPr>
          <w:p>
            <w:pPr>
              <w:pStyle w:val="TableContents"/>
              <w:bidi w:val="0"/>
              <w:spacing w:before="0" w:after="0"/>
              <w:ind w:left="0" w:right="0" w:hanging="0"/>
              <w:jc w:val="left"/>
              <w:rPr/>
            </w:pPr>
            <w:r>
              <w:rPr/>
              <w:t>​</w:t>
            </w:r>
          </w:p>
        </w:tc>
        <w:tc>
          <w:tcPr>
            <w:tcW w:w="15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Evolution Petroleum West, Inc.</w:t>
            </w:r>
          </w:p>
        </w:tc>
        <w:tc>
          <w:tcPr>
            <w:tcW w:w="34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NGS Sub Corp.</w:t>
            </w:r>
          </w:p>
        </w:tc>
        <w:tc>
          <w:tcPr>
            <w:tcW w:w="34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NGS Technologies, Inc.</w:t>
            </w:r>
          </w:p>
        </w:tc>
        <w:tc>
          <w:tcPr>
            <w:tcW w:w="34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Evolution Operating Co., Inc.</w:t>
            </w:r>
          </w:p>
        </w:tc>
        <w:tc>
          <w:tcPr>
            <w:tcW w:w="34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Texas</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Evolution Petroleum OK, Inc.</w:t>
            </w:r>
          </w:p>
        </w:tc>
        <w:tc>
          <w:tcPr>
            <w:tcW w:w="34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Texas</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Tertiaire Resources Company</w:t>
            </w:r>
          </w:p>
        </w:tc>
        <w:tc>
          <w:tcPr>
            <w:tcW w:w="34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Texas</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ARKLA Petroleum, LLC (Subsidiary of NGS Sub. Corp.)</w:t>
            </w:r>
          </w:p>
        </w:tc>
        <w:tc>
          <w:tcPr>
            <w:tcW w:w="34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Louisiana</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NGS Resources, LLC (Subsidiary of NGS Technologies, Inc.)</w:t>
            </w:r>
          </w:p>
        </w:tc>
        <w:tc>
          <w:tcPr>
            <w:tcW w:w="34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Texas</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EPM Chaveroo, LLC.</w:t>
            </w:r>
          </w:p>
        </w:tc>
        <w:tc>
          <w:tcPr>
            <w:tcW w:w="34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Evolution Minerals, LLC</w:t>
            </w:r>
          </w:p>
        </w:tc>
        <w:tc>
          <w:tcPr>
            <w:tcW w:w="34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2"/>
        </w:rPr>
      </w:pPr>
      <w:bookmarkStart w:id="1220" w:name="epm-20260630xex23d1.htm"/>
      <w:bookmarkStart w:id="1221" w:name="ksepm20260630xex23d1"/>
      <w:bookmarkEnd w:id="1220"/>
      <w:bookmarkEnd w:id="1221"/>
      <w:r>
        <w:rPr>
          <w:rFonts w:ascii="Times New Roman;Times;serif" w:hAnsi="Times New Roman;Times;serif"/>
          <w:b/>
          <w:sz w:val="22"/>
        </w:rPr>
        <w:t>Exhibit 23.1</w:t>
      </w:r>
      <w:r>
        <w:br w:type="page"/>
      </w:r>
    </w:p>
    <w:p>
      <w:pPr>
        <w:pStyle w:val="TextBody"/>
        <w:bidi w:val="0"/>
        <w:spacing w:before="0" w:after="0"/>
        <w:ind w:left="0" w:right="0" w:hanging="0"/>
        <w:jc w:val="center"/>
        <w:rPr>
          <w:rFonts w:ascii="Georgia" w:hAnsi="Georgia"/>
          <w:b/>
          <w:sz w:val="28"/>
        </w:rPr>
      </w:pPr>
      <w:r>
        <w:rPr>
          <w:rFonts w:ascii="Georgia" w:hAnsi="Georgia"/>
          <w:b/>
          <w:sz w:val="28"/>
        </w:rPr>
        <w:t>Consent of Independent Registered Public Accounting Firm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We consent to the incorporation by reference in the Registration Statements on Form S-3 (Nos. 333-292785 and 333-193899), and Forms S-8 (Nos. 333-283718, 333-251233, and 333-216098) of </w:t>
      </w:r>
      <w:bookmarkStart w:id="1222" w:name="_Hlk211332462"/>
      <w:bookmarkStart w:id="1223" w:name="_Hlk211333339"/>
      <w:bookmarkEnd w:id="1222"/>
      <w:bookmarkEnd w:id="1223"/>
      <w:r>
        <w:rPr>
          <w:rFonts w:ascii="Arial;Helvetica;sans-serif" w:hAnsi="Arial;Helvetica;sans-serif"/>
          <w:sz w:val="20"/>
        </w:rPr>
        <w:t>Evolution Petroleum Corporation</w:t>
      </w:r>
      <w:r>
        <w:rPr>
          <w:rFonts w:ascii="Times New Roman;Times;serif" w:hAnsi="Times New Roman;Times;serif"/>
          <w:sz w:val="20"/>
        </w:rPr>
        <w:t xml:space="preserve"> </w:t>
      </w:r>
      <w:r>
        <w:rPr>
          <w:rFonts w:ascii="Arial;Helvetica;sans-serif" w:hAnsi="Arial;Helvetica;sans-serif"/>
          <w:sz w:val="20"/>
        </w:rPr>
        <w:t xml:space="preserve">(the “Company”) of our report dated September 16, 2026, relating to the consolidated financial statements of the Company, appearing in this Annual Report on Form 10-K of the Company for the year ended June 30, 2026.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/s/ Baker Tilly US, LLP</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Houston, Texas</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September 16, 2026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224" w:name="epm-20260630xex23d2.htm"/>
      <w:bookmarkStart w:id="1225" w:name="ksepm20260630xex23d2"/>
      <w:bookmarkEnd w:id="1224"/>
      <w:bookmarkEnd w:id="1225"/>
      <w:r>
        <w:rPr>
          <w:rFonts w:ascii="Times New Roman;Times;serif" w:hAnsi="Times New Roman;Times;serif"/>
          <w:b/>
          <w:sz w:val="20"/>
        </w:rPr>
        <w:t>EXHIBIT 23.2</w:t>
      </w:r>
      <w:r>
        <w:br w:type="page"/>
      </w:r>
    </w:p>
    <w:p>
      <w:pPr>
        <w:pStyle w:val="TextBody"/>
        <w:bidi w:val="0"/>
        <w:spacing w:before="0" w:after="0"/>
        <w:ind w:left="0" w:right="0" w:hanging="0"/>
        <w:jc w:val="center"/>
        <w:rPr>
          <w:caps/>
        </w:rPr>
      </w:pPr>
      <w:bookmarkStart w:id="1226" w:name="_Hlk176889115"/>
      <w:bookmarkEnd w:id="1226"/>
      <w:r>
        <w:rPr>
          <w:caps/>
        </w:rPr>
        <w:drawing>
          <wp:inline distT="0" distB="0" distL="0" distR="0">
            <wp:extent cx="6394450" cy="933450"/>
            <wp:effectExtent l="0" t="0" r="0" b="0"/>
            <wp:docPr id="54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 name="Image2" descr=""/>
                    <pic:cNvPicPr>
                      <a:picLocks noChangeAspect="1" noChangeArrowheads="1"/>
                    </pic:cNvPicPr>
                  </pic:nvPicPr>
                  <pic:blipFill>
                    <a:blip r:embed="rId44"/>
                    <a:stretch>
                      <a:fillRect/>
                    </a:stretch>
                  </pic:blipFill>
                  <pic:spPr bwMode="auto">
                    <a:xfrm>
                      <a:off x="0" y="0"/>
                      <a:ext cx="6394450" cy="933450"/>
                    </a:xfrm>
                    <a:prstGeom prst="rect">
                      <a:avLst/>
                    </a:prstGeom>
                  </pic:spPr>
                </pic:pic>
              </a:graphicData>
            </a:graphic>
          </wp:inline>
        </w:drawing>
      </w:r>
    </w:p>
    <w:p>
      <w:pPr>
        <w:pStyle w:val="TextBody"/>
        <w:bidi w:val="0"/>
        <w:spacing w:before="2880" w:after="283"/>
        <w:ind w:left="0" w:right="0" w:hanging="0"/>
        <w:jc w:val="center"/>
        <w:rPr>
          <w:caps/>
        </w:rPr>
      </w:pPr>
      <w:r>
        <w:rPr>
          <w:caps/>
        </w:rPr>
        <w:t>​</w:t>
      </w:r>
    </w:p>
    <w:p>
      <w:pPr>
        <w:pStyle w:val="TextBody"/>
        <w:bidi w:val="0"/>
        <w:spacing w:before="2880" w:after="283"/>
        <w:ind w:left="0" w:right="0" w:hanging="0"/>
        <w:jc w:val="center"/>
        <w:rPr>
          <w:caps/>
        </w:rPr>
      </w:pPr>
      <w:r>
        <w:rPr>
          <w:caps/>
        </w:rPr>
        <w:t>​</w:t>
      </w:r>
    </w:p>
    <w:p>
      <w:pPr>
        <w:pStyle w:val="TextBody"/>
        <w:bidi w:val="0"/>
        <w:spacing w:before="0" w:after="0"/>
        <w:ind w:left="450" w:right="360" w:hanging="0"/>
        <w:jc w:val="center"/>
        <w:rPr>
          <w:rFonts w:ascii="Times New Roman;Times;serif" w:hAnsi="Times New Roman;Times;serif"/>
          <w:b/>
          <w:caps/>
          <w:sz w:val="22"/>
        </w:rPr>
      </w:pPr>
      <w:r>
        <w:rPr>
          <w:rFonts w:ascii="Times New Roman;Times;serif" w:hAnsi="Times New Roman;Times;serif"/>
          <w:b/>
          <w:caps/>
          <w:sz w:val="22"/>
        </w:rPr>
        <w:t>CONSENT OF INDEPENDENT PETROLEUM ENGINEERS AND GEOLOGISTS</w:t>
      </w:r>
    </w:p>
    <w:p>
      <w:pPr>
        <w:pStyle w:val="TextBody"/>
        <w:bidi w:val="0"/>
        <w:spacing w:before="0" w:after="0"/>
        <w:ind w:left="450" w:right="360" w:hanging="0"/>
        <w:jc w:val="left"/>
        <w:rPr/>
      </w:pPr>
      <w:r>
        <w:rPr/>
        <w:t>​</w:t>
      </w:r>
    </w:p>
    <w:p>
      <w:pPr>
        <w:pStyle w:val="TextBody"/>
        <w:bidi w:val="0"/>
        <w:spacing w:before="0" w:after="0"/>
        <w:ind w:left="450" w:right="360" w:firstLine="270"/>
        <w:jc w:val="both"/>
        <w:rPr>
          <w:rFonts w:ascii="Times New Roman;Times;serif" w:hAnsi="Times New Roman;Times;serif"/>
          <w:sz w:val="22"/>
        </w:rPr>
      </w:pPr>
      <w:r>
        <w:rPr>
          <w:rFonts w:ascii="Times New Roman;Times;serif" w:hAnsi="Times New Roman;Times;serif"/>
          <w:sz w:val="22"/>
        </w:rPr>
        <w:t>As independent petroleum engineers, we hereby consent to the references to our firm, in the context in which they appear, and to the references to and the incorporation by reference of our reserves report dated August 11, 2026, included in the Annual Report on Form 10-K of Evolution Petroleum Corporation (the "Company") for the fiscal year ended June 30, 2026, as well as in the notes to the financial statements included therein.  We also hereby consent to the incorporation by reference of the references to our firm, in the context in which they appear, and to our reserves reports into the Registration Statements on Form S-3 Nos. 333-292785 and 333-193899 and Form S-8 Nos. 333-283718, 333-251233, and 333-216098.</w:t>
      </w:r>
    </w:p>
    <w:p>
      <w:pPr>
        <w:pStyle w:val="TextBody"/>
        <w:bidi w:val="0"/>
        <w:spacing w:before="0" w:after="0"/>
        <w:ind w:left="450" w:right="360" w:hanging="0"/>
        <w:jc w:val="both"/>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i/>
          <w:sz w:val="22"/>
        </w:rPr>
      </w:pPr>
      <w:r>
        <w:rPr>
          <w:rFonts w:ascii="Times New Roman;Times;serif" w:hAnsi="Times New Roman;Times;serif"/>
          <w:b/>
          <w:i/>
          <w:sz w:val="22"/>
        </w:rPr>
        <w:t>CAWLEY, GILLESPIE &amp; ASSOCIATES, INC.</w:t>
      </w:r>
    </w:p>
    <w:p>
      <w:pPr>
        <w:pStyle w:val="TextBody"/>
        <w:bidi w:val="0"/>
        <w:spacing w:before="0" w:after="0"/>
        <w:ind w:left="0" w:right="0" w:hanging="0"/>
        <w:jc w:val="left"/>
        <w:rPr>
          <w:rFonts w:ascii="Times New Roman;Times;serif" w:hAnsi="Times New Roman;Times;serif"/>
          <w:b/>
          <w:i/>
          <w:sz w:val="22"/>
        </w:rPr>
      </w:pPr>
      <w:r>
        <w:rPr>
          <w:rFonts w:ascii="Times New Roman;Times;serif" w:hAnsi="Times New Roman;Times;serif"/>
          <w:b/>
          <w:i/>
          <w:sz w:val="22"/>
        </w:rPr>
        <w:t>Texas Registered Engineering Firm F-693</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387" w:type="dxa"/>
        <w:jc w:val="right"/>
        <w:tblInd w:w="0" w:type="dxa"/>
        <w:tblLayout w:type="fixed"/>
        <w:tblCellMar>
          <w:top w:w="0" w:type="dxa"/>
          <w:left w:w="0" w:type="dxa"/>
          <w:bottom w:w="0" w:type="dxa"/>
          <w:right w:w="0" w:type="dxa"/>
        </w:tblCellMar>
      </w:tblPr>
      <w:tblGrid>
        <w:gridCol w:w="421"/>
        <w:gridCol w:w="1966"/>
      </w:tblGrid>
      <w:tr>
        <w:trPr/>
        <w:tc>
          <w:tcPr>
            <w:tcW w:w="421" w:type="dxa"/>
            <w:tcBorders/>
            <w:vAlign w:val="center"/>
          </w:tcPr>
          <w:p>
            <w:pPr>
              <w:pStyle w:val="TableContents"/>
              <w:bidi w:val="0"/>
              <w:spacing w:before="0" w:after="0"/>
              <w:ind w:left="0" w:right="0" w:hanging="0"/>
              <w:jc w:val="right"/>
              <w:rPr/>
            </w:pPr>
            <w:r>
              <w:rPr/>
              <w:t>​</w:t>
            </w:r>
          </w:p>
        </w:tc>
        <w:tc>
          <w:tcPr>
            <w:tcW w:w="1966" w:type="dxa"/>
            <w:tcBorders/>
            <w:vAlign w:val="center"/>
          </w:tcPr>
          <w:p>
            <w:pPr>
              <w:pStyle w:val="TableContents"/>
              <w:bidi w:val="0"/>
              <w:spacing w:before="0" w:after="0"/>
              <w:ind w:left="0" w:right="0" w:hanging="0"/>
              <w:jc w:val="righ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 Todd Brooker</w:t>
            </w:r>
          </w:p>
        </w:tc>
      </w:tr>
      <w:tr>
        <w:trPr/>
        <w:tc>
          <w:tcPr>
            <w:tcW w:w="421" w:type="dxa"/>
            <w:tcBorders/>
            <w:vAlign w:val="center"/>
          </w:tcPr>
          <w:p>
            <w:pPr>
              <w:pStyle w:val="TableContents"/>
              <w:bidi w:val="0"/>
              <w:spacing w:before="0" w:after="0"/>
              <w:ind w:left="0" w:right="0" w:hanging="0"/>
              <w:jc w:val="left"/>
              <w:rPr/>
            </w:pPr>
            <w:r>
              <w:rPr/>
              <w:t>​</w:t>
            </w:r>
          </w:p>
        </w:tc>
        <w:tc>
          <w:tcPr>
            <w:tcW w:w="19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 Todd Brooker, P.E.</w:t>
            </w:r>
          </w:p>
        </w:tc>
      </w:tr>
      <w:tr>
        <w:trPr/>
        <w:tc>
          <w:tcPr>
            <w:tcW w:w="421"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Austin, Texas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16, 2026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227" w:name="epm-20260630xex23d3.htm"/>
      <w:bookmarkStart w:id="1228" w:name="ksepm20260630xex23d3"/>
      <w:bookmarkEnd w:id="1227"/>
      <w:bookmarkEnd w:id="1228"/>
      <w:r>
        <w:rPr>
          <w:rFonts w:ascii="Times New Roman;Times;serif" w:hAnsi="Times New Roman;Times;serif"/>
          <w:b/>
          <w:sz w:val="20"/>
        </w:rPr>
        <w:t>EXHIBIT 23.3</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DEGOLYER AND MACNAUGHTON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5001 SPRING VALLEY ROAD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SUITE 800 EAST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DALLAS, TEXAS 75244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16, 2025</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Evolution Petroleum Corporation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1155 Dairy Ashford Road, Suite 425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Houston, Texas 77079</w:t>
      </w:r>
    </w:p>
    <w:p>
      <w:pPr>
        <w:pStyle w:val="TextBody"/>
        <w:bidi w:val="0"/>
        <w:spacing w:before="0" w:after="0"/>
        <w:ind w:left="0" w:right="0" w:hanging="0"/>
        <w:jc w:val="left"/>
        <w:rPr/>
      </w:pPr>
      <w:r>
        <w:rPr/>
        <w:t>​</w:t>
      </w:r>
    </w:p>
    <w:p>
      <w:pPr>
        <w:pStyle w:val="TextBody"/>
        <w:bidi w:val="0"/>
        <w:spacing w:lineRule="auto" w:line="343" w:before="0" w:after="0"/>
        <w:ind w:left="0" w:right="0" w:hanging="0"/>
        <w:jc w:val="both"/>
        <w:rPr>
          <w:rFonts w:ascii="Times New Roman;Times;serif" w:hAnsi="Times New Roman;Times;serif"/>
          <w:sz w:val="20"/>
        </w:rPr>
      </w:pPr>
      <w:r>
        <w:rPr>
          <w:rFonts w:ascii="Times New Roman;Times;serif" w:hAnsi="Times New Roman;Times;serif"/>
          <w:sz w:val="20"/>
        </w:rPr>
        <w:t>Ladies and Gentlemen:</w:t>
      </w:r>
    </w:p>
    <w:p>
      <w:pPr>
        <w:pStyle w:val="TextBody"/>
        <w:bidi w:val="0"/>
        <w:spacing w:lineRule="auto" w:line="328" w:before="0" w:after="0"/>
        <w:ind w:left="0" w:right="0" w:hanging="0"/>
        <w:jc w:val="both"/>
        <w:rPr/>
      </w:pPr>
      <w:r>
        <w:rPr/>
        <w:t>​</w:t>
      </w:r>
    </w:p>
    <w:p>
      <w:pPr>
        <w:pStyle w:val="TextBody"/>
        <w:bidi w:val="0"/>
        <w:spacing w:lineRule="auto" w:line="328" w:before="0" w:after="0"/>
        <w:ind w:left="0" w:right="0" w:firstLine="720"/>
        <w:jc w:val="both"/>
        <w:rPr>
          <w:rFonts w:ascii="Times New Roman;Times;serif" w:hAnsi="Times New Roman;Times;serif"/>
          <w:sz w:val="20"/>
        </w:rPr>
      </w:pPr>
      <w:r>
        <w:rPr>
          <w:rFonts w:ascii="Times New Roman;Times;serif" w:hAnsi="Times New Roman;Times;serif"/>
          <w:sz w:val="20"/>
        </w:rPr>
        <w:t>We hereby consent to the use of the name DeGolyer and MacNaughton, to references to DeGolyer and MacNaughton, to the inclusion of our report of third party dated August 10, 2026, and to the inclusion of information taken from our report entitled “Report as of June 30, 2026 on Reserves and Revenue of Certain Properties with interests attributable to Evolution Petroleum Corporation” in the Annual Report on Form 10-K of Evolution Petroleum Corporation for the year ended June 30, 2026. We further consent to the incorporation by reference of information in the Form 10-K in the Evolution Petroleum Corporation Registration Statements on Form S-3 (File Nos. 333-292785 and 333-193899) and Form S-8 (File Nos. 333-283718, 333-251233, and 333-216098).</w:t>
      </w:r>
    </w:p>
    <w:p>
      <w:pPr>
        <w:pStyle w:val="TextBody"/>
        <w:bidi w:val="0"/>
        <w:spacing w:before="0" w:after="0"/>
        <w:ind w:left="0" w:right="0" w:hanging="0"/>
        <w:jc w:val="both"/>
        <w:rPr/>
      </w:pPr>
      <w:r>
        <w:rPr/>
        <w:t>​</w:t>
      </w:r>
    </w:p>
    <w:p>
      <w:pPr>
        <w:pStyle w:val="TextBody"/>
        <w:bidi w:val="0"/>
        <w:spacing w:before="0" w:after="0"/>
        <w:ind w:left="4320" w:right="0" w:hanging="0"/>
        <w:jc w:val="left"/>
        <w:rPr>
          <w:rFonts w:ascii="Times New Roman;Times;serif" w:hAnsi="Times New Roman;Times;serif"/>
          <w:sz w:val="20"/>
        </w:rPr>
      </w:pPr>
      <w:r>
        <w:rPr>
          <w:rFonts w:ascii="Times New Roman;Times;serif" w:hAnsi="Times New Roman;Times;serif"/>
          <w:sz w:val="20"/>
        </w:rPr>
        <w:t>Very truly yours,</w:t>
      </w:r>
    </w:p>
    <w:tbl>
      <w:tblPr>
        <w:tblW w:w="3556" w:type="dxa"/>
        <w:jc w:val="left"/>
        <w:tblInd w:w="0" w:type="dxa"/>
        <w:tblLayout w:type="fixed"/>
        <w:tblCellMar>
          <w:top w:w="0" w:type="dxa"/>
          <w:left w:w="0" w:type="dxa"/>
          <w:bottom w:w="0" w:type="dxa"/>
          <w:right w:w="0" w:type="dxa"/>
        </w:tblCellMar>
      </w:tblPr>
      <w:tblGrid>
        <w:gridCol w:w="355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p>
        </w:tc>
      </w:tr>
      <w:tr>
        <w:trPr/>
        <w:tc>
          <w:tcPr>
            <w:tcW w:w="3556" w:type="dxa"/>
            <w:tcBorders/>
            <w:vAlign w:val="center"/>
          </w:tcPr>
          <w:p>
            <w:pPr>
              <w:pStyle w:val="TableContents"/>
              <w:bidi w:val="0"/>
              <w:spacing w:before="0" w:after="283"/>
              <w:ind w:left="0" w:right="0" w:hanging="0"/>
              <w:jc w:val="left"/>
              <w:rPr>
                <w:sz w:val="4"/>
                <w:szCs w:val="4"/>
              </w:rPr>
            </w:pPr>
            <w:r>
              <w:rPr>
                <w:sz w:val="4"/>
                <w:szCs w:val="4"/>
              </w:rPr>
            </w:r>
          </w:p>
        </w:tc>
      </w:tr>
      <w:tr>
        <w:trPr/>
        <w:tc>
          <w:tcPr>
            <w:tcW w:w="3556" w:type="dxa"/>
            <w:tcBorders/>
            <w:vAlign w:val="center"/>
          </w:tcPr>
          <w:p>
            <w:pPr>
              <w:pStyle w:val="TableContents"/>
              <w:pBdr>
                <w:bottom w:val="single" w:sz="2" w:space="1" w:color="000000"/>
              </w:pBdr>
              <w:bidi w:val="0"/>
              <w:spacing w:lineRule="auto" w:line="304" w:before="0" w:after="20"/>
              <w:ind w:left="0" w:right="0" w:hanging="0"/>
              <w:jc w:val="both"/>
              <w:rPr>
                <w:rFonts w:ascii="Times New Roman;Times;serif" w:hAnsi="Times New Roman;Times;serif"/>
                <w:sz w:val="20"/>
              </w:rPr>
            </w:pPr>
            <w:r>
              <w:rPr>
                <w:rFonts w:ascii="Times New Roman;Times;serif" w:hAnsi="Times New Roman;Times;serif"/>
                <w:sz w:val="20"/>
              </w:rPr>
              <w:t>/s/ DeGolyer and MacNaughton</w:t>
            </w:r>
          </w:p>
        </w:tc>
      </w:tr>
      <w:tr>
        <w:trPr/>
        <w:tc>
          <w:tcPr>
            <w:tcW w:w="3556" w:type="dxa"/>
            <w:tcBorders/>
            <w:vAlign w:val="center"/>
          </w:tcPr>
          <w:p>
            <w:pPr>
              <w:pStyle w:val="TableContents"/>
              <w:bidi w:val="0"/>
              <w:spacing w:lineRule="auto" w:line="304" w:before="0" w:after="0"/>
              <w:ind w:left="4320" w:right="0" w:hanging="0"/>
              <w:jc w:val="both"/>
              <w:rPr>
                <w:rFonts w:ascii="Times New Roman;Times;serif" w:hAnsi="Times New Roman;Times;serif"/>
                <w:sz w:val="20"/>
              </w:rPr>
            </w:pPr>
            <w:r>
              <w:rPr>
                <w:rFonts w:ascii="Times New Roman;Times;serif" w:hAnsi="Times New Roman;Times;serif"/>
                <w:sz w:val="20"/>
              </w:rPr>
              <w:t>DeGOLYER and MacNAUGHTON</w:t>
            </w:r>
          </w:p>
          <w:p>
            <w:pPr>
              <w:pStyle w:val="TableContents"/>
              <w:bidi w:val="0"/>
              <w:spacing w:lineRule="auto" w:line="304" w:before="0" w:after="0"/>
              <w:ind w:left="4320" w:right="0" w:hanging="0"/>
              <w:jc w:val="both"/>
              <w:rPr>
                <w:rFonts w:ascii="Times New Roman;Times;serif" w:hAnsi="Times New Roman;Times;serif"/>
                <w:sz w:val="20"/>
              </w:rPr>
            </w:pPr>
            <w:r>
              <w:rPr>
                <w:rFonts w:ascii="Times New Roman;Times;serif" w:hAnsi="Times New Roman;Times;serif"/>
                <w:sz w:val="20"/>
              </w:rPr>
              <w:t>Texas Registered Engineering Firm F-716</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229" w:name="epm-20260630xex31d1.htm"/>
      <w:bookmarkStart w:id="1230" w:name="ksepm20260630xex31d1"/>
      <w:bookmarkEnd w:id="1229"/>
      <w:bookmarkEnd w:id="1230"/>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Kelly W. Loyd, President and Chief Executive Officer (Principal Executive Officer) and Director, of Evolution Petroleum Corporation, certify that:</w:t>
      </w:r>
    </w:p>
    <w:tbl>
      <w:tblPr>
        <w:tblW w:w="7173" w:type="dxa"/>
        <w:jc w:val="left"/>
        <w:tblInd w:w="0" w:type="dxa"/>
        <w:tblLayout w:type="fixed"/>
        <w:tblCellMar>
          <w:top w:w="0" w:type="dxa"/>
          <w:left w:w="0" w:type="dxa"/>
          <w:bottom w:w="0" w:type="dxa"/>
          <w:right w:w="0" w:type="dxa"/>
        </w:tblCellMar>
      </w:tblPr>
      <w:tblGrid>
        <w:gridCol w:w="23"/>
        <w:gridCol w:w="170"/>
        <w:gridCol w:w="69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Evolution Petroleum Corporation;</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0" w:right="0" w:hanging="720"/>
        <w:jc w:val="left"/>
        <w:rPr/>
      </w:pPr>
      <w:r>
        <w:rPr/>
        <w:t>​</w:t>
      </w:r>
    </w:p>
    <w:tbl>
      <w:tblPr>
        <w:tblW w:w="9062" w:type="dxa"/>
        <w:jc w:val="center"/>
        <w:tblInd w:w="0" w:type="dxa"/>
        <w:tblLayout w:type="fixed"/>
        <w:tblCellMar>
          <w:top w:w="0" w:type="dxa"/>
          <w:left w:w="0" w:type="dxa"/>
          <w:bottom w:w="0" w:type="dxa"/>
          <w:right w:w="0" w:type="dxa"/>
        </w:tblCellMar>
      </w:tblPr>
      <w:tblGrid>
        <w:gridCol w:w="2326"/>
        <w:gridCol w:w="6736"/>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1477010" cy="175260"/>
                      <wp:effectExtent l="0" t="0" r="0" b="0"/>
                      <wp:wrapNone/>
                      <wp:docPr id="545" name="Frame543"/>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4277995" cy="175260"/>
                      <wp:effectExtent l="0" t="0" r="0" b="0"/>
                      <wp:wrapNone/>
                      <wp:docPr id="546" name="Frame544"/>
                      <a:graphic xmlns:a="http://schemas.openxmlformats.org/drawingml/2006/main">
                        <a:graphicData uri="http://schemas.microsoft.com/office/word/2010/wordprocessingShape">
                          <wps:wsp>
                            <wps:cNvSpPr txBox="1"/>
                            <wps:spPr>
                              <a:xfrm>
                                <a:off x="0" y="0"/>
                                <a:ext cx="427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September 16, 2026</w:t>
            </w:r>
          </w:p>
        </w:tc>
        <w:tc>
          <w:tcPr>
            <w:tcW w:w="67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KELLY W. LOYD </w:t>
            </w:r>
          </w:p>
        </w:tc>
      </w:tr>
      <w:tr>
        <w:trPr/>
        <w:tc>
          <w:tcPr>
            <w:tcW w:w="2326" w:type="dxa"/>
            <w:tcBorders/>
            <w:vAlign w:val="center"/>
          </w:tcPr>
          <w:p>
            <w:pPr>
              <w:pStyle w:val="TableContents"/>
              <w:bidi w:val="0"/>
              <w:spacing w:before="0" w:after="0"/>
              <w:ind w:left="0" w:right="0" w:hanging="0"/>
              <w:jc w:val="left"/>
              <w:rPr/>
            </w:pPr>
            <w:r>
              <w:rPr/>
              <w:t>​</w:t>
            </w:r>
          </w:p>
        </w:tc>
        <w:tc>
          <w:tcPr>
            <w:tcW w:w="67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Kelly W. Loyd</w:t>
            </w:r>
          </w:p>
        </w:tc>
      </w:tr>
      <w:tr>
        <w:trPr/>
        <w:tc>
          <w:tcPr>
            <w:tcW w:w="2326" w:type="dxa"/>
            <w:tcBorders/>
            <w:vAlign w:val="center"/>
          </w:tcPr>
          <w:p>
            <w:pPr>
              <w:pStyle w:val="TableContents"/>
              <w:bidi w:val="0"/>
              <w:spacing w:before="0" w:after="0"/>
              <w:ind w:left="0" w:right="0" w:hanging="0"/>
              <w:jc w:val="left"/>
              <w:rPr/>
            </w:pPr>
            <w:r>
              <w:rPr/>
              <w:t>​</w:t>
            </w:r>
          </w:p>
        </w:tc>
        <w:tc>
          <w:tcPr>
            <w:tcW w:w="673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 (Principal Executive Officer) and Director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231" w:name="epm-20260630xex31d2.htm"/>
      <w:bookmarkStart w:id="1232" w:name="ksepm20260630xex31d2"/>
      <w:bookmarkEnd w:id="1231"/>
      <w:bookmarkEnd w:id="1232"/>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Ryan Stash, Senior Vice President, Chief Financial Officer (Principal Financial Officer) and Treasurer of Evolution Petroleum Corporation, certify that:</w:t>
      </w:r>
    </w:p>
    <w:tbl>
      <w:tblPr>
        <w:tblW w:w="7173" w:type="dxa"/>
        <w:jc w:val="left"/>
        <w:tblInd w:w="0" w:type="dxa"/>
        <w:tblLayout w:type="fixed"/>
        <w:tblCellMar>
          <w:top w:w="0" w:type="dxa"/>
          <w:left w:w="0" w:type="dxa"/>
          <w:bottom w:w="0" w:type="dxa"/>
          <w:right w:w="0" w:type="dxa"/>
        </w:tblCellMar>
      </w:tblPr>
      <w:tblGrid>
        <w:gridCol w:w="23"/>
        <w:gridCol w:w="170"/>
        <w:gridCol w:w="69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Evolution Petroleum Corporation;</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0"/>
        <w:ind w:left="0" w:right="0" w:hanging="0"/>
        <w:jc w:val="left"/>
        <w:rPr/>
      </w:pPr>
      <w:r>
        <w:rPr/>
        <w:t>​</w:t>
      </w:r>
    </w:p>
    <w:tbl>
      <w:tblPr>
        <w:tblW w:w="9872" w:type="dxa"/>
        <w:jc w:val="center"/>
        <w:tblInd w:w="0" w:type="dxa"/>
        <w:tblLayout w:type="fixed"/>
        <w:tblCellMar>
          <w:top w:w="0" w:type="dxa"/>
          <w:left w:w="0" w:type="dxa"/>
          <w:bottom w:w="0" w:type="dxa"/>
          <w:right w:w="0" w:type="dxa"/>
        </w:tblCellMar>
      </w:tblPr>
      <w:tblGrid>
        <w:gridCol w:w="2326"/>
        <w:gridCol w:w="7546"/>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1477010" cy="175260"/>
                      <wp:effectExtent l="0" t="0" r="0" b="0"/>
                      <wp:wrapNone/>
                      <wp:docPr id="547" name="Frame545"/>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4792345" cy="175260"/>
                      <wp:effectExtent l="0" t="0" r="0" b="0"/>
                      <wp:wrapNone/>
                      <wp:docPr id="548" name="Frame546"/>
                      <a:graphic xmlns:a="http://schemas.openxmlformats.org/drawingml/2006/main">
                        <a:graphicData uri="http://schemas.microsoft.com/office/word/2010/wordprocessingShape">
                          <wps:wsp>
                            <wps:cNvSpPr txBox="1"/>
                            <wps:spPr>
                              <a:xfrm>
                                <a:off x="0" y="0"/>
                                <a:ext cx="4792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September 16, 2026</w:t>
            </w:r>
          </w:p>
        </w:tc>
        <w:tc>
          <w:tcPr>
            <w:tcW w:w="75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RYAN STASH </w:t>
            </w:r>
          </w:p>
        </w:tc>
      </w:tr>
      <w:tr>
        <w:trPr/>
        <w:tc>
          <w:tcPr>
            <w:tcW w:w="2326" w:type="dxa"/>
            <w:tcBorders/>
            <w:vAlign w:val="center"/>
          </w:tcPr>
          <w:p>
            <w:pPr>
              <w:pStyle w:val="TableContents"/>
              <w:bidi w:val="0"/>
              <w:spacing w:before="0" w:after="0"/>
              <w:ind w:left="0" w:right="0" w:hanging="0"/>
              <w:jc w:val="left"/>
              <w:rPr/>
            </w:pPr>
            <w:r>
              <w:rPr/>
              <w:t>​</w:t>
            </w:r>
          </w:p>
        </w:tc>
        <w:tc>
          <w:tcPr>
            <w:tcW w:w="75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Ryan Stash</w:t>
            </w:r>
          </w:p>
        </w:tc>
      </w:tr>
      <w:tr>
        <w:trPr/>
        <w:tc>
          <w:tcPr>
            <w:tcW w:w="2326"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Senior Vice President, Chief Financial Officer (Principal Financial Officer) and Treasurer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233" w:name="epm-20260630xex32d1.htm"/>
      <w:bookmarkStart w:id="1234" w:name="ksepm20260630xex32d1"/>
      <w:bookmarkEnd w:id="1233"/>
      <w:bookmarkEnd w:id="1234"/>
      <w:r>
        <w:rPr>
          <w:rFonts w:ascii="Times New Roman;Times;serif" w:hAnsi="Times New Roman;Times;serif"/>
          <w:b/>
          <w:sz w:val="20"/>
        </w:rPr>
        <w:t>EXHIBIT 32.1</w:t>
      </w:r>
      <w:r>
        <w:br w:type="page"/>
      </w:r>
    </w:p>
    <w:p>
      <w:pPr>
        <w:pStyle w:val="TextBody"/>
        <w:pBdr/>
        <w:bidi w:val="0"/>
        <w:spacing w:before="0" w:after="3"/>
        <w:ind w:left="0" w:right="0" w:hanging="230"/>
        <w:jc w:val="center"/>
        <w:rPr>
          <w:rFonts w:ascii="Times New Roman;Times;serif" w:hAnsi="Times New Roman;Times;serif"/>
          <w:b/>
          <w:sz w:val="20"/>
        </w:rPr>
      </w:pPr>
      <w:r>
        <w:rPr>
          <w:rFonts w:ascii="Times New Roman;Times;serif" w:hAnsi="Times New Roman;Times;serif"/>
          <w:b/>
          <w:sz w:val="20"/>
        </w:rPr>
        <w:t xml:space="preserve">CERTIFICATION PURSUANT TO </w:t>
      </w:r>
    </w:p>
    <w:p>
      <w:pPr>
        <w:pStyle w:val="TextBody"/>
        <w:pBdr/>
        <w:bidi w:val="0"/>
        <w:spacing w:before="0" w:after="3"/>
        <w:ind w:left="0" w:right="0" w:hanging="230"/>
        <w:jc w:val="center"/>
        <w:rPr>
          <w:rFonts w:ascii="Times New Roman;Times;serif" w:hAnsi="Times New Roman;Times;serif"/>
          <w:b/>
          <w:sz w:val="20"/>
        </w:rPr>
      </w:pPr>
      <w:r>
        <w:rPr>
          <w:rFonts w:ascii="Times New Roman;Times;serif" w:hAnsi="Times New Roman;Times;serif"/>
          <w:b/>
          <w:sz w:val="20"/>
        </w:rPr>
        <w:t>18 U.S.C. SECTION 1350,</w:t>
      </w:r>
    </w:p>
    <w:p>
      <w:pPr>
        <w:pStyle w:val="TextBody"/>
        <w:pBdr/>
        <w:bidi w:val="0"/>
        <w:spacing w:before="0" w:after="3"/>
        <w:ind w:left="0" w:right="0" w:hanging="23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pBdr/>
        <w:bidi w:val="0"/>
        <w:spacing w:before="0" w:after="240"/>
        <w:ind w:left="0" w:right="0" w:hanging="23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Kelly W. Loyd, President and Chief Executive Officer (Principal Executive Officer) and Director of Evolution Petroleum Corporation (the “Company”), certifies in connection with the filing with the Securities and Exchange Commission of the Company’s Annual Report on Form 10-K for the year ended June 30, 2026 (the “Report”) pursuant to 18 U.S.C. Section 1350, as adopted pursuant to Section 906 of the Sarbanes-Oxley Act of 2002, to his knowledge,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IN WITNESS WHEREOF, the undersigned has executed this certification as of September 16, 2026.</w:t>
      </w:r>
    </w:p>
    <w:p>
      <w:pPr>
        <w:pStyle w:val="TextBody"/>
        <w:pBdr/>
        <w:bidi w:val="0"/>
        <w:spacing w:before="0" w:after="0"/>
        <w:ind w:left="0" w:right="0" w:hanging="720"/>
        <w:jc w:val="left"/>
        <w:rPr/>
      </w:pPr>
      <w:r>
        <w:rPr/>
        <w:t>​</w:t>
      </w:r>
    </w:p>
    <w:tbl>
      <w:tblPr>
        <w:tblW w:w="6860" w:type="dxa"/>
        <w:jc w:val="center"/>
        <w:tblInd w:w="0" w:type="dxa"/>
        <w:tblLayout w:type="fixed"/>
        <w:tblCellMar>
          <w:top w:w="0" w:type="dxa"/>
          <w:left w:w="0" w:type="dxa"/>
          <w:bottom w:w="0" w:type="dxa"/>
          <w:right w:w="0" w:type="dxa"/>
        </w:tblCellMar>
      </w:tblPr>
      <w:tblGrid>
        <w:gridCol w:w="124"/>
        <w:gridCol w:w="673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78740" cy="175260"/>
                      <wp:effectExtent l="0" t="0" r="0" b="0"/>
                      <wp:wrapNone/>
                      <wp:docPr id="549" name="Frame54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4277995" cy="175260"/>
                      <wp:effectExtent l="0" t="0" r="0" b="0"/>
                      <wp:wrapNone/>
                      <wp:docPr id="550" name="Frame548"/>
                      <a:graphic xmlns:a="http://schemas.openxmlformats.org/drawingml/2006/main">
                        <a:graphicData uri="http://schemas.microsoft.com/office/word/2010/wordprocessingShape">
                          <wps:wsp>
                            <wps:cNvSpPr txBox="1"/>
                            <wps:spPr>
                              <a:xfrm>
                                <a:off x="0" y="0"/>
                                <a:ext cx="427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6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KELLY W. LOYD</w:t>
            </w:r>
          </w:p>
        </w:tc>
      </w:tr>
      <w:tr>
        <w:trPr/>
        <w:tc>
          <w:tcPr>
            <w:tcW w:w="124" w:type="dxa"/>
            <w:tcBorders/>
            <w:vAlign w:val="center"/>
          </w:tcPr>
          <w:p>
            <w:pPr>
              <w:pStyle w:val="TableContents"/>
              <w:bidi w:val="0"/>
              <w:spacing w:before="0" w:after="0"/>
              <w:ind w:left="0" w:right="0" w:hanging="0"/>
              <w:jc w:val="left"/>
              <w:rPr/>
            </w:pPr>
            <w:r>
              <w:rPr/>
              <w:t>​</w:t>
            </w:r>
          </w:p>
        </w:tc>
        <w:tc>
          <w:tcPr>
            <w:tcW w:w="673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Kelly W. Loyd</w:t>
            </w:r>
          </w:p>
        </w:tc>
      </w:tr>
      <w:tr>
        <w:trPr/>
        <w:tc>
          <w:tcPr>
            <w:tcW w:w="124" w:type="dxa"/>
            <w:tcBorders/>
            <w:vAlign w:val="center"/>
          </w:tcPr>
          <w:p>
            <w:pPr>
              <w:pStyle w:val="TableContents"/>
              <w:bidi w:val="0"/>
              <w:spacing w:before="0" w:after="0"/>
              <w:ind w:left="0" w:right="0" w:hanging="0"/>
              <w:jc w:val="left"/>
              <w:rPr/>
            </w:pPr>
            <w:r>
              <w:rPr/>
              <w:t>​</w:t>
            </w:r>
          </w:p>
        </w:tc>
        <w:tc>
          <w:tcPr>
            <w:tcW w:w="673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President and Chief Executive Officer (Principal Executive Officer) and Director</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200"/>
        <w:jc w:val="left"/>
        <w:rPr/>
      </w:pPr>
      <w:r>
        <w:rPr/>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signed original of this written statement require 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10-K and shall not be considered filed as part of the Form 10-K.</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235" w:name="epm-20260630xex32d2.htm"/>
      <w:bookmarkStart w:id="1236" w:name="ksepm20260630xex32d2"/>
      <w:bookmarkEnd w:id="1235"/>
      <w:bookmarkEnd w:id="1236"/>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Ryan Stash, Senior Vice President, Chief Financial Officer (Principal Financial Officer) and Treasurer of Evolution Petroleum Corporation (the “Company”), certifies in connection with the filing with the Securities and Exchange Commission of the Company’s Annual Report on Form 10-K for the year ended June 30, 2026 (the “Report”) pursuant to 18 U.S.C. Section 1350, as adopted pursuant to Section 906 of the Sarbanes-Oxley Act of 2002, to his knowledge,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pBdr/>
        <w:bidi w:val="0"/>
        <w:spacing w:before="0" w:after="240"/>
        <w:ind w:left="720" w:right="0" w:hanging="720"/>
        <w:jc w:val="left"/>
        <w:rPr>
          <w:rFonts w:ascii="Times New Roman;Times;serif" w:hAnsi="Times New Roman;Times;serif"/>
          <w:sz w:val="20"/>
        </w:rPr>
      </w:pPr>
      <w:r>
        <w:rPr>
          <w:rFonts w:ascii="Times New Roman;Times;serif" w:hAnsi="Times New Roman;Times;serif"/>
          <w:sz w:val="20"/>
        </w:rPr>
        <w:t>IN WITNESS WHEREOF, the undersigned has executed this certification as of September 16, 2026.</w:t>
      </w:r>
    </w:p>
    <w:tbl>
      <w:tblPr>
        <w:tblW w:w="7670" w:type="dxa"/>
        <w:jc w:val="center"/>
        <w:tblInd w:w="0" w:type="dxa"/>
        <w:tblLayout w:type="fixed"/>
        <w:tblCellMar>
          <w:top w:w="0" w:type="dxa"/>
          <w:left w:w="0" w:type="dxa"/>
          <w:bottom w:w="0" w:type="dxa"/>
          <w:right w:w="0" w:type="dxa"/>
        </w:tblCellMar>
      </w:tblPr>
      <w:tblGrid>
        <w:gridCol w:w="124"/>
        <w:gridCol w:w="754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78740" cy="175260"/>
                      <wp:effectExtent l="0" t="0" r="0" b="0"/>
                      <wp:wrapNone/>
                      <wp:docPr id="551" name="Frame54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4792345" cy="175260"/>
                      <wp:effectExtent l="0" t="0" r="0" b="0"/>
                      <wp:wrapNone/>
                      <wp:docPr id="552" name="Frame550"/>
                      <a:graphic xmlns:a="http://schemas.openxmlformats.org/drawingml/2006/main">
                        <a:graphicData uri="http://schemas.microsoft.com/office/word/2010/wordprocessingShape">
                          <wps:wsp>
                            <wps:cNvSpPr txBox="1"/>
                            <wps:spPr>
                              <a:xfrm>
                                <a:off x="0" y="0"/>
                                <a:ext cx="4792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7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RYAN STASH</w:t>
            </w:r>
          </w:p>
        </w:tc>
      </w:tr>
      <w:tr>
        <w:trPr/>
        <w:tc>
          <w:tcPr>
            <w:tcW w:w="124" w:type="dxa"/>
            <w:tcBorders/>
            <w:vAlign w:val="center"/>
          </w:tcPr>
          <w:p>
            <w:pPr>
              <w:pStyle w:val="TableContents"/>
              <w:bidi w:val="0"/>
              <w:spacing w:before="0" w:after="0"/>
              <w:ind w:left="0" w:right="0" w:hanging="0"/>
              <w:jc w:val="left"/>
              <w:rPr/>
            </w:pPr>
            <w:r>
              <w:rPr/>
              <w:t>​</w:t>
            </w:r>
          </w:p>
        </w:tc>
        <w:tc>
          <w:tcPr>
            <w:tcW w:w="754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Ryan Stash</w:t>
            </w:r>
          </w:p>
        </w:tc>
      </w:tr>
      <w:tr>
        <w:trPr/>
        <w:tc>
          <w:tcPr>
            <w:tcW w:w="124"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Senior Vice President, Chief Financial Officer (Principal Financial Officer) and Treasurer</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200"/>
        <w:jc w:val="left"/>
        <w:rPr/>
      </w:pPr>
      <w:r>
        <w:rPr/>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10-K and shall not be considered filed as part of the Form 10-K.</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237" w:name="epm-20260630xex99d1.htm"/>
      <w:bookmarkStart w:id="1238" w:name="ksepm20260630xex99d1"/>
      <w:bookmarkEnd w:id="1237"/>
      <w:bookmarkEnd w:id="1238"/>
      <w:r>
        <w:rPr>
          <w:rFonts w:ascii="Times New Roman;Times;serif" w:hAnsi="Times New Roman;Times;serif"/>
          <w:b/>
          <w:sz w:val="20"/>
        </w:rPr>
        <w:t>EXHIBIT 99.1</w:t>
      </w:r>
      <w:r>
        <w:br w:type="page"/>
      </w:r>
    </w:p>
    <w:p>
      <w:pPr>
        <w:pStyle w:val="TextBody"/>
        <w:bidi w:val="0"/>
        <w:spacing w:before="0" w:after="0"/>
        <w:ind w:left="0" w:right="0" w:hanging="0"/>
        <w:jc w:val="left"/>
        <w:rPr/>
      </w:pPr>
      <w:r>
        <w:rPr/>
        <w:t>​</w:t>
      </w:r>
    </w:p>
    <w:p>
      <w:pPr>
        <w:pStyle w:val="TextBody"/>
        <w:bidi w:val="0"/>
        <w:spacing w:before="0" w:after="0"/>
        <w:ind w:left="0" w:right="0" w:hanging="0"/>
        <w:jc w:val="left"/>
        <w:rPr/>
      </w:pPr>
      <w:r>
        <w:rPr/>
        <w:drawing>
          <wp:inline distT="0" distB="0" distL="0" distR="0">
            <wp:extent cx="6393180" cy="943610"/>
            <wp:effectExtent l="0" t="0" r="0" b="0"/>
            <wp:docPr id="55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 name="Image3" descr=""/>
                    <pic:cNvPicPr>
                      <a:picLocks noChangeAspect="1" noChangeArrowheads="1"/>
                    </pic:cNvPicPr>
                  </pic:nvPicPr>
                  <pic:blipFill>
                    <a:blip r:embed="rId45"/>
                    <a:stretch>
                      <a:fillRect/>
                    </a:stretch>
                  </pic:blipFill>
                  <pic:spPr bwMode="auto">
                    <a:xfrm>
                      <a:off x="0" y="0"/>
                      <a:ext cx="6393180" cy="943610"/>
                    </a:xfrm>
                    <a:prstGeom prst="rect">
                      <a:avLst/>
                    </a:prstGeom>
                  </pic:spPr>
                </pic:pic>
              </a:graphicData>
            </a:graphic>
          </wp:inline>
        </w:drawing>
      </w:r>
    </w:p>
    <w:p>
      <w:pPr>
        <w:pStyle w:val="TextBody"/>
        <w:bidi w:val="0"/>
        <w:spacing w:lineRule="auto" w:line="429" w:before="0" w:after="0"/>
        <w:ind w:left="0" w:right="0" w:hanging="0"/>
        <w:jc w:val="center"/>
        <w:rPr>
          <w:rFonts w:ascii="Times New Roman;Times;serif" w:hAnsi="Times New Roman;Times;serif"/>
          <w:sz w:val="21"/>
        </w:rPr>
      </w:pPr>
      <w:r>
        <w:rPr>
          <w:rFonts w:ascii="Times New Roman;Times;serif" w:hAnsi="Times New Roman;Times;serif"/>
          <w:sz w:val="21"/>
        </w:rPr>
        <w:t>August 11, 2026</w:t>
      </w:r>
    </w:p>
    <w:p>
      <w:pPr>
        <w:pStyle w:val="TextBody"/>
        <w:bidi w:val="0"/>
        <w:spacing w:before="0" w:after="0"/>
        <w:ind w:left="0" w:right="0" w:hanging="0"/>
        <w:jc w:val="both"/>
        <w:rPr>
          <w:rFonts w:ascii="Times New Roman;Times;serif" w:hAnsi="Times New Roman;Times;serif"/>
          <w:sz w:val="22"/>
        </w:rPr>
      </w:pPr>
      <w:bookmarkStart w:id="1239" w:name="_Hlk65680023"/>
      <w:bookmarkEnd w:id="1239"/>
      <w:r>
        <w:rPr>
          <w:rFonts w:ascii="Times New Roman;Times;serif" w:hAnsi="Times New Roman;Times;serif"/>
          <w:sz w:val="22"/>
        </w:rPr>
        <w:t>Mr. J. Mark Bunch, PE</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Chief Operating Officer</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Evolution Petroleum Corporation</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1155 Dairy Ashford Road, Suite 425</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Houston, TX 77077</w:t>
      </w:r>
    </w:p>
    <w:p>
      <w:pPr>
        <w:pStyle w:val="TextBody"/>
        <w:bidi w:val="0"/>
        <w:spacing w:before="0" w:after="0"/>
        <w:ind w:left="720" w:right="0" w:firstLine="720"/>
        <w:jc w:val="both"/>
        <w:rPr/>
      </w:pPr>
      <w:r>
        <w:rPr/>
        <w:t>​</w:t>
      </w:r>
    </w:p>
    <w:p>
      <w:pPr>
        <w:pStyle w:val="TextBody"/>
        <w:bidi w:val="0"/>
        <w:spacing w:before="0" w:after="0"/>
        <w:ind w:left="720" w:right="0" w:firstLine="720"/>
        <w:jc w:val="both"/>
        <w:rPr>
          <w:rFonts w:ascii="Times New Roman;Times;serif" w:hAnsi="Times New Roman;Times;serif"/>
          <w:sz w:val="22"/>
        </w:rPr>
      </w:pPr>
      <w:r>
        <w:rPr>
          <w:rFonts w:ascii="Times New Roman;Times;serif" w:hAnsi="Times New Roman;Times;serif"/>
          <w:sz w:val="22"/>
        </w:rPr>
        <w:t>Re:Evaluation Summary</w:t>
      </w:r>
    </w:p>
    <w:p>
      <w:pPr>
        <w:pStyle w:val="TextBody"/>
        <w:bidi w:val="0"/>
        <w:spacing w:before="0" w:after="0"/>
        <w:ind w:left="720" w:right="0" w:firstLine="720"/>
        <w:jc w:val="both"/>
        <w:rPr>
          <w:rFonts w:ascii="Times New Roman;Times;serif" w:hAnsi="Times New Roman;Times;serif"/>
          <w:b/>
          <w:sz w:val="22"/>
        </w:rPr>
      </w:pPr>
      <w:r>
        <w:rPr>
          <w:rFonts w:ascii="Times New Roman;Times;serif" w:hAnsi="Times New Roman;Times;serif"/>
          <w:b/>
          <w:sz w:val="22"/>
        </w:rPr>
        <w:t>Evolution Petroleum Corporation</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Certain Properties in Various States</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Total Proved Reserves</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As of June 30, 2026</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i/>
          <w:spacing w:val="-2"/>
          <w:sz w:val="18"/>
        </w:rPr>
      </w:pPr>
      <w:r>
        <w:rPr>
          <w:rFonts w:ascii="Times New Roman;Times;serif" w:hAnsi="Times New Roman;Times;serif"/>
          <w:i/>
          <w:spacing w:val="-2"/>
          <w:sz w:val="18"/>
        </w:rPr>
        <w:t>Pursuant to the Guidelines of the Securities and Exchange</w:t>
      </w:r>
    </w:p>
    <w:p>
      <w:pPr>
        <w:pStyle w:val="TextBody"/>
        <w:bidi w:val="0"/>
        <w:spacing w:before="0" w:after="0"/>
        <w:ind w:left="0" w:right="0" w:hanging="0"/>
        <w:jc w:val="both"/>
        <w:rPr>
          <w:rFonts w:ascii="Times New Roman;Times;serif" w:hAnsi="Times New Roman;Times;serif"/>
          <w:i/>
          <w:spacing w:val="-2"/>
          <w:sz w:val="18"/>
        </w:rPr>
      </w:pPr>
      <w:r>
        <w:rPr>
          <w:rFonts w:ascii="Times New Roman;Times;serif" w:hAnsi="Times New Roman;Times;serif"/>
          <w:i/>
          <w:spacing w:val="-2"/>
          <w:sz w:val="18"/>
        </w:rPr>
        <w:t xml:space="preserve">Commission for Reporting Corporate Reserves and </w:t>
      </w:r>
    </w:p>
    <w:p>
      <w:pPr>
        <w:pStyle w:val="TextBody"/>
        <w:bidi w:val="0"/>
        <w:spacing w:before="0" w:after="0"/>
        <w:ind w:left="0" w:right="0" w:hanging="0"/>
        <w:jc w:val="both"/>
        <w:rPr>
          <w:rFonts w:ascii="Times New Roman;Times;serif" w:hAnsi="Times New Roman;Times;serif"/>
          <w:i/>
          <w:spacing w:val="-2"/>
          <w:sz w:val="18"/>
        </w:rPr>
      </w:pPr>
      <w:r>
        <w:rPr>
          <w:rFonts w:ascii="Times New Roman;Times;serif" w:hAnsi="Times New Roman;Times;serif"/>
          <w:i/>
          <w:spacing w:val="-2"/>
          <w:sz w:val="18"/>
        </w:rPr>
        <w:t>Future Net Revenue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Dear Mr. Bunch:</w:t>
      </w:r>
    </w:p>
    <w:p>
      <w:pPr>
        <w:pStyle w:val="TextBody"/>
        <w:bidi w:val="0"/>
        <w:spacing w:before="0" w:after="0"/>
        <w:ind w:left="0" w:right="0" w:hanging="0"/>
        <w:jc w:val="left"/>
        <w:rPr/>
      </w:pPr>
      <w:r>
        <w:rPr/>
        <w: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2"/>
        </w:rPr>
        <w:t xml:space="preserve">As requested, this report was completed on August 11, 2026 for Evolution Petroleum Corporation (“Evolution”), for the purpose of public disclosure by Evolution in filings made with the </w:t>
      </w:r>
      <w:r>
        <w:rPr>
          <w:rFonts w:ascii="Times New Roman;Times;serif" w:hAnsi="Times New Roman;Times;serif"/>
          <w:i/>
          <w:sz w:val="22"/>
        </w:rPr>
        <w:t>Securities and Exchange Commission</w:t>
      </w:r>
      <w:r>
        <w:rPr>
          <w:rFonts w:ascii="Times New Roman;Times;serif" w:hAnsi="Times New Roman;Times;serif"/>
          <w:sz w:val="20"/>
        </w:rPr>
        <w:t xml:space="preserve"> </w:t>
      </w:r>
      <w:r>
        <w:rPr>
          <w:rFonts w:ascii="Times New Roman;Times;serif" w:hAnsi="Times New Roman;Times;serif"/>
          <w:sz w:val="22"/>
        </w:rPr>
        <w:t>(“SEC”) in accordance with the disclosure requirements set forth in the SEC regulations. We evaluated 100% of the proved reserves located in various states per information from Evolution.  This evaluation utilized an effective date of June 30, 2026, was prepared using constant prices and costs, and conforms to Item 1202(a)(8) of Regulation S-K and other rules of the SEC.  The results of this evaluation are below:</w:t>
      </w:r>
    </w:p>
    <w:p>
      <w:pPr>
        <w:pStyle w:val="TextBody"/>
        <w:bidi w:val="0"/>
        <w:spacing w:before="0" w:after="120"/>
        <w:ind w:left="0" w:right="0" w:firstLine="720"/>
        <w:jc w:val="both"/>
        <w:rPr/>
      </w:pPr>
      <w:r>
        <w:rPr/>
        <w:t>​</w:t>
      </w:r>
    </w:p>
    <w:tbl>
      <w:tblPr>
        <w:tblW w:w="9125" w:type="dxa"/>
        <w:jc w:val="center"/>
        <w:tblInd w:w="0" w:type="dxa"/>
        <w:tblLayout w:type="fixed"/>
        <w:tblCellMar>
          <w:top w:w="0" w:type="dxa"/>
          <w:left w:w="0" w:type="dxa"/>
          <w:bottom w:w="0" w:type="dxa"/>
          <w:right w:w="0" w:type="dxa"/>
        </w:tblCellMar>
      </w:tblPr>
      <w:tblGrid>
        <w:gridCol w:w="153"/>
        <w:gridCol w:w="2397"/>
        <w:gridCol w:w="766"/>
        <w:gridCol w:w="1006"/>
        <w:gridCol w:w="1411"/>
        <w:gridCol w:w="1006"/>
        <w:gridCol w:w="1216"/>
        <w:gridCol w:w="1170"/>
      </w:tblGrid>
      <w:tr>
        <w:trPr/>
        <w:tc>
          <w:tcPr>
            <w:tcW w:w="153" w:type="dxa"/>
            <w:tcBorders/>
            <w:vAlign w:val="center"/>
          </w:tcPr>
          <w:p>
            <w:pPr>
              <w:pStyle w:val="TableContents"/>
              <w:bidi w:val="0"/>
              <w:spacing w:before="0" w:after="283"/>
              <w:ind w:left="0" w:right="0" w:hanging="0"/>
              <w:jc w:val="left"/>
              <w:rPr>
                <w:sz w:val="4"/>
                <w:szCs w:val="4"/>
              </w:rPr>
            </w:pPr>
            <w:r>
              <w:rPr>
                <w:sz w:val="4"/>
                <w:szCs w:val="4"/>
              </w:rPr>
            </w:r>
          </w:p>
        </w:tc>
        <w:tc>
          <w:tcPr>
            <w:tcW w:w="2397" w:type="dxa"/>
            <w:tcBorders/>
            <w:vAlign w:val="center"/>
          </w:tcPr>
          <w:p>
            <w:pPr>
              <w:pStyle w:val="TableContents"/>
              <w:bidi w:val="0"/>
              <w:spacing w:before="0" w:after="283"/>
              <w:ind w:left="0" w:right="0" w:hanging="0"/>
              <w:jc w:val="left"/>
              <w:rPr>
                <w:sz w:val="4"/>
                <w:szCs w:val="4"/>
              </w:rPr>
            </w:pPr>
            <w:r>
              <w:rPr>
                <w:sz w:val="4"/>
                <w:szCs w:val="4"/>
              </w:rPr>
            </w:r>
          </w:p>
        </w:tc>
        <w:tc>
          <w:tcPr>
            <w:tcW w:w="766" w:type="dxa"/>
            <w:tcBorders/>
            <w:vAlign w:val="center"/>
          </w:tcPr>
          <w:p>
            <w:pPr>
              <w:pStyle w:val="TableContents"/>
              <w:bidi w:val="0"/>
              <w:spacing w:before="0" w:after="283"/>
              <w:ind w:left="0" w:right="0" w:hanging="0"/>
              <w:jc w:val="left"/>
              <w:rPr>
                <w:sz w:val="4"/>
                <w:szCs w:val="4"/>
              </w:rPr>
            </w:pPr>
            <w:r>
              <w:rPr>
                <w:sz w:val="4"/>
                <w:szCs w:val="4"/>
              </w:rPr>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1"/>
              </w:rPr>
            </w:pPr>
            <w:r>
              <w:rPr>
                <w:rFonts w:ascii="Times New Roman;Times;serif" w:hAnsi="Times New Roman;Times;serif"/>
                <w:sz w:val="21"/>
              </w:rPr>
              <w:t>Proved</w:t>
            </w:r>
          </w:p>
        </w:tc>
        <w:tc>
          <w:tcPr>
            <w:tcW w:w="1411" w:type="dxa"/>
            <w:tcBorders/>
            <w:vAlign w:val="center"/>
          </w:tcPr>
          <w:p>
            <w:pPr>
              <w:pStyle w:val="TableContents"/>
              <w:bidi w:val="0"/>
              <w:spacing w:before="0" w:after="0"/>
              <w:ind w:left="0" w:right="0" w:hanging="0"/>
              <w:jc w:val="center"/>
              <w:rPr>
                <w:rFonts w:ascii="Times New Roman;Times;serif" w:hAnsi="Times New Roman;Times;serif"/>
                <w:sz w:val="21"/>
              </w:rPr>
            </w:pPr>
            <w:r>
              <w:rPr>
                <w:rFonts w:ascii="Times New Roman;Times;serif" w:hAnsi="Times New Roman;Times;serif"/>
                <w:sz w:val="21"/>
              </w:rPr>
              <w:t>Proved</w:t>
            </w:r>
          </w:p>
        </w:tc>
        <w:tc>
          <w:tcPr>
            <w:tcW w:w="1006" w:type="dxa"/>
            <w:tcBorders/>
            <w:vAlign w:val="center"/>
          </w:tcPr>
          <w:p>
            <w:pPr>
              <w:pStyle w:val="TableContents"/>
              <w:bidi w:val="0"/>
              <w:spacing w:before="0" w:after="283"/>
              <w:ind w:left="0" w:right="0" w:hanging="0"/>
              <w:jc w:val="left"/>
              <w:rPr>
                <w:sz w:val="4"/>
                <w:szCs w:val="4"/>
              </w:rPr>
            </w:pPr>
            <w:r>
              <w:rPr>
                <w:sz w:val="4"/>
                <w:szCs w:val="4"/>
              </w:rPr>
            </w:r>
          </w:p>
        </w:tc>
        <w:tc>
          <w:tcPr>
            <w:tcW w:w="1216" w:type="dxa"/>
            <w:tcBorders/>
            <w:vAlign w:val="center"/>
          </w:tcPr>
          <w:p>
            <w:pPr>
              <w:pStyle w:val="TableContents"/>
              <w:bidi w:val="0"/>
              <w:spacing w:before="0" w:after="283"/>
              <w:ind w:left="0" w:right="0" w:hanging="0"/>
              <w:jc w:val="left"/>
              <w:rPr>
                <w:sz w:val="4"/>
                <w:szCs w:val="4"/>
              </w:rPr>
            </w:pPr>
            <w:r>
              <w:rPr>
                <w:sz w:val="4"/>
                <w:szCs w:val="4"/>
              </w:rPr>
            </w:r>
          </w:p>
        </w:tc>
        <w:tc>
          <w:tcPr>
            <w:tcW w:w="1170" w:type="dxa"/>
            <w:tcBorders/>
            <w:vAlign w:val="center"/>
          </w:tcPr>
          <w:p>
            <w:pPr>
              <w:pStyle w:val="TableContents"/>
              <w:bidi w:val="0"/>
              <w:spacing w:before="0" w:after="283"/>
              <w:ind w:left="0" w:right="0" w:hanging="0"/>
              <w:jc w:val="left"/>
              <w:rPr>
                <w:sz w:val="4"/>
                <w:szCs w:val="4"/>
              </w:rPr>
            </w:pPr>
            <w:r>
              <w:rPr>
                <w:sz w:val="4"/>
                <w:szCs w:val="4"/>
              </w:rPr>
            </w:r>
          </w:p>
        </w:tc>
      </w:tr>
      <w:tr>
        <w:trPr/>
        <w:tc>
          <w:tcPr>
            <w:tcW w:w="153" w:type="dxa"/>
            <w:tcBorders/>
            <w:vAlign w:val="center"/>
          </w:tcPr>
          <w:p>
            <w:pPr>
              <w:pStyle w:val="TableContents"/>
              <w:bidi w:val="0"/>
              <w:spacing w:before="0" w:after="283"/>
              <w:ind w:left="0" w:right="0" w:hanging="0"/>
              <w:jc w:val="left"/>
              <w:rPr>
                <w:sz w:val="4"/>
                <w:szCs w:val="4"/>
              </w:rPr>
            </w:pPr>
            <w:r>
              <w:rPr>
                <w:sz w:val="4"/>
                <w:szCs w:val="4"/>
              </w:rPr>
            </w:r>
          </w:p>
        </w:tc>
        <w:tc>
          <w:tcPr>
            <w:tcW w:w="2397" w:type="dxa"/>
            <w:tcBorders/>
            <w:vAlign w:val="center"/>
          </w:tcPr>
          <w:p>
            <w:pPr>
              <w:pStyle w:val="TableContents"/>
              <w:bidi w:val="0"/>
              <w:spacing w:before="0" w:after="283"/>
              <w:ind w:left="0" w:right="0" w:hanging="0"/>
              <w:jc w:val="left"/>
              <w:rPr>
                <w:sz w:val="4"/>
                <w:szCs w:val="4"/>
              </w:rPr>
            </w:pPr>
            <w:r>
              <w:rPr>
                <w:sz w:val="4"/>
                <w:szCs w:val="4"/>
              </w:rPr>
            </w:r>
          </w:p>
        </w:tc>
        <w:tc>
          <w:tcPr>
            <w:tcW w:w="766" w:type="dxa"/>
            <w:tcBorders/>
            <w:vAlign w:val="center"/>
          </w:tcPr>
          <w:p>
            <w:pPr>
              <w:pStyle w:val="TableContents"/>
              <w:bidi w:val="0"/>
              <w:spacing w:before="0" w:after="283"/>
              <w:ind w:left="0" w:right="0" w:hanging="0"/>
              <w:jc w:val="left"/>
              <w:rPr>
                <w:sz w:val="4"/>
                <w:szCs w:val="4"/>
              </w:rPr>
            </w:pPr>
            <w:r>
              <w:rPr>
                <w:sz w:val="4"/>
                <w:szCs w:val="4"/>
              </w:rPr>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1"/>
              </w:rPr>
            </w:pPr>
            <w:r>
              <w:rPr>
                <w:rFonts w:ascii="Times New Roman;Times;serif" w:hAnsi="Times New Roman;Times;serif"/>
                <w:sz w:val="21"/>
              </w:rPr>
              <w:t>Developed</w:t>
            </w:r>
          </w:p>
        </w:tc>
        <w:tc>
          <w:tcPr>
            <w:tcW w:w="1411" w:type="dxa"/>
            <w:tcBorders/>
            <w:vAlign w:val="center"/>
          </w:tcPr>
          <w:p>
            <w:pPr>
              <w:pStyle w:val="TableContents"/>
              <w:bidi w:val="0"/>
              <w:spacing w:before="0" w:after="0"/>
              <w:ind w:left="0" w:right="0" w:hanging="0"/>
              <w:jc w:val="center"/>
              <w:rPr>
                <w:rFonts w:ascii="Times New Roman;Times;serif" w:hAnsi="Times New Roman;Times;serif"/>
                <w:sz w:val="21"/>
              </w:rPr>
            </w:pPr>
            <w:r>
              <w:rPr>
                <w:rFonts w:ascii="Times New Roman;Times;serif" w:hAnsi="Times New Roman;Times;serif"/>
                <w:sz w:val="21"/>
              </w:rPr>
              <w:t>Developed</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1"/>
              </w:rPr>
            </w:pPr>
            <w:r>
              <w:rPr>
                <w:rFonts w:ascii="Times New Roman;Times;serif" w:hAnsi="Times New Roman;Times;serif"/>
                <w:sz w:val="21"/>
              </w:rPr>
              <w:t>Proved</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21"/>
              </w:rPr>
            </w:pPr>
            <w:r>
              <w:rPr>
                <w:rFonts w:ascii="Times New Roman;Times;serif" w:hAnsi="Times New Roman;Times;serif"/>
                <w:sz w:val="21"/>
              </w:rPr>
              <w:t>Proved</w:t>
            </w:r>
          </w:p>
        </w:tc>
        <w:tc>
          <w:tcPr>
            <w:tcW w:w="1170" w:type="dxa"/>
            <w:tcBorders/>
            <w:vAlign w:val="center"/>
          </w:tcPr>
          <w:p>
            <w:pPr>
              <w:pStyle w:val="TableContents"/>
              <w:bidi w:val="0"/>
              <w:spacing w:before="0" w:after="0"/>
              <w:ind w:left="0" w:right="0" w:hanging="0"/>
              <w:jc w:val="center"/>
              <w:rPr>
                <w:rFonts w:ascii="Times New Roman;Times;serif" w:hAnsi="Times New Roman;Times;serif"/>
                <w:sz w:val="21"/>
              </w:rPr>
            </w:pPr>
            <w:r>
              <w:rPr>
                <w:rFonts w:ascii="Times New Roman;Times;serif" w:hAnsi="Times New Roman;Times;serif"/>
                <w:sz w:val="21"/>
              </w:rPr>
              <w:t>Total</w:t>
            </w:r>
          </w:p>
        </w:tc>
      </w:tr>
      <w:tr>
        <w:trPr/>
        <w:tc>
          <w:tcPr>
            <w:tcW w:w="153" w:type="dxa"/>
            <w:tcBorders/>
            <w:vAlign w:val="center"/>
          </w:tcPr>
          <w:p>
            <w:pPr>
              <w:pStyle w:val="TableContents"/>
              <w:bidi w:val="0"/>
              <w:spacing w:before="0" w:after="283"/>
              <w:ind w:left="0" w:right="0" w:hanging="0"/>
              <w:jc w:val="left"/>
              <w:rPr>
                <w:sz w:val="4"/>
                <w:szCs w:val="4"/>
              </w:rPr>
            </w:pPr>
            <w:r>
              <w:rPr>
                <w:sz w:val="4"/>
                <w:szCs w:val="4"/>
              </w:rPr>
            </w:r>
          </w:p>
        </w:tc>
        <w:tc>
          <w:tcPr>
            <w:tcW w:w="2397" w:type="dxa"/>
            <w:tcBorders/>
            <w:vAlign w:val="center"/>
          </w:tcPr>
          <w:p>
            <w:pPr>
              <w:pStyle w:val="TableContents"/>
              <w:bidi w:val="0"/>
              <w:spacing w:before="0" w:after="283"/>
              <w:ind w:left="0" w:right="0" w:hanging="0"/>
              <w:jc w:val="left"/>
              <w:rPr>
                <w:sz w:val="4"/>
                <w:szCs w:val="4"/>
              </w:rPr>
            </w:pPr>
            <w:r>
              <w:rPr>
                <w:sz w:val="4"/>
                <w:szCs w:val="4"/>
              </w:rPr>
            </w:r>
          </w:p>
        </w:tc>
        <w:tc>
          <w:tcPr>
            <w:tcW w:w="766" w:type="dxa"/>
            <w:tcBorders/>
            <w:vAlign w:val="center"/>
          </w:tcPr>
          <w:p>
            <w:pPr>
              <w:pStyle w:val="TableContents"/>
              <w:bidi w:val="0"/>
              <w:spacing w:before="0" w:after="283"/>
              <w:ind w:left="0" w:right="0" w:hanging="0"/>
              <w:jc w:val="left"/>
              <w:rPr>
                <w:sz w:val="4"/>
                <w:szCs w:val="4"/>
              </w:rPr>
            </w:pPr>
            <w:r>
              <w:rPr>
                <w:sz w:val="4"/>
                <w:szCs w:val="4"/>
              </w:rPr>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1"/>
                <w:u w:val="single"/>
              </w:rPr>
            </w:pPr>
            <w:r>
              <w:rPr>
                <w:rFonts w:ascii="Times New Roman;Times;serif" w:hAnsi="Times New Roman;Times;serif"/>
                <w:sz w:val="21"/>
                <w:u w:val="single"/>
              </w:rPr>
              <w:t>Producing</w:t>
            </w:r>
          </w:p>
        </w:tc>
        <w:tc>
          <w:tcPr>
            <w:tcW w:w="1411" w:type="dxa"/>
            <w:tcBorders/>
            <w:vAlign w:val="center"/>
          </w:tcPr>
          <w:p>
            <w:pPr>
              <w:pStyle w:val="TableContents"/>
              <w:bidi w:val="0"/>
              <w:spacing w:before="0" w:after="0"/>
              <w:ind w:left="0" w:right="0" w:hanging="0"/>
              <w:jc w:val="center"/>
              <w:rPr>
                <w:rFonts w:ascii="Times New Roman;Times;serif" w:hAnsi="Times New Roman;Times;serif"/>
                <w:sz w:val="21"/>
                <w:u w:val="single"/>
              </w:rPr>
            </w:pPr>
            <w:r>
              <w:rPr>
                <w:rFonts w:ascii="Times New Roman;Times;serif" w:hAnsi="Times New Roman;Times;serif"/>
                <w:sz w:val="21"/>
                <w:u w:val="single"/>
              </w:rPr>
              <w:t>Non-Producing</w:t>
            </w:r>
          </w:p>
        </w:tc>
        <w:tc>
          <w:tcPr>
            <w:tcW w:w="1006" w:type="dxa"/>
            <w:tcBorders/>
            <w:vAlign w:val="center"/>
          </w:tcPr>
          <w:p>
            <w:pPr>
              <w:pStyle w:val="TableContents"/>
              <w:bidi w:val="0"/>
              <w:spacing w:before="0" w:after="0"/>
              <w:ind w:left="0" w:right="0" w:hanging="0"/>
              <w:jc w:val="center"/>
              <w:rPr>
                <w:rFonts w:ascii="Times New Roman;Times;serif" w:hAnsi="Times New Roman;Times;serif"/>
                <w:sz w:val="21"/>
                <w:u w:val="single"/>
              </w:rPr>
            </w:pPr>
            <w:r>
              <w:rPr>
                <w:rFonts w:ascii="Times New Roman;Times;serif" w:hAnsi="Times New Roman;Times;serif"/>
                <w:sz w:val="21"/>
                <w:u w:val="single"/>
              </w:rPr>
              <w:t>Developed</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21"/>
                <w:u w:val="single"/>
              </w:rPr>
            </w:pPr>
            <w:r>
              <w:rPr>
                <w:rFonts w:ascii="Times New Roman;Times;serif" w:hAnsi="Times New Roman;Times;serif"/>
                <w:sz w:val="21"/>
                <w:u w:val="single"/>
              </w:rPr>
              <w:t>Undeveloped</w:t>
            </w:r>
          </w:p>
        </w:tc>
        <w:tc>
          <w:tcPr>
            <w:tcW w:w="1170" w:type="dxa"/>
            <w:tcBorders/>
            <w:vAlign w:val="center"/>
          </w:tcPr>
          <w:p>
            <w:pPr>
              <w:pStyle w:val="TableContents"/>
              <w:bidi w:val="0"/>
              <w:spacing w:before="0" w:after="0"/>
              <w:ind w:left="0" w:right="0" w:hanging="0"/>
              <w:jc w:val="center"/>
              <w:rPr>
                <w:rFonts w:ascii="Times New Roman;Times;serif" w:hAnsi="Times New Roman;Times;serif"/>
                <w:sz w:val="21"/>
                <w:u w:val="single"/>
              </w:rPr>
            </w:pPr>
            <w:r>
              <w:rPr>
                <w:rFonts w:ascii="Times New Roman;Times;serif" w:hAnsi="Times New Roman;Times;serif"/>
                <w:sz w:val="21"/>
                <w:u w:val="single"/>
              </w:rPr>
              <w:t>Proved</w:t>
            </w:r>
          </w:p>
        </w:tc>
      </w:tr>
      <w:tr>
        <w:trPr/>
        <w:tc>
          <w:tcPr>
            <w:tcW w:w="2550" w:type="dxa"/>
            <w:gridSpan w:val="2"/>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Net Reserves</w:t>
            </w:r>
          </w:p>
        </w:tc>
        <w:tc>
          <w:tcPr>
            <w:tcW w:w="766" w:type="dxa"/>
            <w:tcBorders/>
            <w:vAlign w:val="center"/>
          </w:tcPr>
          <w:p>
            <w:pPr>
              <w:pStyle w:val="TableContents"/>
              <w:bidi w:val="0"/>
              <w:spacing w:before="0" w:after="283"/>
              <w:ind w:left="0" w:right="0" w:hanging="0"/>
              <w:jc w:val="left"/>
              <w:rPr>
                <w:sz w:val="4"/>
                <w:szCs w:val="4"/>
              </w:rPr>
            </w:pPr>
            <w:r>
              <w:rPr>
                <w:sz w:val="4"/>
                <w:szCs w:val="4"/>
              </w:rPr>
            </w:r>
          </w:p>
        </w:tc>
        <w:tc>
          <w:tcPr>
            <w:tcW w:w="1006" w:type="dxa"/>
            <w:tcBorders/>
            <w:vAlign w:val="center"/>
          </w:tcPr>
          <w:p>
            <w:pPr>
              <w:pStyle w:val="TableContents"/>
              <w:bidi w:val="0"/>
              <w:spacing w:before="0" w:after="283"/>
              <w:ind w:left="0" w:right="0" w:hanging="0"/>
              <w:jc w:val="left"/>
              <w:rPr>
                <w:sz w:val="4"/>
                <w:szCs w:val="4"/>
              </w:rPr>
            </w:pPr>
            <w:r>
              <w:rPr>
                <w:sz w:val="4"/>
                <w:szCs w:val="4"/>
              </w:rPr>
            </w:r>
          </w:p>
        </w:tc>
        <w:tc>
          <w:tcPr>
            <w:tcW w:w="1411" w:type="dxa"/>
            <w:tcBorders/>
            <w:vAlign w:val="center"/>
          </w:tcPr>
          <w:p>
            <w:pPr>
              <w:pStyle w:val="TableContents"/>
              <w:bidi w:val="0"/>
              <w:spacing w:before="0" w:after="283"/>
              <w:ind w:left="0" w:right="0" w:hanging="0"/>
              <w:jc w:val="left"/>
              <w:rPr>
                <w:sz w:val="4"/>
                <w:szCs w:val="4"/>
              </w:rPr>
            </w:pPr>
            <w:r>
              <w:rPr>
                <w:sz w:val="4"/>
                <w:szCs w:val="4"/>
              </w:rPr>
            </w:r>
          </w:p>
        </w:tc>
        <w:tc>
          <w:tcPr>
            <w:tcW w:w="1006" w:type="dxa"/>
            <w:tcBorders/>
            <w:vAlign w:val="center"/>
          </w:tcPr>
          <w:p>
            <w:pPr>
              <w:pStyle w:val="TableContents"/>
              <w:bidi w:val="0"/>
              <w:spacing w:before="0" w:after="283"/>
              <w:ind w:left="0" w:right="0" w:hanging="0"/>
              <w:jc w:val="left"/>
              <w:rPr>
                <w:sz w:val="4"/>
                <w:szCs w:val="4"/>
              </w:rPr>
            </w:pPr>
            <w:r>
              <w:rPr>
                <w:sz w:val="4"/>
                <w:szCs w:val="4"/>
              </w:rPr>
            </w:r>
          </w:p>
        </w:tc>
        <w:tc>
          <w:tcPr>
            <w:tcW w:w="1216" w:type="dxa"/>
            <w:tcBorders/>
            <w:vAlign w:val="center"/>
          </w:tcPr>
          <w:p>
            <w:pPr>
              <w:pStyle w:val="TableContents"/>
              <w:bidi w:val="0"/>
              <w:spacing w:before="0" w:after="283"/>
              <w:ind w:left="0" w:right="0" w:hanging="0"/>
              <w:jc w:val="left"/>
              <w:rPr>
                <w:sz w:val="4"/>
                <w:szCs w:val="4"/>
              </w:rPr>
            </w:pPr>
            <w:r>
              <w:rPr>
                <w:sz w:val="4"/>
                <w:szCs w:val="4"/>
              </w:rPr>
            </w:r>
          </w:p>
        </w:tc>
        <w:tc>
          <w:tcPr>
            <w:tcW w:w="1170" w:type="dxa"/>
            <w:tcBorders/>
            <w:vAlign w:val="center"/>
          </w:tcPr>
          <w:p>
            <w:pPr>
              <w:pStyle w:val="TableContents"/>
              <w:bidi w:val="0"/>
              <w:spacing w:before="0" w:after="283"/>
              <w:ind w:left="0" w:right="0" w:hanging="0"/>
              <w:jc w:val="left"/>
              <w:rPr>
                <w:sz w:val="4"/>
                <w:szCs w:val="4"/>
              </w:rPr>
            </w:pPr>
            <w:r>
              <w:rPr>
                <w:sz w:val="4"/>
                <w:szCs w:val="4"/>
              </w:rPr>
            </w:r>
          </w:p>
        </w:tc>
      </w:tr>
      <w:tr>
        <w:trPr/>
        <w:tc>
          <w:tcPr>
            <w:tcW w:w="153" w:type="dxa"/>
            <w:tcBorders/>
            <w:vAlign w:val="center"/>
          </w:tcPr>
          <w:p>
            <w:pPr>
              <w:pStyle w:val="TableContents"/>
              <w:bidi w:val="0"/>
              <w:spacing w:before="0" w:after="283"/>
              <w:ind w:left="0" w:right="0" w:hanging="0"/>
              <w:jc w:val="left"/>
              <w:rPr>
                <w:sz w:val="4"/>
                <w:szCs w:val="4"/>
              </w:rPr>
            </w:pPr>
            <w:r>
              <w:rPr>
                <w:sz w:val="4"/>
                <w:szCs w:val="4"/>
              </w:rPr>
            </w:r>
          </w:p>
        </w:tc>
        <w:tc>
          <w:tcPr>
            <w:tcW w:w="2397"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Oil</w:t>
            </w:r>
          </w:p>
        </w:tc>
        <w:tc>
          <w:tcPr>
            <w:tcW w:w="76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 Mbbl</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3,634.6</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301.0</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3,935.6</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3,275.2</w:t>
            </w:r>
          </w:p>
        </w:tc>
        <w:tc>
          <w:tcPr>
            <w:tcW w:w="1170"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7,210.8</w:t>
            </w:r>
          </w:p>
        </w:tc>
      </w:tr>
      <w:tr>
        <w:trPr/>
        <w:tc>
          <w:tcPr>
            <w:tcW w:w="153" w:type="dxa"/>
            <w:tcBorders/>
            <w:vAlign w:val="center"/>
          </w:tcPr>
          <w:p>
            <w:pPr>
              <w:pStyle w:val="TableContents"/>
              <w:bidi w:val="0"/>
              <w:spacing w:before="0" w:after="283"/>
              <w:ind w:left="0" w:right="0" w:hanging="0"/>
              <w:jc w:val="left"/>
              <w:rPr>
                <w:sz w:val="4"/>
                <w:szCs w:val="4"/>
              </w:rPr>
            </w:pPr>
            <w:r>
              <w:rPr>
                <w:sz w:val="4"/>
                <w:szCs w:val="4"/>
              </w:rPr>
            </w:r>
          </w:p>
        </w:tc>
        <w:tc>
          <w:tcPr>
            <w:tcW w:w="2397"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Gas</w:t>
            </w:r>
          </w:p>
        </w:tc>
        <w:tc>
          <w:tcPr>
            <w:tcW w:w="76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 MMcf</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38,033.4</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259.1</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38,292.4</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6,533.4</w:t>
            </w:r>
          </w:p>
        </w:tc>
        <w:tc>
          <w:tcPr>
            <w:tcW w:w="1170"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44,825.9</w:t>
            </w:r>
          </w:p>
        </w:tc>
      </w:tr>
      <w:tr>
        <w:trPr/>
        <w:tc>
          <w:tcPr>
            <w:tcW w:w="153" w:type="dxa"/>
            <w:tcBorders/>
            <w:vAlign w:val="center"/>
          </w:tcPr>
          <w:p>
            <w:pPr>
              <w:pStyle w:val="TableContents"/>
              <w:bidi w:val="0"/>
              <w:spacing w:before="0" w:after="283"/>
              <w:ind w:left="0" w:right="0" w:hanging="0"/>
              <w:jc w:val="left"/>
              <w:rPr>
                <w:sz w:val="4"/>
                <w:szCs w:val="4"/>
              </w:rPr>
            </w:pPr>
            <w:r>
              <w:rPr>
                <w:sz w:val="4"/>
                <w:szCs w:val="4"/>
              </w:rPr>
            </w:r>
          </w:p>
        </w:tc>
        <w:tc>
          <w:tcPr>
            <w:tcW w:w="2397"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NGL</w:t>
            </w:r>
          </w:p>
        </w:tc>
        <w:tc>
          <w:tcPr>
            <w:tcW w:w="76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 Mbbl</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1,391.9</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5.4</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1,397.4</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472.4</w:t>
            </w:r>
          </w:p>
        </w:tc>
        <w:tc>
          <w:tcPr>
            <w:tcW w:w="1170"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1,869.8</w:t>
            </w:r>
          </w:p>
        </w:tc>
      </w:tr>
      <w:tr>
        <w:trPr/>
        <w:tc>
          <w:tcPr>
            <w:tcW w:w="2550" w:type="dxa"/>
            <w:gridSpan w:val="2"/>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Net Revenue</w:t>
            </w:r>
          </w:p>
        </w:tc>
        <w:tc>
          <w:tcPr>
            <w:tcW w:w="766" w:type="dxa"/>
            <w:tcBorders/>
            <w:vAlign w:val="center"/>
          </w:tcPr>
          <w:p>
            <w:pPr>
              <w:pStyle w:val="TableContents"/>
              <w:bidi w:val="0"/>
              <w:spacing w:before="0" w:after="283"/>
              <w:ind w:left="0" w:right="0" w:hanging="0"/>
              <w:jc w:val="left"/>
              <w:rPr>
                <w:sz w:val="4"/>
                <w:szCs w:val="4"/>
              </w:rPr>
            </w:pPr>
            <w:r>
              <w:rPr>
                <w:sz w:val="4"/>
                <w:szCs w:val="4"/>
              </w:rPr>
            </w:r>
          </w:p>
        </w:tc>
        <w:tc>
          <w:tcPr>
            <w:tcW w:w="1006" w:type="dxa"/>
            <w:tcBorders/>
            <w:vAlign w:val="center"/>
          </w:tcPr>
          <w:p>
            <w:pPr>
              <w:pStyle w:val="TableContents"/>
              <w:bidi w:val="0"/>
              <w:spacing w:before="0" w:after="283"/>
              <w:ind w:left="0" w:right="0" w:hanging="0"/>
              <w:jc w:val="left"/>
              <w:rPr>
                <w:sz w:val="4"/>
                <w:szCs w:val="4"/>
              </w:rPr>
            </w:pPr>
            <w:r>
              <w:rPr>
                <w:sz w:val="4"/>
                <w:szCs w:val="4"/>
              </w:rPr>
            </w:r>
          </w:p>
        </w:tc>
        <w:tc>
          <w:tcPr>
            <w:tcW w:w="1411" w:type="dxa"/>
            <w:tcBorders/>
            <w:vAlign w:val="center"/>
          </w:tcPr>
          <w:p>
            <w:pPr>
              <w:pStyle w:val="TableContents"/>
              <w:bidi w:val="0"/>
              <w:spacing w:before="0" w:after="283"/>
              <w:ind w:left="0" w:right="0" w:hanging="0"/>
              <w:jc w:val="left"/>
              <w:rPr>
                <w:sz w:val="4"/>
                <w:szCs w:val="4"/>
              </w:rPr>
            </w:pPr>
            <w:r>
              <w:rPr>
                <w:sz w:val="4"/>
                <w:szCs w:val="4"/>
              </w:rPr>
            </w:r>
          </w:p>
        </w:tc>
        <w:tc>
          <w:tcPr>
            <w:tcW w:w="1006" w:type="dxa"/>
            <w:tcBorders/>
            <w:vAlign w:val="center"/>
          </w:tcPr>
          <w:p>
            <w:pPr>
              <w:pStyle w:val="TableContents"/>
              <w:bidi w:val="0"/>
              <w:spacing w:before="0" w:after="283"/>
              <w:ind w:left="0" w:right="0" w:hanging="0"/>
              <w:jc w:val="left"/>
              <w:rPr>
                <w:sz w:val="4"/>
                <w:szCs w:val="4"/>
              </w:rPr>
            </w:pPr>
            <w:r>
              <w:rPr>
                <w:sz w:val="4"/>
                <w:szCs w:val="4"/>
              </w:rPr>
            </w:r>
          </w:p>
        </w:tc>
        <w:tc>
          <w:tcPr>
            <w:tcW w:w="1216" w:type="dxa"/>
            <w:tcBorders/>
            <w:vAlign w:val="center"/>
          </w:tcPr>
          <w:p>
            <w:pPr>
              <w:pStyle w:val="TableContents"/>
              <w:bidi w:val="0"/>
              <w:spacing w:before="0" w:after="283"/>
              <w:ind w:left="0" w:right="0" w:hanging="0"/>
              <w:jc w:val="left"/>
              <w:rPr>
                <w:sz w:val="4"/>
                <w:szCs w:val="4"/>
              </w:rPr>
            </w:pPr>
            <w:r>
              <w:rPr>
                <w:sz w:val="4"/>
                <w:szCs w:val="4"/>
              </w:rPr>
            </w:r>
          </w:p>
        </w:tc>
        <w:tc>
          <w:tcPr>
            <w:tcW w:w="1170" w:type="dxa"/>
            <w:tcBorders/>
            <w:vAlign w:val="center"/>
          </w:tcPr>
          <w:p>
            <w:pPr>
              <w:pStyle w:val="TableContents"/>
              <w:bidi w:val="0"/>
              <w:spacing w:before="0" w:after="283"/>
              <w:ind w:left="0" w:right="0" w:hanging="0"/>
              <w:jc w:val="left"/>
              <w:rPr>
                <w:sz w:val="4"/>
                <w:szCs w:val="4"/>
              </w:rPr>
            </w:pPr>
            <w:r>
              <w:rPr>
                <w:sz w:val="4"/>
                <w:szCs w:val="4"/>
              </w:rPr>
            </w:r>
          </w:p>
        </w:tc>
      </w:tr>
      <w:tr>
        <w:trPr/>
        <w:tc>
          <w:tcPr>
            <w:tcW w:w="153" w:type="dxa"/>
            <w:tcBorders/>
            <w:vAlign w:val="center"/>
          </w:tcPr>
          <w:p>
            <w:pPr>
              <w:pStyle w:val="TableContents"/>
              <w:bidi w:val="0"/>
              <w:spacing w:before="0" w:after="283"/>
              <w:ind w:left="0" w:right="0" w:hanging="0"/>
              <w:jc w:val="left"/>
              <w:rPr>
                <w:sz w:val="4"/>
                <w:szCs w:val="4"/>
              </w:rPr>
            </w:pPr>
            <w:r>
              <w:rPr>
                <w:sz w:val="4"/>
                <w:szCs w:val="4"/>
              </w:rPr>
            </w:r>
          </w:p>
        </w:tc>
        <w:tc>
          <w:tcPr>
            <w:tcW w:w="2397"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Oil</w:t>
            </w:r>
          </w:p>
        </w:tc>
        <w:tc>
          <w:tcPr>
            <w:tcW w:w="76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 M$</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251,737.2</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21,067.9</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272,805.0</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220,776.6</w:t>
            </w:r>
          </w:p>
        </w:tc>
        <w:tc>
          <w:tcPr>
            <w:tcW w:w="1170"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493,581.6</w:t>
            </w:r>
          </w:p>
        </w:tc>
      </w:tr>
      <w:tr>
        <w:trPr/>
        <w:tc>
          <w:tcPr>
            <w:tcW w:w="153" w:type="dxa"/>
            <w:tcBorders/>
            <w:vAlign w:val="center"/>
          </w:tcPr>
          <w:p>
            <w:pPr>
              <w:pStyle w:val="TableContents"/>
              <w:bidi w:val="0"/>
              <w:spacing w:before="0" w:after="283"/>
              <w:ind w:left="0" w:right="0" w:hanging="0"/>
              <w:jc w:val="left"/>
              <w:rPr>
                <w:sz w:val="4"/>
                <w:szCs w:val="4"/>
              </w:rPr>
            </w:pPr>
            <w:r>
              <w:rPr>
                <w:sz w:val="4"/>
                <w:szCs w:val="4"/>
              </w:rPr>
            </w:r>
          </w:p>
        </w:tc>
        <w:tc>
          <w:tcPr>
            <w:tcW w:w="2397"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Gas</w:t>
            </w:r>
          </w:p>
        </w:tc>
        <w:tc>
          <w:tcPr>
            <w:tcW w:w="76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 M$</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129,264.5</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631.9</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129,896.4</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20,500.4</w:t>
            </w:r>
          </w:p>
        </w:tc>
        <w:tc>
          <w:tcPr>
            <w:tcW w:w="1170"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150,396.8</w:t>
            </w:r>
          </w:p>
        </w:tc>
      </w:tr>
      <w:tr>
        <w:trPr/>
        <w:tc>
          <w:tcPr>
            <w:tcW w:w="153" w:type="dxa"/>
            <w:tcBorders/>
            <w:vAlign w:val="center"/>
          </w:tcPr>
          <w:p>
            <w:pPr>
              <w:pStyle w:val="TableContents"/>
              <w:bidi w:val="0"/>
              <w:spacing w:before="0" w:after="283"/>
              <w:ind w:left="0" w:right="0" w:hanging="0"/>
              <w:jc w:val="left"/>
              <w:rPr>
                <w:sz w:val="4"/>
                <w:szCs w:val="4"/>
              </w:rPr>
            </w:pPr>
            <w:r>
              <w:rPr>
                <w:sz w:val="4"/>
                <w:szCs w:val="4"/>
              </w:rPr>
            </w:r>
          </w:p>
        </w:tc>
        <w:tc>
          <w:tcPr>
            <w:tcW w:w="2397"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NGL</w:t>
            </w:r>
          </w:p>
        </w:tc>
        <w:tc>
          <w:tcPr>
            <w:tcW w:w="76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 M$</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32,154.1</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98.1</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32,252.1</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9,478.8</w:t>
            </w:r>
          </w:p>
        </w:tc>
        <w:tc>
          <w:tcPr>
            <w:tcW w:w="1170"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41,730.9</w:t>
            </w:r>
          </w:p>
        </w:tc>
      </w:tr>
      <w:tr>
        <w:trPr/>
        <w:tc>
          <w:tcPr>
            <w:tcW w:w="2550" w:type="dxa"/>
            <w:gridSpan w:val="2"/>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Severance Taxes</w:t>
            </w:r>
          </w:p>
        </w:tc>
        <w:tc>
          <w:tcPr>
            <w:tcW w:w="76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 M$</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26,250.2</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1,688.4</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27,938.6</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18,128.2</w:t>
            </w:r>
          </w:p>
        </w:tc>
        <w:tc>
          <w:tcPr>
            <w:tcW w:w="1170"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46,066.7</w:t>
            </w:r>
          </w:p>
        </w:tc>
      </w:tr>
      <w:tr>
        <w:trPr/>
        <w:tc>
          <w:tcPr>
            <w:tcW w:w="2550" w:type="dxa"/>
            <w:gridSpan w:val="2"/>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Ad Valorem Taxes</w:t>
            </w:r>
          </w:p>
        </w:tc>
        <w:tc>
          <w:tcPr>
            <w:tcW w:w="76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 M$</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5,243.0</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0.0</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5,243.0</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954.8</w:t>
            </w:r>
          </w:p>
        </w:tc>
        <w:tc>
          <w:tcPr>
            <w:tcW w:w="1170"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6,197.7</w:t>
            </w:r>
          </w:p>
        </w:tc>
      </w:tr>
      <w:tr>
        <w:trPr/>
        <w:tc>
          <w:tcPr>
            <w:tcW w:w="2550" w:type="dxa"/>
            <w:gridSpan w:val="2"/>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Future Production Costs</w:t>
            </w:r>
          </w:p>
        </w:tc>
        <w:tc>
          <w:tcPr>
            <w:tcW w:w="76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 M$</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199,535.7</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9,426.1</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208,961.8</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64,370.2</w:t>
            </w:r>
          </w:p>
        </w:tc>
        <w:tc>
          <w:tcPr>
            <w:tcW w:w="1170"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273,332.0</w:t>
            </w:r>
          </w:p>
        </w:tc>
      </w:tr>
      <w:tr>
        <w:trPr/>
        <w:tc>
          <w:tcPr>
            <w:tcW w:w="2550" w:type="dxa"/>
            <w:gridSpan w:val="2"/>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Future Development Costs</w:t>
            </w:r>
          </w:p>
        </w:tc>
        <w:tc>
          <w:tcPr>
            <w:tcW w:w="76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 M$</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24,913.5</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1,199.6</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26,113.2</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74,788.5</w:t>
            </w:r>
          </w:p>
        </w:tc>
        <w:tc>
          <w:tcPr>
            <w:tcW w:w="1170"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100,901.6</w:t>
            </w:r>
          </w:p>
        </w:tc>
      </w:tr>
      <w:tr>
        <w:trPr/>
        <w:tc>
          <w:tcPr>
            <w:tcW w:w="2550" w:type="dxa"/>
            <w:gridSpan w:val="2"/>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21"/>
              </w:rPr>
              <w:t xml:space="preserve">Net Operating Income </w:t>
            </w:r>
            <w:r>
              <w:rPr>
                <w:rFonts w:ascii="Times New Roman;Times;serif" w:hAnsi="Times New Roman;Times;serif"/>
                <w:sz w:val="16"/>
              </w:rPr>
              <w:t>(BFIT)</w:t>
            </w:r>
          </w:p>
        </w:tc>
        <w:tc>
          <w:tcPr>
            <w:tcW w:w="766" w:type="dxa"/>
            <w:tcBorders/>
            <w:vAlign w:val="center"/>
          </w:tcPr>
          <w:p>
            <w:pPr>
              <w:pStyle w:val="TableContents"/>
              <w:bidi w:val="0"/>
              <w:spacing w:before="0" w:after="0"/>
              <w:ind w:left="0" w:right="0" w:hanging="0"/>
              <w:jc w:val="left"/>
              <w:rPr>
                <w:rFonts w:ascii="Times New Roman;Times;serif" w:hAnsi="Times New Roman;Times;serif"/>
                <w:sz w:val="21"/>
              </w:rPr>
            </w:pPr>
            <w:r>
              <w:rPr>
                <w:rFonts w:ascii="Times New Roman;Times;serif" w:hAnsi="Times New Roman;Times;serif"/>
                <w:sz w:val="21"/>
              </w:rPr>
              <w:t>- M$</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157,213.4</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9,483.8</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166,697.1</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92,514.1</w:t>
            </w:r>
          </w:p>
        </w:tc>
        <w:tc>
          <w:tcPr>
            <w:tcW w:w="1170" w:type="dxa"/>
            <w:tcBorders/>
            <w:vAlign w:val="center"/>
          </w:tcPr>
          <w:p>
            <w:pPr>
              <w:pStyle w:val="TableContents"/>
              <w:bidi w:val="0"/>
              <w:spacing w:before="0" w:after="0"/>
              <w:ind w:left="0" w:right="0" w:hanging="0"/>
              <w:jc w:val="right"/>
              <w:rPr>
                <w:rFonts w:ascii="Times New Roman;Times;serif" w:hAnsi="Times New Roman;Times;serif"/>
                <w:sz w:val="21"/>
              </w:rPr>
            </w:pPr>
            <w:r>
              <w:rPr>
                <w:rFonts w:ascii="Times New Roman;Times;serif" w:hAnsi="Times New Roman;Times;serif"/>
                <w:sz w:val="21"/>
              </w:rPr>
              <w:t>259,211.2</w:t>
            </w:r>
          </w:p>
        </w:tc>
      </w:tr>
      <w:tr>
        <w:trPr/>
        <w:tc>
          <w:tcPr>
            <w:tcW w:w="153" w:type="dxa"/>
            <w:tcBorders/>
            <w:vAlign w:val="center"/>
          </w:tcPr>
          <w:p>
            <w:pPr>
              <w:pStyle w:val="TableContents"/>
              <w:bidi w:val="0"/>
              <w:spacing w:before="0" w:after="283"/>
              <w:ind w:left="0" w:right="0" w:hanging="0"/>
              <w:jc w:val="left"/>
              <w:rPr>
                <w:sz w:val="4"/>
                <w:szCs w:val="4"/>
              </w:rPr>
            </w:pPr>
            <w:r>
              <w:rPr>
                <w:sz w:val="4"/>
                <w:szCs w:val="4"/>
              </w:rPr>
            </w:r>
          </w:p>
        </w:tc>
        <w:tc>
          <w:tcPr>
            <w:tcW w:w="2397" w:type="dxa"/>
            <w:tcBorders/>
            <w:vAlign w:val="center"/>
          </w:tcPr>
          <w:p>
            <w:pPr>
              <w:pStyle w:val="TableContents"/>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 xml:space="preserve">Discounted @ 10% </w:t>
            </w:r>
          </w:p>
        </w:tc>
        <w:tc>
          <w:tcPr>
            <w:tcW w:w="766" w:type="dxa"/>
            <w:tcBorders/>
            <w:vAlign w:val="center"/>
          </w:tcPr>
          <w:p>
            <w:pPr>
              <w:pStyle w:val="TableContents"/>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 M$</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21"/>
              </w:rPr>
            </w:pPr>
            <w:r>
              <w:rPr>
                <w:rFonts w:ascii="Times New Roman;Times;serif" w:hAnsi="Times New Roman;Times;serif"/>
                <w:b/>
                <w:sz w:val="21"/>
              </w:rPr>
              <w:t>94,735.1</w:t>
            </w:r>
          </w:p>
        </w:tc>
        <w:tc>
          <w:tcPr>
            <w:tcW w:w="1411" w:type="dxa"/>
            <w:tcBorders/>
            <w:vAlign w:val="center"/>
          </w:tcPr>
          <w:p>
            <w:pPr>
              <w:pStyle w:val="TableContents"/>
              <w:bidi w:val="0"/>
              <w:spacing w:before="0" w:after="0"/>
              <w:ind w:left="0" w:right="0" w:hanging="0"/>
              <w:jc w:val="right"/>
              <w:rPr>
                <w:rFonts w:ascii="Times New Roman;Times;serif" w:hAnsi="Times New Roman;Times;serif"/>
                <w:b/>
                <w:sz w:val="21"/>
              </w:rPr>
            </w:pPr>
            <w:r>
              <w:rPr>
                <w:rFonts w:ascii="Times New Roman;Times;serif" w:hAnsi="Times New Roman;Times;serif"/>
                <w:b/>
                <w:sz w:val="21"/>
              </w:rPr>
              <w:t>3,400.8</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21"/>
              </w:rPr>
            </w:pPr>
            <w:r>
              <w:rPr>
                <w:rFonts w:ascii="Times New Roman;Times;serif" w:hAnsi="Times New Roman;Times;serif"/>
                <w:b/>
                <w:sz w:val="21"/>
              </w:rPr>
              <w:t>98,136.0</w:t>
            </w:r>
          </w:p>
        </w:tc>
        <w:tc>
          <w:tcPr>
            <w:tcW w:w="1216" w:type="dxa"/>
            <w:tcBorders/>
            <w:vAlign w:val="center"/>
          </w:tcPr>
          <w:p>
            <w:pPr>
              <w:pStyle w:val="TableContents"/>
              <w:bidi w:val="0"/>
              <w:spacing w:before="0" w:after="0"/>
              <w:ind w:left="0" w:right="0" w:hanging="0"/>
              <w:jc w:val="right"/>
              <w:rPr>
                <w:rFonts w:ascii="Times New Roman;Times;serif" w:hAnsi="Times New Roman;Times;serif"/>
                <w:b/>
                <w:sz w:val="21"/>
              </w:rPr>
            </w:pPr>
            <w:r>
              <w:rPr>
                <w:rFonts w:ascii="Times New Roman;Times;serif" w:hAnsi="Times New Roman;Times;serif"/>
                <w:b/>
                <w:sz w:val="21"/>
              </w:rPr>
              <w:t>37,397.6</w:t>
            </w:r>
          </w:p>
        </w:tc>
        <w:tc>
          <w:tcPr>
            <w:tcW w:w="1170" w:type="dxa"/>
            <w:tcBorders/>
            <w:vAlign w:val="center"/>
          </w:tcPr>
          <w:p>
            <w:pPr>
              <w:pStyle w:val="TableContents"/>
              <w:bidi w:val="0"/>
              <w:spacing w:before="0" w:after="0"/>
              <w:ind w:left="0" w:right="164" w:hanging="0"/>
              <w:jc w:val="right"/>
              <w:rPr>
                <w:rFonts w:ascii="Times New Roman;Times;serif" w:hAnsi="Times New Roman;Times;serif"/>
                <w:b/>
                <w:sz w:val="21"/>
              </w:rPr>
            </w:pPr>
            <w:r>
              <w:rPr>
                <w:rFonts w:ascii="Times New Roman;Times;serif" w:hAnsi="Times New Roman;Times;serif"/>
                <w:b/>
                <w:sz w:val="21"/>
              </w:rPr>
              <w:t>135,533.6</w:t>
            </w:r>
          </w:p>
        </w:tc>
      </w:tr>
    </w:tbl>
    <w:p>
      <w:pPr>
        <w:pStyle w:val="TextBody"/>
        <w:bidi w:val="0"/>
        <w:spacing w:before="0" w:after="120"/>
        <w:ind w:left="0" w:right="0" w:firstLine="720"/>
        <w:jc w:val="both"/>
        <w:rPr/>
      </w:pPr>
      <w:r>
        <w:rPr/>
        <w:t>​</w:t>
      </w:r>
    </w:p>
    <w:p>
      <w:pPr>
        <w:pStyle w:val="TextBody"/>
        <w:bidi w:val="0"/>
        <w:spacing w:before="0" w:after="0"/>
        <w:ind w:left="0" w:right="0" w:hanging="0"/>
        <w:jc w:val="right"/>
        <w:rPr/>
      </w:pPr>
      <w:r>
        <w:rPr/>
        <w:t>​</w:t>
      </w:r>
    </w:p>
    <w:p>
      <w:pPr>
        <w:pStyle w:val="HorizontalLine"/>
        <w:pBdr>
          <w:bottom w:val="double" w:sz="2" w:space="0" w:color="808080"/>
        </w:pBdr>
        <w:bidi w:val="0"/>
        <w:spacing w:before="0" w:after="283"/>
        <w:jc w:val="left"/>
        <w:rPr/>
      </w:pPr>
      <w:r>
        <w:rPr/>
      </w:r>
    </w:p>
    <w:p>
      <w:pPr>
        <w:pStyle w:val="TextBody"/>
        <w:bidi w:val="0"/>
        <w:spacing w:before="600" w:after="283"/>
        <w:jc w:val="left"/>
        <w:rPr/>
      </w:pPr>
      <w:r>
        <w:rPr/>
        <w:drawing>
          <wp:inline distT="0" distB="0" distL="0" distR="0">
            <wp:extent cx="1209675" cy="368300"/>
            <wp:effectExtent l="0" t="0" r="0" b="0"/>
            <wp:docPr id="55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Image4" descr=""/>
                    <pic:cNvPicPr>
                      <a:picLocks noChangeAspect="1" noChangeArrowheads="1"/>
                    </pic:cNvPicPr>
                  </pic:nvPicPr>
                  <pic:blipFill>
                    <a:blip r:embed="rId46"/>
                    <a:stretch>
                      <a:fillRect/>
                    </a:stretch>
                  </pic:blipFill>
                  <pic:spPr bwMode="auto">
                    <a:xfrm>
                      <a:off x="0" y="0"/>
                      <a:ext cx="1209675" cy="368300"/>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11, 2026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Page 2</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pacing w:val="-3"/>
          <w:sz w:val="22"/>
        </w:rPr>
      </w:pPr>
      <w:r>
        <w:rPr>
          <w:rFonts w:ascii="Times New Roman;Times;serif" w:hAnsi="Times New Roman;Times;serif"/>
          <w:spacing w:val="-3"/>
          <w:sz w:val="22"/>
        </w:rPr>
        <w:t>Future revenue is prior to deducting state production taxes and ad valorem taxes. Future net cash flow (net operating income) is after deducting these taxes, future development costs, and future production costs, but before consideration of federal income taxes.  In accordance with SEC guidelines, the future net cash flow has been discounted at an annual rate of ten (10) percent to determine its “present worth”.  The present worth is shown to indicate the effect of time on the value of money and should not be construed as being the fair market value of the properties by Cawley, Gillespie &amp; Associates, Inc. (CG&amp;A).</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pacing w:val="-3"/>
          <w:sz w:val="22"/>
        </w:rPr>
        <w:t xml:space="preserve">The oil reserves include oil and condensate.  Oil and natural gas liquid (NGL) volumes are expressed in barrels (42 U.S. gallons).  Gas volumes are expressed in thousands of standard cubic feet (Mcf) at contract temperature and pressure base. </w:t>
      </w:r>
      <w:r>
        <w:rPr>
          <w:rFonts w:ascii="Times New Roman;Times;serif" w:hAnsi="Times New Roman;Times;serif"/>
          <w:sz w:val="22"/>
        </w:rPr>
        <w:t xml:space="preserve">Our estimates are for proved reserves only and do not include any probable or possible reserves, nor have any values been attributed to interest in acreage beyond the location for which undeveloped reserves have been estimated.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Proved Developed reserves are equivalent to the Proved Developed Producing plus the Proved Developed Non-Producing reserve estimates. Proved Developed reserves were estimated at 3,935.6 Mbbl oil, 38,292.4 MMcf gas and 1,397.4 Mbbl NGLs (or 11,715.1 MBOE). BOE (barrels of oil equivalent) is expressed as oil and NGL volumes in barrels plus gas volumes in Mcf divided by six (6) to convert to barrels.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Hydrocarbon Pricing</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pacing w:val="-3"/>
          <w:sz w:val="22"/>
        </w:rPr>
        <w:t>The base SEC oil and gas prices calculated for June 30, 2026 were $72.93 per barrel and $3.62 per MMBTU, respectively. As specified by the SEC, a company must use a 12-month average price, calculated as the unweighted arithmetic average of the first-day-of-the-month price for each month within the 12-month period prior to the end of the reporting period. The SEC base oil price is based upon WTI-Cushing spot prices (EIA) and the SEC base gas price is based upon Henry Hub spot prices (EIA) from July 2025 through June 2026.</w:t>
      </w:r>
      <w:r>
        <w:rPr>
          <w:rFonts w:ascii="Times New Roman;Times;serif" w:hAnsi="Times New Roman;Times;serif"/>
          <w:sz w:val="24"/>
        </w:rPr>
        <w:t xml:space="preserve"> </w:t>
      </w:r>
      <w:r>
        <w:rPr>
          <w:rFonts w:ascii="Times New Roman;Times;serif" w:hAnsi="Times New Roman;Times;serif"/>
          <w:sz w:val="22"/>
        </w:rPr>
        <w:t>Furthermore, NGL prices averaged 32.6% of the proved net oil price on a composite basis.</w:t>
      </w:r>
    </w:p>
    <w:p>
      <w:pPr>
        <w:pStyle w:val="TextBody"/>
        <w:bidi w:val="0"/>
        <w:spacing w:before="0" w:after="0"/>
        <w:ind w:left="0" w:right="0" w:hanging="0"/>
        <w:jc w:val="both"/>
        <w:rPr>
          <w:spacing w:val="-3"/>
        </w:rPr>
      </w:pPr>
      <w:r>
        <w:rPr>
          <w:spacing w:val="-3"/>
        </w:rPr>
        <w:t> </w:t>
      </w:r>
    </w:p>
    <w:p>
      <w:pPr>
        <w:pStyle w:val="TextBody"/>
        <w:bidi w:val="0"/>
        <w:spacing w:before="0" w:after="0"/>
        <w:ind w:left="0" w:right="0" w:hanging="0"/>
        <w:jc w:val="both"/>
        <w:rPr>
          <w:rFonts w:ascii="Times New Roman;Times;serif" w:hAnsi="Times New Roman;Times;serif"/>
          <w:spacing w:val="-3"/>
          <w:sz w:val="22"/>
        </w:rPr>
      </w:pPr>
      <w:r>
        <w:rPr>
          <w:rFonts w:ascii="Times New Roman;Times;serif" w:hAnsi="Times New Roman;Times;serif"/>
          <w:spacing w:val="-3"/>
          <w:sz w:val="22"/>
        </w:rPr>
        <w:t>The base oil, gas and NGL prices were adjusted for differentials on a basin level basis for all states except Oklahoma, where prices were adjusted by operator for the five (5) highest valued operators (determined by historic revenue) due to the availability of data at that level. Base oil, gas and NGL prices were adjusted on a basin level basis for the remaining operators in Oklahoma. The base prices may include local basis differentials, transportation, gas shrinkage, gas heating value (BTU content) and/or crude quality and gravity corrections. After these adjustments, the net realized prices over the life of the proved properties were estimated to be $68.450 per barrel for oil, $3.355 per MCF for gas and $22.319 per barrel for NGLs. All economic factors were held constant (not escalated) in accordance with SEC guidelines.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Economic Parameters</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Ownership was accepted as furnished and has not been independently confirmed. Oil and gas price differentials, gas shrinkage, ad valorem taxes, future production costs (lease operating expenses) and future development costs (capital investments) were calculated and prepared by Evolution. Our audit of the historic expense data determined that the commercial parameters being applied were reasonable and appropriate, and therefore no changes were made to cost parameters. All economic parameters, including future production costs and investments, were held constant (not escalated) throughout the life of these properties in accordance with SEC guidelines.</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rFonts w:ascii="Times New Roman;Times;serif" w:hAnsi="Times New Roman;Times;serif"/>
          <w:spacing w:val="-3"/>
          <w:sz w:val="22"/>
        </w:rPr>
      </w:pPr>
      <w:r>
        <w:rPr>
          <w:rFonts w:ascii="Times New Roman;Times;serif" w:hAnsi="Times New Roman;Times;serif"/>
          <w:spacing w:val="-3"/>
          <w:sz w:val="22"/>
        </w:rPr>
        <w:t xml:space="preserve">Future production costs shown in the summary table on page one (1) of this letter includes standard operating expenses (fixed) as well as “other deductions” which are variable operating expenses tied to production volumes. </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rFonts w:ascii="Times New Roman;Times;serif" w:hAnsi="Times New Roman;Times;serif"/>
          <w:b/>
          <w:spacing w:val="-3"/>
          <w:sz w:val="22"/>
        </w:rPr>
      </w:pPr>
      <w:r>
        <w:rPr>
          <w:rFonts w:ascii="Times New Roman;Times;serif" w:hAnsi="Times New Roman;Times;serif"/>
          <w:b/>
          <w:spacing w:val="-3"/>
          <w:sz w:val="22"/>
        </w:rPr>
        <w:t>SEC Conformance and Regulations</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pacing w:val="-3"/>
          <w:sz w:val="22"/>
        </w:rPr>
        <w:t>The reserve classifications and the economic considerations used herein conform to the criteria of the SEC as defined on pages five (5) and six (6) of the Appendix. The reserves and economics are predicated on regulatory agency classifications, rules, policies, laws, taxes, and</w:t>
      </w:r>
      <w:r>
        <w:rPr>
          <w:rFonts w:ascii="Times New Roman;Times;serif" w:hAnsi="Times New Roman;Times;serif"/>
          <w:spacing w:val="-3"/>
          <w:sz w:val="24"/>
        </w:rPr>
        <w:t xml:space="preserve"> </w:t>
      </w:r>
      <w:r>
        <w:rPr>
          <w:rFonts w:ascii="Times New Roman;Times;serif" w:hAnsi="Times New Roman;Times;serif"/>
          <w:spacing w:val="-3"/>
          <w:sz w:val="22"/>
        </w:rPr>
        <w:t>royalties currently in effect.  </w:t>
      </w:r>
      <w:r>
        <w:rPr>
          <w:rFonts w:ascii="Times New Roman;Times;serif" w:hAnsi="Times New Roman;Times;serif"/>
          <w:sz w:val="22"/>
        </w:rPr>
        <w:t>Evolution</w:t>
      </w:r>
      <w:r>
        <w:rPr>
          <w:rFonts w:ascii="Times New Roman;Times;serif" w:hAnsi="Times New Roman;Times;serif"/>
          <w:sz w:val="24"/>
        </w:rPr>
        <w:t>’</w:t>
      </w:r>
      <w:r>
        <w:rPr>
          <w:rFonts w:ascii="Times New Roman;Times;serif" w:hAnsi="Times New Roman;Times;serif"/>
          <w:sz w:val="22"/>
        </w:rPr>
        <w:t xml:space="preserve">s operations may be subject to various levels of governmental controls and regulations. These controls and regulations may include matters relating </w:t>
      </w:r>
    </w:p>
    <w:p>
      <w:pPr>
        <w:pStyle w:val="TextBody"/>
        <w:bidi w:val="0"/>
        <w:spacing w:before="0" w:after="0"/>
        <w:ind w:left="0" w:right="360" w:hanging="0"/>
        <w:jc w:val="right"/>
        <w:rPr/>
      </w:pPr>
      <w:r>
        <w:rPr/>
        <w:t>​</w:t>
      </w:r>
    </w:p>
    <w:p>
      <w:pPr>
        <w:pStyle w:val="HorizontalLine"/>
        <w:pBdr>
          <w:bottom w:val="double" w:sz="2" w:space="0" w:color="808080"/>
        </w:pBdr>
        <w:bidi w:val="0"/>
        <w:spacing w:before="0" w:after="283"/>
        <w:jc w:val="left"/>
        <w:rPr/>
      </w:pPr>
      <w:r>
        <w:rPr/>
      </w:r>
    </w:p>
    <w:p>
      <w:pPr>
        <w:pStyle w:val="TextBody"/>
        <w:bidi w:val="0"/>
        <w:spacing w:before="600" w:after="283"/>
        <w:jc w:val="left"/>
        <w:rPr/>
      </w:pPr>
      <w:r>
        <w:rPr/>
        <w:drawing>
          <wp:inline distT="0" distB="0" distL="0" distR="0">
            <wp:extent cx="1209675" cy="368300"/>
            <wp:effectExtent l="0" t="0" r="0" b="0"/>
            <wp:docPr id="55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 name="Image5" descr=""/>
                    <pic:cNvPicPr>
                      <a:picLocks noChangeAspect="1" noChangeArrowheads="1"/>
                    </pic:cNvPicPr>
                  </pic:nvPicPr>
                  <pic:blipFill>
                    <a:blip r:embed="rId47"/>
                    <a:stretch>
                      <a:fillRect/>
                    </a:stretch>
                  </pic:blipFill>
                  <pic:spPr bwMode="auto">
                    <a:xfrm>
                      <a:off x="0" y="0"/>
                      <a:ext cx="1209675" cy="368300"/>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11, 2026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Page 3</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2"/>
        </w:rPr>
        <w:t>to land tenure, drilling, production practices, environmental protection, marketing and pricing policies, royalties, various taxes and levies including income tax and are subject to change from time to time.  Such changes in governmental regulations and policies may cause volumes of reserves actually recovered and amounts of income actually received to differ significantly from the estimated quantities.</w:t>
      </w:r>
      <w:r>
        <w:rPr>
          <w:rFonts w:ascii="Times New Roman;Times;serif" w:hAnsi="Times New Roman;Times;serif"/>
          <w:spacing w:val="-3"/>
          <w:sz w:val="24"/>
        </w:rPr>
        <w:t xml:space="preserve"> </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rFonts w:ascii="Times New Roman;Times;serif" w:hAnsi="Times New Roman;Times;serif"/>
          <w:spacing w:val="-3"/>
          <w:sz w:val="22"/>
        </w:rPr>
      </w:pPr>
      <w:r>
        <w:rPr>
          <w:rFonts w:ascii="Times New Roman;Times;serif" w:hAnsi="Times New Roman;Times;serif"/>
          <w:spacing w:val="-3"/>
          <w:sz w:val="22"/>
        </w:rPr>
        <w:t>This evaluation includes eight (8) PDNP cases, which represent reserves attributed to behind pipe opportunities, wells that have been completed but are not online as of the effective date and workovers. One (1) PDNP, the Cooper Jal Unit (37 Prod) is an incremental case modeled to bring wells back online via tubing and pump repair or replacement. This evaluation also includes 87 PUD locations, each being a commercial horizontal well opportunity targeting various reservoirs in Louisiana, North Dakota, New Mexico, Oklahoma and Texas. Each of the commercial PDNP opportunities and PUD drilling locations proposed as part of Evolution’s development plans conforms to the proven reserves standards as set forth by the SEC. In our opinion, the operators of these drills have indicated they have reasonably certain intent to complete this development plan within the next five (5) years. Furthermore, Evolution and the operators of these wells have demonstrated through their actions that they have the proper company staffing, financial backing and prior development success to ensure this development plan will be fully executed.  </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Reserves Estimation Methods</w:t>
      </w:r>
    </w:p>
    <w:p>
      <w:pPr>
        <w:pStyle w:val="TextBody"/>
        <w:bidi w:val="0"/>
        <w:spacing w:before="0" w:after="0"/>
        <w:ind w:left="0" w:right="0" w:firstLine="720"/>
        <w:jc w:val="both"/>
        <w:rPr>
          <w:rFonts w:ascii="Times New Roman;Times;serif" w:hAnsi="Times New Roman;Times;serif"/>
          <w:spacing w:val="-3"/>
          <w:sz w:val="22"/>
        </w:rPr>
      </w:pPr>
      <w:r>
        <w:rPr>
          <w:rFonts w:ascii="Times New Roman;Times;serif" w:hAnsi="Times New Roman;Times;serif"/>
          <w:spacing w:val="-3"/>
          <w:sz w:val="22"/>
        </w:rPr>
        <w:t xml:space="preserve">Reserves for proved developed producing wells were estimated using production performance methods for the vast majority of properties. Certain new producing properties with very little production history were forecast using a combination of production performance and analogy to similar production, both of which are considered to provide a relatively high degree of accuracy. </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pPr>
      <w:r>
        <w:rPr>
          <w:spacing w:val="-3"/>
        </w:rPr>
        <w:t xml:space="preserve">               </w:t>
      </w:r>
      <w:r>
        <w:rPr>
          <w:rFonts w:ascii="Times New Roman;Times;serif" w:hAnsi="Times New Roman;Times;serif"/>
          <w:spacing w:val="-3"/>
          <w:sz w:val="22"/>
        </w:rPr>
        <w:t xml:space="preserve">Non-producing reserve estimates, for developed and undeveloped properties, were forecast using either production performance, volumetric or analogy methods, or a combination of each. These methods provide a relatively high degree of accuracy for predicting PDNP and PUD reserves for the </w:t>
      </w:r>
      <w:r>
        <w:rPr>
          <w:rFonts w:ascii="Times New Roman;Times;serif" w:hAnsi="Times New Roman;Times;serif"/>
          <w:sz w:val="22"/>
        </w:rPr>
        <w:t>Evolution</w:t>
      </w:r>
      <w:r>
        <w:rPr>
          <w:rFonts w:ascii="Times New Roman;Times;serif" w:hAnsi="Times New Roman;Times;serif"/>
          <w:spacing w:val="-3"/>
          <w:sz w:val="22"/>
        </w:rPr>
        <w:t xml:space="preserve"> properties, due to the mature nature of their properties targeted for development and an abundance of subsurface control data. The assumptions, data, methods and procedures used herein are appropriate for the purpose served by this report.</w:t>
      </w:r>
    </w:p>
    <w:p>
      <w:pPr>
        <w:pStyle w:val="TextBody"/>
        <w:bidi w:val="0"/>
        <w:spacing w:before="0" w:after="0"/>
        <w:ind w:left="0" w:right="0" w:firstLine="720"/>
        <w:jc w:val="both"/>
        <w:rPr>
          <w:spacing w:val="-3"/>
        </w:rPr>
      </w:pPr>
      <w:r>
        <w:rPr>
          <w:spacing w:val="-3"/>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General Discussion</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pacing w:val="-3"/>
          <w:sz w:val="22"/>
        </w:rPr>
        <w:t>The estimates and forecasts were based upon</w:t>
      </w:r>
      <w:r>
        <w:rPr>
          <w:rFonts w:ascii="Times New Roman;Times;serif" w:hAnsi="Times New Roman;Times;serif"/>
          <w:spacing w:val="-3"/>
          <w:sz w:val="24"/>
        </w:rPr>
        <w:t xml:space="preserve"> </w:t>
      </w:r>
      <w:r>
        <w:rPr>
          <w:rFonts w:ascii="Times New Roman;Times;serif" w:hAnsi="Times New Roman;Times;serif"/>
          <w:spacing w:val="-3"/>
          <w:sz w:val="22"/>
        </w:rPr>
        <w:t>interpretations of data furnished by your office and available from our files. To some extent information from public records has been used to check and/or supplement these data. The basic engineering and geological data were subject to third-party</w:t>
      </w:r>
      <w:r>
        <w:rPr>
          <w:rFonts w:ascii="Times New Roman;Times;serif" w:hAnsi="Times New Roman;Times;serif"/>
          <w:spacing w:val="-3"/>
          <w:sz w:val="24"/>
        </w:rPr>
        <w:t xml:space="preserve"> </w:t>
      </w:r>
      <w:r>
        <w:rPr>
          <w:rFonts w:ascii="Times New Roman;Times;serif" w:hAnsi="Times New Roman;Times;serif"/>
          <w:spacing w:val="-3"/>
          <w:sz w:val="22"/>
        </w:rPr>
        <w:t>reservations and qualifications. Nothing has come to our attention, however, that would cause us to believe that we are not justified in relying on such data. All estimates represent our best judgment based on the data available at the time of preparation. Reserves estimates will generally be revised as additional geologic or engineering data become available or as economic conditions change.  Moreover, estimates of reserves may increase or decrease as a result of future operations, effects of regulation by governmental agencies or geopolitical or economic risks.  As a result, the estimates of oil and gas reserves have an intrinsic</w:t>
      </w:r>
      <w:r>
        <w:rPr>
          <w:rFonts w:ascii="Times New Roman;Times;serif" w:hAnsi="Times New Roman;Times;serif"/>
          <w:spacing w:val="-3"/>
          <w:sz w:val="24"/>
        </w:rPr>
        <w:t xml:space="preserve"> </w:t>
      </w:r>
      <w:r>
        <w:rPr>
          <w:rFonts w:ascii="Times New Roman;Times;serif" w:hAnsi="Times New Roman;Times;serif"/>
          <w:spacing w:val="-3"/>
          <w:sz w:val="22"/>
        </w:rPr>
        <w:t>uncertainty.  The reserves included in this report are therefore estimates only and should not be construed as being exact quantities. They may or may not be actually recovered, and if recovered, the revenues therefrom, and the actual costs related thereto,</w:t>
      </w:r>
      <w:r>
        <w:rPr>
          <w:rFonts w:ascii="Times New Roman;Times;serif" w:hAnsi="Times New Roman;Times;serif"/>
          <w:spacing w:val="-3"/>
          <w:sz w:val="24"/>
        </w:rPr>
        <w:t xml:space="preserve"> </w:t>
      </w:r>
      <w:r>
        <w:rPr>
          <w:rFonts w:ascii="Times New Roman;Times;serif" w:hAnsi="Times New Roman;Times;serif"/>
          <w:spacing w:val="-3"/>
          <w:sz w:val="22"/>
        </w:rPr>
        <w:t xml:space="preserve">could be more or less than the estimated amounts. </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pacing w:val="-3"/>
          <w:sz w:val="22"/>
        </w:rPr>
        <w:t>An on-site field inspection of the properties has not been performed. The mechanical operation or condition of the wells and their related facilities have not been examined nor have the wells been tested by Cawley, Gillespie &amp; Associates, Inc. Possible environmental liability related to the properties has not been investigated nor considered. The cost of plugging and the salvage value of equipment</w:t>
      </w:r>
      <w:r>
        <w:rPr>
          <w:rFonts w:ascii="Times New Roman;Times;serif" w:hAnsi="Times New Roman;Times;serif"/>
          <w:spacing w:val="-3"/>
          <w:sz w:val="24"/>
        </w:rPr>
        <w:t xml:space="preserve"> </w:t>
      </w:r>
      <w:r>
        <w:rPr>
          <w:rFonts w:ascii="Times New Roman;Times;serif" w:hAnsi="Times New Roman;Times;serif"/>
          <w:spacing w:val="-3"/>
          <w:sz w:val="22"/>
        </w:rPr>
        <w:t>at abandonment have been included in this evaluation as directed.</w:t>
      </w:r>
    </w:p>
    <w:p>
      <w:pPr>
        <w:pStyle w:val="TextBody"/>
        <w:bidi w:val="0"/>
        <w:spacing w:before="0" w:after="0"/>
        <w:ind w:left="0" w:right="0" w:hanging="0"/>
        <w:jc w:val="both"/>
        <w:rPr>
          <w:spacing w:val="-3"/>
        </w:rPr>
      </w:pPr>
      <w:r>
        <w:rPr>
          <w:spacing w:val="-3"/>
        </w:rPr>
        <w:t>​</w:t>
      </w:r>
    </w:p>
    <w:p>
      <w:pPr>
        <w:pStyle w:val="TextBody"/>
        <w:bidi w:val="0"/>
        <w:spacing w:before="0" w:after="0"/>
        <w:ind w:left="0" w:right="360" w:hanging="0"/>
        <w:jc w:val="right"/>
        <w:rPr/>
      </w:pPr>
      <w:r>
        <w:rPr/>
        <w:t>​</w:t>
      </w:r>
    </w:p>
    <w:p>
      <w:pPr>
        <w:pStyle w:val="HorizontalLine"/>
        <w:pBdr>
          <w:bottom w:val="double" w:sz="2" w:space="0" w:color="808080"/>
        </w:pBdr>
        <w:bidi w:val="0"/>
        <w:spacing w:before="0" w:after="283"/>
        <w:jc w:val="left"/>
        <w:rPr/>
      </w:pPr>
      <w:r>
        <w:rPr/>
      </w:r>
    </w:p>
    <w:p>
      <w:pPr>
        <w:pStyle w:val="TextBody"/>
        <w:bidi w:val="0"/>
        <w:spacing w:before="600" w:after="283"/>
        <w:jc w:val="left"/>
        <w:rPr/>
      </w:pPr>
      <w:r>
        <w:rPr/>
        <w:drawing>
          <wp:inline distT="0" distB="0" distL="0" distR="0">
            <wp:extent cx="1209675" cy="368300"/>
            <wp:effectExtent l="0" t="0" r="0" b="0"/>
            <wp:docPr id="55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 name="Image6" descr=""/>
                    <pic:cNvPicPr>
                      <a:picLocks noChangeAspect="1" noChangeArrowheads="1"/>
                    </pic:cNvPicPr>
                  </pic:nvPicPr>
                  <pic:blipFill>
                    <a:blip r:embed="rId48"/>
                    <a:stretch>
                      <a:fillRect/>
                    </a:stretch>
                  </pic:blipFill>
                  <pic:spPr bwMode="auto">
                    <a:xfrm>
                      <a:off x="0" y="0"/>
                      <a:ext cx="1209675" cy="368300"/>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11, 2026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Page 4</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pacing w:val="-3"/>
          <w:sz w:val="22"/>
        </w:rPr>
        <w:t>Cawley, Gillespie &amp; Associates, Inc. is a Texas Registered Engineering Firm (F-693), made up of independent registered professional engineers and geologists that have provided petroleum consulting services to the oil and gas industry for over 60 years.  This evaluation was supervised by W. Todd Brooker, President at Cawley, Gillespie &amp; Associates, Inc. and a State</w:t>
      </w:r>
      <w:r>
        <w:rPr>
          <w:rFonts w:ascii="Times New Roman;Times;serif" w:hAnsi="Times New Roman;Times;serif"/>
          <w:spacing w:val="-3"/>
          <w:sz w:val="24"/>
        </w:rPr>
        <w:t xml:space="preserve"> </w:t>
      </w:r>
      <w:r>
        <w:rPr>
          <w:rFonts w:ascii="Times New Roman;Times;serif" w:hAnsi="Times New Roman;Times;serif"/>
          <w:spacing w:val="-3"/>
          <w:sz w:val="22"/>
        </w:rPr>
        <w:t>of Texas Licensed Professional Engineer (License #83462). We do not own an interest in the properties or Evolution Petroleum Corporation and are not employed on a contingent basis. We have used all methods and procedures that we consider necessary under the circumstances to prepare this report. Our work-papers and related data utilized in the preparation of these estimates are available in our office.</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Yours very truly,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i/>
          <w:sz w:val="22"/>
        </w:rPr>
      </w:pPr>
      <w:r>
        <w:rPr>
          <w:rFonts w:ascii="Times New Roman;Times;serif" w:hAnsi="Times New Roman;Times;serif"/>
          <w:b/>
          <w:i/>
          <w:sz w:val="22"/>
        </w:rPr>
        <w:t>CAWLEY, GILLESPIE &amp; ASSOCIATES, INC.</w:t>
      </w:r>
    </w:p>
    <w:p>
      <w:pPr>
        <w:pStyle w:val="TextBody"/>
        <w:bidi w:val="0"/>
        <w:spacing w:before="0" w:after="0"/>
        <w:ind w:left="0" w:right="0" w:firstLine="720"/>
        <w:jc w:val="left"/>
        <w:rPr>
          <w:rFonts w:ascii="Times New Roman;Times;serif" w:hAnsi="Times New Roman;Times;serif"/>
          <w:smallCaps/>
          <w:sz w:val="22"/>
        </w:rPr>
      </w:pPr>
      <w:r>
        <w:rPr>
          <w:rFonts w:ascii="Times New Roman;Times;serif" w:hAnsi="Times New Roman;Times;serif"/>
          <w:smallCaps/>
          <w:sz w:val="22"/>
        </w:rPr>
        <w:t>Texas Registered Engineering Firm F-693</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3"/>
        </w:rPr>
      </w:pPr>
      <w:r>
        <w:rPr>
          <w:rFonts w:ascii="Times New Roman;Times;serif" w:hAnsi="Times New Roman;Times;serif"/>
          <w:sz w:val="23"/>
        </w:rPr>
        <w:t>/s/ W. Todd Brooker/s/ Thomas M. Barr</w:t>
      </w:r>
    </w:p>
    <w:p>
      <w:pPr>
        <w:pStyle w:val="TextBody"/>
        <w:bidi w:val="0"/>
        <w:spacing w:before="0" w:after="0"/>
        <w:ind w:left="0" w:right="0" w:hanging="0"/>
        <w:jc w:val="left"/>
        <w:rPr>
          <w:rFonts w:ascii="Times New Roman;Times;serif" w:hAnsi="Times New Roman;Times;serif"/>
          <w:sz w:val="23"/>
        </w:rPr>
      </w:pPr>
      <w:r>
        <w:rPr>
          <w:rFonts w:ascii="Times New Roman;Times;serif" w:hAnsi="Times New Roman;Times;serif"/>
          <w:sz w:val="23"/>
        </w:rPr>
        <w:t>By:By:</w:t>
      </w:r>
    </w:p>
    <w:p>
      <w:pPr>
        <w:pStyle w:val="TextBody"/>
        <w:bidi w:val="0"/>
        <w:spacing w:before="0" w:after="0"/>
        <w:ind w:left="0" w:right="0" w:firstLine="720"/>
        <w:jc w:val="left"/>
        <w:rPr>
          <w:rFonts w:ascii="Times New Roman;Times;serif" w:hAnsi="Times New Roman;Times;serif"/>
          <w:spacing w:val="-3"/>
          <w:sz w:val="22"/>
        </w:rPr>
      </w:pPr>
      <w:r>
        <w:rPr>
          <w:rFonts w:ascii="Times New Roman;Times;serif" w:hAnsi="Times New Roman;Times;serif"/>
          <w:spacing w:val="-3"/>
          <w:sz w:val="22"/>
        </w:rPr>
        <w:t>W. Todd Brooker, P. E.Thomas M. Barr</w:t>
      </w:r>
    </w:p>
    <w:p>
      <w:pPr>
        <w:pStyle w:val="TextBody"/>
        <w:bidi w:val="0"/>
        <w:spacing w:before="0" w:after="0"/>
        <w:ind w:left="0" w:right="0" w:firstLine="720"/>
        <w:jc w:val="left"/>
        <w:rPr>
          <w:rFonts w:ascii="Times New Roman;Times;serif" w:hAnsi="Times New Roman;Times;serif"/>
          <w:spacing w:val="-3"/>
          <w:sz w:val="22"/>
        </w:rPr>
      </w:pPr>
      <w:r>
        <w:rPr>
          <w:rFonts w:ascii="Times New Roman;Times;serif" w:hAnsi="Times New Roman;Times;serif"/>
          <w:spacing w:val="-3"/>
          <w:sz w:val="22"/>
        </w:rPr>
        <w:t>PresidentSr. Reservoir Engineer</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2160" w:right="0" w:firstLine="243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360" w:hanging="0"/>
        <w:jc w:val="right"/>
        <w:rPr/>
      </w:pPr>
      <w:r>
        <w:rPr/>
        <w:t>​</w:t>
      </w:r>
    </w:p>
    <w:p>
      <w:pPr>
        <w:pStyle w:val="HorizontalLine"/>
        <w:pBdr>
          <w:bottom w:val="double" w:sz="2" w:space="0" w:color="808080"/>
        </w:pBdr>
        <w:bidi w:val="0"/>
        <w:spacing w:before="0" w:after="283"/>
        <w:jc w:val="left"/>
        <w:rPr/>
      </w:pPr>
      <w:r>
        <w:rPr/>
      </w:r>
    </w:p>
    <w:p>
      <w:pPr>
        <w:pStyle w:val="TextBody"/>
        <w:bidi w:val="0"/>
        <w:spacing w:before="600" w:after="283"/>
        <w:jc w:val="left"/>
        <w:rPr/>
      </w:pPr>
      <w:r>
        <w:rPr/>
        <w:drawing>
          <wp:inline distT="0" distB="0" distL="0" distR="0">
            <wp:extent cx="1209675" cy="368300"/>
            <wp:effectExtent l="0" t="0" r="0" b="0"/>
            <wp:docPr id="55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 name="Image7" descr=""/>
                    <pic:cNvPicPr>
                      <a:picLocks noChangeAspect="1" noChangeArrowheads="1"/>
                    </pic:cNvPicPr>
                  </pic:nvPicPr>
                  <pic:blipFill>
                    <a:blip r:embed="rId49"/>
                    <a:stretch>
                      <a:fillRect/>
                    </a:stretch>
                  </pic:blipFill>
                  <pic:spPr bwMode="auto">
                    <a:xfrm>
                      <a:off x="0" y="0"/>
                      <a:ext cx="1209675" cy="368300"/>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11, 2026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Page 5</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APPENDIX</w:t>
      </w:r>
    </w:p>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center"/>
        <w:rPr>
          <w:rFonts w:ascii="Times New Roman;Times;serif" w:hAnsi="Times New Roman;Times;serif"/>
          <w:b/>
          <w:spacing w:val="-2"/>
          <w:sz w:val="22"/>
        </w:rPr>
      </w:pPr>
      <w:r>
        <w:rPr>
          <w:rFonts w:ascii="Times New Roman;Times;serif" w:hAnsi="Times New Roman;Times;serif"/>
          <w:b/>
          <w:spacing w:val="-2"/>
          <w:sz w:val="22"/>
        </w:rPr>
        <w:t>Reserve Definitions and Classifications</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0"/>
              <w:ind w:left="0" w:right="0" w:hanging="0"/>
              <w:jc w:val="both"/>
              <w:rPr>
                <w:spacing w:val="-2"/>
              </w:rPr>
            </w:pPr>
            <w:r>
              <w:rPr>
                <w:spacing w:val="-2"/>
              </w:rPr>
              <w:t>​</w:t>
            </w:r>
          </w:p>
        </w:tc>
      </w:tr>
      <w:tr>
        <w:trPr/>
        <w:tc>
          <w:tcPr>
            <w:tcW w:w="169" w:type="dxa"/>
            <w:tcBorders>
              <w:top w:val="single" w:sz="2" w:space="0" w:color="000000"/>
              <w:bottom w:val="single" w:sz="18" w:space="0" w:color="000000"/>
            </w:tcBorders>
            <w:tcMar>
              <w:top w:w="28" w:type="dxa"/>
              <w:bottom w:w="28" w:type="dxa"/>
            </w:tcMar>
            <w:vAlign w:val="center"/>
          </w:tcPr>
          <w:p>
            <w:pPr>
              <w:pStyle w:val="TableContents"/>
              <w:bidi w:val="0"/>
              <w:spacing w:before="0" w:after="0"/>
              <w:ind w:left="0" w:right="0" w:hanging="0"/>
              <w:jc w:val="both"/>
              <w:rPr>
                <w:spacing w:val="-2"/>
              </w:rPr>
            </w:pPr>
            <w:r>
              <w:rPr>
                <w:spacing w:val="-2"/>
              </w:rPr>
              <w:t>​</w:t>
            </w:r>
          </w:p>
        </w:tc>
      </w:tr>
    </w:tbl>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Times New Roman;Times;serif" w:hAnsi="Times New Roman;Times;serif"/>
          <w:spacing w:val="-2"/>
          <w:sz w:val="18"/>
        </w:rPr>
      </w:pPr>
      <w:r>
        <w:rPr>
          <w:rFonts w:ascii="Times New Roman;Times;serif" w:hAnsi="Times New Roman;Times;serif"/>
          <w:spacing w:val="-2"/>
          <w:sz w:val="18"/>
        </w:rPr>
        <w:t>The Securities and Exchange Commission, in SX Reg. 210</w:t>
        <w:softHyphen/>
        <w:t>.4-10 dated November 18, 1981, as amended on September 19, 1989 and January 1, 2010, requires adher</w:t>
        <w:softHyphen/>
        <w:t>ence to the following definitions of oil and gas reserves: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pacing w:val="-2"/>
          <w:sz w:val="18"/>
        </w:rPr>
        <w:t>"(22)</w:t>
      </w:r>
      <w:r>
        <w:rPr>
          <w:rFonts w:ascii="Times New Roman;Times;serif" w:hAnsi="Times New Roman;Times;serif"/>
          <w:b/>
          <w:spacing w:val="-2"/>
          <w:sz w:val="24"/>
        </w:rPr>
        <w:t>Proved oil and gas reserves</w:t>
      </w:r>
      <w:r>
        <w:rPr>
          <w:rFonts w:ascii="Times New Roman;Times;serif" w:hAnsi="Times New Roman;Times;serif"/>
          <w:spacing w:val="-2"/>
          <w:sz w:val="18"/>
        </w:rPr>
        <w:t>.  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b w:val="false"/>
          <w:i w:val="false"/>
          <w:caps w:val="false"/>
          <w:smallCaps w:val="false"/>
          <w:spacing w:val="-2"/>
          <w:sz w:val="18"/>
        </w:rPr>
        <w:t>"(i)</w:t>
      </w:r>
      <w:r>
        <w:rPr>
          <w:rFonts w:ascii="Times New Roman;Times;serif" w:hAnsi="Times New Roman;Times;serif"/>
          <w:spacing w:val="-2"/>
          <w:sz w:val="18"/>
        </w:rPr>
        <w:t xml:space="preserve">The area of a reservoir considered as proved includes: (A) The area identified by drilling and limited by fluid contacts, if any, and (B) Adjacent undrilled portions of the reservoir that can, with reasonable certainty, be judged to be continuous with it and to contain economically producible oil or gas on the basis of available geoscience and engineering data. </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Times New Roman;Times;serif" w:hAnsi="Times New Roman;Times;serif"/>
          <w:spacing w:val="-2"/>
          <w:sz w:val="18"/>
        </w:rPr>
      </w:pPr>
      <w:r>
        <w:rPr>
          <w:rFonts w:ascii="Times New Roman;Times;serif" w:hAnsi="Times New Roman;Times;serif"/>
          <w:spacing w:val="-2"/>
          <w:sz w:val="18"/>
        </w:rPr>
        <w:t>"(ii)In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Times New Roman;Times;serif" w:hAnsi="Times New Roman;Times;serif"/>
          <w:spacing w:val="-2"/>
          <w:sz w:val="18"/>
        </w:rPr>
      </w:pPr>
      <w:r>
        <w:rPr>
          <w:rFonts w:ascii="Times New Roman;Times;serif" w:hAnsi="Times New Roman;Times;serif"/>
          <w:spacing w:val="-2"/>
          <w:sz w:val="18"/>
        </w:rPr>
        <w:t>"(iii)Where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Times New Roman;Times;serif" w:hAnsi="Times New Roman;Times;serif"/>
          <w:spacing w:val="-2"/>
          <w:sz w:val="18"/>
        </w:rPr>
      </w:pPr>
      <w:r>
        <w:rPr>
          <w:rFonts w:ascii="Times New Roman;Times;serif" w:hAnsi="Times New Roman;Times;serif"/>
          <w:spacing w:val="-2"/>
          <w:sz w:val="18"/>
        </w:rPr>
        <w:t>"(iv)Reserves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Times New Roman;Times;serif" w:hAnsi="Times New Roman;Times;serif"/>
          <w:spacing w:val="-2"/>
          <w:sz w:val="18"/>
        </w:rPr>
      </w:pPr>
      <w:r>
        <w:rPr>
          <w:rFonts w:ascii="Times New Roman;Times;serif" w:hAnsi="Times New Roman;Times;serif"/>
          <w:spacing w:val="-2"/>
          <w:sz w:val="18"/>
        </w:rPr>
        <w:t>"(v)Existing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pacing w:val="-2"/>
          <w:sz w:val="18"/>
        </w:rPr>
        <w:t>"(6)</w:t>
      </w:r>
      <w:r>
        <w:rPr>
          <w:rFonts w:ascii="Times New Roman;Times;serif" w:hAnsi="Times New Roman;Times;serif"/>
          <w:b/>
          <w:spacing w:val="-2"/>
          <w:sz w:val="18"/>
        </w:rPr>
        <w:t>D</w:t>
      </w:r>
      <w:r>
        <w:rPr>
          <w:rFonts w:ascii="Times New Roman;Times;serif" w:hAnsi="Times New Roman;Times;serif"/>
          <w:b/>
          <w:spacing w:val="-2"/>
          <w:sz w:val="24"/>
        </w:rPr>
        <w:t>eveloped oil and gas reserves</w:t>
      </w:r>
      <w:r>
        <w:rPr>
          <w:rFonts w:ascii="Times New Roman;Times;serif" w:hAnsi="Times New Roman;Times;serif"/>
          <w:spacing w:val="-2"/>
          <w:sz w:val="24"/>
        </w:rPr>
        <w:t>.  </w:t>
      </w:r>
      <w:r>
        <w:rPr>
          <w:rFonts w:ascii="Times New Roman;Times;serif" w:hAnsi="Times New Roman;Times;serif"/>
          <w:spacing w:val="-2"/>
          <w:sz w:val="18"/>
        </w:rPr>
        <w:t xml:space="preserve">Developed oil and gas reserves are reserves of any category that can be expected to be recovered: </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18"/>
        </w:rPr>
        <w:t>(i)</w:t>
      </w:r>
      <w:r>
        <w:rPr>
          <w:rFonts w:ascii="Times New Roman;Times;serif" w:hAnsi="Times New Roman;Times;serif"/>
          <w:spacing w:val="-2"/>
          <w:sz w:val="18"/>
        </w:rPr>
        <w:t xml:space="preserve">Through existing wells with existing equipment and operating methods or in which the cost of the required equipment is relatively minor compared to the cost of a new well; and </w:t>
      </w:r>
    </w:p>
    <w:p>
      <w:pPr>
        <w:pStyle w:val="TextBody"/>
        <w:bidi w:val="0"/>
        <w:spacing w:before="0" w:after="0"/>
        <w:ind w:left="0" w:right="0" w:firstLine="72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18"/>
        </w:rPr>
        <w:t>(ii)</w:t>
      </w:r>
      <w:r>
        <w:rPr>
          <w:rFonts w:ascii="Times New Roman;Times;serif" w:hAnsi="Times New Roman;Times;serif"/>
          <w:spacing w:val="-2"/>
          <w:sz w:val="18"/>
        </w:rPr>
        <w:t>Through installed extraction equipment and infrastructure operational at the time of the reserves estimate if the extraction is by means not involving a well.</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pacing w:val="-2"/>
          <w:sz w:val="18"/>
        </w:rPr>
        <w:t>"(31)</w:t>
      </w:r>
      <w:r>
        <w:rPr>
          <w:rFonts w:ascii="Times New Roman;Times;serif" w:hAnsi="Times New Roman;Times;serif"/>
          <w:b/>
          <w:spacing w:val="-2"/>
          <w:sz w:val="18"/>
        </w:rPr>
        <w:t>U</w:t>
      </w:r>
      <w:r>
        <w:rPr>
          <w:rFonts w:ascii="Times New Roman;Times;serif" w:hAnsi="Times New Roman;Times;serif"/>
          <w:b/>
          <w:spacing w:val="-2"/>
          <w:sz w:val="24"/>
        </w:rPr>
        <w:t>ndeveloped oil and gas reserves</w:t>
      </w:r>
      <w:r>
        <w:rPr>
          <w:rFonts w:ascii="Times New Roman;Times;serif" w:hAnsi="Times New Roman;Times;serif"/>
          <w:spacing w:val="-2"/>
          <w:sz w:val="24"/>
        </w:rPr>
        <w:t>.  </w:t>
      </w:r>
      <w:r>
        <w:rPr>
          <w:rFonts w:ascii="Times New Roman;Times;serif" w:hAnsi="Times New Roman;Times;serif"/>
          <w:spacing w:val="-2"/>
          <w:sz w:val="18"/>
        </w:rPr>
        <w:t xml:space="preserve">Undeveloped oil and gas reserves are reserves of any category that are expected to be recovered from new wells on undrilled acreage, or from existing wells where a relatively major expenditure is required for recompletion. </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18"/>
        </w:rPr>
        <w:t>(i)</w:t>
      </w:r>
      <w:r>
        <w:rPr>
          <w:rFonts w:ascii="Times New Roman;Times;serif" w:hAnsi="Times New Roman;Times;serif"/>
          <w:spacing w:val="-2"/>
          <w:sz w:val="18"/>
        </w:rPr>
        <w:t xml:space="preserve">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 </w:t>
      </w:r>
    </w:p>
    <w:p>
      <w:pPr>
        <w:pStyle w:val="TextBody"/>
        <w:bidi w:val="0"/>
        <w:spacing w:before="0" w:after="0"/>
        <w:ind w:left="0" w:right="0" w:firstLine="72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18"/>
        </w:rPr>
        <w:t>(ii)</w:t>
      </w:r>
      <w:r>
        <w:rPr>
          <w:rFonts w:ascii="Times New Roman;Times;serif" w:hAnsi="Times New Roman;Times;serif"/>
          <w:spacing w:val="-2"/>
          <w:sz w:val="18"/>
        </w:rPr>
        <w:t xml:space="preserve">Undrilled locations can be classified as having undeveloped reserves only if a development plan has been adopted indicating that they are scheduled to be drilled within five years, unless the specific circumstances, justify a longer time. </w:t>
      </w:r>
    </w:p>
    <w:p>
      <w:pPr>
        <w:pStyle w:val="TextBody"/>
        <w:bidi w:val="0"/>
        <w:spacing w:before="0" w:after="0"/>
        <w:ind w:left="0" w:right="0" w:firstLine="72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18"/>
        </w:rPr>
        <w:t>(iii)</w:t>
      </w:r>
      <w:r>
        <w:rPr>
          <w:rFonts w:ascii="Times New Roman;Times;serif" w:hAnsi="Times New Roman;Times;serif"/>
          <w:spacing w:val="-2"/>
          <w:sz w:val="18"/>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pStyle w:val="TextBody"/>
        <w:bidi w:val="0"/>
        <w:spacing w:before="0" w:after="0"/>
        <w:ind w:left="0" w:right="360" w:hanging="0"/>
        <w:jc w:val="right"/>
        <w:rPr/>
      </w:pPr>
      <w:r>
        <w:rPr/>
        <w:t>​</w:t>
      </w:r>
    </w:p>
    <w:p>
      <w:pPr>
        <w:pStyle w:val="HorizontalLine"/>
        <w:pBdr>
          <w:bottom w:val="double" w:sz="2" w:space="0" w:color="808080"/>
        </w:pBdr>
        <w:bidi w:val="0"/>
        <w:spacing w:before="0" w:after="283"/>
        <w:jc w:val="left"/>
        <w:rPr/>
      </w:pPr>
      <w:r>
        <w:rPr/>
      </w:r>
    </w:p>
    <w:p>
      <w:pPr>
        <w:pStyle w:val="TextBody"/>
        <w:bidi w:val="0"/>
        <w:spacing w:before="600" w:after="283"/>
        <w:jc w:val="left"/>
        <w:rPr/>
      </w:pPr>
      <w:r>
        <w:rPr/>
        <w:drawing>
          <wp:inline distT="0" distB="0" distL="0" distR="0">
            <wp:extent cx="1209675" cy="368300"/>
            <wp:effectExtent l="0" t="0" r="0" b="0"/>
            <wp:docPr id="55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Image8" descr=""/>
                    <pic:cNvPicPr>
                      <a:picLocks noChangeAspect="1" noChangeArrowheads="1"/>
                    </pic:cNvPicPr>
                  </pic:nvPicPr>
                  <pic:blipFill>
                    <a:blip r:embed="rId50"/>
                    <a:stretch>
                      <a:fillRect/>
                    </a:stretch>
                  </pic:blipFill>
                  <pic:spPr bwMode="auto">
                    <a:xfrm>
                      <a:off x="0" y="0"/>
                      <a:ext cx="1209675" cy="368300"/>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11, 2026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Page 6</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pacing w:val="-2"/>
          <w:sz w:val="18"/>
        </w:rPr>
        <w:t>"(18)</w:t>
      </w:r>
      <w:r>
        <w:rPr>
          <w:rFonts w:ascii="Times New Roman;Times;serif" w:hAnsi="Times New Roman;Times;serif"/>
          <w:b/>
          <w:spacing w:val="-2"/>
          <w:sz w:val="24"/>
        </w:rPr>
        <w:t>Probable reserves</w:t>
      </w:r>
      <w:r>
        <w:rPr>
          <w:rFonts w:ascii="Times New Roman;Times;serif" w:hAnsi="Times New Roman;Times;serif"/>
          <w:spacing w:val="-2"/>
          <w:sz w:val="24"/>
        </w:rPr>
        <w:t>.  </w:t>
      </w:r>
      <w:r>
        <w:rPr>
          <w:rFonts w:ascii="Times New Roman;Times;serif" w:hAnsi="Times New Roman;Times;serif"/>
          <w:spacing w:val="-2"/>
          <w:sz w:val="18"/>
        </w:rPr>
        <w:t>Probable reserves are those additional reserves that are less certain to be recovered than proved reserves but which, together with proved reserves, are as likely as not to be recovered.</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18"/>
        </w:rPr>
        <w:t>(i)</w:t>
      </w:r>
      <w:r>
        <w:rPr>
          <w:rFonts w:ascii="Times New Roman;Times;serif" w:hAnsi="Times New Roman;Times;serif"/>
          <w:spacing w:val="-2"/>
          <w:sz w:val="18"/>
        </w:rPr>
        <w:t xml:space="preserve">When deterministic methods are used, it is as likely as not that actual remaining quantities recovered will exceed the sum of estimated proved plus probable reserves. When probabilistic methods are used, there should be at least a 50% probability that the actual quantities recovered will equal or exceed the proved plus probable reserves estimates. </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18"/>
        </w:rPr>
        <w:t>(ii)</w:t>
      </w:r>
      <w:r>
        <w:rPr>
          <w:rFonts w:ascii="Times New Roman;Times;serif" w:hAnsi="Times New Roman;Times;serif"/>
          <w:spacing w:val="-2"/>
          <w:sz w:val="18"/>
        </w:rPr>
        <w:t xml:space="preserve">Probable reserves may be assigned to areas of a reservoir adjacent to proved reserves where data control or interpretations of available data are less certain, even if the interpreted reservoir continuity of structure or productivity does not meet the reasonable certainty criterion. Probable reserves may be assigned to areas that are structurally higher than the proved area if these areas are in communication with the proved reservoir. </w:t>
      </w:r>
    </w:p>
    <w:p>
      <w:pPr>
        <w:pStyle w:val="TextBody"/>
        <w:bidi w:val="0"/>
        <w:spacing w:before="0" w:after="0"/>
        <w:ind w:left="0" w:right="0" w:firstLine="72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18"/>
        </w:rPr>
        <w:t>(iii)</w:t>
      </w:r>
      <w:r>
        <w:rPr>
          <w:rFonts w:ascii="Times New Roman;Times;serif" w:hAnsi="Times New Roman;Times;serif"/>
          <w:spacing w:val="-2"/>
          <w:sz w:val="18"/>
        </w:rPr>
        <w:t xml:space="preserve">Probable reserves estimates also include potential incremental quantities associated with a greater percentage recovery of the hydrocarbons in place than assumed for proved reserves. </w:t>
      </w:r>
    </w:p>
    <w:p>
      <w:pPr>
        <w:pStyle w:val="TextBody"/>
        <w:bidi w:val="0"/>
        <w:spacing w:before="0" w:after="0"/>
        <w:ind w:left="0" w:right="0" w:firstLine="72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18"/>
        </w:rPr>
        <w:t>(iv)</w:t>
      </w:r>
      <w:r>
        <w:rPr>
          <w:rFonts w:ascii="Times New Roman;Times;serif" w:hAnsi="Times New Roman;Times;serif"/>
          <w:spacing w:val="-2"/>
          <w:sz w:val="18"/>
        </w:rPr>
        <w:t>See also guidelines in paragraphs (17)(iv) and (17)(vi) of this section (below).</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pacing w:val="-2"/>
          <w:sz w:val="18"/>
        </w:rPr>
        <w:t>"(17)</w:t>
      </w:r>
      <w:r>
        <w:rPr>
          <w:rFonts w:ascii="Times New Roman;Times;serif" w:hAnsi="Times New Roman;Times;serif"/>
          <w:b/>
          <w:spacing w:val="-2"/>
          <w:sz w:val="24"/>
        </w:rPr>
        <w:t>Possible reserves</w:t>
      </w:r>
      <w:r>
        <w:rPr>
          <w:rFonts w:ascii="Times New Roman;Times;serif" w:hAnsi="Times New Roman;Times;serif"/>
          <w:spacing w:val="-2"/>
          <w:sz w:val="24"/>
        </w:rPr>
        <w:t>.  </w:t>
      </w:r>
      <w:r>
        <w:rPr>
          <w:rFonts w:ascii="Times New Roman;Times;serif" w:hAnsi="Times New Roman;Times;serif"/>
          <w:spacing w:val="-2"/>
          <w:sz w:val="18"/>
        </w:rPr>
        <w:t>Possible reserves are those additional reserves that are less certain to be recovered than probable reserves.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18"/>
        </w:rPr>
        <w:t>(i)</w:t>
      </w:r>
      <w:r>
        <w:rPr>
          <w:rFonts w:ascii="Times New Roman;Times;serif" w:hAnsi="Times New Roman;Times;serif"/>
          <w:spacing w:val="-2"/>
          <w:sz w:val="18"/>
        </w:rPr>
        <w:t>When deterministic methods are used, the total quantities ultimately recovered from a project have a low probability of exceeding proved plus probable plus possible reserves. When probabilistic methods are used, there should be at least a 10% probability that the total quantities ultimately recovered will equal or exceed the proved plus probable plus possible reserves estimates.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18"/>
        </w:rPr>
        <w:t>(ii)</w:t>
      </w:r>
      <w:r>
        <w:rPr>
          <w:rFonts w:ascii="Times New Roman;Times;serif" w:hAnsi="Times New Roman;Times;serif"/>
          <w:spacing w:val="-2"/>
          <w:sz w:val="18"/>
        </w:rPr>
        <w:t>Possible reserves may be assigned to areas of a reservoir adjacent to probable reserves where data control and interpretations of available data are progressively less certain. Frequently, this will be in areas where geoscience and engineering data are unable to define clearly the area and vertical limits of commercial production from the reservoir by a defined project.</w:t>
      </w:r>
    </w:p>
    <w:p>
      <w:pPr>
        <w:pStyle w:val="TextBody"/>
        <w:bidi w:val="0"/>
        <w:spacing w:before="0" w:after="0"/>
        <w:ind w:left="0" w:right="0" w:firstLine="72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18"/>
        </w:rPr>
        <w:t>(iii)</w:t>
      </w:r>
      <w:r>
        <w:rPr>
          <w:rFonts w:ascii="Times New Roman;Times;serif" w:hAnsi="Times New Roman;Times;serif"/>
          <w:spacing w:val="-2"/>
          <w:sz w:val="18"/>
        </w:rPr>
        <w:t>Possible reserves also include incremental quantities associated with a greater percentage recovery of the hydrocarbons in place than the recovery quantities assumed for probable reserves.</w:t>
      </w:r>
    </w:p>
    <w:p>
      <w:pPr>
        <w:pStyle w:val="TextBody"/>
        <w:bidi w:val="0"/>
        <w:spacing w:before="0" w:after="0"/>
        <w:ind w:left="0" w:right="0" w:firstLine="72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18"/>
        </w:rPr>
        <w:t>(iv)</w:t>
      </w:r>
      <w:r>
        <w:rPr>
          <w:rFonts w:ascii="Times New Roman;Times;serif" w:hAnsi="Times New Roman;Times;serif"/>
          <w:spacing w:val="-2"/>
          <w:sz w:val="18"/>
        </w:rPr>
        <w:t>The proved plus probable and proved plus probable plus possible reserves estimates must be based on reasonable alternative technical and commercial interpretations within the reservoir or subject project that are clearly documented, including comparisons to results in successful similar projects.</w:t>
      </w:r>
    </w:p>
    <w:p>
      <w:pPr>
        <w:pStyle w:val="TextBody"/>
        <w:bidi w:val="0"/>
        <w:spacing w:before="0" w:after="0"/>
        <w:ind w:left="0" w:right="0" w:firstLine="72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18"/>
        </w:rPr>
        <w:t>(v)</w:t>
      </w:r>
      <w:r>
        <w:rPr>
          <w:rFonts w:ascii="Times New Roman;Times;serif" w:hAnsi="Times New Roman;Times;serif"/>
          <w:spacing w:val="-2"/>
          <w:sz w:val="18"/>
        </w:rPr>
        <w:t>Possible reserves may be assigned where geoscience and engineering data identify directly adjacent portions of a reservoir within the same accumulation that may be separated from proved areas by faults with displacement less than formation thickness or other geological discontinuities and that have not been penetrated by a wellbore, and the registrant believes that such adjacent portions are in communication with the known (proved) reservoir. Possible reserves may be assigned to areas that are structurally higher or lower than the proved area if these areas are in communication with the proved reservoir.</w:t>
      </w:r>
    </w:p>
    <w:p>
      <w:pPr>
        <w:pStyle w:val="TextBody"/>
        <w:bidi w:val="0"/>
        <w:spacing w:before="0" w:after="0"/>
        <w:ind w:left="0" w:right="0" w:firstLine="720"/>
        <w:jc w:val="both"/>
        <w:rPr>
          <w:spacing w:val="-2"/>
        </w:rPr>
      </w:pPr>
      <w:r>
        <w:rPr>
          <w:spacing w:val="-2"/>
        </w:rPr>
        <w:t>​</w:t>
      </w:r>
    </w:p>
    <w:p>
      <w:pPr>
        <w:pStyle w:val="TextBody"/>
        <w:bidi w:val="0"/>
        <w:spacing w:before="0" w:after="0"/>
        <w:ind w:left="0" w:right="0" w:hanging="0"/>
        <w:jc w:val="left"/>
        <w:rPr/>
      </w:pPr>
      <w:r>
        <w:rPr>
          <w:caps w:val="false"/>
          <w:smallCaps w:val="false"/>
          <w:spacing w:val="-2"/>
        </w:rPr>
        <w:t>“</w:t>
      </w:r>
      <w:r>
        <w:rPr>
          <w:rFonts w:ascii="Times New Roman;Times;serif" w:hAnsi="Times New Roman;Times;serif"/>
          <w:b w:val="false"/>
          <w:i w:val="false"/>
          <w:caps w:val="false"/>
          <w:smallCaps w:val="false"/>
          <w:spacing w:val="-2"/>
          <w:sz w:val="18"/>
        </w:rPr>
        <w:t>(vi)</w:t>
      </w:r>
      <w:r>
        <w:rPr>
          <w:rFonts w:ascii="Times New Roman;Times;serif" w:hAnsi="Times New Roman;Times;serif"/>
          <w:spacing w:val="-2"/>
          <w:sz w:val="18"/>
        </w:rPr>
        <w:t>Pursuant to paragraph (22)(iii) of this section (above), where direct observation has defined a highest known oil (HKO) elevation and the potential exists for an associated gas cap, proved oil reserves should be assigned in the structurally higher portions of the reservoir above the HKO only if the higher contact can be established with reasonable certainty through reliable technology. Portions of the reservoir that do not meet this reasonable certainty criterion may be assigned as probable and possible oil or gas based on reservoir fluid properties and pressure gradient interpretations.”</w:t>
      </w:r>
    </w:p>
    <w:p>
      <w:pPr>
        <w:pStyle w:val="TextBody"/>
        <w:bidi w:val="0"/>
        <w:spacing w:before="0" w:after="0"/>
        <w:ind w:left="0" w:right="0" w:hanging="0"/>
        <w:jc w:val="both"/>
        <w:rPr>
          <w:spacing w:val="-2"/>
        </w:rPr>
      </w:pPr>
      <w:r>
        <w:rPr>
          <w:spacing w:val="-2"/>
        </w:rPr>
        <w:t>​</w:t>
      </w:r>
    </w:p>
    <w:p>
      <w:pPr>
        <w:pStyle w:val="TextBody"/>
        <w:bidi w:val="0"/>
        <w:spacing w:before="0" w:after="0"/>
        <w:ind w:left="0" w:right="0" w:firstLine="720"/>
        <w:jc w:val="both"/>
        <w:rPr>
          <w:rFonts w:ascii="Times New Roman;Times;serif" w:hAnsi="Times New Roman;Times;serif"/>
          <w:sz w:val="18"/>
        </w:rPr>
      </w:pPr>
      <w:r>
        <w:rPr>
          <w:rFonts w:ascii="Times New Roman;Times;serif" w:hAnsi="Times New Roman;Times;serif"/>
          <w:spacing w:val="-2"/>
          <w:sz w:val="18"/>
        </w:rPr>
        <w:t xml:space="preserve">Instruction 4 of Item 2(b) of Securities and Exchange Commission Regulation S-K was revised January 1, 2010 to state that "a registrant engaged in oil and gas producing activities shall provide the information required by Subpart 1200 of Regulation S–K."  This is relevant in that Instruction 2 to paragraph (a)(2) states: “The registrant is </w:t>
      </w:r>
      <w:r>
        <w:rPr>
          <w:rFonts w:ascii="Times New Roman;Times;serif" w:hAnsi="Times New Roman;Times;serif"/>
          <w:i/>
          <w:spacing w:val="-2"/>
          <w:sz w:val="18"/>
        </w:rPr>
        <w:t>permitted, but not required</w:t>
      </w:r>
      <w:r>
        <w:rPr>
          <w:rFonts w:ascii="Times New Roman;Times;serif" w:hAnsi="Times New Roman;Times;serif"/>
          <w:spacing w:val="-2"/>
          <w:sz w:val="18"/>
        </w:rPr>
        <w:t>, to disclose probable or possible reserves pursuant to paragraphs (a)(2)(iv) through (a)(2)(vii) of this Item.”</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pacing w:val="-2"/>
          <w:sz w:val="18"/>
        </w:rPr>
        <w:t>"(26)</w:t>
      </w:r>
      <w:r>
        <w:rPr>
          <w:rFonts w:ascii="Times New Roman;Times;serif" w:hAnsi="Times New Roman;Times;serif"/>
          <w:b/>
          <w:spacing w:val="-2"/>
          <w:sz w:val="24"/>
        </w:rPr>
        <w:t>Reserves</w:t>
      </w:r>
      <w:r>
        <w:rPr>
          <w:rFonts w:ascii="Times New Roman;Times;serif" w:hAnsi="Times New Roman;Times;serif"/>
          <w:spacing w:val="-2"/>
          <w:sz w:val="24"/>
        </w:rPr>
        <w:t>.  </w:t>
      </w:r>
      <w:r>
        <w:rPr>
          <w:rFonts w:ascii="Times New Roman;Times;serif" w:hAnsi="Times New Roman;Times;serif"/>
          <w:spacing w:val="-2"/>
          <w:sz w:val="18"/>
        </w:rPr>
        <w:t>Reserves are estimated remaining quantities of oil and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pStyle w:val="TextBody"/>
        <w:bidi w:val="0"/>
        <w:spacing w:before="0" w:after="0"/>
        <w:ind w:left="0" w:right="0" w:hanging="0"/>
        <w:jc w:val="both"/>
        <w:rPr>
          <w:spacing w:val="-2"/>
        </w:rPr>
      </w:pPr>
      <w:r>
        <w:rPr>
          <w:spacing w:val="-2"/>
        </w:rPr>
        <w:t>​</w:t>
      </w:r>
    </w:p>
    <w:p>
      <w:pPr>
        <w:pStyle w:val="TextBody"/>
        <w:bidi w:val="0"/>
        <w:spacing w:before="0" w:after="0"/>
        <w:ind w:left="0" w:right="0" w:firstLine="720"/>
        <w:jc w:val="both"/>
        <w:rPr/>
      </w:pPr>
      <w:r>
        <w:rPr>
          <w:spacing w:val="-2"/>
        </w:rPr>
        <w:t>“</w:t>
      </w:r>
      <w:r>
        <w:rPr>
          <w:rFonts w:ascii="Times New Roman;Times;serif" w:hAnsi="Times New Roman;Times;serif"/>
          <w:i/>
          <w:spacing w:val="-2"/>
          <w:sz w:val="18"/>
        </w:rPr>
        <w:t>Note to paragraph (26)</w:t>
      </w:r>
      <w:r>
        <w:rPr>
          <w:rFonts w:ascii="Times New Roman;Times;serif" w:hAnsi="Times New Roman;Times;serif"/>
          <w:spacing w:val="-2"/>
          <w:sz w:val="18"/>
        </w:rPr>
        <w:t>: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p>
      <w:pPr>
        <w:pStyle w:val="TextBody"/>
        <w:bidi w:val="0"/>
        <w:spacing w:before="0" w:after="0"/>
        <w:ind w:left="0" w:right="360" w:hanging="0"/>
        <w:jc w:val="right"/>
        <w:rPr/>
      </w:pPr>
      <w:r>
        <w:rPr/>
        <w:t>​</w:t>
      </w:r>
    </w:p>
    <w:p>
      <w:pPr>
        <w:pStyle w:val="HorizontalLine"/>
        <w:pBdr>
          <w:bottom w:val="double" w:sz="2" w:space="0" w:color="808080"/>
        </w:pBdr>
        <w:bidi w:val="0"/>
        <w:spacing w:before="0" w:after="283"/>
        <w:jc w:val="left"/>
        <w:rPr/>
      </w:pPr>
      <w:r>
        <w:rPr/>
      </w:r>
    </w:p>
    <w:p>
      <w:pPr>
        <w:pStyle w:val="TextBody"/>
        <w:bidi w:val="0"/>
        <w:spacing w:lineRule="atLeast" w:line="280" w:before="0" w:after="20"/>
        <w:ind w:left="0" w:right="0" w:hanging="0"/>
        <w:jc w:val="right"/>
        <w:rPr>
          <w:rFonts w:ascii="Times New Roman;Times;serif" w:hAnsi="Times New Roman;Times;serif"/>
          <w:b/>
          <w:spacing w:val="26"/>
          <w:sz w:val="24"/>
        </w:rPr>
      </w:pPr>
      <w:bookmarkStart w:id="1240" w:name="epm-20260630xex99d2.htm"/>
      <w:bookmarkStart w:id="1241" w:name="ksepm20260630xex99d2"/>
      <w:bookmarkEnd w:id="1240"/>
      <w:bookmarkEnd w:id="1241"/>
      <w:r>
        <w:rPr>
          <w:rFonts w:ascii="Times New Roman;Times;serif" w:hAnsi="Times New Roman;Times;serif"/>
          <w:b/>
          <w:spacing w:val="26"/>
          <w:sz w:val="24"/>
        </w:rPr>
        <w:t>EXHIBIT 99.2</w:t>
      </w:r>
      <w:r>
        <w:br w:type="page"/>
      </w:r>
    </w:p>
    <w:p>
      <w:pPr>
        <w:pStyle w:val="TextBody"/>
        <w:bidi w:val="0"/>
        <w:spacing w:lineRule="atLeast" w:line="280" w:before="0" w:after="20"/>
        <w:ind w:left="0" w:right="0" w:hanging="0"/>
        <w:jc w:val="center"/>
        <w:rPr>
          <w:rFonts w:ascii="EngraversGothic BT" w:hAnsi="EngraversGothic BT"/>
          <w:b/>
          <w:spacing w:val="26"/>
          <w:sz w:val="24"/>
        </w:rPr>
      </w:pPr>
      <w:r>
        <w:rPr>
          <w:rFonts w:ascii="EngraversGothic BT" w:hAnsi="EngraversGothic BT"/>
          <w:b/>
          <w:spacing w:val="26"/>
          <w:sz w:val="24"/>
        </w:rPr>
        <w:t>DeGolyer and MacNaughton</w:t>
      </w:r>
    </w:p>
    <w:p>
      <w:pPr>
        <w:pStyle w:val="TextBody"/>
        <w:bidi w:val="0"/>
        <w:spacing w:lineRule="atLeast" w:line="250" w:before="0" w:after="0"/>
        <w:ind w:left="0" w:right="0" w:hanging="0"/>
        <w:jc w:val="center"/>
        <w:rPr>
          <w:rFonts w:ascii="EngraversGothic BT" w:hAnsi="EngraversGothic BT"/>
          <w:spacing w:val="20"/>
          <w:sz w:val="20"/>
        </w:rPr>
      </w:pPr>
      <w:bookmarkStart w:id="1242" w:name="OLE_LINK2"/>
      <w:bookmarkStart w:id="1243" w:name="OLE_LINK1"/>
      <w:bookmarkEnd w:id="1242"/>
      <w:bookmarkEnd w:id="1243"/>
      <w:r>
        <w:rPr>
          <w:rFonts w:ascii="EngraversGothic BT" w:hAnsi="EngraversGothic BT"/>
          <w:spacing w:val="20"/>
          <w:sz w:val="20"/>
        </w:rPr>
        <w:t>5001 Spring Valley Road</w:t>
      </w:r>
    </w:p>
    <w:p>
      <w:pPr>
        <w:pStyle w:val="TextBody"/>
        <w:bidi w:val="0"/>
        <w:spacing w:lineRule="atLeast" w:line="250" w:before="0" w:after="0"/>
        <w:ind w:left="0" w:right="0" w:hanging="0"/>
        <w:jc w:val="center"/>
        <w:rPr>
          <w:rFonts w:ascii="EngraversGothic BT" w:hAnsi="EngraversGothic BT"/>
          <w:spacing w:val="20"/>
          <w:sz w:val="20"/>
        </w:rPr>
      </w:pPr>
      <w:r>
        <w:rPr>
          <w:rFonts w:ascii="EngraversGothic BT" w:hAnsi="EngraversGothic BT"/>
          <w:spacing w:val="20"/>
          <w:sz w:val="20"/>
        </w:rPr>
        <w:t>Suite 800 E</w:t>
      </w:r>
      <w:r>
        <w:rPr>
          <w:rFonts w:ascii="EngraversGothic BT" w:hAnsi="EngraversGothic BT"/>
          <w:spacing w:val="16"/>
          <w:sz w:val="20"/>
        </w:rPr>
        <w:t>as</w:t>
      </w:r>
      <w:r>
        <w:rPr>
          <w:rFonts w:ascii="EngraversGothic BT" w:hAnsi="EngraversGothic BT"/>
          <w:spacing w:val="20"/>
          <w:sz w:val="20"/>
        </w:rPr>
        <w:t>t</w:t>
      </w:r>
    </w:p>
    <w:p>
      <w:pPr>
        <w:pStyle w:val="TextBody"/>
        <w:bidi w:val="0"/>
        <w:spacing w:lineRule="atLeast" w:line="250" w:before="0" w:after="0"/>
        <w:ind w:left="0" w:right="0" w:hanging="0"/>
        <w:jc w:val="center"/>
        <w:rPr>
          <w:rFonts w:ascii="EngraversGothic BT" w:hAnsi="EngraversGothic BT"/>
          <w:spacing w:val="16"/>
          <w:sz w:val="24"/>
        </w:rPr>
      </w:pPr>
      <w:r>
        <w:rPr>
          <w:rFonts w:ascii="EngraversGothic BT" w:hAnsi="EngraversGothic BT"/>
          <w:spacing w:val="16"/>
          <w:sz w:val="24"/>
        </w:rPr>
        <w:t>Dallas, Texas 75244</w:t>
      </w:r>
    </w:p>
    <w:p>
      <w:pPr>
        <w:pStyle w:val="TextBody"/>
        <w:bidi w:val="0"/>
        <w:spacing w:before="0" w:after="960"/>
        <w:ind w:left="0" w:right="0" w:hanging="0"/>
        <w:jc w:val="center"/>
        <w:rPr>
          <w:rFonts w:ascii="NewCenturySchlbk" w:hAnsi="NewCenturySchlbk"/>
          <w:sz w:val="22"/>
        </w:rPr>
      </w:pPr>
      <w:r>
        <w:rPr>
          <w:rFonts w:ascii="NewCenturySchlbk" w:hAnsi="NewCenturySchlbk"/>
          <w:sz w:val="22"/>
        </w:rPr>
        <w:t>August 10, 2026</w:t>
      </w:r>
    </w:p>
    <w:p>
      <w:pPr>
        <w:pStyle w:val="TextBody"/>
        <w:bidi w:val="0"/>
        <w:spacing w:lineRule="atLeast" w:line="320" w:before="0" w:after="0"/>
        <w:ind w:left="0" w:right="0" w:hanging="0"/>
        <w:jc w:val="left"/>
        <w:rPr>
          <w:rFonts w:ascii="NewCenturySchlbk" w:hAnsi="NewCenturySchlbk"/>
          <w:sz w:val="22"/>
        </w:rPr>
      </w:pPr>
      <w:r>
        <w:rPr>
          <w:rFonts w:ascii="NewCenturySchlbk" w:hAnsi="NewCenturySchlbk"/>
          <w:sz w:val="22"/>
        </w:rPr>
        <w:t>Evolution Petroleum Corporation</w:t>
      </w:r>
    </w:p>
    <w:p>
      <w:pPr>
        <w:pStyle w:val="TextBody"/>
        <w:bidi w:val="0"/>
        <w:spacing w:lineRule="atLeast" w:line="320" w:before="0" w:after="0"/>
        <w:ind w:left="0" w:right="0" w:hanging="0"/>
        <w:jc w:val="left"/>
        <w:rPr>
          <w:rFonts w:ascii="NewCenturySchlbk" w:hAnsi="NewCenturySchlbk"/>
          <w:sz w:val="22"/>
        </w:rPr>
      </w:pPr>
      <w:r>
        <w:rPr>
          <w:rFonts w:ascii="NewCenturySchlbk" w:hAnsi="NewCenturySchlbk"/>
          <w:sz w:val="22"/>
        </w:rPr>
        <w:t>1155 Dairy Ashford Rd., Suite 425</w:t>
      </w:r>
    </w:p>
    <w:p>
      <w:pPr>
        <w:pStyle w:val="TextBody"/>
        <w:bidi w:val="0"/>
        <w:spacing w:lineRule="atLeast" w:line="320" w:before="0" w:after="0"/>
        <w:ind w:left="0" w:right="0" w:hanging="0"/>
        <w:jc w:val="left"/>
        <w:rPr>
          <w:rFonts w:ascii="NewCenturySchlbk" w:hAnsi="NewCenturySchlbk"/>
          <w:sz w:val="22"/>
        </w:rPr>
      </w:pPr>
      <w:r>
        <w:rPr>
          <w:rFonts w:ascii="NewCenturySchlbk" w:hAnsi="NewCenturySchlbk"/>
          <w:sz w:val="22"/>
        </w:rPr>
        <w:t>Houston, Texas 77079</w:t>
      </w:r>
    </w:p>
    <w:p>
      <w:pPr>
        <w:pStyle w:val="TextBody"/>
        <w:bidi w:val="0"/>
        <w:spacing w:lineRule="atLeast" w:line="320" w:before="400" w:after="320"/>
        <w:ind w:left="0" w:right="0" w:hanging="0"/>
        <w:jc w:val="left"/>
        <w:rPr>
          <w:rFonts w:ascii="NewCenturySchlbk" w:hAnsi="NewCenturySchlbk"/>
          <w:sz w:val="22"/>
        </w:rPr>
      </w:pPr>
      <w:r>
        <w:rPr>
          <w:rFonts w:ascii="NewCenturySchlbk" w:hAnsi="NewCenturySchlbk"/>
          <w:sz w:val="22"/>
        </w:rPr>
        <w:t>Ladies and Gentlemen:</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Pursuant to your request, this report of third party presents an independent evaluation, as of June 30, 2026, of the extent and value of the estimated net proved developed oil, condensate, and natural gas liquids (NGL) reserves of the Delhi field in Louisiana, the net proved developed condensate, NGL, and gas reserves of the Barnett Shale in Texas, and the net proved developed oil reserves of the Hamilton Dome field in Wyoming in which Evolution Petroleum Corporation and its subsidiaries (collectively referred to herein as Evolution) have represented they hold an interest. The properties evaluated herein consist of working and royalty interests. This evaluation was completed on August 10, 2026. Evolution has represented that these properties account for 39.19 percent on a net equivalent barrel basis of Evolution’s net proved reserves as of June 30, 2026. The net proved reserves estimates have been prepared in accordance with the reserves definitions of Rules 4–10(a) (1)–‍(32) of Regulation S–X of the United States Securities and Exchange Commission (SEC). This report was prepared in accordance with the guidelines specified in Item 1202 (a)(8) of Regulation S–K and is to be used for inclusion in certain SEC filings by Evolution.</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 xml:space="preserve">Reserves estimates included herein are expressed as net reserves. Gross reserves are defined as the total estimated petroleum remaining to be produced from these properties after June 30, 2026. Net reserves are defined as that portion of the gross reserves attributable to the interests held by Evolution after deducting all interests held by others. </w:t>
      </w:r>
    </w:p>
    <w:p>
      <w:pPr>
        <w:pStyle w:val="TextBody"/>
        <w:bidi w:val="0"/>
        <w:spacing w:lineRule="atLeast" w:line="320" w:before="0" w:after="0"/>
        <w:ind w:left="0" w:right="0" w:firstLine="720"/>
        <w:jc w:val="both"/>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NewCenturySchlbk" w:hAnsi="NewCenturySchlbk"/>
          <w:sz w:val="20"/>
        </w:rPr>
      </w:pPr>
      <w:r>
        <w:rPr>
          <w:rFonts w:ascii="NewCenturySchlbk" w:hAnsi="NewCenturySchlbk"/>
          <w:sz w:val="20"/>
        </w:rPr>
        <w:t>2</w:t>
      </w:r>
    </w:p>
    <w:p>
      <w:pPr>
        <w:pStyle w:val="TextBody"/>
        <w:bidi w:val="0"/>
        <w:spacing w:before="0" w:after="0"/>
        <w:ind w:left="0" w:right="0" w:hanging="0"/>
        <w:jc w:val="left"/>
        <w:rPr/>
      </w:pPr>
      <w:r>
        <w:rPr/>
        <w:t>​</w:t>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Values for proved developed reserves in this report are expressed in terms of future gross revenue, future net revenue, and present worth. Future gross revenue is defined as that revenue which will accrue to the evaluated interests from the production and sale</w:t>
      </w:r>
      <w:bookmarkStart w:id="1244" w:name="_Hlk110254365"/>
      <w:bookmarkEnd w:id="1244"/>
      <w:r>
        <w:rPr>
          <w:rFonts w:ascii="NewCenturySchlbk" w:hAnsi="NewCenturySchlbk"/>
          <w:sz w:val="22"/>
        </w:rPr>
        <w:t xml:space="preserve"> of the estimated net reserves. Future net revenue is calculated by deducting production taxes, ad valorem taxes, operating expenses, capital costs, and abandonment costs from future gross revenue. Operating expenses include field operating expenses, carbon dioxide purchase expenses, transportation and processing expenses, compression charges, and overhead that directly relates to production activities. Capital costs include drilling and completion costs, facilities costs, and field maintenance costs. Abandonment costs are represented by Evolution to be inclusive of those costs associated with the removal of equipment, plugging of wells, and reclamation and restoration associated with the abandonment. At the request of Evolution, future income taxes were not taken into account in the preparation of these estimates. Present worth is defined as future net revenue discounted at a discount rate of 10 percent per year compounded at mid-year on an annual basis over the expected period of realization. Present worth should not be construed as fair market value because no consideration was given to additional factors that influence the prices at which properties are bought and sold.</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Estimates of reserves and revenue should be regarded only as estimates that may change as further production history and additional information become available. Not only are such estimates based on that information which is currently available, but such estimates are also subject to the uncertainties inherent in the application of judgmental factors in interpreting such information.</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Information used in the preparation of this report was obtained from Evolution and from public sources. In the preparation of this report we have relied, without independent verification, upon information furnished by Evolution with respect to the property interests being evaluated, production from such properties, current costs of operation and development, current prices for production, agreements relating to current and future operations and sale of production, and various other information and data that were accepted as represented. A field examination was not considered necessary for the purposes of this report.</w:t>
      </w:r>
    </w:p>
    <w:p>
      <w:pPr>
        <w:pStyle w:val="TextBody"/>
        <w:bidi w:val="0"/>
        <w:spacing w:lineRule="atLeast" w:line="320" w:before="320" w:after="320"/>
        <w:ind w:left="0" w:right="0" w:hanging="0"/>
        <w:jc w:val="left"/>
        <w:rPr>
          <w:rFonts w:ascii="NewCenturySchlbk" w:hAnsi="NewCenturySchlbk"/>
          <w:b/>
          <w:sz w:val="22"/>
        </w:rPr>
      </w:pPr>
      <w:r>
        <w:rPr>
          <w:rFonts w:ascii="NewCenturySchlbk" w:hAnsi="NewCenturySchlbk"/>
          <w:b/>
          <w:sz w:val="22"/>
        </w:rPr>
        <w:t>Definition of Reserves</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 xml:space="preserve">Petroleum reserves included in this report are classified by degree of proof as proved. Only proved developed reserves have been evaluated for this report. Reserves classifications used in this report are in accordance with the reserves definitions of Rules 4–10(a) (1)–(32) of Regulation S–X of the SEC. Reserves are judged to be economically producible in future years from known reservoirs under existing economic and operating conditions and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NewCenturySchlbk" w:hAnsi="NewCenturySchlbk"/>
          <w:sz w:val="20"/>
        </w:rPr>
      </w:pPr>
      <w:r>
        <w:rPr>
          <w:rFonts w:ascii="NewCenturySchlbk" w:hAnsi="NewCenturySchlbk"/>
          <w:sz w:val="20"/>
        </w:rPr>
        <w:t>3</w:t>
      </w:r>
    </w:p>
    <w:p>
      <w:pPr>
        <w:pStyle w:val="TextBody"/>
        <w:bidi w:val="0"/>
        <w:spacing w:before="0" w:after="0"/>
        <w:ind w:left="0" w:right="0" w:hanging="0"/>
        <w:jc w:val="left"/>
        <w:rPr/>
      </w:pPr>
      <w:r>
        <w:rPr/>
        <w:t>​</w:t>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lineRule="atLeast" w:line="320" w:before="0" w:after="0"/>
        <w:ind w:left="0" w:right="0" w:hanging="0"/>
        <w:jc w:val="both"/>
        <w:rPr>
          <w:rFonts w:ascii="NewCenturySchlbk" w:hAnsi="NewCenturySchlbk"/>
          <w:sz w:val="22"/>
        </w:rPr>
      </w:pPr>
      <w:r>
        <w:rPr>
          <w:rFonts w:ascii="NewCenturySchlbk" w:hAnsi="NewCenturySchlbk"/>
          <w:sz w:val="22"/>
        </w:rPr>
        <w:t>assuming continuation of current regulatory practices using established production methods and equipment. In the analyses of production-decline curves, reserves were estimated only to the limit of economic rates of production under existing economic and operating conditions using prices and costs consistent with the effective date of this report, including consideration of changes in existing prices provided only by contractual arrangements but not including escalations based upon future conditions. The petroleum reserves are classified as follows:</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720" w:right="720" w:hanging="0"/>
        <w:jc w:val="both"/>
        <w:rPr>
          <w:rFonts w:ascii="NewCenturySchlbk" w:hAnsi="NewCenturySchlbk"/>
          <w:sz w:val="22"/>
        </w:rPr>
      </w:pPr>
      <w:r>
        <w:rPr>
          <w:rFonts w:ascii="NewCenturySchlbk" w:hAnsi="NewCenturySchlbk"/>
          <w:i/>
          <w:sz w:val="22"/>
        </w:rPr>
        <w:t>Proved oil and gas reserves</w:t>
      </w:r>
      <w:r>
        <w:rPr>
          <w:rFonts w:ascii="NewCenturySchlbk" w:hAnsi="NewCenturySchlbk"/>
          <w:sz w:val="22"/>
        </w:rPr>
        <w:t xml:space="preserve"> – 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pStyle w:val="TextBody"/>
        <w:bidi w:val="0"/>
        <w:spacing w:lineRule="atLeast" w:line="320" w:before="0" w:after="0"/>
        <w:ind w:left="720" w:right="720" w:hanging="0"/>
        <w:jc w:val="both"/>
        <w:rPr/>
      </w:pPr>
      <w:r>
        <w:rPr/>
        <w:t>​</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(i) The area of the reservoir considered as proved includes:</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(A) The area identified by drilling and limited by fluid contacts, if any, and (B) Adjacent undrilled portions of the reservoir that can, with reasonable certainty, be judged to be continuous with it and to contain economically producible oil or gas on the basis of available geoscience and engineering data.</w:t>
      </w:r>
    </w:p>
    <w:p>
      <w:pPr>
        <w:pStyle w:val="TextBody"/>
        <w:bidi w:val="0"/>
        <w:spacing w:lineRule="atLeast" w:line="320" w:before="0" w:after="0"/>
        <w:ind w:left="1080" w:right="1080" w:hanging="0"/>
        <w:jc w:val="both"/>
        <w:rPr/>
      </w:pPr>
      <w:r>
        <w:rPr/>
        <w:t>​</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(ii) 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pStyle w:val="TextBody"/>
        <w:bidi w:val="0"/>
        <w:spacing w:before="0" w:after="0"/>
        <w:ind w:left="720" w:right="720" w:hanging="0"/>
        <w:jc w:val="both"/>
        <w:rPr/>
      </w:pPr>
      <w:r>
        <w:rPr/>
        <w:t>​</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(iii) 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NewCenturySchlbk" w:hAnsi="NewCenturySchlbk"/>
          <w:sz w:val="20"/>
        </w:rPr>
      </w:pPr>
      <w:r>
        <w:rPr>
          <w:rFonts w:ascii="NewCenturySchlbk" w:hAnsi="NewCenturySchlbk"/>
          <w:sz w:val="20"/>
        </w:rPr>
        <w:t>4</w:t>
      </w:r>
    </w:p>
    <w:p>
      <w:pPr>
        <w:pStyle w:val="TextBody"/>
        <w:bidi w:val="0"/>
        <w:spacing w:before="0" w:after="0"/>
        <w:ind w:left="0" w:right="0" w:hanging="0"/>
        <w:jc w:val="left"/>
        <w:rPr/>
      </w:pPr>
      <w:r>
        <w:rPr/>
        <w:t>​</w:t>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 xml:space="preserve">(iv) Reserves which can be produced economically through application of improved recovery techniques (including, but not limited to, fluid injection) are included in the proved classification when: </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pStyle w:val="TextBody"/>
        <w:bidi w:val="0"/>
        <w:spacing w:lineRule="atLeast" w:line="320" w:before="0" w:after="0"/>
        <w:ind w:left="720" w:right="720" w:hanging="0"/>
        <w:jc w:val="both"/>
        <w:rPr/>
      </w:pPr>
      <w:r>
        <w:rPr/>
        <w:t>​</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(v) 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pStyle w:val="TextBody"/>
        <w:bidi w:val="0"/>
        <w:spacing w:lineRule="atLeast" w:line="320" w:before="0" w:after="0"/>
        <w:ind w:left="720" w:right="720" w:hanging="0"/>
        <w:jc w:val="both"/>
        <w:rPr/>
      </w:pPr>
      <w:r>
        <w:rPr/>
        <w:t>​</w:t>
      </w:r>
    </w:p>
    <w:p>
      <w:pPr>
        <w:pStyle w:val="TextBody"/>
        <w:bidi w:val="0"/>
        <w:spacing w:lineRule="atLeast" w:line="320" w:before="0" w:after="0"/>
        <w:ind w:left="720" w:right="720" w:hanging="0"/>
        <w:jc w:val="both"/>
        <w:rPr>
          <w:rFonts w:ascii="NewCenturySchlbk" w:hAnsi="NewCenturySchlbk"/>
          <w:sz w:val="22"/>
        </w:rPr>
      </w:pPr>
      <w:r>
        <w:rPr>
          <w:rFonts w:ascii="NewCenturySchlbk" w:hAnsi="NewCenturySchlbk"/>
          <w:i/>
          <w:sz w:val="22"/>
        </w:rPr>
        <w:t>Developed oil and gas reserves</w:t>
      </w:r>
      <w:r>
        <w:rPr>
          <w:rFonts w:ascii="NewCenturySchlbk" w:hAnsi="NewCenturySchlbk"/>
          <w:sz w:val="22"/>
        </w:rPr>
        <w:t xml:space="preserve"> – Developed oil and gas reserves are reserves of any category that can be expected to be recovered:</w:t>
      </w:r>
    </w:p>
    <w:p>
      <w:pPr>
        <w:pStyle w:val="TextBody"/>
        <w:bidi w:val="0"/>
        <w:spacing w:lineRule="atLeast" w:line="320" w:before="0" w:after="0"/>
        <w:ind w:left="720" w:right="720" w:hanging="0"/>
        <w:jc w:val="both"/>
        <w:rPr/>
      </w:pPr>
      <w:r>
        <w:rPr/>
        <w:t>​</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(i) Through existing wells with existing equipment and operating methods or in which the cost of the required equipment is relatively minor compared to the cost of a new well; and</w:t>
      </w:r>
    </w:p>
    <w:p>
      <w:pPr>
        <w:pStyle w:val="TextBody"/>
        <w:bidi w:val="0"/>
        <w:spacing w:lineRule="atLeast" w:line="320" w:before="0" w:after="0"/>
        <w:ind w:left="1080" w:right="1080" w:hanging="0"/>
        <w:jc w:val="both"/>
        <w:rPr/>
      </w:pPr>
      <w:r>
        <w:rPr/>
        <w:t>​</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(ii) Through installed extraction equipment and infrastructure operational at the time of the reserves estimate if the extraction is by means not involving a well.</w:t>
      </w:r>
    </w:p>
    <w:p>
      <w:pPr>
        <w:pStyle w:val="TextBody"/>
        <w:bidi w:val="0"/>
        <w:spacing w:lineRule="atLeast" w:line="320" w:before="0" w:after="0"/>
        <w:ind w:left="1080" w:right="1080" w:hanging="0"/>
        <w:jc w:val="both"/>
        <w:rPr/>
      </w:pPr>
      <w:r>
        <w:rPr/>
        <w:t>​</w:t>
      </w:r>
    </w:p>
    <w:p>
      <w:pPr>
        <w:pStyle w:val="TextBody"/>
        <w:bidi w:val="0"/>
        <w:spacing w:lineRule="atLeast" w:line="320" w:before="0" w:after="0"/>
        <w:ind w:left="720" w:right="720" w:hanging="0"/>
        <w:jc w:val="both"/>
        <w:rPr>
          <w:rFonts w:ascii="NewCenturySchlbk" w:hAnsi="NewCenturySchlbk"/>
          <w:sz w:val="22"/>
        </w:rPr>
      </w:pPr>
      <w:r>
        <w:rPr>
          <w:rFonts w:ascii="NewCenturySchlbk" w:hAnsi="NewCenturySchlbk"/>
          <w:i/>
          <w:sz w:val="22"/>
        </w:rPr>
        <w:t xml:space="preserve">Undeveloped oil and gas reserves – </w:t>
      </w:r>
      <w:r>
        <w:rPr>
          <w:rFonts w:ascii="NewCenturySchlbk" w:hAnsi="NewCenturySchlbk"/>
          <w:sz w:val="22"/>
        </w:rPr>
        <w:t>Undeveloped oil and gas reserves are reserves of any category that are expected to be recovered from new wells on undrilled acreage, or from existing wells where a relatively major expenditure is required for recompletion.</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 xml:space="preserve">(i) Reserves on undrilled acreage shall be limited to those directly offsetting development spacing areas that are reasonably certain of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NewCenturySchlbk" w:hAnsi="NewCenturySchlbk"/>
          <w:sz w:val="20"/>
        </w:rPr>
      </w:pPr>
      <w:r>
        <w:rPr>
          <w:rFonts w:ascii="NewCenturySchlbk" w:hAnsi="NewCenturySchlbk"/>
          <w:sz w:val="20"/>
        </w:rPr>
        <w:t>5</w:t>
      </w:r>
    </w:p>
    <w:p>
      <w:pPr>
        <w:pStyle w:val="TextBody"/>
        <w:bidi w:val="0"/>
        <w:spacing w:before="0" w:after="0"/>
        <w:ind w:left="0" w:right="0" w:hanging="0"/>
        <w:jc w:val="left"/>
        <w:rPr/>
      </w:pPr>
      <w:r>
        <w:rPr/>
        <w:t>​</w:t>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production when drilled, unless evidence using reliable technology exists that establishes reasonable certainty of economic producibility at greater distances.</w:t>
      </w:r>
    </w:p>
    <w:p>
      <w:pPr>
        <w:pStyle w:val="TextBody"/>
        <w:bidi w:val="0"/>
        <w:spacing w:lineRule="atLeast" w:line="320" w:before="0" w:after="0"/>
        <w:ind w:left="1080" w:right="1080" w:hanging="0"/>
        <w:jc w:val="both"/>
        <w:rPr/>
      </w:pPr>
      <w:r>
        <w:rPr/>
        <w:t>​</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(ii) Undrilled locations can be classified as having undeveloped reserves only if a development plan has been adopted indicating that they are scheduled to be drilled within five years, unless the specific circumstances justify a longer time.</w:t>
      </w:r>
    </w:p>
    <w:p>
      <w:pPr>
        <w:pStyle w:val="TextBody"/>
        <w:bidi w:val="0"/>
        <w:spacing w:lineRule="atLeast" w:line="320" w:before="0" w:after="0"/>
        <w:ind w:left="1080" w:right="1080" w:hanging="0"/>
        <w:jc w:val="both"/>
        <w:rPr/>
      </w:pPr>
      <w:r>
        <w:rPr/>
        <w:t>​</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(iii) 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[section 210.4–10 (a) Definitions], or by other evidence using reliable technology establishing reasonable certainty.</w:t>
      </w:r>
    </w:p>
    <w:p>
      <w:pPr>
        <w:pStyle w:val="TextBody"/>
        <w:bidi w:val="0"/>
        <w:spacing w:lineRule="atLeast" w:line="320" w:before="320" w:after="320"/>
        <w:ind w:left="0" w:right="0" w:hanging="0"/>
        <w:jc w:val="left"/>
        <w:rPr>
          <w:rFonts w:ascii="NewCenturySchlbk" w:hAnsi="NewCenturySchlbk"/>
          <w:b/>
          <w:sz w:val="22"/>
        </w:rPr>
      </w:pPr>
      <w:r>
        <w:rPr>
          <w:rFonts w:ascii="NewCenturySchlbk" w:hAnsi="NewCenturySchlbk"/>
          <w:b/>
          <w:sz w:val="22"/>
        </w:rPr>
        <w:t>Methodology and Procedures</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 xml:space="preserve">Estimates of reserves were prepared by the use of appropriate geologic, petroleum engineering, and evaluation principles and techniques that are in accordance with the reserves definitions of Rules 4–10(a) (1)–(32) of Regulation S–X of the SEC and with practices generally recognized by the petroleum industry as presented in the publication of the Society of Petroleum Engineers entitled “Standards Pertaining to the Estimating and Auditing of Oil and Gas Reserves Information (revised June 2019) Approved by the SPE Board on 25 June 2019” and in Monograph 3 and Monograph 4 published by the Society of Petroleum Evaluation Engineers. The method or combination of methods used in the analysis of each reservoir was tempered by experience with similar reservoirs, stage of development, quality and completeness of basic data, and production history. </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Based on the current stage of field development, production performance, the development plan provided by Evolution, and analyses of areas offsetting existing wells with test or production data, reserves were classified as proved developed.</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When applicable, the volumetric method was used to estimate the original oil in place (OOIP). Well-log, seismic, core, fluid, and other available data were used, as appropriate, to prepare structure maps and estimate petrophysical and fluid properties. Structural, petrophysical, and fluid property analyses were used to construct two-dimensional or three-dimensional geological representations and prepare estimates of OOIP.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NewCenturySchlbk" w:hAnsi="NewCenturySchlbk"/>
          <w:sz w:val="20"/>
        </w:rPr>
      </w:pPr>
      <w:r>
        <w:rPr>
          <w:rFonts w:ascii="NewCenturySchlbk" w:hAnsi="NewCenturySchlbk"/>
          <w:sz w:val="20"/>
        </w:rPr>
        <w:t>6</w:t>
      </w:r>
    </w:p>
    <w:p>
      <w:pPr>
        <w:pStyle w:val="TextBody"/>
        <w:bidi w:val="0"/>
        <w:spacing w:before="0" w:after="0"/>
        <w:ind w:left="0" w:right="0" w:hanging="0"/>
        <w:jc w:val="left"/>
        <w:rPr/>
      </w:pPr>
      <w:r>
        <w:rPr/>
        <w:t>​</w:t>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Estimates of ultimate recovery were obtained after applying recovery factors to OOIP. These recovery factors were based on consideration of the type of energy inherent in the reservoirs, analyses of the petroleum, the structural positions of the properties, and the production histories. Certain properties evaluated herein are produced using enhanced oil recovery methods involving continuous carbon dioxide flooding operations. Therefore, carbon dioxide versus oil ratios and carbon dioxide injection volumes were analyzed and projected and were used in the estimation of reserves when applicable.</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For depletion-type reservoirs or those whose performance disclosed a reliable decline in producing-rate trends or other diagnostic characteristics, reserves were estimated by the application of appropriate decline curves or other performance relationships. In the analyses of production-decline curves, reserves were estimated only to the limits of economic production as defined under the Definition of Reserves heading of this report.</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 xml:space="preserve">For the evaluation of unconventional reservoirs, a performance-based methodology integrating the appropriate geology and petroleum engineering data was utilized for this report. Performance-based methodology primarily includes (1) production diagnostics, (2) decline-curve analysis, and (3) model-based analysis (if necessary, based on availability of data). Production diagnostics include data quality control, identification of flow regimes, and characteristic well performance behavior. </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Characteristic rate-decline profiles from diagnostic interpretation were translated to modified hyperbolic rate profiles, including one or multiple b-exponent values followed by an exponential decline. Based on the availability of data, model-based analysis may be integrated to evaluate long-term decline behavior, the effect of dynamic reservoir and fracture parameters on well performance, and complex situations sourced by the nature of unconventional reservoirs.</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In certain cases, reserves were estimated by incorporating elements of analogy with similar wells or reservoirs for which more complete data were available.</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Data provided by Evolution from wells drilled through June 30, 2026, and made available for this evaluation were used to prepare the reserves estimates herein. These reserves estimates were based on consideration of monthly production data available for certain properties only through April 2026. Estimated cumulative production, as of June 30, 2026, was deducted from the estimated gross ultimate recovery to estimate gross reserves. This required that production be estimated for up to 2 months.</w:t>
      </w:r>
    </w:p>
    <w:p>
      <w:pPr>
        <w:pStyle w:val="TextBody"/>
        <w:bidi w:val="0"/>
        <w:spacing w:lineRule="atLeast" w:line="320" w:before="0" w:after="0"/>
        <w:ind w:left="0" w:right="0" w:firstLine="720"/>
        <w:jc w:val="both"/>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NewCenturySchlbk" w:hAnsi="NewCenturySchlbk"/>
          <w:sz w:val="20"/>
        </w:rPr>
      </w:pPr>
      <w:r>
        <w:rPr>
          <w:rFonts w:ascii="NewCenturySchlbk" w:hAnsi="NewCenturySchlbk"/>
          <w:sz w:val="20"/>
        </w:rPr>
        <w:t>7</w:t>
      </w:r>
    </w:p>
    <w:p>
      <w:pPr>
        <w:pStyle w:val="TextBody"/>
        <w:bidi w:val="0"/>
        <w:spacing w:before="0" w:after="0"/>
        <w:ind w:left="0" w:right="0" w:hanging="0"/>
        <w:jc w:val="left"/>
        <w:rPr/>
      </w:pPr>
      <w:r>
        <w:rPr/>
        <w:t>​</w:t>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Oil and condensate reserves estimated herein are to be recovered by normal field separation. NGL reserves estimated herein include pentanes and heavier fractions (C</w:t>
      </w:r>
      <w:r>
        <w:rPr>
          <w:rFonts w:ascii="NewCenturySchlbk" w:hAnsi="NewCenturySchlbk"/>
          <w:sz w:val="17"/>
        </w:rPr>
        <w:t>5+</w:t>
      </w:r>
      <w:r>
        <w:rPr>
          <w:rFonts w:ascii="NewCenturySchlbk" w:hAnsi="NewCenturySchlbk"/>
          <w:sz w:val="22"/>
        </w:rPr>
        <w:t>) and liquefied petroleum gas (LPG), which consists primarily of propane and butane fractions, and are the result of low-temperature plant processing. Oil, condensate, and NGL reserves included in this report are expressed in thousands of barrels (Mbbl). In these estimates, 1 barrel equals 42 United States gallons. For reporting purposes, oil and condensate reserves have been estimated separately and are presented herein as a summed quantity.</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 xml:space="preserve">Gas quantities estimated herein are expressed as sales gas. Sales gas is defined as the total gas to be produced from the reservoirs, measured at the point of delivery, after reduction for fuel usage, flare, and shrinkage resulting from field separation and processing. Gas reserves estimated herein are reported as sales gas. Gas quantities are expressed at a temperature base of 60 degrees Fahrenheit (°F) and at the pressure base of the state in which the quantities are located. Gas quantities included in this report are expressed in millions of cubic feet (MMcf). </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Gas quantities are identified by the type of reservoir from which the gas will be produced. Nonassociated gas is gas at initial reservoir conditions with no oil present in the reservoir. Associated gas is both gas-cap gas and solution gas. Gas-cap gas is gas at initial reservoir conditions and is in communication with an underlying oil zone. Solution gas is gas dissolved in oil at initial reservoir conditions. Gas quantities estimated herein include both associated and nonassociated gas.</w:t>
      </w:r>
    </w:p>
    <w:p>
      <w:pPr>
        <w:pStyle w:val="TextBody"/>
        <w:bidi w:val="0"/>
        <w:spacing w:lineRule="atLeast" w:line="320" w:before="320" w:after="320"/>
        <w:ind w:left="0" w:right="0" w:hanging="0"/>
        <w:jc w:val="left"/>
        <w:rPr>
          <w:rFonts w:ascii="NewCenturySchlbk" w:hAnsi="NewCenturySchlbk"/>
          <w:b/>
          <w:sz w:val="22"/>
        </w:rPr>
      </w:pPr>
      <w:r>
        <w:rPr>
          <w:rFonts w:ascii="NewCenturySchlbk" w:hAnsi="NewCenturySchlbk"/>
          <w:b/>
          <w:sz w:val="22"/>
        </w:rPr>
        <w:t>Primary Economic Assumptions</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Revenue values in this report were estimated using initial prices, expenses, and costs provided by Evolution. Future prices were estimated using guidelines established by the SEC and the Financial Accounting Standards Board (FASB). The following economic assumptions were used for estimating the revenue values reported herein:</w:t>
      </w:r>
    </w:p>
    <w:p>
      <w:pPr>
        <w:pStyle w:val="TextBody"/>
        <w:bidi w:val="0"/>
        <w:spacing w:lineRule="atLeast" w:line="320" w:before="320" w:after="320"/>
        <w:ind w:left="0" w:right="0" w:firstLine="720"/>
        <w:jc w:val="left"/>
        <w:rPr>
          <w:rFonts w:ascii="NewCenturySchlbk" w:hAnsi="NewCenturySchlbk"/>
          <w:i/>
          <w:sz w:val="22"/>
        </w:rPr>
      </w:pPr>
      <w:r>
        <w:rPr>
          <w:rFonts w:ascii="NewCenturySchlbk" w:hAnsi="NewCenturySchlbk"/>
          <w:i/>
          <w:sz w:val="22"/>
        </w:rPr>
        <w:t>Oil, Condensate, and NGL Prices</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 xml:space="preserve">Evolution has represented that the oil, condensate, and NGL prices were based on a reference price, calculated as the unweighted arithmetic average of the first-day-of-the-month price for each month within the 12-month period prior to the end of the reporting period, unless prices are defined by contractual agreements. The oil, condensate, and NGL prices were calculated using differentials furnished by Evolution to the West Texas Intermediate (WTI)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NewCenturySchlbk" w:hAnsi="NewCenturySchlbk"/>
          <w:sz w:val="20"/>
        </w:rPr>
      </w:pPr>
      <w:r>
        <w:rPr>
          <w:rFonts w:ascii="NewCenturySchlbk" w:hAnsi="NewCenturySchlbk"/>
          <w:sz w:val="20"/>
        </w:rPr>
        <w:t>8</w:t>
      </w:r>
    </w:p>
    <w:p>
      <w:pPr>
        <w:pStyle w:val="TextBody"/>
        <w:bidi w:val="0"/>
        <w:spacing w:before="0" w:after="0"/>
        <w:ind w:left="0" w:right="0" w:hanging="0"/>
        <w:jc w:val="left"/>
        <w:rPr/>
      </w:pPr>
      <w:r>
        <w:rPr/>
        <w:t>​</w:t>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reference price of $72.93 per barrel and held constant thereafter. The volume-weighted average prices attributable to the estimated proved reserves over the lives of the properties were $64.84 per barrel of oil and condensate and $31.61 per barrel of NGL.</w:t>
      </w:r>
    </w:p>
    <w:p>
      <w:pPr>
        <w:pStyle w:val="TextBody"/>
        <w:bidi w:val="0"/>
        <w:spacing w:before="320" w:after="320"/>
        <w:ind w:left="0" w:right="0" w:firstLine="720"/>
        <w:jc w:val="left"/>
        <w:rPr>
          <w:rFonts w:ascii="NewCenturySchlbk" w:hAnsi="NewCenturySchlbk"/>
          <w:i/>
          <w:sz w:val="22"/>
        </w:rPr>
      </w:pPr>
      <w:r>
        <w:rPr>
          <w:rFonts w:ascii="NewCenturySchlbk" w:hAnsi="NewCenturySchlbk"/>
          <w:i/>
          <w:sz w:val="22"/>
        </w:rPr>
        <w:t>Gas Prices</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Evolution has represented that the gas prices were based on a reference price, calculated as the unweighted arithmetic average of the first-day-of-the-month price for each month within the 12-month period prior to the end of the reporting period, unless prices are defined by contractual agreements. Evolution supplied differentials to a Henry Hub gas reference price of $3.62 per million Btu. The prices were held constant thereafter. Btu factors were provided by Evolution and used to convert prices from dollars per million Btu to dollars per thousand cubic feet. The volume-weighted average price attributable to the estimated proved reserves over the lives of the properties was $3.125 per thousand cubic feet of gas.</w:t>
      </w:r>
    </w:p>
    <w:p>
      <w:pPr>
        <w:pStyle w:val="TextBody"/>
        <w:bidi w:val="0"/>
        <w:spacing w:lineRule="atLeast" w:line="320" w:before="0" w:after="0"/>
        <w:ind w:left="1080" w:right="1080" w:hanging="0"/>
        <w:jc w:val="both"/>
        <w:rPr/>
      </w:pPr>
      <w:r>
        <w:rPr/>
        <w:t>​</w:t>
      </w:r>
    </w:p>
    <w:p>
      <w:pPr>
        <w:pStyle w:val="TextBody"/>
        <w:bidi w:val="0"/>
        <w:spacing w:lineRule="atLeast" w:line="320" w:before="320" w:after="320"/>
        <w:ind w:left="0" w:right="0" w:firstLine="720"/>
        <w:jc w:val="left"/>
        <w:rPr>
          <w:rFonts w:ascii="NewCenturySchlbk" w:hAnsi="NewCenturySchlbk"/>
          <w:i/>
          <w:sz w:val="22"/>
        </w:rPr>
      </w:pPr>
      <w:r>
        <w:rPr>
          <w:rFonts w:ascii="NewCenturySchlbk" w:hAnsi="NewCenturySchlbk"/>
          <w:i/>
          <w:sz w:val="22"/>
        </w:rPr>
        <w:t>Production and Ad Valorem Taxes</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Production taxes were calculated using rates provided by Evolution, including, where appropriate, abatements for enhanced recovery programs. Ad valorem taxes were calculated using rates provided by Evolution based on recent payments.</w:t>
      </w:r>
    </w:p>
    <w:p>
      <w:pPr>
        <w:pStyle w:val="TextBody"/>
        <w:bidi w:val="0"/>
        <w:spacing w:lineRule="atLeast" w:line="320" w:before="0" w:after="0"/>
        <w:ind w:left="1080" w:right="1080" w:hanging="0"/>
        <w:jc w:val="both"/>
        <w:rPr/>
      </w:pPr>
      <w:r>
        <w:rPr/>
        <w:t>​</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 xml:space="preserve">Evolution has represented that the Delhi carbon dioxide flood has been qualified as a tertiary recovery project and that no oil production taxes will be charged until certain investment and interest expenses have been paid out from the project revenue. Oil production taxes then revert to a 12.5-percent rate, which rate is held constant until average oil production per well drops below 25 barrels per day, and then reduced to 6.25 percent thereafter. Payout is not expected to occur prior to depletion, so no oil production taxes are included herein for the Delhi field.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NewCenturySchlbk" w:hAnsi="NewCenturySchlbk"/>
          <w:sz w:val="20"/>
        </w:rPr>
      </w:pPr>
      <w:r>
        <w:rPr>
          <w:rFonts w:ascii="NewCenturySchlbk" w:hAnsi="NewCenturySchlbk"/>
          <w:sz w:val="20"/>
        </w:rPr>
        <w:t>9</w:t>
      </w:r>
    </w:p>
    <w:p>
      <w:pPr>
        <w:pStyle w:val="TextBody"/>
        <w:bidi w:val="0"/>
        <w:spacing w:before="0" w:after="0"/>
        <w:ind w:left="0" w:right="0" w:hanging="0"/>
        <w:jc w:val="left"/>
        <w:rPr/>
      </w:pPr>
      <w:r>
        <w:rPr/>
        <w:t>​</w:t>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before="0" w:after="320"/>
        <w:ind w:left="0" w:right="0" w:firstLine="720"/>
        <w:jc w:val="left"/>
        <w:rPr>
          <w:rFonts w:ascii="NewCenturySchlbk" w:hAnsi="NewCenturySchlbk"/>
          <w:i/>
          <w:sz w:val="22"/>
        </w:rPr>
      </w:pPr>
      <w:r>
        <w:rPr>
          <w:rFonts w:ascii="NewCenturySchlbk" w:hAnsi="NewCenturySchlbk"/>
          <w:i/>
          <w:sz w:val="22"/>
        </w:rPr>
        <w:t>Operating Expenses, Capital Costs, and Abandonment Costs</w:t>
      </w:r>
    </w:p>
    <w:p>
      <w:pPr>
        <w:pStyle w:val="TextBody"/>
        <w:bidi w:val="0"/>
        <w:spacing w:lineRule="atLeast" w:line="320" w:before="0" w:after="0"/>
        <w:ind w:left="1080" w:right="1080" w:hanging="0"/>
        <w:jc w:val="both"/>
        <w:rPr>
          <w:rFonts w:ascii="NewCenturySchlbk" w:hAnsi="NewCenturySchlbk"/>
          <w:sz w:val="22"/>
        </w:rPr>
      </w:pPr>
      <w:r>
        <w:rPr>
          <w:rFonts w:ascii="NewCenturySchlbk" w:hAnsi="NewCenturySchlbk"/>
          <w:sz w:val="22"/>
        </w:rPr>
        <w:t xml:space="preserve">Estimates of operating expenses, provided by Evolution and based on existing economic conditions, were held constant for the lives of the properties. Future capital expenditures were estimated using values from the 12 months prior to the as-of date of this report, provided by Evolution, and were not adjusted for inflation. In certain cases, future expenditures, either higher or lower than current expenditures, may have been used because of anticipated changes in operating conditions, but no general escalation that might result from inflation was applied. Abandonment costs, which are those costs associated with the removal of equipment, plugging of wells, and reclamation and restoration associated with the abandonment, were provided by Evolution and were not adjusted for inflation. </w:t>
      </w:r>
    </w:p>
    <w:p>
      <w:pPr>
        <w:pStyle w:val="TextBody"/>
        <w:bidi w:val="0"/>
        <w:spacing w:lineRule="atLeast" w:line="320" w:before="0" w:after="0"/>
        <w:ind w:left="1080" w:right="1080" w:hanging="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 xml:space="preserve">In our opinion, the information relating to estimated proved reserves, estimated future net revenue from proved reserves, and present worth of estimated future net revenue from proved reserves of oil, condensate, NGL, and gas contained in this report has been prepared in accordance with Paragraphs 932-235-50-4, 932-235-50-6, 932-235-50-7, 932-235-50-9, 932-235-50-30, and 932-235-50-31(a), (b), and (e) of the Accounting Standards Update 932-235-50, </w:t>
      </w:r>
      <w:r>
        <w:rPr>
          <w:rFonts w:ascii="NewCenturySchlbk" w:hAnsi="NewCenturySchlbk"/>
          <w:i/>
          <w:sz w:val="22"/>
        </w:rPr>
        <w:t>Extractive Industries – Oil and Gas (Topic 932): Oil and Gas Reserve Estimation and Disclosures</w:t>
      </w:r>
      <w:r>
        <w:rPr>
          <w:rFonts w:ascii="NewCenturySchlbk" w:hAnsi="NewCenturySchlbk"/>
          <w:sz w:val="22"/>
        </w:rPr>
        <w:t xml:space="preserve"> (January 2010) of the FASB and Rules 4–10(a) (1)–(32) of Regulation S–X and Rules 302(b), 1201, and 1202(a) (1), (2), (3), (4), (8) of Regulation S–K of the SEC; provided, however, that (i) future income tax expenses have not been taken into account in estimating the future net revenue and present worth values set forth herein and (ii) estimates of the proved developed and proved undeveloped reserves are not presented at the beginning of the year. </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To the extent the above-enumerated rules, regulations, and statements require determinations of an accounting or legal nature, we, as engineers, are necessarily unable to express an opinion as to whether the above-described information is in accordance therewith or sufficient therefor.</w:t>
      </w:r>
    </w:p>
    <w:p>
      <w:pPr>
        <w:pStyle w:val="TextBody"/>
        <w:bidi w:val="0"/>
        <w:spacing w:lineRule="atLeast" w:line="320" w:before="320" w:after="320"/>
        <w:ind w:left="0" w:right="0" w:hanging="0"/>
        <w:jc w:val="left"/>
        <w:rPr>
          <w:rFonts w:ascii="NewCenturySchlbk" w:hAnsi="NewCenturySchlbk"/>
          <w:b/>
          <w:sz w:val="22"/>
        </w:rPr>
      </w:pPr>
      <w:r>
        <w:rPr>
          <w:rFonts w:ascii="NewCenturySchlbk" w:hAnsi="NewCenturySchlbk"/>
          <w:b/>
          <w:sz w:val="22"/>
        </w:rPr>
        <w:t>Summary of Conclusions</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DeGolyer and MacNaughton has performed an independent evaluation of the extent and value of the estimated net proved developed oil, condensate, NGL, and gas reserves of certain properties in which Evolution has represented it holds an interest.</w:t>
      </w:r>
    </w:p>
    <w:p>
      <w:pPr>
        <w:pStyle w:val="TextBody"/>
        <w:bidi w:val="0"/>
        <w:spacing w:lineRule="atLeast" w:line="320" w:before="0" w:after="0"/>
        <w:ind w:left="0" w:right="0" w:firstLine="720"/>
        <w:jc w:val="both"/>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NewCenturySchlbk" w:hAnsi="NewCenturySchlbk"/>
          <w:sz w:val="20"/>
        </w:rPr>
      </w:pPr>
      <w:r>
        <w:rPr>
          <w:rFonts w:ascii="NewCenturySchlbk" w:hAnsi="NewCenturySchlbk"/>
          <w:sz w:val="20"/>
        </w:rPr>
        <w:t>10</w:t>
      </w:r>
    </w:p>
    <w:p>
      <w:pPr>
        <w:pStyle w:val="TextBody"/>
        <w:bidi w:val="0"/>
        <w:spacing w:before="0" w:after="0"/>
        <w:ind w:left="0" w:right="0" w:hanging="0"/>
        <w:jc w:val="left"/>
        <w:rPr/>
      </w:pPr>
      <w:r>
        <w:rPr/>
        <w:t>​</w:t>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The estimated net proved developed reserves, as of June 30, 2026, of the properties evaluated herein were based on the definition of proved reserves of the SEC and are summarized as follows, expressed in thousands of barrels (Mbbl) and millions of cubic feet (MMcf):</w:t>
      </w:r>
    </w:p>
    <w:p>
      <w:pPr>
        <w:pStyle w:val="TextBody"/>
        <w:bidi w:val="0"/>
        <w:spacing w:lineRule="atLeast" w:line="320" w:before="0" w:after="0"/>
        <w:ind w:left="0" w:right="0" w:firstLine="720"/>
        <w:jc w:val="both"/>
        <w:rPr/>
      </w:pPr>
      <w:r>
        <w:rPr/>
        <w:t>​</w:t>
      </w:r>
    </w:p>
    <w:tbl>
      <w:tblPr>
        <w:tblW w:w="714" w:type="dxa"/>
        <w:jc w:val="center"/>
        <w:tblInd w:w="0" w:type="dxa"/>
        <w:tblLayout w:type="fixed"/>
        <w:tblCellMar>
          <w:top w:w="0" w:type="dxa"/>
          <w:left w:w="0" w:type="dxa"/>
          <w:bottom w:w="0" w:type="dxa"/>
          <w:right w:w="0"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78740" cy="175260"/>
                      <wp:effectExtent l="0" t="0" r="0" b="0"/>
                      <wp:wrapNone/>
                      <wp:docPr id="559" name="Frame55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tLeast" w:line="22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pPr>
                            <w:r>
                              <w:rPr/>
                              <w:t>​</w:t>
                            </w:r>
                          </w:p>
                        </w:txbxContent>
                      </v:textbox>
                      <w10:wrap type="none"/>
                    </v:rect>
                  </w:pict>
                </mc:Fallback>
              </mc:AlternateContent>
            </w:r>
          </w:p>
        </w:tc>
        <w:tc>
          <w:tcPr>
            <w:tcW w:w="590" w:type="dxa"/>
            <w:gridSpan w:val="5"/>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375285" cy="2235200"/>
                      <wp:effectExtent l="0" t="0" r="0" b="0"/>
                      <wp:wrapNone/>
                      <wp:docPr id="560" name="Frame552"/>
                      <a:graphic xmlns:a="http://schemas.openxmlformats.org/drawingml/2006/main">
                        <a:graphicData uri="http://schemas.microsoft.com/office/word/2010/wordprocessingShape">
                          <wps:wsp>
                            <wps:cNvSpPr txBox="1"/>
                            <wps:spPr>
                              <a:xfrm>
                                <a:off x="0" y="0"/>
                                <a:ext cx="375285" cy="2235200"/>
                              </a:xfrm>
                              <a:prstGeom prst="rect"/>
                              <a:solidFill>
                                <a:srgbClr val="FFFFFF"/>
                              </a:solidFill>
                            </wps:spPr>
                            <wps:txbx>
                              <w:txbxContent>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Estimated by DeGolyer and MacNaughton</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Net Reserves</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as of</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June 30,</w:t>
                                  </w:r>
                                  <w:r>
                                    <w:rPr>
                                      <w:rFonts w:ascii="NewCenturySchlbk-Bold" w:hAnsi="NewCenturySchlbk-Bold"/>
                                      <w:b/>
                                      <w:spacing w:val="17"/>
                                      <w:sz w:val="18"/>
                                    </w:rPr>
                                    <w:t xml:space="preserve"> </w:t>
                                  </w:r>
                                  <w:r>
                                    <w:rPr>
                                      <w:rFonts w:ascii="NewCenturySchlbk-Bold" w:hAnsi="NewCenturySchlbk-Bold"/>
                                      <w:b/>
                                      <w:sz w:val="18"/>
                                    </w:rPr>
                                    <w:t>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Estimated by DeGolyer and MacNaughton</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Net Reserves</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as of</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June 30,</w:t>
                            </w:r>
                            <w:r>
                              <w:rPr>
                                <w:rFonts w:ascii="NewCenturySchlbk-Bold" w:hAnsi="NewCenturySchlbk-Bold"/>
                                <w:b/>
                                <w:spacing w:val="17"/>
                                <w:sz w:val="18"/>
                              </w:rPr>
                              <w:t xml:space="preserve"> </w:t>
                            </w:r>
                            <w:r>
                              <w:rPr>
                                <w:rFonts w:ascii="NewCenturySchlbk-Bold" w:hAnsi="NewCenturySchlbk-Bold"/>
                                <w:b/>
                                <w:sz w:val="18"/>
                              </w:rPr>
                              <w:t>2026</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78740" cy="175260"/>
                      <wp:effectExtent l="0" t="0" r="0" b="0"/>
                      <wp:wrapNone/>
                      <wp:docPr id="561" name="Frame55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tLeast" w:line="22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pPr>
                            <w:r>
                              <w:rPr/>
                              <w:t>​</w:t>
                            </w:r>
                          </w:p>
                        </w:txbxContent>
                      </v:textbox>
                      <w10:wrap type="none"/>
                    </v:rect>
                  </w:pict>
                </mc:Fallback>
              </mc:AlternateContent>
            </w:r>
          </w:p>
        </w:tc>
        <w:tc>
          <w:tcPr>
            <w:tcW w:w="109"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69215" cy="2192020"/>
                      <wp:effectExtent l="0" t="0" r="0" b="0"/>
                      <wp:wrapNone/>
                      <wp:docPr id="562" name="Frame554"/>
                      <a:graphic xmlns:a="http://schemas.openxmlformats.org/drawingml/2006/main">
                        <a:graphicData uri="http://schemas.microsoft.com/office/word/2010/wordprocessingShape">
                          <wps:wsp>
                            <wps:cNvSpPr txBox="1"/>
                            <wps:spPr>
                              <a:xfrm>
                                <a:off x="0" y="0"/>
                                <a:ext cx="69215" cy="2192020"/>
                              </a:xfrm>
                              <a:prstGeom prst="rect"/>
                              <a:solidFill>
                                <a:srgbClr val="FFFFFF"/>
                              </a:solidFill>
                            </wps:spPr>
                            <wps:txbx>
                              <w:txbxContent>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Oil and</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Condensate</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(Mbbl)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72.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Oil and</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Condensate</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(Mbbl)</w:t>
                            </w:r>
                          </w:p>
                        </w:txbxContent>
                      </v:textbox>
                      <w10:wrap type="none"/>
                    </v:rect>
                  </w:pict>
                </mc:Fallback>
              </mc:AlternateContent>
            </w:r>
          </w:p>
        </w:tc>
        <w:tc>
          <w:tcPr>
            <w:tcW w:w="109"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69215" cy="175260"/>
                      <wp:effectExtent l="0" t="0" r="0" b="0"/>
                      <wp:wrapNone/>
                      <wp:docPr id="563" name="Frame5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pPr>
                            <w:r>
                              <w:rPr/>
                              <w:t>​</w:t>
                            </w:r>
                          </w:p>
                        </w:txbxContent>
                      </v:textbox>
                      <w10:wrap type="none"/>
                    </v:rect>
                  </w:pict>
                </mc:Fallback>
              </mc:AlternateContent>
            </w:r>
          </w:p>
        </w:tc>
        <w:tc>
          <w:tcPr>
            <w:tcW w:w="109"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69215" cy="1432560"/>
                      <wp:effectExtent l="0" t="0" r="0" b="0"/>
                      <wp:wrapNone/>
                      <wp:docPr id="564" name="Frame556"/>
                      <a:graphic xmlns:a="http://schemas.openxmlformats.org/drawingml/2006/main">
                        <a:graphicData uri="http://schemas.microsoft.com/office/word/2010/wordprocessingShape">
                          <wps:wsp>
                            <wps:cNvSpPr txBox="1"/>
                            <wps:spPr>
                              <a:xfrm>
                                <a:off x="0" y="0"/>
                                <a:ext cx="69215" cy="1432560"/>
                              </a:xfrm>
                              <a:prstGeom prst="rect"/>
                              <a:solidFill>
                                <a:srgbClr val="FFFFFF"/>
                              </a:solidFill>
                            </wps:spPr>
                            <wps:txbx>
                              <w:txbxContent>
                                <w:p>
                                  <w:pPr>
                                    <w:pStyle w:val="TableContents"/>
                                    <w:bidi w:val="0"/>
                                    <w:spacing w:lineRule="atLeast" w:line="220" w:before="0" w:after="0"/>
                                    <w:ind w:left="0" w:right="0" w:hanging="0"/>
                                    <w:jc w:val="center"/>
                                    <w:rPr/>
                                  </w:pPr>
                                  <w:r>
                                    <w:rPr/>
                                    <w:t>​</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NGL</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(Mbbl)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12.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pPr>
                            <w:r>
                              <w:rPr/>
                              <w:t>​</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NGL</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(Mbbl)</w:t>
                            </w:r>
                          </w:p>
                        </w:txbxContent>
                      </v:textbox>
                      <w10:wrap type="none"/>
                    </v:rect>
                  </w:pict>
                </mc:Fallback>
              </mc:AlternateContent>
            </w:r>
          </w:p>
        </w:tc>
        <w:tc>
          <w:tcPr>
            <w:tcW w:w="109"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69215" cy="175260"/>
                      <wp:effectExtent l="0" t="0" r="0" b="0"/>
                      <wp:wrapNone/>
                      <wp:docPr id="565" name="Frame5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pPr>
                            <w:r>
                              <w:rPr/>
                              <w:t>​</w:t>
                            </w:r>
                          </w:p>
                        </w:txbxContent>
                      </v:textbox>
                      <w10:wrap type="none"/>
                    </v:rect>
                  </w:pict>
                </mc:Fallback>
              </mc:AlternateConten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98425" cy="2131060"/>
                      <wp:effectExtent l="0" t="0" r="0" b="0"/>
                      <wp:wrapNone/>
                      <wp:docPr id="566" name="Frame558"/>
                      <a:graphic xmlns:a="http://schemas.openxmlformats.org/drawingml/2006/main">
                        <a:graphicData uri="http://schemas.microsoft.com/office/word/2010/wordprocessingShape">
                          <wps:wsp>
                            <wps:cNvSpPr txBox="1"/>
                            <wps:spPr>
                              <a:xfrm>
                                <a:off x="0" y="0"/>
                                <a:ext cx="98425" cy="2131060"/>
                              </a:xfrm>
                              <a:prstGeom prst="rect"/>
                              <a:solidFill>
                                <a:srgbClr val="FFFFFF"/>
                              </a:solidFill>
                            </wps:spPr>
                            <wps:txbx>
                              <w:txbxContent>
                                <w:p>
                                  <w:pPr>
                                    <w:pStyle w:val="TableContents"/>
                                    <w:bidi w:val="0"/>
                                    <w:spacing w:lineRule="atLeast" w:line="220" w:before="0" w:after="0"/>
                                    <w:ind w:left="0" w:right="0" w:hanging="0"/>
                                    <w:jc w:val="center"/>
                                    <w:rPr/>
                                  </w:pPr>
                                  <w:r>
                                    <w:rPr/>
                                    <w:t>​</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Sales Gas</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(MMcf)</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67.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pPr>
                            <w:r>
                              <w:rPr/>
                              <w:t>​</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Sales Gas</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(MMcf)</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78740" cy="175260"/>
                      <wp:effectExtent l="0" t="0" r="0" b="0"/>
                      <wp:wrapNone/>
                      <wp:docPr id="567" name="Frame55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tLeast" w:line="22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pPr>
                            <w:r>
                              <w:rPr/>
                              <w:t>​</w:t>
                            </w:r>
                          </w:p>
                        </w:txbxContent>
                      </v:textbox>
                      <w10:wrap type="none"/>
                    </v:rect>
                  </w:pict>
                </mc:Fallback>
              </mc:AlternateContent>
            </w:r>
          </w:p>
        </w:tc>
        <w:tc>
          <w:tcPr>
            <w:tcW w:w="109"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69215" cy="175260"/>
                      <wp:effectExtent l="0" t="0" r="0" b="0"/>
                      <wp:wrapNone/>
                      <wp:docPr id="568" name="Frame5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69215" cy="175260"/>
                      <wp:effectExtent l="0" t="0" r="0" b="0"/>
                      <wp:wrapNone/>
                      <wp:docPr id="569" name="Frame5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9215" cy="175260"/>
                      <wp:effectExtent l="0" t="0" r="0" b="0"/>
                      <wp:wrapNone/>
                      <wp:docPr id="570" name="Frame5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69215" cy="175260"/>
                      <wp:effectExtent l="0" t="0" r="0" b="0"/>
                      <wp:wrapNone/>
                      <wp:docPr id="571" name="Frame5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98425" cy="175260"/>
                      <wp:effectExtent l="0" t="0" r="0" b="0"/>
                      <wp:wrapNone/>
                      <wp:docPr id="572" name="Frame564"/>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78740" cy="1737995"/>
                      <wp:effectExtent l="0" t="0" r="0" b="0"/>
                      <wp:wrapNone/>
                      <wp:docPr id="573" name="Frame565"/>
                      <a:graphic xmlns:a="http://schemas.openxmlformats.org/drawingml/2006/main">
                        <a:graphicData uri="http://schemas.microsoft.com/office/word/2010/wordprocessingShape">
                          <wps:wsp>
                            <wps:cNvSpPr txBox="1"/>
                            <wps:spPr>
                              <a:xfrm>
                                <a:off x="0" y="0"/>
                                <a:ext cx="78740" cy="1737995"/>
                              </a:xfrm>
                              <a:prstGeom prst="rect"/>
                              <a:solidFill>
                                <a:srgbClr val="FFFFFF"/>
                              </a:solidFill>
                            </wps:spPr>
                            <wps:txb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Proved Developed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6.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Proved Developed</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69215" cy="698500"/>
                      <wp:effectExtent l="0" t="0" r="0" b="0"/>
                      <wp:wrapNone/>
                      <wp:docPr id="574" name="Frame566"/>
                      <a:graphic xmlns:a="http://schemas.openxmlformats.org/drawingml/2006/main">
                        <a:graphicData uri="http://schemas.microsoft.com/office/word/2010/wordprocessingShape">
                          <wps:wsp>
                            <wps:cNvSpPr txBox="1"/>
                            <wps:spPr>
                              <a:xfrm>
                                <a:off x="0" y="0"/>
                                <a:ext cx="69215" cy="698500"/>
                              </a:xfrm>
                              <a:prstGeom prst="rect"/>
                              <a:solidFill>
                                <a:srgbClr val="FFFFFF"/>
                              </a:solidFill>
                            </wps:spPr>
                            <wps:txb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3,415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3,415</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69215" cy="175260"/>
                      <wp:effectExtent l="0" t="0" r="0" b="0"/>
                      <wp:wrapNone/>
                      <wp:docPr id="575" name="Frame5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69215" cy="698500"/>
                      <wp:effectExtent l="0" t="0" r="0" b="0"/>
                      <wp:wrapNone/>
                      <wp:docPr id="576" name="Frame568"/>
                      <a:graphic xmlns:a="http://schemas.openxmlformats.org/drawingml/2006/main">
                        <a:graphicData uri="http://schemas.microsoft.com/office/word/2010/wordprocessingShape">
                          <wps:wsp>
                            <wps:cNvSpPr txBox="1"/>
                            <wps:spPr>
                              <a:xfrm>
                                <a:off x="0" y="0"/>
                                <a:ext cx="69215" cy="698500"/>
                              </a:xfrm>
                              <a:prstGeom prst="rect"/>
                              <a:solidFill>
                                <a:srgbClr val="FFFFFF"/>
                              </a:solidFill>
                            </wps:spPr>
                            <wps:txb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2,357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2,357</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69215" cy="175260"/>
                      <wp:effectExtent l="0" t="0" r="0" b="0"/>
                      <wp:wrapNone/>
                      <wp:docPr id="577" name="Frame5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98425" cy="838200"/>
                      <wp:effectExtent l="0" t="0" r="0" b="0"/>
                      <wp:wrapNone/>
                      <wp:docPr id="578" name="Frame570"/>
                      <a:graphic xmlns:a="http://schemas.openxmlformats.org/drawingml/2006/main">
                        <a:graphicData uri="http://schemas.microsoft.com/office/word/2010/wordprocessingShape">
                          <wps:wsp>
                            <wps:cNvSpPr txBox="1"/>
                            <wps:spPr>
                              <a:xfrm>
                                <a:off x="0" y="0"/>
                                <a:ext cx="98425" cy="838200"/>
                              </a:xfrm>
                              <a:prstGeom prst="rect"/>
                              <a:solidFill>
                                <a:srgbClr val="FFFFFF"/>
                              </a:solidFill>
                            </wps:spPr>
                            <wps:txb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29,366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6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29,366</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78740" cy="175260"/>
                      <wp:effectExtent l="0" t="0" r="0" b="0"/>
                      <wp:wrapNone/>
                      <wp:docPr id="579" name="Frame57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tLeast" w:line="22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69215" cy="175260"/>
                      <wp:effectExtent l="0" t="0" r="0" b="0"/>
                      <wp:wrapNone/>
                      <wp:docPr id="580" name="Frame5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69215" cy="175260"/>
                      <wp:effectExtent l="0" t="0" r="0" b="0"/>
                      <wp:wrapNone/>
                      <wp:docPr id="581" name="Frame5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69215" cy="175260"/>
                      <wp:effectExtent l="0" t="0" r="0" b="0"/>
                      <wp:wrapNone/>
                      <wp:docPr id="582" name="Frame5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69215" cy="175260"/>
                      <wp:effectExtent l="0" t="0" r="0" b="0"/>
                      <wp:wrapNone/>
                      <wp:docPr id="583" name="Frame5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98425" cy="175260"/>
                      <wp:effectExtent l="0" t="0" r="0" b="0"/>
                      <wp:wrapNone/>
                      <wp:docPr id="584" name="Frame576"/>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78740" cy="175260"/>
                      <wp:effectExtent l="0" t="0" r="0" b="0"/>
                      <wp:wrapNone/>
                      <wp:docPr id="585" name="Frame57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69215" cy="175260"/>
                      <wp:effectExtent l="0" t="0" r="0" b="0"/>
                      <wp:wrapNone/>
                      <wp:docPr id="586" name="Frame5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69215" cy="175260"/>
                      <wp:effectExtent l="0" t="0" r="0" b="0"/>
                      <wp:wrapNone/>
                      <wp:docPr id="587" name="Frame5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69215" cy="175260"/>
                      <wp:effectExtent l="0" t="0" r="0" b="0"/>
                      <wp:wrapNone/>
                      <wp:docPr id="588" name="Frame5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69215" cy="175260"/>
                      <wp:effectExtent l="0" t="0" r="0" b="0"/>
                      <wp:wrapNone/>
                      <wp:docPr id="589" name="Frame5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98425" cy="175260"/>
                      <wp:effectExtent l="0" t="0" r="0" b="0"/>
                      <wp:wrapNone/>
                      <wp:docPr id="590" name="Frame582"/>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r>
    </w:tbl>
    <w:p>
      <w:pPr>
        <w:pStyle w:val="TextBody"/>
        <w:bidi w:val="0"/>
        <w:spacing w:lineRule="atLeast" w:line="320" w:before="0" w:after="0"/>
        <w:ind w:left="0" w:right="0" w:firstLine="720"/>
        <w:jc w:val="both"/>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NewCenturySchlbk" w:hAnsi="NewCenturySchlbk"/>
          <w:sz w:val="20"/>
        </w:rPr>
      </w:pPr>
      <w:r>
        <w:rPr>
          <w:rFonts w:ascii="NewCenturySchlbk" w:hAnsi="NewCenturySchlbk"/>
          <w:sz w:val="20"/>
        </w:rPr>
        <w:t>11</w:t>
      </w:r>
    </w:p>
    <w:p>
      <w:pPr>
        <w:pStyle w:val="TextBody"/>
        <w:bidi w:val="0"/>
        <w:spacing w:before="0" w:after="0"/>
        <w:ind w:left="0" w:right="0" w:hanging="0"/>
        <w:jc w:val="left"/>
        <w:rPr/>
      </w:pPr>
      <w:r>
        <w:rPr/>
        <w:t>​</w:t>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before="0" w:after="0"/>
        <w:ind w:left="0" w:right="0" w:hanging="0"/>
        <w:jc w:val="left"/>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The estimated future revenue to be derived from the production and sale of the net proved developed reserves, as of June 30, 2026, of the properties evaluated using the guidelines established by the SEC is summarized as follows, expressed in thousands of dollars (M$):</w:t>
      </w:r>
    </w:p>
    <w:tbl>
      <w:tblPr>
        <w:tblW w:w="9824" w:type="dxa"/>
        <w:jc w:val="center"/>
        <w:tblInd w:w="0" w:type="dxa"/>
        <w:tblLayout w:type="fixed"/>
        <w:tblCellMar>
          <w:top w:w="0" w:type="dxa"/>
          <w:left w:w="0" w:type="dxa"/>
          <w:bottom w:w="0" w:type="dxa"/>
          <w:right w:w="0" w:type="dxa"/>
        </w:tblCellMar>
      </w:tblPr>
      <w:tblGrid>
        <w:gridCol w:w="1046"/>
        <w:gridCol w:w="3697"/>
        <w:gridCol w:w="3781"/>
        <w:gridCol w:w="1300"/>
      </w:tblGrid>
      <w:tr>
        <w:trPr/>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664210" cy="175260"/>
                      <wp:effectExtent l="0" t="0" r="0" b="0"/>
                      <wp:wrapNone/>
                      <wp:docPr id="591" name="Frame583"/>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lineRule="atLeast" w:line="22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pPr>
                            <w:r>
                              <w:rPr/>
                              <w:t>​</w:t>
                            </w:r>
                          </w:p>
                        </w:txbxContent>
                      </v:textbox>
                      <w10:wrap type="none"/>
                    </v:rect>
                  </w:pict>
                </mc:Fallback>
              </mc:AlternateContent>
            </w:r>
          </w:p>
        </w:tc>
        <w:tc>
          <w:tcPr>
            <w:tcW w:w="7478" w:type="dxa"/>
            <w:gridSpan w:val="2"/>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4748530" cy="419100"/>
                      <wp:effectExtent l="0" t="0" r="0" b="0"/>
                      <wp:wrapNone/>
                      <wp:docPr id="592" name="Frame584"/>
                      <a:graphic xmlns:a="http://schemas.openxmlformats.org/drawingml/2006/main">
                        <a:graphicData uri="http://schemas.microsoft.com/office/word/2010/wordprocessingShape">
                          <wps:wsp>
                            <wps:cNvSpPr txBox="1"/>
                            <wps:spPr>
                              <a:xfrm>
                                <a:off x="0" y="0"/>
                                <a:ext cx="4748530" cy="419100"/>
                              </a:xfrm>
                              <a:prstGeom prst="rect"/>
                              <a:solidFill>
                                <a:srgbClr val="FFFFFF"/>
                              </a:solidFill>
                            </wps:spPr>
                            <wps:txbx>
                              <w:txbxContent>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Proved</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Developed</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9pt;height:3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Proved</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Developed</w:t>
                            </w:r>
                          </w:p>
                          <w:p>
                            <w:pPr>
                              <w:pStyle w:val="TableContents"/>
                              <w:bidi w:val="0"/>
                              <w:spacing w:lineRule="atLeast" w:line="220" w:before="0" w:after="0"/>
                              <w:ind w:left="0" w:right="0" w:hanging="0"/>
                              <w:jc w:val="center"/>
                              <w:rPr>
                                <w:rFonts w:ascii="NewCenturySchlbk-Bold" w:hAnsi="NewCenturySchlbk-Bold"/>
                                <w:b/>
                                <w:sz w:val="18"/>
                              </w:rPr>
                            </w:pPr>
                            <w:r>
                              <w:rPr>
                                <w:rFonts w:ascii="NewCenturySchlbk-Bold" w:hAnsi="NewCenturySchlbk-Bold"/>
                                <w:b/>
                                <w:sz w:val="18"/>
                              </w:rPr>
                              <w:t>(M$)</w:t>
                            </w:r>
                          </w:p>
                        </w:txbxContent>
                      </v:textbox>
                      <w10:wrap type="none"/>
                    </v:rect>
                  </w:pict>
                </mc:Fallback>
              </mc:AlternateContent>
            </w:r>
          </w:p>
        </w:tc>
        <w:tc>
          <w:tcPr>
            <w:tcW w:w="1300"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826135" cy="175260"/>
                      <wp:effectExtent l="0" t="0" r="0" b="0"/>
                      <wp:wrapNone/>
                      <wp:docPr id="593" name="Frame585"/>
                      <a:graphic xmlns:a="http://schemas.openxmlformats.org/drawingml/2006/main">
                        <a:graphicData uri="http://schemas.microsoft.com/office/word/2010/wordprocessingShape">
                          <wps:wsp>
                            <wps:cNvSpPr txBox="1"/>
                            <wps:spPr>
                              <a:xfrm>
                                <a:off x="0" y="0"/>
                                <a:ext cx="826135" cy="175260"/>
                              </a:xfrm>
                              <a:prstGeom prst="rect"/>
                              <a:solidFill>
                                <a:srgbClr val="FFFFFF"/>
                              </a:solidFill>
                            </wps:spPr>
                            <wps:txbx>
                              <w:txbxContent>
                                <w:p>
                                  <w:pPr>
                                    <w:pStyle w:val="TableContents"/>
                                    <w:bidi w:val="0"/>
                                    <w:spacing w:lineRule="atLeast" w:line="220"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center"/>
                              <w:rPr/>
                            </w:pPr>
                            <w:r>
                              <w:rPr/>
                              <w:t>​</w:t>
                            </w:r>
                          </w:p>
                        </w:txbxContent>
                      </v:textbox>
                      <w10:wrap type="none"/>
                    </v:rect>
                  </w:pict>
                </mc:Fallback>
              </mc:AlternateContent>
            </w:r>
          </w:p>
        </w:tc>
      </w:tr>
      <w:tr>
        <w:trPr/>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664210" cy="419100"/>
                      <wp:effectExtent l="0" t="0" r="0" b="0"/>
                      <wp:wrapNone/>
                      <wp:docPr id="594" name="Frame586"/>
                      <a:graphic xmlns:a="http://schemas.openxmlformats.org/drawingml/2006/main">
                        <a:graphicData uri="http://schemas.microsoft.com/office/word/2010/wordprocessingShape">
                          <wps:wsp>
                            <wps:cNvSpPr txBox="1"/>
                            <wps:spPr>
                              <a:xfrm>
                                <a:off x="0" y="0"/>
                                <a:ext cx="664210" cy="419100"/>
                              </a:xfrm>
                              <a:prstGeom prst="rect"/>
                              <a:solidFill>
                                <a:srgbClr val="FFFFFF"/>
                              </a:solidFill>
                            </wps:spPr>
                            <wps:txb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Future Gross Revenue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3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Future Gross Revenue</w:t>
                            </w:r>
                          </w:p>
                        </w:txbxContent>
                      </v:textbox>
                      <w10:wrap type="none"/>
                    </v:rect>
                  </w:pict>
                </mc:Fallback>
              </mc:AlternateContent>
            </w:r>
          </w:p>
        </w:tc>
        <w:tc>
          <w:tcPr>
            <w:tcW w:w="7478" w:type="dxa"/>
            <w:gridSpan w:val="2"/>
            <w:tcBorders/>
            <w:vAlign w:val="center"/>
          </w:tcPr>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387,679</w:t>
            </w:r>
          </w:p>
        </w:tc>
        <w:tc>
          <w:tcPr>
            <w:tcW w:w="1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826135" cy="175260"/>
                      <wp:effectExtent l="0" t="0" r="0" b="0"/>
                      <wp:wrapNone/>
                      <wp:docPr id="595" name="Frame587"/>
                      <a:graphic xmlns:a="http://schemas.openxmlformats.org/drawingml/2006/main">
                        <a:graphicData uri="http://schemas.microsoft.com/office/word/2010/wordprocessingShape">
                          <wps:wsp>
                            <wps:cNvSpPr txBox="1"/>
                            <wps:spPr>
                              <a:xfrm>
                                <a:off x="0" y="0"/>
                                <a:ext cx="82613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r>
      <w:tr>
        <w:trPr/>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664210" cy="279400"/>
                      <wp:effectExtent l="0" t="0" r="0" b="0"/>
                      <wp:wrapNone/>
                      <wp:docPr id="596" name="Frame588"/>
                      <a:graphic xmlns:a="http://schemas.openxmlformats.org/drawingml/2006/main">
                        <a:graphicData uri="http://schemas.microsoft.com/office/word/2010/wordprocessingShape">
                          <wps:wsp>
                            <wps:cNvSpPr txBox="1"/>
                            <wps:spPr>
                              <a:xfrm>
                                <a:off x="0" y="0"/>
                                <a:ext cx="664210" cy="279400"/>
                              </a:xfrm>
                              <a:prstGeom prst="rect"/>
                              <a:solidFill>
                                <a:srgbClr val="FFFFFF"/>
                              </a:solidFill>
                            </wps:spPr>
                            <wps:txb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Production Taxes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2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Production Taxes</w:t>
                            </w:r>
                          </w:p>
                        </w:txbxContent>
                      </v:textbox>
                      <w10:wrap type="none"/>
                    </v:rect>
                  </w:pict>
                </mc:Fallback>
              </mc:AlternateContent>
            </w:r>
          </w:p>
        </w:tc>
        <w:tc>
          <w:tcPr>
            <w:tcW w:w="7478"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4748530" cy="139700"/>
                      <wp:effectExtent l="0" t="0" r="0" b="0"/>
                      <wp:wrapNone/>
                      <wp:docPr id="597" name="Frame589"/>
                      <a:graphic xmlns:a="http://schemas.openxmlformats.org/drawingml/2006/main">
                        <a:graphicData uri="http://schemas.microsoft.com/office/word/2010/wordprocessingShape">
                          <wps:wsp>
                            <wps:cNvSpPr txBox="1"/>
                            <wps:spPr>
                              <a:xfrm>
                                <a:off x="0" y="0"/>
                                <a:ext cx="4748530" cy="139700"/>
                              </a:xfrm>
                              <a:prstGeom prst="rect"/>
                              <a:solidFill>
                                <a:srgbClr val="FFFFFF"/>
                              </a:solidFill>
                            </wps:spPr>
                            <wps:txb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9,916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9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9,916</w:t>
                            </w:r>
                          </w:p>
                        </w:txbxContent>
                      </v:textbox>
                      <w10:wrap type="none"/>
                    </v:rect>
                  </w:pict>
                </mc:Fallback>
              </mc:AlternateContent>
            </w:r>
          </w:p>
        </w:tc>
        <w:tc>
          <w:tcPr>
            <w:tcW w:w="1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826135" cy="175260"/>
                      <wp:effectExtent l="0" t="0" r="0" b="0"/>
                      <wp:wrapNone/>
                      <wp:docPr id="598" name="Frame590"/>
                      <a:graphic xmlns:a="http://schemas.openxmlformats.org/drawingml/2006/main">
                        <a:graphicData uri="http://schemas.microsoft.com/office/word/2010/wordprocessingShape">
                          <wps:wsp>
                            <wps:cNvSpPr txBox="1"/>
                            <wps:spPr>
                              <a:xfrm>
                                <a:off x="0" y="0"/>
                                <a:ext cx="82613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r>
      <w:tr>
        <w:trPr/>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664210" cy="419100"/>
                      <wp:effectExtent l="0" t="0" r="0" b="0"/>
                      <wp:wrapNone/>
                      <wp:docPr id="599" name="Frame591"/>
                      <a:graphic xmlns:a="http://schemas.openxmlformats.org/drawingml/2006/main">
                        <a:graphicData uri="http://schemas.microsoft.com/office/word/2010/wordprocessingShape">
                          <wps:wsp>
                            <wps:cNvSpPr txBox="1"/>
                            <wps:spPr>
                              <a:xfrm>
                                <a:off x="0" y="0"/>
                                <a:ext cx="664210" cy="419100"/>
                              </a:xfrm>
                              <a:prstGeom prst="rect"/>
                              <a:solidFill>
                                <a:srgbClr val="FFFFFF"/>
                              </a:solidFill>
                            </wps:spPr>
                            <wps:txb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Ad Valorem Taxes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3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Ad Valorem Taxes</w:t>
                            </w:r>
                          </w:p>
                        </w:txbxContent>
                      </v:textbox>
                      <w10:wrap type="none"/>
                    </v:rect>
                  </w:pict>
                </mc:Fallback>
              </mc:AlternateContent>
            </w:r>
          </w:p>
        </w:tc>
        <w:tc>
          <w:tcPr>
            <w:tcW w:w="7478"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4748530" cy="139700"/>
                      <wp:effectExtent l="0" t="0" r="0" b="0"/>
                      <wp:wrapNone/>
                      <wp:docPr id="600" name="Frame592"/>
                      <a:graphic xmlns:a="http://schemas.openxmlformats.org/drawingml/2006/main">
                        <a:graphicData uri="http://schemas.microsoft.com/office/word/2010/wordprocessingShape">
                          <wps:wsp>
                            <wps:cNvSpPr txBox="1"/>
                            <wps:spPr>
                              <a:xfrm>
                                <a:off x="0" y="0"/>
                                <a:ext cx="4748530" cy="139700"/>
                              </a:xfrm>
                              <a:prstGeom prst="rect"/>
                              <a:solidFill>
                                <a:srgbClr val="FFFFFF"/>
                              </a:solidFill>
                            </wps:spPr>
                            <wps:txb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11,980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9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11,980</w:t>
                            </w:r>
                          </w:p>
                        </w:txbxContent>
                      </v:textbox>
                      <w10:wrap type="none"/>
                    </v:rect>
                  </w:pict>
                </mc:Fallback>
              </mc:AlternateContent>
            </w:r>
          </w:p>
        </w:tc>
        <w:tc>
          <w:tcPr>
            <w:tcW w:w="1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826135" cy="175260"/>
                      <wp:effectExtent l="0" t="0" r="0" b="0"/>
                      <wp:wrapNone/>
                      <wp:docPr id="601" name="Frame593"/>
                      <a:graphic xmlns:a="http://schemas.openxmlformats.org/drawingml/2006/main">
                        <a:graphicData uri="http://schemas.microsoft.com/office/word/2010/wordprocessingShape">
                          <wps:wsp>
                            <wps:cNvSpPr txBox="1"/>
                            <wps:spPr>
                              <a:xfrm>
                                <a:off x="0" y="0"/>
                                <a:ext cx="82613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r>
      <w:tr>
        <w:trPr/>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664210" cy="279400"/>
                      <wp:effectExtent l="0" t="0" r="0" b="0"/>
                      <wp:wrapNone/>
                      <wp:docPr id="602" name="Frame594"/>
                      <a:graphic xmlns:a="http://schemas.openxmlformats.org/drawingml/2006/main">
                        <a:graphicData uri="http://schemas.microsoft.com/office/word/2010/wordprocessingShape">
                          <wps:wsp>
                            <wps:cNvSpPr txBox="1"/>
                            <wps:spPr>
                              <a:xfrm>
                                <a:off x="0" y="0"/>
                                <a:ext cx="664210" cy="279400"/>
                              </a:xfrm>
                              <a:prstGeom prst="rect"/>
                              <a:solidFill>
                                <a:srgbClr val="FFFFFF"/>
                              </a:solidFill>
                            </wps:spPr>
                            <wps:txb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Operating Expenses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2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Operating Expenses</w:t>
                            </w:r>
                          </w:p>
                        </w:txbxContent>
                      </v:textbox>
                      <w10:wrap type="none"/>
                    </v:rect>
                  </w:pict>
                </mc:Fallback>
              </mc:AlternateContent>
            </w:r>
          </w:p>
        </w:tc>
        <w:tc>
          <w:tcPr>
            <w:tcW w:w="7478"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4748530" cy="139700"/>
                      <wp:effectExtent l="0" t="0" r="0" b="0"/>
                      <wp:wrapNone/>
                      <wp:docPr id="603" name="Frame595"/>
                      <a:graphic xmlns:a="http://schemas.openxmlformats.org/drawingml/2006/main">
                        <a:graphicData uri="http://schemas.microsoft.com/office/word/2010/wordprocessingShape">
                          <wps:wsp>
                            <wps:cNvSpPr txBox="1"/>
                            <wps:spPr>
                              <a:xfrm>
                                <a:off x="0" y="0"/>
                                <a:ext cx="4748530" cy="139700"/>
                              </a:xfrm>
                              <a:prstGeom prst="rect"/>
                              <a:solidFill>
                                <a:srgbClr val="FFFFFF"/>
                              </a:solidFill>
                            </wps:spPr>
                            <wps:txb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275,612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9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275,612</w:t>
                            </w:r>
                          </w:p>
                        </w:txbxContent>
                      </v:textbox>
                      <w10:wrap type="none"/>
                    </v:rect>
                  </w:pict>
                </mc:Fallback>
              </mc:AlternateContent>
            </w:r>
          </w:p>
        </w:tc>
        <w:tc>
          <w:tcPr>
            <w:tcW w:w="1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826135" cy="175260"/>
                      <wp:effectExtent l="0" t="0" r="0" b="0"/>
                      <wp:wrapNone/>
                      <wp:docPr id="604" name="Frame596"/>
                      <a:graphic xmlns:a="http://schemas.openxmlformats.org/drawingml/2006/main">
                        <a:graphicData uri="http://schemas.microsoft.com/office/word/2010/wordprocessingShape">
                          <wps:wsp>
                            <wps:cNvSpPr txBox="1"/>
                            <wps:spPr>
                              <a:xfrm>
                                <a:off x="0" y="0"/>
                                <a:ext cx="82613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r>
      <w:tr>
        <w:trPr/>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664210" cy="279400"/>
                      <wp:effectExtent l="0" t="0" r="0" b="0"/>
                      <wp:wrapNone/>
                      <wp:docPr id="605" name="Frame597"/>
                      <a:graphic xmlns:a="http://schemas.openxmlformats.org/drawingml/2006/main">
                        <a:graphicData uri="http://schemas.microsoft.com/office/word/2010/wordprocessingShape">
                          <wps:wsp>
                            <wps:cNvSpPr txBox="1"/>
                            <wps:spPr>
                              <a:xfrm>
                                <a:off x="0" y="0"/>
                                <a:ext cx="664210" cy="279400"/>
                              </a:xfrm>
                              <a:prstGeom prst="rect"/>
                              <a:solidFill>
                                <a:srgbClr val="FFFFFF"/>
                              </a:solidFill>
                            </wps:spPr>
                            <wps:txb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Capital Costs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2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Capital Costs</w:t>
                            </w:r>
                          </w:p>
                        </w:txbxContent>
                      </v:textbox>
                      <w10:wrap type="none"/>
                    </v:rect>
                  </w:pict>
                </mc:Fallback>
              </mc:AlternateContent>
            </w:r>
          </w:p>
        </w:tc>
        <w:tc>
          <w:tcPr>
            <w:tcW w:w="7478"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4748530" cy="139700"/>
                      <wp:effectExtent l="0" t="0" r="0" b="0"/>
                      <wp:wrapNone/>
                      <wp:docPr id="606" name="Frame598"/>
                      <a:graphic xmlns:a="http://schemas.openxmlformats.org/drawingml/2006/main">
                        <a:graphicData uri="http://schemas.microsoft.com/office/word/2010/wordprocessingShape">
                          <wps:wsp>
                            <wps:cNvSpPr txBox="1"/>
                            <wps:spPr>
                              <a:xfrm>
                                <a:off x="0" y="0"/>
                                <a:ext cx="4748530" cy="139700"/>
                              </a:xfrm>
                              <a:prstGeom prst="rect"/>
                              <a:solidFill>
                                <a:srgbClr val="FFFFFF"/>
                              </a:solidFill>
                            </wps:spPr>
                            <wps:txb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3,032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9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3,032</w:t>
                            </w:r>
                          </w:p>
                        </w:txbxContent>
                      </v:textbox>
                      <w10:wrap type="none"/>
                    </v:rect>
                  </w:pict>
                </mc:Fallback>
              </mc:AlternateContent>
            </w:r>
          </w:p>
        </w:tc>
        <w:tc>
          <w:tcPr>
            <w:tcW w:w="1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826135" cy="175260"/>
                      <wp:effectExtent l="0" t="0" r="0" b="0"/>
                      <wp:wrapNone/>
                      <wp:docPr id="607" name="Frame599"/>
                      <a:graphic xmlns:a="http://schemas.openxmlformats.org/drawingml/2006/main">
                        <a:graphicData uri="http://schemas.microsoft.com/office/word/2010/wordprocessingShape">
                          <wps:wsp>
                            <wps:cNvSpPr txBox="1"/>
                            <wps:spPr>
                              <a:xfrm>
                                <a:off x="0" y="0"/>
                                <a:ext cx="82613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r>
      <w:tr>
        <w:trPr/>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664210" cy="279400"/>
                      <wp:effectExtent l="0" t="0" r="0" b="0"/>
                      <wp:wrapNone/>
                      <wp:docPr id="608" name="Frame600"/>
                      <a:graphic xmlns:a="http://schemas.openxmlformats.org/drawingml/2006/main">
                        <a:graphicData uri="http://schemas.microsoft.com/office/word/2010/wordprocessingShape">
                          <wps:wsp>
                            <wps:cNvSpPr txBox="1"/>
                            <wps:spPr>
                              <a:xfrm>
                                <a:off x="0" y="0"/>
                                <a:ext cx="664210" cy="279400"/>
                              </a:xfrm>
                              <a:prstGeom prst="rect"/>
                              <a:solidFill>
                                <a:srgbClr val="FFFFFF"/>
                              </a:solidFill>
                            </wps:spPr>
                            <wps:txb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Abandonment Costs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2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Abandonment Costs</w:t>
                            </w:r>
                          </w:p>
                        </w:txbxContent>
                      </v:textbox>
                      <w10:wrap type="none"/>
                    </v:rect>
                  </w:pict>
                </mc:Fallback>
              </mc:AlternateContent>
            </w:r>
          </w:p>
        </w:tc>
        <w:tc>
          <w:tcPr>
            <w:tcW w:w="7478"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4748530" cy="139700"/>
                      <wp:effectExtent l="0" t="0" r="0" b="0"/>
                      <wp:wrapNone/>
                      <wp:docPr id="609" name="Frame601"/>
                      <a:graphic xmlns:a="http://schemas.openxmlformats.org/drawingml/2006/main">
                        <a:graphicData uri="http://schemas.microsoft.com/office/word/2010/wordprocessingShape">
                          <wps:wsp>
                            <wps:cNvSpPr txBox="1"/>
                            <wps:spPr>
                              <a:xfrm>
                                <a:off x="0" y="0"/>
                                <a:ext cx="4748530" cy="139700"/>
                              </a:xfrm>
                              <a:prstGeom prst="rect"/>
                              <a:solidFill>
                                <a:srgbClr val="FFFFFF"/>
                              </a:solidFill>
                            </wps:spPr>
                            <wps:txb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28,838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9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28,838</w:t>
                            </w:r>
                          </w:p>
                        </w:txbxContent>
                      </v:textbox>
                      <w10:wrap type="none"/>
                    </v:rect>
                  </w:pict>
                </mc:Fallback>
              </mc:AlternateContent>
            </w:r>
          </w:p>
        </w:tc>
        <w:tc>
          <w:tcPr>
            <w:tcW w:w="1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826135" cy="175260"/>
                      <wp:effectExtent l="0" t="0" r="0" b="0"/>
                      <wp:wrapNone/>
                      <wp:docPr id="610" name="Frame602"/>
                      <a:graphic xmlns:a="http://schemas.openxmlformats.org/drawingml/2006/main">
                        <a:graphicData uri="http://schemas.microsoft.com/office/word/2010/wordprocessingShape">
                          <wps:wsp>
                            <wps:cNvSpPr txBox="1"/>
                            <wps:spPr>
                              <a:xfrm>
                                <a:off x="0" y="0"/>
                                <a:ext cx="82613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r>
      <w:tr>
        <w:trPr/>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664210" cy="279400"/>
                      <wp:effectExtent l="0" t="0" r="0" b="0"/>
                      <wp:wrapNone/>
                      <wp:docPr id="611" name="Frame603"/>
                      <a:graphic xmlns:a="http://schemas.openxmlformats.org/drawingml/2006/main">
                        <a:graphicData uri="http://schemas.microsoft.com/office/word/2010/wordprocessingShape">
                          <wps:wsp>
                            <wps:cNvSpPr txBox="1"/>
                            <wps:spPr>
                              <a:xfrm>
                                <a:off x="0" y="0"/>
                                <a:ext cx="664210" cy="279400"/>
                              </a:xfrm>
                              <a:prstGeom prst="rect"/>
                              <a:solidFill>
                                <a:srgbClr val="FFFFFF"/>
                              </a:solidFill>
                            </wps:spPr>
                            <wps:txb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Future Net Revenue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2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Future Net Revenue</w:t>
                            </w:r>
                          </w:p>
                        </w:txbxContent>
                      </v:textbox>
                      <w10:wrap type="none"/>
                    </v:rect>
                  </w:pict>
                </mc:Fallback>
              </mc:AlternateContent>
            </w:r>
          </w:p>
        </w:tc>
        <w:tc>
          <w:tcPr>
            <w:tcW w:w="7478"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4748530" cy="139700"/>
                      <wp:effectExtent l="0" t="0" r="0" b="0"/>
                      <wp:wrapNone/>
                      <wp:docPr id="612" name="Frame604"/>
                      <a:graphic xmlns:a="http://schemas.openxmlformats.org/drawingml/2006/main">
                        <a:graphicData uri="http://schemas.microsoft.com/office/word/2010/wordprocessingShape">
                          <wps:wsp>
                            <wps:cNvSpPr txBox="1"/>
                            <wps:spPr>
                              <a:xfrm>
                                <a:off x="0" y="0"/>
                                <a:ext cx="4748530" cy="139700"/>
                              </a:xfrm>
                              <a:prstGeom prst="rect"/>
                              <a:solidFill>
                                <a:srgbClr val="FFFFFF"/>
                              </a:solidFill>
                            </wps:spPr>
                            <wps:txb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58,301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9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58,301</w:t>
                            </w:r>
                          </w:p>
                        </w:txbxContent>
                      </v:textbox>
                      <w10:wrap type="none"/>
                    </v:rect>
                  </w:pict>
                </mc:Fallback>
              </mc:AlternateContent>
            </w:r>
          </w:p>
        </w:tc>
        <w:tc>
          <w:tcPr>
            <w:tcW w:w="1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826135" cy="175260"/>
                      <wp:effectExtent l="0" t="0" r="0" b="0"/>
                      <wp:wrapNone/>
                      <wp:docPr id="613" name="Frame605"/>
                      <a:graphic xmlns:a="http://schemas.openxmlformats.org/drawingml/2006/main">
                        <a:graphicData uri="http://schemas.microsoft.com/office/word/2010/wordprocessingShape">
                          <wps:wsp>
                            <wps:cNvSpPr txBox="1"/>
                            <wps:spPr>
                              <a:xfrm>
                                <a:off x="0" y="0"/>
                                <a:ext cx="82613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r>
      <w:tr>
        <w:trPr/>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664210" cy="419100"/>
                      <wp:effectExtent l="0" t="0" r="0" b="0"/>
                      <wp:wrapNone/>
                      <wp:docPr id="614" name="Frame606"/>
                      <a:graphic xmlns:a="http://schemas.openxmlformats.org/drawingml/2006/main">
                        <a:graphicData uri="http://schemas.microsoft.com/office/word/2010/wordprocessingShape">
                          <wps:wsp>
                            <wps:cNvSpPr txBox="1"/>
                            <wps:spPr>
                              <a:xfrm>
                                <a:off x="0" y="0"/>
                                <a:ext cx="664210" cy="419100"/>
                              </a:xfrm>
                              <a:prstGeom prst="rect"/>
                              <a:solidFill>
                                <a:srgbClr val="FFFFFF"/>
                              </a:solidFill>
                            </wps:spPr>
                            <wps:txb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Present Worth at 10 Percent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3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left"/>
                              <w:rPr>
                                <w:rFonts w:ascii="NewCenturySchlbk" w:hAnsi="NewCenturySchlbk"/>
                                <w:sz w:val="18"/>
                              </w:rPr>
                            </w:pPr>
                            <w:r>
                              <w:rPr>
                                <w:rFonts w:ascii="NewCenturySchlbk" w:hAnsi="NewCenturySchlbk"/>
                                <w:sz w:val="18"/>
                              </w:rPr>
                              <w:t>Present Worth at 10 Percent</w:t>
                            </w:r>
                          </w:p>
                        </w:txbxContent>
                      </v:textbox>
                      <w10:wrap type="none"/>
                    </v:rect>
                  </w:pict>
                </mc:Fallback>
              </mc:AlternateContent>
            </w:r>
          </w:p>
        </w:tc>
        <w:tc>
          <w:tcPr>
            <w:tcW w:w="7478"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4748530" cy="139700"/>
                      <wp:effectExtent l="0" t="0" r="0" b="0"/>
                      <wp:wrapNone/>
                      <wp:docPr id="615" name="Frame607"/>
                      <a:graphic xmlns:a="http://schemas.openxmlformats.org/drawingml/2006/main">
                        <a:graphicData uri="http://schemas.microsoft.com/office/word/2010/wordprocessingShape">
                          <wps:wsp>
                            <wps:cNvSpPr txBox="1"/>
                            <wps:spPr>
                              <a:xfrm>
                                <a:off x="0" y="0"/>
                                <a:ext cx="4748530" cy="139700"/>
                              </a:xfrm>
                              <a:prstGeom prst="rect"/>
                              <a:solidFill>
                                <a:srgbClr val="FFFFFF"/>
                              </a:solidFill>
                            </wps:spPr>
                            <wps:txb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53,382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9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rFonts w:ascii="NewCenturySchlbk" w:hAnsi="NewCenturySchlbk"/>
                                <w:sz w:val="18"/>
                              </w:rPr>
                            </w:pPr>
                            <w:r>
                              <w:rPr>
                                <w:rFonts w:ascii="NewCenturySchlbk" w:hAnsi="NewCenturySchlbk"/>
                                <w:sz w:val="18"/>
                              </w:rPr>
                              <w:t>53,382</w:t>
                            </w:r>
                          </w:p>
                        </w:txbxContent>
                      </v:textbox>
                      <w10:wrap type="none"/>
                    </v:rect>
                  </w:pict>
                </mc:Fallback>
              </mc:AlternateContent>
            </w:r>
          </w:p>
        </w:tc>
        <w:tc>
          <w:tcPr>
            <w:tcW w:w="1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826135" cy="175260"/>
                      <wp:effectExtent l="0" t="0" r="0" b="0"/>
                      <wp:wrapNone/>
                      <wp:docPr id="616" name="Frame608"/>
                      <a:graphic xmlns:a="http://schemas.openxmlformats.org/drawingml/2006/main">
                        <a:graphicData uri="http://schemas.microsoft.com/office/word/2010/wordprocessingShape">
                          <wps:wsp>
                            <wps:cNvSpPr txBox="1"/>
                            <wps:spPr>
                              <a:xfrm>
                                <a:off x="0" y="0"/>
                                <a:ext cx="826135" cy="175260"/>
                              </a:xfrm>
                              <a:prstGeom prst="rect"/>
                              <a:solidFill>
                                <a:srgbClr val="FFFFFF"/>
                              </a:solidFill>
                            </wps:spPr>
                            <wps:txbx>
                              <w:txbxContent>
                                <w:p>
                                  <w:pPr>
                                    <w:pStyle w:val="TableContents"/>
                                    <w:bidi w:val="0"/>
                                    <w:spacing w:lineRule="atLeast" w:line="220"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20" w:before="0" w:after="0"/>
                              <w:ind w:left="0" w:right="0" w:hanging="0"/>
                              <w:jc w:val="right"/>
                              <w:rPr/>
                            </w:pPr>
                            <w:r>
                              <w:rPr/>
                              <w:t>​</w:t>
                            </w:r>
                          </w:p>
                        </w:txbxContent>
                      </v:textbox>
                      <w10:wrap type="none"/>
                    </v:rect>
                  </w:pict>
                </mc:Fallback>
              </mc:AlternateContent>
            </w:r>
          </w:p>
        </w:tc>
      </w:tr>
      <w:tr>
        <w:trPr/>
        <w:tc>
          <w:tcPr>
            <w:tcW w:w="4743" w:type="dxa"/>
            <w:gridSpan w:val="2"/>
            <w:tcBorders/>
            <w:vAlign w:val="center"/>
          </w:tcPr>
          <w:p>
            <w:pPr>
              <w:pStyle w:val="TableContents"/>
              <w:pBdr/>
              <w:bidi w:val="0"/>
              <w:spacing w:lineRule="atLeast" w:line="220" w:before="0" w:after="0"/>
              <w:ind w:left="0" w:right="0" w:hanging="0"/>
              <w:jc w:val="left"/>
              <w:rPr/>
            </w:pPr>
            <w:r>
              <w:rPr/>
              <w:t>​</w:t>
            </w:r>
          </w:p>
        </w:tc>
        <w:tc>
          <w:tcPr>
            <w:tcW w:w="5081" w:type="dxa"/>
            <w:gridSpan w:val="2"/>
            <w:tcBorders/>
            <w:vAlign w:val="center"/>
          </w:tcPr>
          <w:p>
            <w:pPr>
              <w:pStyle w:val="TableContents"/>
              <w:bidi w:val="0"/>
              <w:spacing w:lineRule="atLeast" w:line="200" w:before="0" w:after="0"/>
              <w:ind w:left="0" w:right="0" w:hanging="0"/>
              <w:jc w:val="right"/>
              <w:rPr/>
            </w:pPr>
            <w:r>
              <w:rPr/>
              <w:t>​</w:t>
            </w:r>
          </w:p>
        </w:tc>
      </w:tr>
      <w:tr>
        <w:trPr/>
        <w:tc>
          <w:tcPr>
            <w:tcW w:w="9824" w:type="dxa"/>
            <w:gridSpan w:val="4"/>
            <w:tcBorders/>
            <w:vAlign w:val="center"/>
          </w:tcPr>
          <w:p>
            <w:pPr>
              <w:pStyle w:val="TableContents"/>
              <w:pBdr/>
              <w:bidi w:val="0"/>
              <w:spacing w:lineRule="atLeast" w:line="200" w:before="0" w:after="0"/>
              <w:ind w:left="0" w:right="0" w:hanging="540"/>
              <w:jc w:val="left"/>
              <w:rPr>
                <w:rFonts w:ascii="NewCenturySchlbk" w:hAnsi="NewCenturySchlbk"/>
                <w:sz w:val="20"/>
              </w:rPr>
            </w:pPr>
            <w:r>
              <w:rPr>
                <w:rFonts w:ascii="NewCenturySchlbk" w:hAnsi="NewCenturySchlbk"/>
                <w:sz w:val="20"/>
              </w:rPr>
              <w:t>Note: Future income taxes have not been taken into account in the preparation of these estimates.</w:t>
            </w:r>
          </w:p>
        </w:tc>
      </w:tr>
    </w:tbl>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 xml:space="preserve">While the oil and gas industry may be subject to regulatory changes from time to time that could affect an industry participant’s ability to recover its reserves, we are not aware of any such governmental actions which would restrict the recovery of the June 30, 2026, estimated reserves. </w:t>
      </w:r>
    </w:p>
    <w:p>
      <w:pPr>
        <w:pStyle w:val="TextBody"/>
        <w:bidi w:val="0"/>
        <w:spacing w:lineRule="atLeast" w:line="320" w:before="0" w:after="0"/>
        <w:ind w:left="0" w:right="0" w:firstLine="720"/>
        <w:jc w:val="both"/>
        <w:rPr/>
      </w:pPr>
      <w:r>
        <w:rPr/>
        <w:t>​</w:t>
      </w:r>
    </w:p>
    <w:p>
      <w:pPr>
        <w:pStyle w:val="TextBody"/>
        <w:bidi w:val="0"/>
        <w:spacing w:lineRule="atLeast" w:line="320" w:before="0" w:after="0"/>
        <w:ind w:left="0" w:right="0" w:firstLine="720"/>
        <w:jc w:val="both"/>
        <w:rPr>
          <w:rFonts w:ascii="NewCenturySchlbk" w:hAnsi="NewCenturySchlbk"/>
          <w:sz w:val="22"/>
        </w:rPr>
      </w:pPr>
      <w:r>
        <w:rPr>
          <w:rFonts w:ascii="NewCenturySchlbk" w:hAnsi="NewCenturySchlbk"/>
          <w:sz w:val="22"/>
        </w:rPr>
        <w:t>DeGolyer and MacNaughton is an independent petroleum engineering consulting firm that has been providing petroleum consulting services throughout the world since 1936. DeGolyer and MacNaughton does not have any financial interest, including stock ownership, in Evolution. Our fees were not contingent on the results of our evaluation. This report has been prepared at the request of Evolution. DeGolyer and MacNaughton has used all assumptions, procedures, data, and methods that it considers necessary and appropriate to prepare this report.</w:t>
      </w:r>
    </w:p>
    <w:p>
      <w:pPr>
        <w:pStyle w:val="TextBody"/>
        <w:bidi w:val="0"/>
        <w:spacing w:lineRule="atLeast" w:line="320" w:before="0" w:after="0"/>
        <w:ind w:left="0" w:right="0" w:firstLine="720"/>
        <w:jc w:val="both"/>
        <w:rPr/>
      </w:pPr>
      <w:r>
        <w:rPr/>
        <w:t>​</w:t>
      </w:r>
    </w:p>
    <w:p>
      <w:pPr>
        <w:pStyle w:val="TextBody"/>
        <w:bidi w:val="0"/>
        <w:spacing w:before="280" w:after="280"/>
        <w:ind w:left="0" w:right="0" w:firstLine="4320"/>
        <w:jc w:val="left"/>
        <w:rPr>
          <w:rFonts w:ascii="NewCenturySchlbk" w:hAnsi="NewCenturySchlbk"/>
          <w:sz w:val="22"/>
        </w:rPr>
      </w:pPr>
      <w:r>
        <w:rPr>
          <w:rFonts w:ascii="NewCenturySchlbk" w:hAnsi="NewCenturySchlbk"/>
          <w:sz w:val="22"/>
        </w:rPr>
        <w:t>Submitted,</w:t>
      </w:r>
    </w:p>
    <w:p>
      <w:pPr>
        <w:pStyle w:val="TextBody"/>
        <w:bidi w:val="0"/>
        <w:spacing w:before="280" w:after="280"/>
        <w:ind w:left="0" w:right="0" w:firstLine="4320"/>
        <w:jc w:val="left"/>
        <w:rPr>
          <w:rFonts w:ascii="NewCenturySchlbk" w:hAnsi="NewCenturySchlbk"/>
          <w:sz w:val="22"/>
        </w:rPr>
      </w:pPr>
      <w:r>
        <w:rPr>
          <w:rFonts w:ascii="NewCenturySchlbk" w:hAnsi="NewCenturySchlbk"/>
          <w:sz w:val="22"/>
        </w:rPr>
        <w:t>/s/ DeGolyer and MacNaughton</w:t>
      </w:r>
    </w:p>
    <w:p>
      <w:pPr>
        <w:pStyle w:val="TextBody"/>
        <w:bidi w:val="0"/>
        <w:spacing w:before="0" w:after="0"/>
        <w:ind w:left="0" w:right="0" w:firstLine="4320"/>
        <w:jc w:val="left"/>
        <w:rPr>
          <w:rFonts w:ascii="NewCenturySchlbk" w:hAnsi="NewCenturySchlbk"/>
          <w:sz w:val="22"/>
        </w:rPr>
      </w:pPr>
      <w:r>
        <w:rPr>
          <w:rFonts w:ascii="NewCenturySchlbk" w:hAnsi="NewCenturySchlbk"/>
          <w:sz w:val="22"/>
        </w:rPr>
        <w:t>DeGOLYER and MacNAUGHTON</w:t>
      </w:r>
    </w:p>
    <w:p>
      <w:pPr>
        <w:pStyle w:val="TextBody"/>
        <w:bidi w:val="0"/>
        <w:spacing w:before="0" w:after="0"/>
        <w:ind w:left="0" w:right="0" w:firstLine="4320"/>
        <w:jc w:val="left"/>
        <w:rPr>
          <w:rFonts w:ascii="NewCenturySchlbk" w:hAnsi="NewCenturySchlbk"/>
          <w:sz w:val="22"/>
        </w:rPr>
      </w:pPr>
      <w:r>
        <w:rPr>
          <w:rFonts w:ascii="NewCenturySchlbk" w:hAnsi="NewCenturySchlbk"/>
          <w:sz w:val="22"/>
        </w:rPr>
        <w:t>Texas Registered Engineering Firm F-716</w:t>
      </w:r>
    </w:p>
    <w:p>
      <w:pPr>
        <w:pStyle w:val="TextBody"/>
        <w:bidi w:val="0"/>
        <w:spacing w:lineRule="atLeast" w:line="320" w:before="0" w:after="0"/>
        <w:ind w:left="0" w:right="0" w:firstLine="720"/>
        <w:jc w:val="both"/>
        <w:rPr/>
      </w:pPr>
      <w:r>
        <w:rPr/>
        <w:t>​</w:t>
      </w:r>
    </w:p>
    <w:tbl>
      <w:tblPr>
        <w:tblW w:w="4142" w:type="dxa"/>
        <w:jc w:val="left"/>
        <w:tblInd w:w="0" w:type="dxa"/>
        <w:tblLayout w:type="fixed"/>
        <w:tblCellMar>
          <w:top w:w="0" w:type="dxa"/>
          <w:left w:w="0" w:type="dxa"/>
          <w:bottom w:w="0" w:type="dxa"/>
          <w:right w:w="0" w:type="dxa"/>
        </w:tblCellMar>
      </w:tblPr>
      <w:tblGrid>
        <w:gridCol w:w="781"/>
        <w:gridCol w:w="3361"/>
      </w:tblGrid>
      <w:tr>
        <w:trPr/>
        <w:tc>
          <w:tcPr>
            <w:tcW w:w="781"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0"/>
              <w:ind w:left="0" w:right="0" w:hanging="0"/>
              <w:jc w:val="lef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3361" w:type="dxa"/>
            <w:tcBorders>
              <w:bottom w:val="single" w:sz="2" w:space="0" w:color="000000"/>
            </w:tcBorders>
            <w:tcMar>
              <w:bottom w:w="28" w:type="dxa"/>
            </w:tcMar>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/s/ Dilhan Ilk</w:t>
            </w:r>
          </w:p>
        </w:tc>
      </w:tr>
      <w:tr>
        <w:trPr/>
        <w:tc>
          <w:tcPr>
            <w:tcW w:w="781" w:type="dxa"/>
            <w:tcBorders/>
            <w:vAlign w:val="center"/>
          </w:tcPr>
          <w:p>
            <w:pPr>
              <w:pStyle w:val="TableContents"/>
              <w:bidi w:val="0"/>
              <w:spacing w:before="0" w:after="0"/>
              <w:ind w:left="0" w:right="0" w:hanging="0"/>
              <w:jc w:val="left"/>
              <w:rPr/>
            </w:pPr>
            <w:r>
              <w:rPr/>
              <w:t>​</w:t>
            </w:r>
          </w:p>
        </w:tc>
        <w:tc>
          <w:tcPr>
            <w:tcW w:w="3361" w:type="dxa"/>
            <w:tcBorders>
              <w:top w:val="single" w:sz="2" w:space="0" w:color="000000"/>
            </w:tcBorders>
            <w:tcMar>
              <w:top w:w="28" w:type="dxa"/>
            </w:tcMar>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Dilhan Ilk, P.E.</w:t>
            </w:r>
          </w:p>
        </w:tc>
      </w:tr>
      <w:tr>
        <w:trPr/>
        <w:tc>
          <w:tcPr>
            <w:tcW w:w="781" w:type="dxa"/>
            <w:tcBorders/>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[Seal]</w:t>
            </w:r>
          </w:p>
        </w:tc>
        <w:tc>
          <w:tcPr>
            <w:tcW w:w="3361" w:type="dxa"/>
            <w:tcBorders/>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Executive Vice President</w:t>
            </w:r>
          </w:p>
        </w:tc>
      </w:tr>
      <w:tr>
        <w:trPr/>
        <w:tc>
          <w:tcPr>
            <w:tcW w:w="781"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DeGolyer and MacNaughton</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EngraversGothic BT" w:hAnsi="EngraversGothic BT"/>
          <w:sz w:val="18"/>
        </w:rPr>
      </w:pPr>
      <w:r>
        <w:rPr>
          <w:rFonts w:ascii="EngraversGothic BT" w:hAnsi="EngraversGothic BT"/>
          <w:sz w:val="18"/>
        </w:rPr>
        <w:t>DeGolyer and MacNaughton</w:t>
      </w:r>
    </w:p>
    <w:p>
      <w:pPr>
        <w:pStyle w:val="TextBody"/>
        <w:bidi w:val="0"/>
        <w:spacing w:lineRule="atLeast" w:line="320" w:before="320" w:after="640"/>
        <w:ind w:left="0" w:right="0" w:hanging="0"/>
        <w:jc w:val="center"/>
        <w:rPr>
          <w:rFonts w:ascii="NewCenturySchlbk" w:hAnsi="NewCenturySchlbk"/>
          <w:b/>
          <w:sz w:val="22"/>
        </w:rPr>
      </w:pPr>
      <w:bookmarkStart w:id="1245" w:name="_Toc89683586"/>
      <w:bookmarkEnd w:id="1245"/>
      <w:r>
        <w:rPr>
          <w:rFonts w:ascii="NewCenturySchlbk" w:hAnsi="NewCenturySchlbk"/>
          <w:b/>
          <w:sz w:val="22"/>
        </w:rPr>
        <w:t>CERTIFICATE of QUALIFICATION</w:t>
      </w:r>
    </w:p>
    <w:p>
      <w:pPr>
        <w:pStyle w:val="TextBody"/>
        <w:bidi w:val="0"/>
        <w:spacing w:lineRule="atLeast" w:line="320" w:before="0" w:after="0"/>
        <w:ind w:left="0" w:right="0" w:firstLine="360"/>
        <w:jc w:val="both"/>
        <w:rPr>
          <w:rFonts w:ascii="NewCenturySchlbk" w:hAnsi="NewCenturySchlbk"/>
          <w:sz w:val="22"/>
        </w:rPr>
      </w:pPr>
      <w:r>
        <w:rPr>
          <w:rFonts w:ascii="NewCenturySchlbk" w:hAnsi="NewCenturySchlbk"/>
          <w:sz w:val="22"/>
        </w:rPr>
        <w:t>I, Dilhan Ilk, Petroleum Engineer with DeGolyer and MacNaughton, 5001 Spring Valley Road, Suite 800 East, Dallas, Texas, 75244 U.S.A., hereby certify:</w:t>
      </w:r>
    </w:p>
    <w:p>
      <w:pPr>
        <w:pStyle w:val="TextBody"/>
        <w:bidi w:val="0"/>
        <w:spacing w:lineRule="atLeast" w:line="320"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NewCenturySchlbk" w:hAnsi="NewCenturySchlbk"/>
                <w:sz w:val="22"/>
              </w:rPr>
            </w:pPr>
            <w:r>
              <w:rPr>
                <w:rFonts w:ascii="NewCenturySchlbk" w:hAnsi="NewCenturySchlbk"/>
                <w:sz w:val="22"/>
              </w:rPr>
              <w:t>1.</w:t>
            </w:r>
          </w:p>
        </w:tc>
        <w:tc>
          <w:tcPr>
            <w:tcW w:w="9972" w:type="dxa"/>
            <w:tcBorders/>
            <w:vAlign w:val="center"/>
          </w:tcPr>
          <w:p>
            <w:pPr>
              <w:pStyle w:val="TableContents"/>
              <w:bidi w:val="0"/>
              <w:spacing w:before="0" w:after="283"/>
              <w:jc w:val="left"/>
              <w:rPr>
                <w:rFonts w:ascii="NewCenturySchlbk" w:hAnsi="NewCenturySchlbk"/>
                <w:b w:val="false"/>
                <w:i w:val="false"/>
                <w:caps w:val="false"/>
                <w:smallCaps w:val="false"/>
                <w:sz w:val="22"/>
              </w:rPr>
            </w:pPr>
            <w:r>
              <w:rPr>
                <w:rFonts w:ascii="NewCenturySchlbk" w:hAnsi="NewCenturySchlbk"/>
                <w:b w:val="false"/>
                <w:i w:val="false"/>
                <w:caps w:val="false"/>
                <w:smallCaps w:val="false"/>
                <w:sz w:val="22"/>
              </w:rPr>
              <w:t xml:space="preserve">That I am an Executive Vice President with DeGolyer and MacNaughton, which firm did prepare this report of third party addressed to Evolution dated </w:t>
              <w:br/>
              <w:t>August 10, 2026, and that I, as Executive Vice President, was responsible for the preparation of this report of third party.</w:t>
            </w:r>
          </w:p>
        </w:tc>
      </w:tr>
    </w:tbl>
    <w:p>
      <w:pPr>
        <w:pStyle w:val="TextBody"/>
        <w:bidi w:val="0"/>
        <w:spacing w:lineRule="atLeast" w:line="320"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0"/>
        <w:gridCol w:w="10002"/>
      </w:tblGrid>
      <w:tr>
        <w:trPr/>
        <w:tc>
          <w:tcPr>
            <w:tcW w:w="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NewCenturySchlbk" w:hAnsi="NewCenturySchlbk"/>
                <w:sz w:val="22"/>
              </w:rPr>
            </w:pPr>
            <w:r>
              <w:rPr>
                <w:rFonts w:ascii="NewCenturySchlbk" w:hAnsi="NewCenturySchlbk"/>
                <w:sz w:val="22"/>
              </w:rPr>
              <w:t>2.</w:t>
            </w:r>
          </w:p>
        </w:tc>
        <w:tc>
          <w:tcPr>
            <w:tcW w:w="10002" w:type="dxa"/>
            <w:tcBorders/>
            <w:vAlign w:val="center"/>
          </w:tcPr>
          <w:p>
            <w:pPr>
              <w:pStyle w:val="TableContents"/>
              <w:bidi w:val="0"/>
              <w:spacing w:before="0" w:after="283"/>
              <w:jc w:val="left"/>
              <w:rPr/>
            </w:pPr>
            <w:r>
              <w:rPr>
                <w:rFonts w:ascii="NewCenturySchlbk" w:hAnsi="NewCenturySchlbk"/>
                <w:b w:val="false"/>
                <w:i w:val="false"/>
                <w:caps w:val="false"/>
                <w:smallCaps w:val="false"/>
                <w:sz w:val="22"/>
              </w:rPr>
              <w:t>That I attended Istanbul Technical University, and that I graduated with a Bachelor of Science degree in Petroleum Engineering in the year 2003, a Master of Science degree in Petroleum Engineering from Texas A&amp;M University in 2005, and a Doctor of Philosophy degree in Petroleum Engineering from Texas A&amp;M University in 2010; that I am a Registered Professional Engineer in the State of Texas;</w:t>
            </w:r>
            <w:r>
              <w:rPr>
                <w:caps w:val="false"/>
                <w:smallCaps w:val="false"/>
              </w:rPr>
              <w:t xml:space="preserve"> </w:t>
            </w:r>
            <w:r>
              <w:rPr>
                <w:rFonts w:ascii="NewCenturySchlbk" w:hAnsi="NewCenturySchlbk"/>
                <w:b w:val="false"/>
                <w:i w:val="false"/>
                <w:caps w:val="false"/>
                <w:smallCaps w:val="false"/>
                <w:sz w:val="22"/>
              </w:rPr>
              <w:t>that I am a member of the Society of Petroleum Engineers; and that I have in excess of 16 years of experience in oil and gas reservoir studies and reserves evaluations.</w:t>
            </w:r>
          </w:p>
        </w:tc>
      </w:tr>
    </w:tbl>
    <w:tbl>
      <w:tblPr>
        <w:tblW w:w="3485" w:type="dxa"/>
        <w:jc w:val="left"/>
        <w:tblInd w:w="0" w:type="dxa"/>
        <w:tblLayout w:type="fixed"/>
        <w:tblCellMar>
          <w:top w:w="0" w:type="dxa"/>
          <w:left w:w="0" w:type="dxa"/>
          <w:bottom w:w="0" w:type="dxa"/>
          <w:right w:w="0" w:type="dxa"/>
        </w:tblCellMar>
      </w:tblPr>
      <w:tblGrid>
        <w:gridCol w:w="124"/>
        <w:gridCol w:w="3361"/>
      </w:tblGrid>
      <w:tr>
        <w:trPr/>
        <w:tc>
          <w:tcPr>
            <w:tcW w:w="124"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361" w:type="dxa"/>
            <w:tcBorders>
              <w:bottom w:val="single" w:sz="2" w:space="0" w:color="000000"/>
            </w:tcBorders>
            <w:tcMar>
              <w:bottom w:w="28" w:type="dxa"/>
            </w:tcMar>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/s/ Dilhan Ilk</w:t>
            </w:r>
          </w:p>
        </w:tc>
      </w:tr>
      <w:tr>
        <w:trPr/>
        <w:tc>
          <w:tcPr>
            <w:tcW w:w="124" w:type="dxa"/>
            <w:tcBorders/>
            <w:vAlign w:val="center"/>
          </w:tcPr>
          <w:p>
            <w:pPr>
              <w:pStyle w:val="TableContents"/>
              <w:bidi w:val="0"/>
              <w:spacing w:before="0" w:after="0"/>
              <w:ind w:left="0" w:right="0" w:hanging="0"/>
              <w:jc w:val="left"/>
              <w:rPr/>
            </w:pPr>
            <w:r>
              <w:rPr/>
              <w:t>​</w:t>
            </w:r>
          </w:p>
        </w:tc>
        <w:tc>
          <w:tcPr>
            <w:tcW w:w="3361" w:type="dxa"/>
            <w:tcBorders>
              <w:top w:val="single" w:sz="2" w:space="0" w:color="000000"/>
            </w:tcBorders>
            <w:tcMar>
              <w:top w:w="28" w:type="dxa"/>
            </w:tcMar>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Dilhan Ilk, P.E.</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361" w:type="dxa"/>
            <w:tcBorders/>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Executive Vice President</w:t>
            </w:r>
          </w:p>
        </w:tc>
      </w:tr>
      <w:tr>
        <w:trPr/>
        <w:tc>
          <w:tcPr>
            <w:tcW w:w="124" w:type="dxa"/>
            <w:tcBorders/>
            <w:vAlign w:val="center"/>
          </w:tcPr>
          <w:p>
            <w:pPr>
              <w:pStyle w:val="TableContents"/>
              <w:bidi w:val="0"/>
              <w:spacing w:before="0" w:after="0"/>
              <w:ind w:left="0" w:right="0" w:hanging="0"/>
              <w:jc w:val="left"/>
              <w:rPr/>
            </w:pPr>
            <w:r>
              <w:rPr/>
              <w:t>​</w:t>
            </w:r>
          </w:p>
        </w:tc>
        <w:tc>
          <w:tcPr>
            <w:tcW w:w="3361" w:type="dxa"/>
            <w:tcBorders/>
            <w:vAlign w:val="center"/>
          </w:tcPr>
          <w:p>
            <w:pPr>
              <w:pStyle w:val="TableContents"/>
              <w:bidi w:val="0"/>
              <w:spacing w:before="0" w:after="0"/>
              <w:ind w:left="0" w:right="0" w:hanging="0"/>
              <w:jc w:val="left"/>
              <w:rPr>
                <w:rFonts w:ascii="NewCenturySchlbk" w:hAnsi="NewCenturySchlbk"/>
                <w:sz w:val="22"/>
              </w:rPr>
            </w:pPr>
            <w:r>
              <w:rPr>
                <w:rFonts w:ascii="NewCenturySchlbk" w:hAnsi="NewCenturySchlbk"/>
                <w:sz w:val="22"/>
              </w:rPr>
              <w:t>DeGolyer and MacNaughton</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Regular">
    <w:charset w:val="01"/>
    <w:family w:val="auto"/>
    <w:pitch w:val="default"/>
  </w:font>
  <w:font w:name="Segoe UI">
    <w:charset w:val="01"/>
    <w:family w:val="auto"/>
    <w:pitch w:val="default"/>
  </w:font>
  <w:font w:name="Courier New">
    <w:charset w:val="01"/>
    <w:family w:val="auto"/>
    <w:pitch w:val="default"/>
  </w:font>
  <w:font w:name="Times">
    <w:altName w:val="Times New Roman"/>
    <w:charset w:val="01"/>
    <w:family w:val="auto"/>
    <w:pitch w:val="default"/>
  </w:font>
  <w:font w:name="Aptos">
    <w:charset w:val="01"/>
    <w:family w:val="auto"/>
    <w:pitch w:val="default"/>
  </w:font>
  <w:font w:name="Georgia">
    <w:charset w:val="01"/>
    <w:family w:val="auto"/>
    <w:pitch w:val="default"/>
  </w:font>
  <w:font w:name="Arial">
    <w:altName w:val="Helvetica"/>
    <w:charset w:val="01"/>
    <w:family w:val="auto"/>
    <w:pitch w:val="default"/>
  </w:font>
  <w:font w:name="EngraversGothic BT">
    <w:charset w:val="01"/>
    <w:family w:val="auto"/>
    <w:pitch w:val="default"/>
  </w:font>
  <w:font w:name="NewCenturySchlbk">
    <w:charset w:val="01"/>
    <w:family w:val="auto"/>
    <w:pitch w:val="default"/>
  </w:font>
  <w:font w:name="NewCenturySchlbk-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06655/000155837023001024/epm-20221231xex3d1.htm" TargetMode="External"/><Relationship Id="rId4" Type="http://schemas.openxmlformats.org/officeDocument/2006/relationships/hyperlink" Target="https://www.sec.gov/Archives/edgar/data/1006655/000155837023015706/epm-20230630xex3d3.htm" TargetMode="External"/><Relationship Id="rId5" Type="http://schemas.openxmlformats.org/officeDocument/2006/relationships/hyperlink" Target="https://www.sec.gov/Archives/edgar/data/1006655/000114420406028393/v047518_8-a12b.txt" TargetMode="External"/><Relationship Id="rId6" Type="http://schemas.openxmlformats.org/officeDocument/2006/relationships/hyperlink" Target="https://www.sec.gov/Archives/edgar/data/1006655/000104746913007064/a2215678zex-4_7.htm" TargetMode="External"/><Relationship Id="rId7" Type="http://schemas.openxmlformats.org/officeDocument/2006/relationships/hyperlink" Target="https://www.sec.gov/Archives/edgar/data/1006655/000110465912072751/a12-25758_1ex99d1.htm" TargetMode="External"/><Relationship Id="rId8" Type="http://schemas.openxmlformats.org/officeDocument/2006/relationships/hyperlink" Target="https://www.sec.gov/Archives/edgar/data/1006655/000100665517000004/exhibit1012016equityincent.htm" TargetMode="External"/><Relationship Id="rId9" Type="http://schemas.openxmlformats.org/officeDocument/2006/relationships/hyperlink" Target="https://www.sec.gov/Archives/edgar/data/1006655/000100665518000004/a41rstkagmtform_2016equity.htm" TargetMode="External"/><Relationship Id="rId10" Type="http://schemas.openxmlformats.org/officeDocument/2006/relationships/hyperlink" Target="https://www.sec.gov/Archives/edgar/data/1006655/000100665519000033/epm-2016restrictedstockawa.htm" TargetMode="External"/><Relationship Id="rId11" Type="http://schemas.openxmlformats.org/officeDocument/2006/relationships/hyperlink" Target="https://www.sec.gov/Archives/edgar/data/1006655/000155837023015706/epm-20230630xex4d42.htm" TargetMode="External"/><Relationship Id="rId12" Type="http://schemas.openxmlformats.org/officeDocument/2006/relationships/hyperlink" Target="https://www.sec.gov/Archives/edgar/data/1006655/000100665518000004/a42crstkagmtform_2016equit.htm" TargetMode="External"/><Relationship Id="rId13" Type="http://schemas.openxmlformats.org/officeDocument/2006/relationships/hyperlink" Target="https://www.sec.gov/Archives/edgar/data/1006655/000155837023015706/epm-20230630xex4d51.htm" TargetMode="External"/><Relationship Id="rId14" Type="http://schemas.openxmlformats.org/officeDocument/2006/relationships/hyperlink" Target="https://www.sec.gov/Archives/edgar/data/1006655/000100665519000033/epm-2016performanceshareun.htm" TargetMode="External"/><Relationship Id="rId15" Type="http://schemas.openxmlformats.org/officeDocument/2006/relationships/hyperlink" Target="https://www.sec.gov/Archives/edgar/data/1006655/000155837025000863/epm-20241231xex4d3.htm" TargetMode="External"/><Relationship Id="rId16" Type="http://schemas.openxmlformats.org/officeDocument/2006/relationships/hyperlink" Target="https://www.sec.gov/Archives/edgar/data/1006655/000114420406039551/v053291_ex10-1.txt" TargetMode="External"/><Relationship Id="rId17" Type="http://schemas.openxmlformats.org/officeDocument/2006/relationships/hyperlink" Target="https://www.sec.gov/Archives/edgar/data/1006655/000155837025009061/epm-20250630xex10d2.htm" TargetMode="External"/><Relationship Id="rId18" Type="http://schemas.openxmlformats.org/officeDocument/2006/relationships/hyperlink" Target="https://www.sec.gov/Archives/edgar/data/1006655/000155837025007755/epm-20250331xex10d213.htm" TargetMode="External"/><Relationship Id="rId19" Type="http://schemas.openxmlformats.org/officeDocument/2006/relationships/hyperlink" Target="https://www.sec.gov/Archives/edgar/data/1006655/000110465925090839/epm-20250630xex10d22.htm" TargetMode="External"/><Relationship Id="rId20" Type="http://schemas.openxmlformats.org/officeDocument/2006/relationships/hyperlink" Target="https://www.sec.gov/Archives/edgar/data/1006655/000110465925090839/epm-20250630xex10d22.htm" TargetMode="External"/><Relationship Id="rId21" Type="http://schemas.openxmlformats.org/officeDocument/2006/relationships/hyperlink" Target="https://www.sec.gov/Archives/edgar/data/1006655/000110465925090839/epm-20250630xex10d22.htm" TargetMode="External"/><Relationship Id="rId22" Type="http://schemas.openxmlformats.org/officeDocument/2006/relationships/hyperlink" Target="https://www.sec.gov/Archives/edgar/data/1006655/000110465926013382/epm-20251231xex10d22.htm" TargetMode="External"/><Relationship Id="rId23" Type="http://schemas.openxmlformats.org/officeDocument/2006/relationships/hyperlink" Target="https://www.sec.gov/Archives/edgar/data/1006655/000100665516000132/dnrsettlementexh107.htm" TargetMode="External"/><Relationship Id="rId24" Type="http://schemas.openxmlformats.org/officeDocument/2006/relationships/hyperlink" Target="https://www.sec.gov/Archives/edgar/data/1006655/000100665521000037/a1012stashofferletter_sign.htm" TargetMode="External"/><Relationship Id="rId25" Type="http://schemas.openxmlformats.org/officeDocument/2006/relationships/hyperlink" Target="https://www.sec.gov/Archives/edgar/data/1006655/000100665521000020/tokyoevopsa-3x29x2021exe.htm" TargetMode="External"/><Relationship Id="rId26" Type="http://schemas.openxmlformats.org/officeDocument/2006/relationships/hyperlink" Target="https://www.sec.gov/Archives/edgar/data/1006655/000100665521000020/firstamendmenttopurchaseag.htm" TargetMode="External"/><Relationship Id="rId27" Type="http://schemas.openxmlformats.org/officeDocument/2006/relationships/hyperlink" Target="https://www.sec.gov/Archives/edgar/data/1006655/000100665521000020/secondamendmenttopurchasea.htm" TargetMode="External"/><Relationship Id="rId28" Type="http://schemas.openxmlformats.org/officeDocument/2006/relationships/hyperlink" Target="https://www.sec.gov/Archives/edgar/data/1006655/000100665521000020/thirdamendmenttopurchaseag.htm" TargetMode="External"/><Relationship Id="rId29" Type="http://schemas.openxmlformats.org/officeDocument/2006/relationships/hyperlink" Target="https://www.sec.gov/Archives/edgar/data/1006655/000100665522000027/psa114foundation.htm" TargetMode="External"/><Relationship Id="rId30" Type="http://schemas.openxmlformats.org/officeDocument/2006/relationships/hyperlink" Target="https://www.sec.gov/Archives/edgar/data/1006655/000100665522000027/exaroiiipsa-final_forxre.htm" TargetMode="External"/><Relationship Id="rId31" Type="http://schemas.openxmlformats.org/officeDocument/2006/relationships/hyperlink" Target="https://www.sec.gov/Archives/edgar/data/1006655/000155837023001024/epm-20221231xex10d3.htm" TargetMode="External"/><Relationship Id="rId32" Type="http://schemas.openxmlformats.org/officeDocument/2006/relationships/hyperlink" Target="https://www.sec.gov/Archives/edgar/data/1006655/000155837023009105/epm-20230331xex10d10.htm" TargetMode="External"/><Relationship Id="rId33" Type="http://schemas.openxmlformats.org/officeDocument/2006/relationships/hyperlink" Target="https://www.sec.gov/Archives/edgar/data/1006655/000155837024007347/epm-20240331xex10d11.htm" TargetMode="External"/><Relationship Id="rId34" Type="http://schemas.openxmlformats.org/officeDocument/2006/relationships/hyperlink" Target="https://www.sec.gov/Archives/edgar/data/1006655/000155837024007347/epm-20240331xex10d12.htm" TargetMode="External"/><Relationship Id="rId35" Type="http://schemas.openxmlformats.org/officeDocument/2006/relationships/hyperlink" Target="https://www.sec.gov/Archives/edgar/data/1006655/000155837024007347/epm-20240331xex10d13.htm" TargetMode="External"/><Relationship Id="rId36" Type="http://schemas.openxmlformats.org/officeDocument/2006/relationships/hyperlink" Target="https://www.sec.gov/Archives/edgar/data/1006655/000110465924110272/tm2426531d1_ex1-1.htm" TargetMode="External"/><Relationship Id="rId37" Type="http://schemas.openxmlformats.org/officeDocument/2006/relationships/hyperlink" Target="https://www.sec.gov/Archives/edgar/data/1006655/000110465926013485/tm262831d5_ex1-1.htm" TargetMode="External"/><Relationship Id="rId38" Type="http://schemas.openxmlformats.org/officeDocument/2006/relationships/hyperlink" Target="https://www.sec.gov/Archives/edgar/data/1006655/000110465926099227/tm2623576d1_ex1-1.htm" TargetMode="External"/><Relationship Id="rId39" Type="http://schemas.openxmlformats.org/officeDocument/2006/relationships/hyperlink" Target="https://www.sec.gov/Archives/edgar/data/1006655/000100665521000037/ex141codeofconduct.htm" TargetMode="External"/><Relationship Id="rId40" Type="http://schemas.openxmlformats.org/officeDocument/2006/relationships/hyperlink" Target="https://www.sec.gov/Archives/edgar/data/1006655/000110465925090839/epm-20250630xex19d1.htm" TargetMode="External"/><Relationship Id="rId41" Type="http://schemas.openxmlformats.org/officeDocument/2006/relationships/hyperlink" Target="https://www.sec.gov/Archives/edgar/data/1006655/000110465925090839/epm-20250630xex19d1.htm" TargetMode="External"/><Relationship Id="rId42" Type="http://schemas.openxmlformats.org/officeDocument/2006/relationships/hyperlink" Target="https://www.sec.gov/Archives/edgar/data/1006655/000110465925090839/epm-20250630xex19d1.htm" TargetMode="External"/><Relationship Id="rId43" Type="http://schemas.openxmlformats.org/officeDocument/2006/relationships/hyperlink" Target="https://www.sec.gov/Archives/edgar/data/1006655/000155837023015706/epm-20230630xex97.htm" TargetMode="External"/><Relationship Id="rId44" Type="http://schemas.openxmlformats.org/officeDocument/2006/relationships/image" Target="media/image2.jpeg"/><Relationship Id="rId45" Type="http://schemas.openxmlformats.org/officeDocument/2006/relationships/image" Target="media/image3.jpeg"/><Relationship Id="rId46" Type="http://schemas.openxmlformats.org/officeDocument/2006/relationships/image" Target="media/image4.jpeg"/><Relationship Id="rId47" Type="http://schemas.openxmlformats.org/officeDocument/2006/relationships/image" Target="media/image4.jpeg"/><Relationship Id="rId48" Type="http://schemas.openxmlformats.org/officeDocument/2006/relationships/image" Target="media/image4.jpeg"/><Relationship Id="rId49" Type="http://schemas.openxmlformats.org/officeDocument/2006/relationships/image" Target="media/image4.jpeg"/><Relationship Id="rId50" Type="http://schemas.openxmlformats.org/officeDocument/2006/relationships/image" Target="media/image4.jpeg"/><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62572</Words>
  <Characters>349039</Characters>
  <CharactersWithSpaces>413659</CharactersWithSpaces>
  <Paragraphs>10551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