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epm-20260331x10q.htm"/>
        <w:bookmarkStart w:id="1" w:name="ksepm2026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rFonts w:ascii="Times New Roman;Times;serif" w:hAnsi="Times New Roman;Times;serif"/>
          <w:b/>
          <w:sz w:val="2"/>
        </w:rPr>
      </w:pPr>
      <w:r>
        <w:rPr>
          <w:rFonts w:ascii="Times New Roman;Times;serif" w:hAnsi="Times New Roman;Times;serif"/>
          <w:b/>
          <w:sz w:val="2"/>
        </w:rPr>
        <w:t>no</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12603b2d_d27b_4db0_b1ce_21507b28422c"/>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6GYoJXxuJkWxbHSkSD8t0w_1_1"/>
      <w:bookmarkStart w:id="4" w:name="_2fa85096_77a2_4581_823b_7944b3a01cd2"/>
      <w:bookmarkStart w:id="5" w:name="Tc_6GYoJXxuJkWxbHSkSD8t0w_1_1"/>
      <w:bookmarkStart w:id="6" w:name="_2fa85096_77a2_4581_823b_7944b3a01cd2"/>
      <w:bookmarkEnd w:id="5"/>
      <w:bookmarkEnd w:id="6"/>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March 31, 2026</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KufeiLTGy0CE934ZF69PeA_1_1"/>
      <w:bookmarkStart w:id="8" w:name="_af930417_011f_4f11_9677_879e1df9540b"/>
      <w:bookmarkStart w:id="9" w:name="Tc_KufeiLTGy0CE934ZF69PeA_1_1"/>
      <w:bookmarkStart w:id="10" w:name="_af930417_011f_4f11_9677_879e1df9540b"/>
      <w:bookmarkEnd w:id="9"/>
      <w:bookmarkEnd w:id="10"/>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40"/>
              <w:ind w:left="0" w:right="0" w:hanging="0"/>
              <w:jc w:val="center"/>
              <w:rPr/>
            </w:pPr>
            <w:r>
              <w:rPr/>
              <w:t>☐</w:t>
            </w:r>
          </w:p>
        </w:tc>
        <w:tc>
          <w:tcPr>
            <w:tcW w:w="9421" w:type="dxa"/>
            <w:tcBorders/>
            <w:vAlign w:val="center"/>
          </w:tcPr>
          <w:p>
            <w:pPr>
              <w:pStyle w:val="TableContents"/>
              <w:bidi w:val="0"/>
              <w:spacing w:before="0" w:after="4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w:t>
      </w:r>
    </w:p>
    <w:p>
      <w:pPr>
        <w:pStyle w:val="TextBody"/>
        <w:bidi w:val="0"/>
        <w:spacing w:before="0" w:after="80"/>
        <w:ind w:left="0" w:right="0" w:hanging="0"/>
        <w:jc w:val="center"/>
        <w:rPr>
          <w:rFonts w:ascii="Times New Roman;Times;serif" w:hAnsi="Times New Roman;Times;serif"/>
          <w:b/>
          <w:sz w:val="14"/>
        </w:rPr>
      </w:pPr>
      <w:r>
        <w:rPr>
          <w:rFonts w:ascii="Times New Roman;Times;serif" w:hAnsi="Times New Roman;Times;serif"/>
          <w:b/>
          <w:sz w:val="14"/>
        </w:rPr>
        <w:t>Commission File Number 001-32942</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EVOLUTION PETROLEUM CORPORATION</w:t>
      </w:r>
    </w:p>
    <w:p>
      <w:pPr>
        <w:pStyle w:val="TextBody"/>
        <w:bidi w:val="0"/>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drawing>
          <wp:inline distT="0" distB="0" distL="0" distR="0">
            <wp:extent cx="20701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0100" cy="533400"/>
                    </a:xfrm>
                    <a:prstGeom prst="rect">
                      <a:avLst/>
                    </a:prstGeom>
                  </pic:spPr>
                </pic:pic>
              </a:graphicData>
            </a:graphic>
          </wp:inline>
        </w:drawing>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SVZDRzZibEmzifaC6BnRBg_2_2"/>
      <w:bookmarkStart w:id="12" w:name="Tc_T4e4V6JYGUaDgqrGexLRsg_2_0"/>
      <w:bookmarkStart w:id="13" w:name="_fd1beca5_de47_40f7_9962_f379b5f73a9f"/>
      <w:bookmarkStart w:id="14" w:name="Tc_SVZDRzZibEmzifaC6BnRBg_2_2"/>
      <w:bookmarkStart w:id="15" w:name="Tc_T4e4V6JYGUaDgqrGexLRsg_2_0"/>
      <w:bookmarkStart w:id="16" w:name="_fd1beca5_de47_40f7_9962_f379b5f73a9f"/>
      <w:bookmarkEnd w:id="14"/>
      <w:bookmarkEnd w:id="15"/>
      <w:bookmarkEnd w:id="16"/>
    </w:p>
    <w:tbl>
      <w:tblPr>
        <w:tblW w:w="4038" w:type="dxa"/>
        <w:jc w:val="left"/>
        <w:tblInd w:w="0" w:type="dxa"/>
        <w:tblLayout w:type="fixed"/>
        <w:tblCellMar>
          <w:top w:w="0" w:type="dxa"/>
          <w:left w:w="0" w:type="dxa"/>
          <w:bottom w:w="0" w:type="dxa"/>
          <w:right w:w="0" w:type="dxa"/>
        </w:tblCellMar>
      </w:tblPr>
      <w:tblGrid>
        <w:gridCol w:w="2236"/>
        <w:gridCol w:w="346"/>
        <w:gridCol w:w="1456"/>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19860" cy="175260"/>
                      <wp:effectExtent l="0" t="0" r="0" b="0"/>
                      <wp:wrapNone/>
                      <wp:docPr id="2" name="Frame1"/>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4560" cy="175260"/>
                      <wp:effectExtent l="0" t="0" r="0" b="0"/>
                      <wp:wrapNone/>
                      <wp:docPr id="3" name="Frame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Nevada</w:t>
            </w:r>
          </w:p>
        </w:tc>
        <w:tc>
          <w:tcPr>
            <w:tcW w:w="346" w:type="dxa"/>
            <w:tcBorders/>
            <w:vAlign w:val="center"/>
          </w:tcPr>
          <w:p>
            <w:pPr>
              <w:pStyle w:val="TableContents"/>
              <w:bidi w:val="0"/>
              <w:spacing w:before="0" w:after="0"/>
              <w:ind w:left="0" w:right="0" w:hanging="0"/>
              <w:jc w:val="left"/>
              <w:rPr/>
            </w:pPr>
            <w:r>
              <w:rPr/>
              <w:t>  ​ ​ ​</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41-1781991</w:t>
            </w:r>
          </w:p>
        </w:tc>
      </w:tr>
      <w:tr>
        <w:trPr/>
        <w:tc>
          <w:tcPr>
            <w:tcW w:w="223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br/>
              <w:t>incorporation or organization)</w:t>
            </w:r>
          </w:p>
        </w:tc>
        <w:tc>
          <w:tcPr>
            <w:tcW w:w="34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(IRS Employer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1155 Dairy Ashford Road, Suite 425, Houston, Texas</w:t>
      </w:r>
      <w:r>
        <w:rPr>
          <w:rFonts w:ascii="Times New Roman;Times;serif" w:hAnsi="Times New Roman;Times;serif"/>
          <w:sz w:val="20"/>
        </w:rPr>
        <w:t xml:space="preserve"> </w:t>
      </w:r>
      <w:r>
        <w:rPr>
          <w:rFonts w:ascii="Times New Roman;Times;serif" w:hAnsi="Times New Roman;Times;serif"/>
          <w:b/>
          <w:sz w:val="14"/>
        </w:rPr>
        <w:t>77079</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 and 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(713) 935-0122</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jc w:val="left"/>
        <w:rPr>
          <w:sz w:val="4"/>
          <w:szCs w:val="4"/>
        </w:rPr>
      </w:pPr>
      <w:r>
        <w:rPr>
          <w:sz w:val="4"/>
          <w:szCs w:val="4"/>
        </w:rPr>
      </w:r>
      <w:bookmarkStart w:id="17" w:name="Tc_08NEZP2eMU-T5ee30OqQaw_1_4"/>
      <w:bookmarkStart w:id="18" w:name="Tc_MlcNM5kr8EuhcT6DYd4gJQ_1_2"/>
      <w:bookmarkStart w:id="19" w:name="Tc_urIB3TdjKkWfHBIUJP69Sw_1_0"/>
      <w:bookmarkStart w:id="20" w:name="_2ccd0b3c_0436_4571_b5e9_837a8404eef0"/>
      <w:bookmarkStart w:id="21" w:name="Tc_08NEZP2eMU-T5ee30OqQaw_1_4"/>
      <w:bookmarkStart w:id="22" w:name="Tc_MlcNM5kr8EuhcT6DYd4gJQ_1_2"/>
      <w:bookmarkStart w:id="23" w:name="Tc_urIB3TdjKkWfHBIUJP69Sw_1_0"/>
      <w:bookmarkStart w:id="24" w:name="_2ccd0b3c_0436_4571_b5e9_837a8404eef0"/>
      <w:bookmarkEnd w:id="21"/>
      <w:bookmarkEnd w:id="22"/>
      <w:bookmarkEnd w:id="23"/>
      <w:bookmarkEnd w:id="24"/>
    </w:p>
    <w:tbl>
      <w:tblPr>
        <w:tblW w:w="605" w:type="dxa"/>
        <w:jc w:val="left"/>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1635760"/>
                      <wp:effectExtent l="0" t="0" r="0" b="0"/>
                      <wp:wrapNone/>
                      <wp:docPr id="4" name="Frame3"/>
                      <a:graphic xmlns:a="http://schemas.openxmlformats.org/drawingml/2006/main">
                        <a:graphicData uri="http://schemas.microsoft.com/office/word/2010/wordprocessingShape">
                          <wps:wsp>
                            <wps:cNvSpPr txBox="1"/>
                            <wps:spPr>
                              <a:xfrm>
                                <a:off x="0" y="0"/>
                                <a:ext cx="78740" cy="163576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28.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Title of Each Class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350520"/>
                      <wp:effectExtent l="0" t="0" r="0" b="0"/>
                      <wp:wrapNone/>
                      <wp:docPr id="5" name="Frame4"/>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0"/>
                      <wp:effectExtent l="0" t="0" r="0" b="0"/>
                      <wp:wrapNone/>
                      <wp:docPr id="6" name="Frame5"/>
                      <a:graphic xmlns:a="http://schemas.openxmlformats.org/drawingml/2006/main">
                        <a:graphicData uri="http://schemas.microsoft.com/office/word/2010/wordprocessingShape">
                          <wps:wsp>
                            <wps:cNvSpPr txBox="1"/>
                            <wps:spPr>
                              <a:xfrm>
                                <a:off x="0" y="0"/>
                                <a:ext cx="69215" cy="175260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Trading Symbol(s)</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350520"/>
                      <wp:effectExtent l="0" t="0" r="0" b="0"/>
                      <wp:wrapNone/>
                      <wp:docPr id="7" name="Frame6"/>
                      <a:graphic xmlns:a="http://schemas.openxmlformats.org/drawingml/2006/main">
                        <a:graphicData uri="http://schemas.microsoft.com/office/word/2010/wordprocessingShape">
                          <wps:wsp>
                            <wps:cNvSpPr txBox="1"/>
                            <wps:spPr>
                              <a:xfrm>
                                <a:off x="0" y="0"/>
                                <a:ext cx="69215" cy="350520"/>
                              </a:xfrm>
                              <a:prstGeom prst="rect"/>
                              <a:solidFill>
                                <a:srgbClr val="FFFFFF"/>
                              </a:solidFill>
                            </wps:spPr>
                            <wps:txbx>
                              <w:txbxContent>
                                <w:p>
                                  <w:pPr>
                                    <w:pStyle w:val="TableContents"/>
                                    <w:bidi w:val="0"/>
                                    <w:spacing w:before="0" w:after="0"/>
                                    <w:ind w:left="0" w:right="0" w:hanging="0"/>
                                    <w:jc w:val="left"/>
                                    <w:rPr/>
                                  </w:pPr>
                                  <w:r>
                                    <w:rPr/>
                                    <w:t>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  ​ ​</w:t>
                            </w:r>
                          </w:p>
                        </w:txbxContent>
                      </v:textbox>
                      <w10:wrap type="none"/>
                    </v:rect>
                  </w:pict>
                </mc:Fallback>
              </mc:AlternateContent>
            </w:r>
          </w:p>
        </w:tc>
        <w:tc>
          <w:tcPr>
            <w:tcW w:w="154"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3037840"/>
                      <wp:effectExtent l="0" t="0" r="0" b="0"/>
                      <wp:wrapNone/>
                      <wp:docPr id="8" name="Frame7"/>
                      <a:graphic xmlns:a="http://schemas.openxmlformats.org/drawingml/2006/main">
                        <a:graphicData uri="http://schemas.microsoft.com/office/word/2010/wordprocessingShape">
                          <wps:wsp>
                            <wps:cNvSpPr txBox="1"/>
                            <wps:spPr>
                              <a:xfrm>
                                <a:off x="0" y="0"/>
                                <a:ext cx="97790" cy="3037840"/>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9.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xbxContent>
                      </v:textbox>
                      <w10:wrap type="none"/>
                    </v:rect>
                  </w:pict>
                </mc:Fallback>
              </mc:AlternateContent>
            </w:r>
          </w:p>
        </w:tc>
      </w:tr>
      <w:tr>
        <w:trPr/>
        <w:tc>
          <w:tcPr>
            <w:tcW w:w="124"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2146935"/>
                      <wp:effectExtent l="0" t="0" r="0" b="0"/>
                      <wp:wrapNone/>
                      <wp:docPr id="9" name="Frame8"/>
                      <a:graphic xmlns:a="http://schemas.openxmlformats.org/drawingml/2006/main">
                        <a:graphicData uri="http://schemas.microsoft.com/office/word/2010/wordprocessingShape">
                          <wps:wsp>
                            <wps:cNvSpPr txBox="1"/>
                            <wps:spPr>
                              <a:xfrm>
                                <a:off x="0" y="0"/>
                                <a:ext cx="78740" cy="214693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69.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Common Stock, $0.001 par value</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09"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306705"/>
                      <wp:effectExtent l="0" t="0" r="0" b="0"/>
                      <wp:wrapNone/>
                      <wp:docPr id="11" name="Frame10"/>
                      <a:graphic xmlns:a="http://schemas.openxmlformats.org/drawingml/2006/main">
                        <a:graphicData uri="http://schemas.microsoft.com/office/word/2010/wordprocessingShape">
                          <wps:wsp>
                            <wps:cNvSpPr txBox="1"/>
                            <wps:spPr>
                              <a:xfrm>
                                <a:off x="0" y="0"/>
                                <a:ext cx="69215" cy="30670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EPM</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4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40"/>
                              <w:ind w:left="0" w:right="0" w:hanging="0"/>
                              <w:jc w:val="left"/>
                              <w:rPr/>
                            </w:pPr>
                            <w:r>
                              <w:rPr/>
                              <w:t>​</w:t>
                            </w:r>
                          </w:p>
                        </w:txbxContent>
                      </v:textbox>
                      <w10:wrap type="none"/>
                    </v:rect>
                  </w:pict>
                </mc:Fallback>
              </mc:AlternateContent>
            </w:r>
          </w:p>
        </w:tc>
        <w:tc>
          <w:tcPr>
            <w:tcW w:w="154" w:type="dxa"/>
            <w:tcBorders>
              <w:top w:val="single" w:sz="2"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97790" cy="920115"/>
                      <wp:effectExtent l="0" t="0" r="0" b="0"/>
                      <wp:wrapNone/>
                      <wp:docPr id="13" name="Frame12"/>
                      <a:graphic xmlns:a="http://schemas.openxmlformats.org/drawingml/2006/main">
                        <a:graphicData uri="http://schemas.microsoft.com/office/word/2010/wordprocessingShape">
                          <wps:wsp>
                            <wps:cNvSpPr txBox="1"/>
                            <wps:spPr>
                              <a:xfrm>
                                <a:off x="0" y="0"/>
                                <a:ext cx="97790" cy="920115"/>
                              </a:xfrm>
                              <a:prstGeom prst="rect"/>
                              <a:solidFill>
                                <a:srgbClr val="FFFFFF"/>
                              </a:solidFill>
                            </wps:spPr>
                            <wps:txb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2.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rFonts w:ascii="Times New Roman;Times;serif" w:hAnsi="Times New Roman;Times;serif"/>
                                <w:sz w:val="14"/>
                              </w:rPr>
                            </w:pPr>
                            <w:r>
                              <w:rPr>
                                <w:rFonts w:ascii="Times New Roman;Times;serif" w:hAnsi="Times New Roman;Times;serif"/>
                                <w:sz w:val="14"/>
                              </w:rPr>
                              <w:t>NYSE American</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o0vZIkcikiCskZbZ05xgA_3_6"/>
      <w:bookmarkStart w:id="26" w:name="Tc_QPBc-in9zUOY8K-EuDJz1A_2_6"/>
      <w:bookmarkStart w:id="27" w:name="Tc_bre6xcj4IUqHViek8sNCRg_2_5"/>
      <w:bookmarkStart w:id="28" w:name="Tc_qRDXd5SEHEeMWibn5xKhdg_2_3"/>
      <w:bookmarkStart w:id="29" w:name="Tc_G_U1kYu_bE6AF-MxLjXrlQ_2_2"/>
      <w:bookmarkStart w:id="30" w:name="Tc_m5GvZgC-j0qwSSytzMS4Ow_2_1"/>
      <w:bookmarkStart w:id="31" w:name="Tc_2JJtlHYZnESj8AiqDxlHxg_2_0"/>
      <w:bookmarkStart w:id="32" w:name="_0c033832_2356_4576_94cf_d4be85956822"/>
      <w:bookmarkStart w:id="33" w:name="Tc_-o0vZIkcikiCskZbZ05xgA_3_6"/>
      <w:bookmarkStart w:id="34" w:name="Tc_QPBc-in9zUOY8K-EuDJz1A_2_6"/>
      <w:bookmarkStart w:id="35" w:name="Tc_bre6xcj4IUqHViek8sNCRg_2_5"/>
      <w:bookmarkStart w:id="36" w:name="Tc_qRDXd5SEHEeMWibn5xKhdg_2_3"/>
      <w:bookmarkStart w:id="37" w:name="Tc_G_U1kYu_bE6AF-MxLjXrlQ_2_2"/>
      <w:bookmarkStart w:id="38" w:name="Tc_m5GvZgC-j0qwSSytzMS4Ow_2_1"/>
      <w:bookmarkStart w:id="39" w:name="Tc_2JJtlHYZnESj8AiqDxlHxg_2_0"/>
      <w:bookmarkStart w:id="40" w:name="_0c033832_2356_4576_94cf_d4be85956822"/>
      <w:bookmarkEnd w:id="33"/>
      <w:bookmarkEnd w:id="34"/>
      <w:bookmarkEnd w:id="35"/>
      <w:bookmarkEnd w:id="36"/>
      <w:bookmarkEnd w:id="37"/>
      <w:bookmarkEnd w:id="38"/>
      <w:bookmarkEnd w:id="39"/>
      <w:bookmarkEnd w:id="40"/>
    </w:p>
    <w:tbl>
      <w:tblPr>
        <w:tblW w:w="6758" w:type="dxa"/>
        <w:jc w:val="left"/>
        <w:tblInd w:w="0" w:type="dxa"/>
        <w:tblLayout w:type="fixed"/>
        <w:tblCellMar>
          <w:top w:w="0" w:type="dxa"/>
          <w:left w:w="0" w:type="dxa"/>
          <w:bottom w:w="0" w:type="dxa"/>
          <w:right w:w="0" w:type="dxa"/>
        </w:tblCellMar>
      </w:tblPr>
      <w:tblGrid>
        <w:gridCol w:w="1396"/>
        <w:gridCol w:w="316"/>
        <w:gridCol w:w="1036"/>
        <w:gridCol w:w="316"/>
        <w:gridCol w:w="1291"/>
        <w:gridCol w:w="316"/>
        <w:gridCol w:w="1726"/>
        <w:gridCol w:w="361"/>
      </w:tblGrid>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 </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both"/>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  </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both"/>
              <w:rPr/>
            </w:pPr>
            <w:r>
              <w:rPr/>
              <w:t>​</w:t>
            </w:r>
          </w:p>
        </w:tc>
        <w:tc>
          <w:tcPr>
            <w:tcW w:w="129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At May 8, 2026, 35,872,725 shares of the Registrant’s Common Stock, $0.001 par value per share, were outstanding.</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 w:name="_dbc9cf63_6464_4d41_8e43_1e34f0733fdd"/>
      <w:bookmarkEnd w:id="41"/>
      <w:r>
        <w:rPr>
          <w:rFonts w:ascii="Times New Roman;Times;serif" w:hAnsi="Times New Roman;Times;serif"/>
          <w:b/>
          <w:sz w:val="20"/>
        </w:rPr>
        <w:t>EVOLUTION PETROLEUM CORPORATION</w:t>
        <w:br/>
        <w:t>​</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763"/>
        <w:gridCol w:w="9080"/>
        <w:gridCol w:w="362"/>
      </w:tblGrid>
      <w:tr>
        <w:trPr/>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84505" cy="175260"/>
                      <wp:effectExtent l="0" t="0" r="0" b="0"/>
                      <wp:wrapNone/>
                      <wp:docPr id="14" name="Frame13"/>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765800" cy="175260"/>
                      <wp:effectExtent l="0" t="0" r="0" b="0"/>
                      <wp:wrapNone/>
                      <wp:docPr id="15" name="Frame14"/>
                      <a:graphic xmlns:a="http://schemas.openxmlformats.org/drawingml/2006/main">
                        <a:graphicData uri="http://schemas.microsoft.com/office/word/2010/wordprocessingShape">
                          <wps:wsp>
                            <wps:cNvSpPr txBox="1"/>
                            <wps:spPr>
                              <a:xfrm>
                                <a:off x="0" y="0"/>
                                <a:ext cx="5765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29870" cy="175260"/>
                      <wp:effectExtent l="0" t="0" r="0" b="0"/>
                      <wp:wrapNone/>
                      <wp:docPr id="16" name="Frame1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843" w:type="dxa"/>
            <w:gridSpan w:val="2"/>
            <w:tcBorders/>
            <w:shd w:fill="CCEEFF" w:val="clear"/>
            <w:vAlign w:val="center"/>
          </w:tcPr>
          <w:p>
            <w:pPr>
              <w:pStyle w:val="TableContents"/>
              <w:bidi w:val="0"/>
              <w:spacing w:before="0" w:after="0"/>
              <w:ind w:left="0" w:right="0" w:hanging="0"/>
              <w:jc w:val="left"/>
              <w:rPr/>
            </w:pPr>
            <w:hyperlink w:anchor="FORWARDLOOKINGSTATEMENTS_262188">
              <w:r>
                <w:rPr>
                  <w:rStyle w:val="InternetLink"/>
                  <w:rFonts w:ascii="Times New Roman;Times;serif" w:hAnsi="Times New Roman;Times;serif"/>
                  <w:b/>
                  <w:i w:val="false"/>
                  <w:caps w:val="false"/>
                  <w:smallCaps w:val="false"/>
                  <w:sz w:val="20"/>
                </w:rPr>
                <w:t>Forward-Looking Statements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63"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PART I</w:t>
              </w:r>
            </w:hyperlink>
            <w:r>
              <w:rPr>
                <w:rFonts w:ascii="Times New Roman;Times;serif" w:hAnsi="Times New Roman;Times;serif"/>
                <w:b/>
                <w:sz w:val="20"/>
              </w:rPr>
              <w:t>.</w:t>
            </w:r>
          </w:p>
        </w:tc>
        <w:tc>
          <w:tcPr>
            <w:tcW w:w="9080"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FINANCIAL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3"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Item 1.</w:t>
              </w:r>
            </w:hyperlink>
          </w:p>
        </w:tc>
        <w:tc>
          <w:tcPr>
            <w:tcW w:w="9080" w:type="dxa"/>
            <w:tcBorders/>
            <w:shd w:fill="CCEEFF" w:val="clear"/>
            <w:vAlign w:val="center"/>
          </w:tcPr>
          <w:p>
            <w:pPr>
              <w:pStyle w:val="TableContents"/>
              <w:bidi w:val="0"/>
              <w:spacing w:before="0" w:after="0"/>
              <w:ind w:left="0" w:right="0" w:hanging="0"/>
              <w:jc w:val="left"/>
              <w:rPr/>
            </w:pPr>
            <w:hyperlink w:anchor="Item_1_Condensed_Consolidated_Financial">
              <w:r>
                <w:rPr>
                  <w:rStyle w:val="InternetLink"/>
                  <w:rFonts w:ascii="Times New Roman;Times;serif" w:hAnsi="Times New Roman;Times;serif"/>
                  <w:b w:val="false"/>
                  <w:i w:val="false"/>
                  <w:caps w:val="false"/>
                  <w:smallCaps w:val="false"/>
                  <w:sz w:val="20"/>
                </w:rPr>
                <w:t>Condensed Consolidated Financial Statements (Unaudited)</w:t>
              </w:r>
            </w:hyperlink>
            <w:r>
              <w:rPr>
                <w:rFonts w:ascii="Times New Roman;Times;serif" w:hAnsi="Times New Roman;Times;serif"/>
                <w:sz w:val="20"/>
              </w:rPr>
              <w:t xml:space="preserve"> </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3" w:type="dxa"/>
            <w:tcBorders/>
            <w:vAlign w:val="center"/>
          </w:tcPr>
          <w:p>
            <w:pPr>
              <w:pStyle w:val="TableContents"/>
              <w:bidi w:val="0"/>
              <w:spacing w:before="0" w:after="0"/>
              <w:ind w:left="0" w:right="0" w:hanging="0"/>
              <w:jc w:val="left"/>
              <w:rPr/>
            </w:pPr>
            <w:r>
              <w:rPr/>
              <w:t>​</w:t>
            </w:r>
          </w:p>
        </w:tc>
        <w:tc>
          <w:tcPr>
            <w:tcW w:w="9080" w:type="dxa"/>
            <w:tcBorders/>
            <w:vAlign w:val="center"/>
          </w:tcPr>
          <w:p>
            <w:pPr>
              <w:pStyle w:val="TableContents"/>
              <w:bidi w:val="0"/>
              <w:spacing w:before="0" w:after="0"/>
              <w:ind w:left="0" w:right="0" w:hanging="0"/>
              <w:jc w:val="left"/>
              <w:rPr/>
            </w:pPr>
            <w:hyperlink w:anchor="ConsolidatedCondensedBalanceSheets">
              <w:r>
                <w:rPr>
                  <w:rStyle w:val="InternetLink"/>
                  <w:rFonts w:ascii="Times New Roman;Times;serif" w:hAnsi="Times New Roman;Times;serif"/>
                  <w:b w:val="false"/>
                  <w:i w:val="false"/>
                  <w:caps w:val="false"/>
                  <w:smallCaps w:val="false"/>
                  <w:sz w:val="20"/>
                </w:rPr>
                <w:t>Condensed Consolidated Balance Sheets (Unaudited) as of March 31, 2026 and June 30, 2025</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63" w:type="dxa"/>
            <w:tcBorders/>
            <w:shd w:fill="CCEEFF" w:val="clear"/>
            <w:vAlign w:val="center"/>
          </w:tcPr>
          <w:p>
            <w:pPr>
              <w:pStyle w:val="TableContents"/>
              <w:bidi w:val="0"/>
              <w:spacing w:before="0" w:after="0"/>
              <w:ind w:left="0" w:right="0" w:hanging="0"/>
              <w:jc w:val="left"/>
              <w:rPr/>
            </w:pPr>
            <w:r>
              <w:rPr/>
              <w:t>​</w:t>
            </w:r>
          </w:p>
        </w:tc>
        <w:tc>
          <w:tcPr>
            <w:tcW w:w="9080" w:type="dxa"/>
            <w:tcBorders/>
            <w:shd w:fill="CCEEFF" w:val="clear"/>
            <w:vAlign w:val="center"/>
          </w:tcPr>
          <w:p>
            <w:pPr>
              <w:pStyle w:val="TableContents"/>
              <w:bidi w:val="0"/>
              <w:spacing w:before="0" w:after="0"/>
              <w:ind w:left="0" w:right="0" w:hanging="0"/>
              <w:jc w:val="left"/>
              <w:rPr/>
            </w:pPr>
            <w:hyperlink w:anchor="ConsolidatedCondens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and nine months ended March 31, 2026 and 2025</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63" w:type="dxa"/>
            <w:tcBorders/>
            <w:vAlign w:val="center"/>
          </w:tcPr>
          <w:p>
            <w:pPr>
              <w:pStyle w:val="TableContents"/>
              <w:bidi w:val="0"/>
              <w:spacing w:before="0" w:after="0"/>
              <w:ind w:left="0" w:right="0" w:hanging="0"/>
              <w:jc w:val="left"/>
              <w:rPr/>
            </w:pPr>
            <w:r>
              <w:rPr/>
              <w:t>​</w:t>
            </w:r>
          </w:p>
        </w:tc>
        <w:tc>
          <w:tcPr>
            <w:tcW w:w="9080" w:type="dxa"/>
            <w:tcBorders/>
            <w:vAlign w:val="center"/>
          </w:tcPr>
          <w:p>
            <w:pPr>
              <w:pStyle w:val="TableContents"/>
              <w:bidi w:val="0"/>
              <w:spacing w:before="0" w:after="0"/>
              <w:ind w:left="0" w:right="0" w:hanging="0"/>
              <w:jc w:val="left"/>
              <w:rPr/>
            </w:pPr>
            <w:hyperlink w:anchor="ConsolidatedCondensedStatementsofCashFlo">
              <w:r>
                <w:rPr>
                  <w:rStyle w:val="InternetLink"/>
                  <w:rFonts w:ascii="Times New Roman;Times;serif" w:hAnsi="Times New Roman;Times;serif"/>
                  <w:b w:val="false"/>
                  <w:i w:val="false"/>
                  <w:caps w:val="false"/>
                  <w:smallCaps w:val="false"/>
                  <w:sz w:val="20"/>
                </w:rPr>
                <w:t>Condensed Consolidated Statements of Cash Flows (Unaudited) for the nine months ended March 31, 2026 and 2025</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63" w:type="dxa"/>
            <w:tcBorders/>
            <w:shd w:fill="CCEEFF" w:val="clear"/>
            <w:vAlign w:val="center"/>
          </w:tcPr>
          <w:p>
            <w:pPr>
              <w:pStyle w:val="TableContents"/>
              <w:bidi w:val="0"/>
              <w:spacing w:before="0" w:after="0"/>
              <w:ind w:left="0" w:right="0" w:hanging="0"/>
              <w:jc w:val="left"/>
              <w:rPr/>
            </w:pPr>
            <w:r>
              <w:rPr/>
              <w:t>​</w:t>
            </w:r>
          </w:p>
        </w:tc>
        <w:tc>
          <w:tcPr>
            <w:tcW w:w="9080" w:type="dxa"/>
            <w:tcBorders/>
            <w:shd w:fill="CCEEFF" w:val="clear"/>
            <w:vAlign w:val="center"/>
          </w:tcPr>
          <w:p>
            <w:pPr>
              <w:pStyle w:val="TableContents"/>
              <w:bidi w:val="0"/>
              <w:spacing w:before="0" w:after="0"/>
              <w:ind w:left="0" w:right="0" w:hanging="0"/>
              <w:jc w:val="left"/>
              <w:rPr/>
            </w:pPr>
            <w:hyperlink w:anchor="ConsolidatedCondensedStatementsofSHE">
              <w:r>
                <w:rPr>
                  <w:rStyle w:val="InternetLink"/>
                  <w:rFonts w:ascii="Times New Roman;Times;serif" w:hAnsi="Times New Roman;Times;serif"/>
                  <w:b w:val="false"/>
                  <w:i w:val="false"/>
                  <w:caps w:val="false"/>
                  <w:smallCaps w:val="false"/>
                  <w:sz w:val="20"/>
                </w:rPr>
                <w:t>Condensed Consolidated Statements of Changes in Stockholders’ Equity (Unaudited) for the three and nine months ended March 31, 2026 and 2025</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63" w:type="dxa"/>
            <w:tcBorders/>
            <w:vAlign w:val="center"/>
          </w:tcPr>
          <w:p>
            <w:pPr>
              <w:pStyle w:val="TableContents"/>
              <w:bidi w:val="0"/>
              <w:spacing w:before="0" w:after="0"/>
              <w:ind w:left="0" w:right="0" w:hanging="0"/>
              <w:jc w:val="left"/>
              <w:rPr/>
            </w:pPr>
            <w:r>
              <w:rPr/>
              <w:t>​</w:t>
            </w:r>
          </w:p>
        </w:tc>
        <w:tc>
          <w:tcPr>
            <w:tcW w:w="9080" w:type="dxa"/>
            <w:tcBorders/>
            <w:vAlign w:val="center"/>
          </w:tcPr>
          <w:p>
            <w:pPr>
              <w:pStyle w:val="TableContents"/>
              <w:bidi w:val="0"/>
              <w:spacing w:before="0" w:after="0"/>
              <w:ind w:left="0" w:right="0" w:hanging="0"/>
              <w:jc w:val="left"/>
              <w:rPr/>
            </w:pPr>
            <w:hyperlink w:anchor="Note_to_Unaudited_Condensed">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763"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9080" w:type="dxa"/>
            <w:tcBorders/>
            <w:shd w:fill="CCEEFF" w:val="clear"/>
            <w:vAlign w:val="center"/>
          </w:tcPr>
          <w:p>
            <w:pPr>
              <w:pStyle w:val="TableContents"/>
              <w:bidi w:val="0"/>
              <w:spacing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63"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Item 3.</w:t>
              </w:r>
            </w:hyperlink>
          </w:p>
        </w:tc>
        <w:tc>
          <w:tcPr>
            <w:tcW w:w="9080" w:type="dxa"/>
            <w:tcBorders/>
            <w:vAlign w:val="center"/>
          </w:tcPr>
          <w:p>
            <w:pPr>
              <w:pStyle w:val="TableContents"/>
              <w:bidi w:val="0"/>
              <w:spacing w:before="0" w:after="0"/>
              <w:ind w:left="0" w:right="0" w:hanging="0"/>
              <w:jc w:val="left"/>
              <w:rPr/>
            </w:pPr>
            <w:hyperlink w:anchor="Item_3_Quantitative">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63"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w:t>
              </w:r>
            </w:hyperlink>
          </w:p>
        </w:tc>
        <w:tc>
          <w:tcPr>
            <w:tcW w:w="9080" w:type="dxa"/>
            <w:tcBorders/>
            <w:shd w:fill="CCEEFF" w:val="clear"/>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Controls and Procedures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843" w:type="dxa"/>
            <w:gridSpan w:val="2"/>
            <w:tcBorders/>
            <w:vAlign w:val="center"/>
          </w:tcPr>
          <w:p>
            <w:pPr>
              <w:pStyle w:val="TableContents"/>
              <w:bidi w:val="0"/>
              <w:spacing w:before="0" w:after="0"/>
              <w:ind w:left="0" w:right="0" w:hanging="0"/>
              <w:jc w:val="left"/>
              <w:rPr/>
            </w:pPr>
            <w:hyperlink w:anchor="Part_II_OTHER_INFORMATION">
              <w:r>
                <w:rPr>
                  <w:rStyle w:val="InternetLink"/>
                  <w:rFonts w:ascii="Times New Roman;Times;serif" w:hAnsi="Times New Roman;Times;serif"/>
                  <w:b/>
                  <w:i w:val="false"/>
                  <w:caps w:val="false"/>
                  <w:smallCaps w:val="false"/>
                  <w:sz w:val="20"/>
                </w:rPr>
                <w:t>PART II. 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63"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Item 1.</w:t>
              </w:r>
            </w:hyperlink>
          </w:p>
        </w:tc>
        <w:tc>
          <w:tcPr>
            <w:tcW w:w="9080" w:type="dxa"/>
            <w:tcBorders/>
            <w:shd w:fill="CCEEFF" w:val="clear"/>
            <w:vAlign w:val="center"/>
          </w:tcPr>
          <w:p>
            <w:pPr>
              <w:pStyle w:val="TableContents"/>
              <w:bidi w:val="0"/>
              <w:spacing w:before="0" w:after="0"/>
              <w:ind w:left="0" w:right="0" w:hanging="0"/>
              <w:jc w:val="left"/>
              <w:rPr/>
            </w:pPr>
            <w:hyperlink w:anchor="Item1LegalProceedings">
              <w:r>
                <w:rPr>
                  <w:rStyle w:val="InternetLink"/>
                  <w:rFonts w:ascii="Times New Roman;Times;serif" w:hAnsi="Times New Roman;Times;serif"/>
                  <w:b w:val="false"/>
                  <w:i w:val="false"/>
                  <w:caps w:val="false"/>
                  <w:smallCaps w:val="false"/>
                  <w:sz w:val="20"/>
                </w:rPr>
                <w:t>Legal Proceedings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63"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Item 1A.</w:t>
              </w:r>
            </w:hyperlink>
          </w:p>
        </w:tc>
        <w:tc>
          <w:tcPr>
            <w:tcW w:w="9080" w:type="dxa"/>
            <w:tcBorders/>
            <w:vAlign w:val="center"/>
          </w:tcPr>
          <w:p>
            <w:pPr>
              <w:pStyle w:val="TableContents"/>
              <w:bidi w:val="0"/>
              <w:spacing w:before="0" w:after="0"/>
              <w:ind w:left="0" w:right="0" w:hanging="0"/>
              <w:jc w:val="left"/>
              <w:rPr/>
            </w:pPr>
            <w:hyperlink w:anchor="Item1ARiskFactors_401633">
              <w:r>
                <w:rPr>
                  <w:rStyle w:val="InternetLink"/>
                  <w:rFonts w:ascii="Times New Roman;Times;serif" w:hAnsi="Times New Roman;Times;serif"/>
                  <w:b w:val="false"/>
                  <w:i w:val="false"/>
                  <w:caps w:val="false"/>
                  <w:smallCaps w:val="false"/>
                  <w:sz w:val="20"/>
                </w:rPr>
                <w:t>Risk Factors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63"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9080"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3"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Item 3.</w:t>
              </w:r>
            </w:hyperlink>
          </w:p>
        </w:tc>
        <w:tc>
          <w:tcPr>
            <w:tcW w:w="9080" w:type="dxa"/>
            <w:tcBorders/>
            <w:vAlign w:val="center"/>
          </w:tcPr>
          <w:p>
            <w:pPr>
              <w:pStyle w:val="TableContents"/>
              <w:bidi w:val="0"/>
              <w:spacing w:before="0" w:after="0"/>
              <w:ind w:left="0" w:right="0" w:hanging="0"/>
              <w:jc w:val="left"/>
              <w:rPr/>
            </w:pPr>
            <w:hyperlink w:anchor="Item3DefaultsUponSeniorSecurities">
              <w:r>
                <w:rPr>
                  <w:rStyle w:val="InternetLink"/>
                  <w:rFonts w:ascii="Times New Roman;Times;serif" w:hAnsi="Times New Roman;Times;serif"/>
                  <w:b w:val="false"/>
                  <w:i w:val="false"/>
                  <w:caps w:val="false"/>
                  <w:smallCaps w:val="false"/>
                  <w:sz w:val="20"/>
                </w:rPr>
                <w:t>Defaults Upon Senior Securities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3"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Item 4.</w:t>
              </w:r>
            </w:hyperlink>
          </w:p>
        </w:tc>
        <w:tc>
          <w:tcPr>
            <w:tcW w:w="9080" w:type="dxa"/>
            <w:tcBorders/>
            <w:shd w:fill="CCEEFF" w:val="clear"/>
            <w:vAlign w:val="center"/>
          </w:tcPr>
          <w:p>
            <w:pPr>
              <w:pStyle w:val="TableContents"/>
              <w:bidi w:val="0"/>
              <w:spacing w:before="0" w:after="0"/>
              <w:ind w:left="0" w:right="0" w:hanging="0"/>
              <w:jc w:val="left"/>
              <w:rPr/>
            </w:pPr>
            <w:hyperlink w:anchor="Item4MineSafetyDisclosures_798178">
              <w:r>
                <w:rPr>
                  <w:rStyle w:val="InternetLink"/>
                  <w:rFonts w:ascii="Times New Roman;Times;serif" w:hAnsi="Times New Roman;Times;serif"/>
                  <w:b w:val="false"/>
                  <w:i w:val="false"/>
                  <w:caps w:val="false"/>
                  <w:smallCaps w:val="false"/>
                  <w:sz w:val="20"/>
                </w:rPr>
                <w:t>Mine Safety Disclosures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3"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Item 5.</w:t>
              </w:r>
            </w:hyperlink>
          </w:p>
        </w:tc>
        <w:tc>
          <w:tcPr>
            <w:tcW w:w="9080" w:type="dxa"/>
            <w:tcBorders/>
            <w:vAlign w:val="center"/>
          </w:tcPr>
          <w:p>
            <w:pPr>
              <w:pStyle w:val="TableContents"/>
              <w:bidi w:val="0"/>
              <w:spacing w:before="0" w:after="0"/>
              <w:ind w:left="0" w:right="0" w:hanging="0"/>
              <w:jc w:val="left"/>
              <w:rPr/>
            </w:pPr>
            <w:hyperlink w:anchor="Item5OtherInformation">
              <w:r>
                <w:rPr>
                  <w:rStyle w:val="InternetLink"/>
                  <w:rFonts w:ascii="Times New Roman;Times;serif" w:hAnsi="Times New Roman;Times;serif"/>
                  <w:b w:val="false"/>
                  <w:i w:val="false"/>
                  <w:caps w:val="false"/>
                  <w:smallCaps w:val="false"/>
                  <w:sz w:val="20"/>
                </w:rPr>
                <w:t>Other Information</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63"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Item 6.</w:t>
              </w:r>
            </w:hyperlink>
          </w:p>
        </w:tc>
        <w:tc>
          <w:tcPr>
            <w:tcW w:w="9080" w:type="dxa"/>
            <w:tcBorders/>
            <w:shd w:fill="CCEEFF" w:val="clear"/>
            <w:vAlign w:val="center"/>
          </w:tcPr>
          <w:p>
            <w:pPr>
              <w:pStyle w:val="TableContents"/>
              <w:bidi w:val="0"/>
              <w:spacing w:before="0" w:after="0"/>
              <w:ind w:left="0" w:right="0" w:hanging="0"/>
              <w:jc w:val="left"/>
              <w:rPr/>
            </w:pPr>
            <w:hyperlink w:anchor="Item6Exhibits">
              <w:r>
                <w:rPr>
                  <w:rStyle w:val="InternetLink"/>
                  <w:rFonts w:ascii="Times New Roman;Times;serif" w:hAnsi="Times New Roman;Times;serif"/>
                  <w:b w:val="false"/>
                  <w:i w:val="false"/>
                  <w:caps w:val="false"/>
                  <w:smallCaps w:val="false"/>
                  <w:sz w:val="20"/>
                </w:rPr>
                <w:t>Exhibits</w:t>
              </w:r>
            </w:hyperlink>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763" w:type="dxa"/>
            <w:tcBorders/>
            <w:vAlign w:val="center"/>
          </w:tcPr>
          <w:p>
            <w:pPr>
              <w:pStyle w:val="TableContents"/>
              <w:bidi w:val="0"/>
              <w:spacing w:before="0" w:after="0"/>
              <w:ind w:left="0" w:right="0" w:hanging="0"/>
              <w:jc w:val="left"/>
              <w:rPr/>
            </w:pPr>
            <w:r>
              <w:rPr/>
              <w:t>​</w:t>
            </w:r>
          </w:p>
        </w:tc>
        <w:tc>
          <w:tcPr>
            <w:tcW w:w="9080" w:type="dxa"/>
            <w:tcBorders/>
            <w:vAlign w:val="center"/>
          </w:tcPr>
          <w:p>
            <w:pPr>
              <w:pStyle w:val="TableContents"/>
              <w:bidi w:val="0"/>
              <w:spacing w:before="0" w:after="0"/>
              <w:ind w:left="0" w:right="0" w:hanging="0"/>
              <w:jc w:val="left"/>
              <w:rPr/>
            </w:pPr>
            <w:hyperlink w:anchor="SIGNATURES_679961">
              <w:r>
                <w:rPr>
                  <w:rStyle w:val="InternetLink"/>
                  <w:rFonts w:ascii="Times New Roman;Times;serif" w:hAnsi="Times New Roman;Times;serif"/>
                  <w:b w:val="false"/>
                  <w:i w:val="false"/>
                  <w:caps w:val="false"/>
                  <w:smallCaps w:val="false"/>
                  <w:sz w:val="20"/>
                </w:rPr>
                <w:t>Signatures</w:t>
              </w:r>
            </w:hyperlink>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We use the terms, “EPM,</w:t>
      </w:r>
      <w:r>
        <w:rPr>
          <w:rFonts w:ascii="Times New Roman;Times;serif" w:hAnsi="Times New Roman;Times;serif"/>
          <w:sz w:val="20"/>
        </w:rPr>
        <w:t>” “</w:t>
      </w:r>
      <w:r>
        <w:rPr>
          <w:rFonts w:ascii="Times New Roman;Times;serif" w:hAnsi="Times New Roman;Times;serif"/>
          <w:i/>
          <w:sz w:val="20"/>
        </w:rPr>
        <w:t>Company,</w:t>
      </w:r>
      <w:r>
        <w:rPr>
          <w:rFonts w:ascii="Times New Roman;Times;serif" w:hAnsi="Times New Roman;Times;serif"/>
          <w:sz w:val="20"/>
        </w:rPr>
        <w:t>” “</w:t>
      </w:r>
      <w:r>
        <w:rPr>
          <w:rFonts w:ascii="Times New Roman;Times;serif" w:hAnsi="Times New Roman;Times;serif"/>
          <w:i/>
          <w:sz w:val="20"/>
        </w:rPr>
        <w:t>we,</w:t>
      </w:r>
      <w:r>
        <w:rPr>
          <w:rFonts w:ascii="Times New Roman;Times;serif" w:hAnsi="Times New Roman;Times;serif"/>
          <w:sz w:val="20"/>
        </w:rPr>
        <w:t>” “</w:t>
      </w:r>
      <w:r>
        <w:rPr>
          <w:rFonts w:ascii="Times New Roman;Times;serif" w:hAnsi="Times New Roman;Times;serif"/>
          <w:i/>
          <w:sz w:val="20"/>
        </w:rPr>
        <w:t>us,</w:t>
      </w:r>
      <w:r>
        <w:rPr>
          <w:rFonts w:ascii="Times New Roman;Times;serif" w:hAnsi="Times New Roman;Times;serif"/>
          <w:sz w:val="20"/>
        </w:rPr>
        <w:t xml:space="preserve">” </w:t>
      </w:r>
      <w:r>
        <w:rPr>
          <w:rFonts w:ascii="Times New Roman;Times;serif" w:hAnsi="Times New Roman;Times;serif"/>
          <w:i/>
          <w:sz w:val="20"/>
        </w:rPr>
        <w:t>and “our</w:t>
      </w:r>
      <w:r>
        <w:rPr>
          <w:rFonts w:ascii="Times New Roman;Times;serif" w:hAnsi="Times New Roman;Times;serif"/>
          <w:sz w:val="20"/>
        </w:rPr>
        <w:t xml:space="preserve">” </w:t>
      </w:r>
      <w:r>
        <w:rPr>
          <w:rFonts w:ascii="Times New Roman;Times;serif" w:hAnsi="Times New Roman;Times;serif"/>
          <w:i/>
          <w:sz w:val="20"/>
        </w:rPr>
        <w:t>to refer to Evolution Petroleum Corporation, and unless the context otherwise requires, its wholly-owned subsidiaries.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FORWARDLOOKINGSTATEMENTS_262188"/>
      <w:bookmarkStart w:id="44" w:name="_361cd27b_a5cb_4e92_84d2_de9c65ce1e77"/>
      <w:bookmarkEnd w:id="43"/>
      <w:bookmarkEnd w:id="44"/>
      <w:r>
        <w:rPr>
          <w:rFonts w:ascii="Times New Roman;Times;serif" w:hAnsi="Times New Roman;Times;serif"/>
          <w:b/>
          <w:sz w:val="20"/>
        </w:rPr>
        <w:t>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This Form 10-Q and the information referenced herein contains forward-looking statements within the meaning of the Private Securities Litigation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 </w:t>
      </w:r>
    </w:p>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expectations of plans, strategies and objectives, including anticipated development activity and capital spending;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capital allocation strategy, capital structure, anticipated sources of funding, growth in long-term shareholder value and ability to preserve balance sheet strength; </w:t>
            </w:r>
          </w:p>
        </w:tc>
      </w:tr>
    </w:tbl>
    <w:tbl>
      <w:tblPr>
        <w:tblW w:w="9411" w:type="dxa"/>
        <w:jc w:val="left"/>
        <w:tblInd w:w="0" w:type="dxa"/>
        <w:tblLayout w:type="fixed"/>
        <w:tblCellMar>
          <w:top w:w="28" w:type="dxa"/>
          <w:left w:w="28" w:type="dxa"/>
          <w:bottom w:w="28" w:type="dxa"/>
          <w:right w:w="28" w:type="dxa"/>
        </w:tblCellMar>
      </w:tblPr>
      <w:tblGrid>
        <w:gridCol w:w="124"/>
        <w:gridCol w:w="256"/>
        <w:gridCol w:w="9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complete future acquisitions and the need for additional capital to complete future acquisitions;</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benefits of our multi-basin portfolio, including operational and commodity flexibility; </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maximize cash flow and the application of excess cash flows to pay dividends; </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natural gas liquids (“NGLs”) production and commodity mix; </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oil, natural gas and NGL prices; </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drilling and completions activity;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drilling and operational risks by our third-party operators, including accidents, equipment failures, fires, and releases of toxic or hazardous materials;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estimates of our oil, natural gas and NGL reserves and recoverable quantities;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the availability of other sources of liquidity to meet financial obligations throughout commodity price cycles; </w:t>
            </w:r>
          </w:p>
        </w:tc>
      </w:tr>
    </w:tbl>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obtain funding based on environmental, social, and corporate governance performance;</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interest expense; </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debt and financial ratios, finance growth and comply with financial covenants;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implementation and outcomes of risk management programs, including exposure to commodity price and interest rate fluctuations, the volume of oil and natural gas production hedged, and the markets or physical sales locations hedged; </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possible impact of changes in federal, state, provincial and local, rules and regulations; </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compliance with current or proposed environmental requirements, including the costs thereof; </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greenhouse gas (“GHG”) emissions limitations and renewable energy incentives;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adequacy of provisions for abandonment and site reclamation costs; </w:t>
            </w:r>
          </w:p>
        </w:tc>
      </w:tr>
    </w:tbl>
    <w:tbl>
      <w:tblPr>
        <w:tblW w:w="9096" w:type="dxa"/>
        <w:jc w:val="left"/>
        <w:tblInd w:w="0" w:type="dxa"/>
        <w:tblLayout w:type="fixed"/>
        <w:tblCellMar>
          <w:top w:w="28" w:type="dxa"/>
          <w:left w:w="28" w:type="dxa"/>
          <w:bottom w:w="28" w:type="dxa"/>
          <w:right w:w="28" w:type="dxa"/>
        </w:tblCellMar>
      </w:tblPr>
      <w:tblGrid>
        <w:gridCol w:w="124"/>
        <w:gridCol w:w="256"/>
        <w:gridCol w:w="8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operational and financial flexibility, discipline and ability to respond to evolving market conditions; </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declaration and payment of future dividends and any anticipated repurchase of our outstanding common shares; </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adequacy of our provision for taxes and legal claims;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cost inflation and expected cost structures, including expected operating, transportation, processing and labor expenses; </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competitiveness relative to our peers, including with respect to capital, materials, people, assets and production; </w:t>
            </w:r>
          </w:p>
        </w:tc>
      </w:tr>
    </w:tbl>
    <w:tbl>
      <w:tblPr>
        <w:tblW w:w="7551" w:type="dxa"/>
        <w:jc w:val="left"/>
        <w:tblInd w:w="0" w:type="dxa"/>
        <w:tblLayout w:type="fixed"/>
        <w:tblCellMar>
          <w:top w:w="28" w:type="dxa"/>
          <w:left w:w="28" w:type="dxa"/>
          <w:bottom w:w="28" w:type="dxa"/>
          <w:right w:w="28" w:type="dxa"/>
        </w:tblCellMar>
      </w:tblPr>
      <w:tblGrid>
        <w:gridCol w:w="124"/>
        <w:gridCol w:w="256"/>
        <w:gridCol w:w="7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oil, natural gas and NGL inventories and global demand for oil, natural gas and NGLs;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outlook of the oil and natural gas industry generally, including impacts from changes to the geopolitical environment;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weather events;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staffing levels;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anticipated payments related to our commitments, obligations and contingencies, and the ability to satisfy the same; and </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impact of accounting and tax pronouncements, rule changes and standards.</w:t>
            </w:r>
          </w:p>
        </w:tc>
      </w:tr>
    </w:tbl>
    <w:p>
      <w:pPr>
        <w:pStyle w:val="TextBody"/>
        <w:bidi w:val="0"/>
        <w:spacing w:before="0" w:after="240"/>
        <w:ind w:left="108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 </w:t>
      </w:r>
    </w:p>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future commodity prices and basis differentials; </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access credit facilities and shelf prospectuses; </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assumptions contained in our corporate guidance; </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attractive commodity or financial hedges and the enforceability of risk management programs;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that counterparties will fulfill their obligations pursuant to gathering, processing, transportation and marketing agreements; </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access to adequate gathering, transportation, processing and storage facilities; </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assumed tax, royalty and regulatory regimes;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expectations and projections made in light of, and generally consistent with, our historical experience and our perception of historical industry trends; and </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assumptions contained herein.</w:t>
            </w:r>
          </w:p>
        </w:tc>
      </w:tr>
    </w:tbl>
    <w:p>
      <w:pPr>
        <w:pStyle w:val="TextBody"/>
        <w:bidi w:val="0"/>
        <w:spacing w:before="0" w:after="240"/>
        <w:ind w:left="108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third-party operating risks and other risk factors as described under the </w:t>
      </w:r>
      <w:r>
        <w:rPr>
          <w:rFonts w:ascii="Times New Roman;Times;serif" w:hAnsi="Times New Roman;Times;serif"/>
          <w:i/>
          <w:sz w:val="20"/>
        </w:rPr>
        <w:t>Risk Factors</w:t>
      </w:r>
      <w:r>
        <w:rPr>
          <w:rFonts w:ascii="Times New Roman;Times;serif" w:hAnsi="Times New Roman;Times;serif"/>
          <w:sz w:val="20"/>
        </w:rPr>
        <w:t xml:space="preserve"> section of our previously filed Annual Report on Form 10-K for the fiscal year ended June 30, 2025, as well as the other disclosures contained herein, therein, and as also may be described from time to time in future reports we file with the Securities and Exchange Commission (“SEC”). Readers should also consider such information in conjunction with our condensed consolidated financial statements and related notes and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in this report. There also may be other factors that we cannot anticipate or that are not described in this report, generally because we do not currently perceive them to be material. Such factors could cause results to differ materially from our expectations.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Forward-looking statements speak only as of the date they are made, and we do not undertake to update these statements other than as required by law. Readers are advised, however, to review any further disclosures we make on related subjects in our filings with the SEC.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5" w:name="Part_I_Financial_Information"/>
      <w:bookmarkStart w:id="46" w:name="_f4b2ae62_4df9_446a_b7fb_dcdcfc4679f6"/>
      <w:bookmarkEnd w:id="45"/>
      <w:bookmarkEnd w:id="46"/>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Condensed Consolidated Financial Statements (Unaudited)</w:t>
      </w:r>
    </w:p>
    <w:p>
      <w:pPr>
        <w:pStyle w:val="TextBody"/>
        <w:bidi w:val="0"/>
        <w:spacing w:before="0" w:after="0"/>
        <w:ind w:left="0" w:right="0" w:hanging="0"/>
        <w:jc w:val="left"/>
        <w:rPr/>
      </w:pPr>
      <w:bookmarkStart w:id="47" w:name="Item_1_Condensed_Consolidated_Financial"/>
      <w:bookmarkEnd w:id="47"/>
      <w:r>
        <w:rPr/>
        <w:t>​</w:t>
      </w:r>
    </w:p>
    <w:p>
      <w:pPr>
        <w:pStyle w:val="TextBody"/>
        <w:bidi w:val="0"/>
        <w:spacing w:before="0" w:after="120"/>
        <w:ind w:left="0" w:right="0" w:hanging="0"/>
        <w:jc w:val="center"/>
        <w:rPr>
          <w:rFonts w:ascii="Times New Roman;Times;serif" w:hAnsi="Times New Roman;Times;serif"/>
          <w:b/>
          <w:sz w:val="20"/>
        </w:rPr>
      </w:pPr>
      <w:bookmarkStart w:id="48" w:name="ConsolidatedCondensedBalanceSheets"/>
      <w:bookmarkStart w:id="49" w:name="_1dd8b5da_ee37_4a8e_88b7_de36673395a6"/>
      <w:bookmarkEnd w:id="48"/>
      <w:bookmarkEnd w:id="4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0" w:name="Tc_83s4VEVAq0yj8lPVVk2GIw_41_5"/>
      <w:bookmarkStart w:id="51" w:name="Tc_GhDmTflxE0CnM5wVXF37_g_41_2"/>
      <w:bookmarkStart w:id="52" w:name="Tc_pN5Gmq9XuEGqJKcmaF5dwA_41_0"/>
      <w:bookmarkStart w:id="53" w:name="Tc_6PlZhddJmUirg471tyILiw_40_0"/>
      <w:bookmarkStart w:id="54" w:name="Tc_FoF7vyxR3UOpedtMqG__lw_39_0"/>
      <w:bookmarkStart w:id="55" w:name="Tc_8bBV36VHCkqq339M4fVktw_38_0"/>
      <w:bookmarkStart w:id="56" w:name="Tc_reNHzjgcXU6TuHe5_Lt-9A_37_0"/>
      <w:bookmarkStart w:id="57" w:name="Tc_iskRn3S_MEiyxQKwLaE9MA_36_0"/>
      <w:bookmarkStart w:id="58" w:name="Tc_L3BSWvHIiU-Oy-BoYTFAzA_35_0"/>
      <w:bookmarkStart w:id="59" w:name="Tc_t2I2u85z40CwQ_ZGNWwhVw_34_0"/>
      <w:bookmarkStart w:id="60" w:name="Tc_8fO8nKLs8Uu0vBEQoSlPPA_33_0"/>
      <w:bookmarkStart w:id="61" w:name="Tc_zeqcjJRQVEaa6GQ_-a77Jw_32_0"/>
      <w:bookmarkStart w:id="62" w:name="Tc_MVvcypgNvkGI5XKsCf697g_31_6"/>
      <w:bookmarkStart w:id="63" w:name="Tc_5Q2h2uOs80KyY7aDQUA64A_31_0"/>
      <w:bookmarkStart w:id="64" w:name="Tc_TJp1mnv1qE2XCO-08fO_vA_30_0"/>
      <w:bookmarkStart w:id="65" w:name="Tc_VUmMiyxQg0K98JbIQaVe2w_29_0"/>
      <w:bookmarkStart w:id="66" w:name="Tc_DPGJWd6rxUuPy6foFyLsag_28_0"/>
      <w:bookmarkStart w:id="67" w:name="Tc_G7HYh78ZTk-02-5i07d6kA_27_0"/>
      <w:bookmarkStart w:id="68" w:name="Tc_p2xjutY96kehqaLPAqRSzQ_26_0"/>
      <w:bookmarkStart w:id="69" w:name="Tc_Jy0q4CA6zUaLayof0pFMLw_25_0"/>
      <w:bookmarkStart w:id="70" w:name="Tc_7U_kqqz-4U-ffGhobCavbg_24_6"/>
      <w:bookmarkStart w:id="71" w:name="Tc_QPXZw_maXEWdoiMcyw7lcQ_24_0"/>
      <w:bookmarkStart w:id="72" w:name="Tc_uMPLAzV-QUmhjXzuLHOo5w_23_0"/>
      <w:bookmarkStart w:id="73" w:name="Tc_Z-3vna6t9kS3GfqievKSQA_22_0"/>
      <w:bookmarkStart w:id="74" w:name="Tc_MFmyvswMfEOc1DNm_vD6EA_21_5"/>
      <w:bookmarkStart w:id="75" w:name="Tc_FAQkMDGxaEKk7-RLO6Subw_21_2"/>
      <w:bookmarkStart w:id="76" w:name="Tc_N6296vhtKEGrD-rBLMoeUw_21_0"/>
      <w:bookmarkStart w:id="77" w:name="Tc_Fzpc0mKIpU61av6EAm-1oQ_20_0"/>
      <w:bookmarkStart w:id="78" w:name="Tc_mZfiLhsCeUSobRN_RIbmug_19_0"/>
      <w:bookmarkStart w:id="79" w:name="Tc_pAWFU9xsXkOVYqxcOSL0Rg_18_5"/>
      <w:bookmarkStart w:id="80" w:name="Tc_x-WRQaNpiUOmU-xpZo9KRg_18_2"/>
      <w:bookmarkStart w:id="81" w:name="Tc_CSMRCBeRaUOvnfcnh708Pg_18_0"/>
      <w:bookmarkStart w:id="82" w:name="Tc_Wx0WeBonRUWjD8Nf1wZiBg_17_0"/>
      <w:bookmarkStart w:id="83" w:name="Tc_PhzoODGMKEqpomIvfS6FSQ_16_0"/>
      <w:bookmarkStart w:id="84" w:name="Tc_iqvdNTAd7UCvAZKJSPWx1Q_15_0"/>
      <w:bookmarkStart w:id="85" w:name="Tc_6cWBfjhTREihb_UH-SL0vQ_13_0"/>
      <w:bookmarkStart w:id="86" w:name="Tc_LU5jK78tCUudbUlTX5kcUw_12_6"/>
      <w:bookmarkStart w:id="87" w:name="Tc_nY0RPDmWbUuuA7jUKYsXhQ_12_0"/>
      <w:bookmarkStart w:id="88" w:name="Tc_iS4JqIjmtUKnXa9KHNB5Ew_11_0"/>
      <w:bookmarkStart w:id="89" w:name="Tc_0Y3DKxgxvUCNZrShuSj3tw_10_0"/>
      <w:bookmarkStart w:id="90" w:name="Tc_2ApGw_oKx0C9TpLlhxI2DA_9_0"/>
      <w:bookmarkStart w:id="91" w:name="Tc__NL7J0GNqEGyOicZBCrMGw_8_0"/>
      <w:bookmarkStart w:id="92" w:name="Tc_8Vy0XluPb0Wd9Wgukci8wQ_7_0"/>
      <w:bookmarkStart w:id="93" w:name="Tc_n5qK4j8YKUe2lM56bdMF3w_6_0"/>
      <w:bookmarkStart w:id="94" w:name="Tc_tPH5k8fMrkuBTS91Akf3xw_5_0"/>
      <w:bookmarkStart w:id="95" w:name="Tc_XfbY6oZWWki9T12fCJmbfQ_4_5"/>
      <w:bookmarkStart w:id="96" w:name="Tc_nXWf12QKzkqx7j9o9-XvBg_4_2"/>
      <w:bookmarkStart w:id="97" w:name="Tc_xLOmAKe9eEa5-fMCz7QD8g_4_0"/>
      <w:bookmarkStart w:id="98" w:name="Tc_P1FrvFrNTUmCso0_293Qag_3_0"/>
      <w:bookmarkStart w:id="99" w:name="Tc_xAxEQSpDH06yQJvZCv_FjQ_2_0"/>
      <w:bookmarkStart w:id="100" w:name="Tc_QzPUaEommU-Q8bc_CqBW2g_1_5"/>
      <w:bookmarkStart w:id="101" w:name="Tc_g2FcLQm9cUam0Omo-PfBYw_1_2"/>
      <w:bookmarkStart w:id="102" w:name="_02e7d75a_4f6f_4234_a115_8b95b7bce8cd"/>
      <w:bookmarkStart w:id="103" w:name="Tc_83s4VEVAq0yj8lPVVk2GIw_41_5"/>
      <w:bookmarkStart w:id="104" w:name="Tc_GhDmTflxE0CnM5wVXF37_g_41_2"/>
      <w:bookmarkStart w:id="105" w:name="Tc_pN5Gmq9XuEGqJKcmaF5dwA_41_0"/>
      <w:bookmarkStart w:id="106" w:name="Tc_6PlZhddJmUirg471tyILiw_40_0"/>
      <w:bookmarkStart w:id="107" w:name="Tc_FoF7vyxR3UOpedtMqG__lw_39_0"/>
      <w:bookmarkStart w:id="108" w:name="Tc_8bBV36VHCkqq339M4fVktw_38_0"/>
      <w:bookmarkStart w:id="109" w:name="Tc_reNHzjgcXU6TuHe5_Lt-9A_37_0"/>
      <w:bookmarkStart w:id="110" w:name="Tc_iskRn3S_MEiyxQKwLaE9MA_36_0"/>
      <w:bookmarkStart w:id="111" w:name="Tc_L3BSWvHIiU-Oy-BoYTFAzA_35_0"/>
      <w:bookmarkStart w:id="112" w:name="Tc_t2I2u85z40CwQ_ZGNWwhVw_34_0"/>
      <w:bookmarkStart w:id="113" w:name="Tc_8fO8nKLs8Uu0vBEQoSlPPA_33_0"/>
      <w:bookmarkStart w:id="114" w:name="Tc_zeqcjJRQVEaa6GQ_-a77Jw_32_0"/>
      <w:bookmarkStart w:id="115" w:name="Tc_MVvcypgNvkGI5XKsCf697g_31_6"/>
      <w:bookmarkStart w:id="116" w:name="Tc_5Q2h2uOs80KyY7aDQUA64A_31_0"/>
      <w:bookmarkStart w:id="117" w:name="Tc_TJp1mnv1qE2XCO-08fO_vA_30_0"/>
      <w:bookmarkStart w:id="118" w:name="Tc_VUmMiyxQg0K98JbIQaVe2w_29_0"/>
      <w:bookmarkStart w:id="119" w:name="Tc_DPGJWd6rxUuPy6foFyLsag_28_0"/>
      <w:bookmarkStart w:id="120" w:name="Tc_G7HYh78ZTk-02-5i07d6kA_27_0"/>
      <w:bookmarkStart w:id="121" w:name="Tc_p2xjutY96kehqaLPAqRSzQ_26_0"/>
      <w:bookmarkStart w:id="122" w:name="Tc_Jy0q4CA6zUaLayof0pFMLw_25_0"/>
      <w:bookmarkStart w:id="123" w:name="Tc_7U_kqqz-4U-ffGhobCavbg_24_6"/>
      <w:bookmarkStart w:id="124" w:name="Tc_QPXZw_maXEWdoiMcyw7lcQ_24_0"/>
      <w:bookmarkStart w:id="125" w:name="Tc_uMPLAzV-QUmhjXzuLHOo5w_23_0"/>
      <w:bookmarkStart w:id="126" w:name="Tc_Z-3vna6t9kS3GfqievKSQA_22_0"/>
      <w:bookmarkStart w:id="127" w:name="Tc_MFmyvswMfEOc1DNm_vD6EA_21_5"/>
      <w:bookmarkStart w:id="128" w:name="Tc_FAQkMDGxaEKk7-RLO6Subw_21_2"/>
      <w:bookmarkStart w:id="129" w:name="Tc_N6296vhtKEGrD-rBLMoeUw_21_0"/>
      <w:bookmarkStart w:id="130" w:name="Tc_Fzpc0mKIpU61av6EAm-1oQ_20_0"/>
      <w:bookmarkStart w:id="131" w:name="Tc_mZfiLhsCeUSobRN_RIbmug_19_0"/>
      <w:bookmarkStart w:id="132" w:name="Tc_pAWFU9xsXkOVYqxcOSL0Rg_18_5"/>
      <w:bookmarkStart w:id="133" w:name="Tc_x-WRQaNpiUOmU-xpZo9KRg_18_2"/>
      <w:bookmarkStart w:id="134" w:name="Tc_CSMRCBeRaUOvnfcnh708Pg_18_0"/>
      <w:bookmarkStart w:id="135" w:name="Tc_Wx0WeBonRUWjD8Nf1wZiBg_17_0"/>
      <w:bookmarkStart w:id="136" w:name="Tc_PhzoODGMKEqpomIvfS6FSQ_16_0"/>
      <w:bookmarkStart w:id="137" w:name="Tc_iqvdNTAd7UCvAZKJSPWx1Q_15_0"/>
      <w:bookmarkStart w:id="138" w:name="Tc_6cWBfjhTREihb_UH-SL0vQ_13_0"/>
      <w:bookmarkStart w:id="139" w:name="Tc_LU5jK78tCUudbUlTX5kcUw_12_6"/>
      <w:bookmarkStart w:id="140" w:name="Tc_nY0RPDmWbUuuA7jUKYsXhQ_12_0"/>
      <w:bookmarkStart w:id="141" w:name="Tc_iS4JqIjmtUKnXa9KHNB5Ew_11_0"/>
      <w:bookmarkStart w:id="142" w:name="Tc_0Y3DKxgxvUCNZrShuSj3tw_10_0"/>
      <w:bookmarkStart w:id="143" w:name="Tc_2ApGw_oKx0C9TpLlhxI2DA_9_0"/>
      <w:bookmarkStart w:id="144" w:name="Tc__NL7J0GNqEGyOicZBCrMGw_8_0"/>
      <w:bookmarkStart w:id="145" w:name="Tc_8Vy0XluPb0Wd9Wgukci8wQ_7_0"/>
      <w:bookmarkStart w:id="146" w:name="Tc_n5qK4j8YKUe2lM56bdMF3w_6_0"/>
      <w:bookmarkStart w:id="147" w:name="Tc_tPH5k8fMrkuBTS91Akf3xw_5_0"/>
      <w:bookmarkStart w:id="148" w:name="Tc_XfbY6oZWWki9T12fCJmbfQ_4_5"/>
      <w:bookmarkStart w:id="149" w:name="Tc_nXWf12QKzkqx7j9o9-XvBg_4_2"/>
      <w:bookmarkStart w:id="150" w:name="Tc_xLOmAKe9eEa5-fMCz7QD8g_4_0"/>
      <w:bookmarkStart w:id="151" w:name="Tc_P1FrvFrNTUmCso0_293Qag_3_0"/>
      <w:bookmarkStart w:id="152" w:name="Tc_xAxEQSpDH06yQJvZCv_FjQ_2_0"/>
      <w:bookmarkStart w:id="153" w:name="Tc_QzPUaEommU-Q8bc_CqBW2g_1_5"/>
      <w:bookmarkStart w:id="154" w:name="Tc_g2FcLQm9cUam0Omo-PfBYw_1_2"/>
      <w:bookmarkStart w:id="155" w:name="_02e7d75a_4f6f_4234_a115_8b95b7bce8cd"/>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tbl>
      <w:tblPr>
        <w:tblW w:w="8765" w:type="dxa"/>
        <w:jc w:val="left"/>
        <w:tblInd w:w="0" w:type="dxa"/>
        <w:tblLayout w:type="fixed"/>
        <w:tblCellMar>
          <w:top w:w="0" w:type="dxa"/>
          <w:left w:w="0" w:type="dxa"/>
          <w:bottom w:w="0" w:type="dxa"/>
          <w:right w:w="0" w:type="dxa"/>
        </w:tblCellMar>
      </w:tblPr>
      <w:tblGrid>
        <w:gridCol w:w="5581"/>
        <w:gridCol w:w="346"/>
        <w:gridCol w:w="285"/>
        <w:gridCol w:w="1006"/>
        <w:gridCol w:w="346"/>
        <w:gridCol w:w="237"/>
        <w:gridCol w:w="964"/>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543935" cy="175260"/>
                      <wp:effectExtent l="0" t="0" r="0" b="0"/>
                      <wp:wrapNone/>
                      <wp:docPr id="17" name="Frame16"/>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80975" cy="175260"/>
                      <wp:effectExtent l="0" t="0" r="0" b="0"/>
                      <wp:wrapNone/>
                      <wp:docPr id="19" name="Frame18"/>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38810" cy="175260"/>
                      <wp:effectExtent l="0" t="0" r="0" b="0"/>
                      <wp:wrapNone/>
                      <wp:docPr id="20" name="Frame19"/>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50495" cy="175260"/>
                      <wp:effectExtent l="0" t="0" r="0" b="0"/>
                      <wp:wrapNone/>
                      <wp:docPr id="22" name="Frame2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12140" cy="175260"/>
                      <wp:effectExtent l="0" t="0" r="0" b="0"/>
                      <wp:wrapNone/>
                      <wp:docPr id="23" name="Frame22"/>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2026</w:t>
            </w:r>
          </w:p>
        </w:tc>
        <w:tc>
          <w:tcPr>
            <w:tcW w:w="346" w:type="dxa"/>
            <w:tcBorders/>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55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left"/>
              <w:rPr/>
            </w:pPr>
            <w:r>
              <w:rPr/>
              <w:t> </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2,616</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9,506</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10,804</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2,428</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1,777</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1,983</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2,287</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16,533</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17,375</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 of depletion, depreciation, and impairment</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properties—full-cost method of accounting:</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subject to amortization, net</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147,998</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142,248</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not subject to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property and equipment, net</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151,802</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142,248</w:t>
            </w:r>
          </w:p>
        </w:tc>
      </w:tr>
      <w:tr>
        <w:trPr/>
        <w:tc>
          <w:tcPr>
            <w:tcW w:w="55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noncurrent assets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 net</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791</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169,760</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160,252</w:t>
            </w:r>
          </w:p>
        </w:tc>
      </w:tr>
      <w:tr>
        <w:trPr/>
        <w:tc>
          <w:tcPr>
            <w:tcW w:w="55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12,588</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12,901</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liabilities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5,619</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6,909</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8,514</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1,577</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27,146</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21,387</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 term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Senior secured credit facility</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56,500</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37,500</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3,829</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6,234</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22,700</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21,535</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808</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1,783</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111,352</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88,439</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10)</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par value $0.001; 100,000,000</w:t>
            </w:r>
            <w:r>
              <w:rPr>
                <w:rFonts w:ascii="Times New Roman;Times;serif" w:hAnsi="Times New Roman;Times;serif"/>
                <w:sz w:val="20"/>
              </w:rPr>
              <w:t xml:space="preserve"> </w:t>
            </w:r>
            <w:r>
              <w:rPr>
                <w:rFonts w:ascii="Times New Roman;Times;serif" w:hAnsi="Times New Roman;Times;serif"/>
                <w:sz w:val="18"/>
              </w:rPr>
              <w:t xml:space="preserve">shares authorized: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and</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35,821,410</w:t>
            </w:r>
            <w:r>
              <w:rPr>
                <w:rFonts w:ascii="Times New Roman;Times;serif" w:hAnsi="Times New Roman;Times;serif"/>
                <w:sz w:val="20"/>
              </w:rPr>
              <w:t xml:space="preserve"> </w:t>
            </w:r>
            <w:r>
              <w:rPr>
                <w:rFonts w:ascii="Times New Roman;Times;serif" w:hAnsi="Times New Roman;Times;serif"/>
                <w:sz w:val="18"/>
              </w:rPr>
              <w:t>and 34,337,188</w:t>
            </w:r>
            <w:r>
              <w:rPr>
                <w:rFonts w:ascii="Times New Roman;Times;serif" w:hAnsi="Times New Roman;Times;serif"/>
                <w:sz w:val="20"/>
              </w:rPr>
              <w:t xml:space="preserve"> </w:t>
            </w:r>
            <w:r>
              <w:rPr>
                <w:rFonts w:ascii="Times New Roman;Times;serif" w:hAnsi="Times New Roman;Times;serif"/>
                <w:sz w:val="18"/>
              </w:rPr>
              <w:t>shares as of March 31, 2026</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pPr>
            <w:r>
              <w:rPr/>
              <w:t>​</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and June 30, 2025, respectively</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52,899</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46,650</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5,473</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25,129</w:t>
            </w:r>
          </w:p>
        </w:tc>
      </w:tr>
      <w:tr>
        <w:trPr/>
        <w:tc>
          <w:tcPr>
            <w:tcW w:w="558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58,408</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71,813</w:t>
            </w:r>
          </w:p>
        </w:tc>
      </w:tr>
      <w:tr>
        <w:trPr/>
        <w:tc>
          <w:tcPr>
            <w:tcW w:w="558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169,760</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160,252</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56" w:name="ConsolidatedCondensedStatementsofOperati"/>
      <w:bookmarkStart w:id="157" w:name="_edf5be6c_9dcc_4508_bc16_cf05b2f760e4"/>
      <w:bookmarkStart w:id="158" w:name="_contentSection_527b9424_c234_4276_b66a_"/>
      <w:bookmarkEnd w:id="156"/>
      <w:bookmarkEnd w:id="157"/>
      <w:bookmarkEnd w:id="158"/>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9" w:name="Tc_-dh1NGFbAEGlSa9co69a2g_27_0"/>
      <w:bookmarkStart w:id="160" w:name="Tc_HDyOfjcVUU-lx2GXNkysRw_26_0"/>
      <w:bookmarkStart w:id="161" w:name="Tc_Ni7KEFpHk0OrtAt-KPVtUQ_25_0"/>
      <w:bookmarkStart w:id="162" w:name="Tc_f6pBblMFtEqE2uSdxye79w_24_11"/>
      <w:bookmarkStart w:id="163" w:name="Tc_CFzjxpMQb0Oq6_sOCWac3g_24_8"/>
      <w:bookmarkStart w:id="164" w:name="Tc_A9L-e0U8mkaLqDpVhf2hbQ_24_5"/>
      <w:bookmarkStart w:id="165" w:name="Tc_cW_p20T_vUqx4ystLTLvMw_24_2"/>
      <w:bookmarkStart w:id="166" w:name="Tc_qnQQ9_5uAEqcd_CvzzHCSA_24_0"/>
      <w:bookmarkStart w:id="167" w:name="Tc_g9fkjO2zi0yioqQFoPTeVw_23_11"/>
      <w:bookmarkStart w:id="168" w:name="Tc_YBR_gEKlfU-vyWSpCQaUdw_23_8"/>
      <w:bookmarkStart w:id="169" w:name="Tc_tENnCrd0jEGmBo0PEENofg_23_5"/>
      <w:bookmarkStart w:id="170" w:name="Tc_wd0-U0ILMkyIbvPRORBqiA_23_2"/>
      <w:bookmarkStart w:id="171" w:name="Tc_kz6hGoH5Q0SxuZbXJPdeDg_23_0"/>
      <w:bookmarkStart w:id="172" w:name="Tc_A_dXO7u8Z0uS_aF13d1vFg_22_0"/>
      <w:bookmarkStart w:id="173" w:name="Tc_44L2Zm2h9k2WXJV1vRdgKw_21_11"/>
      <w:bookmarkStart w:id="174" w:name="Tc_P9QdDvHdtkmyIGYYcsbddA_21_8"/>
      <w:bookmarkStart w:id="175" w:name="Tc_0V4OQk1hPkGgExhHaxjC0g_21_5"/>
      <w:bookmarkStart w:id="176" w:name="Tc_gaAUpo4LUU6qu9Mk-NYleg_21_2"/>
      <w:bookmarkStart w:id="177" w:name="Tc_LhYR9P_3_0iWLwR7ZU2gnA_21_0"/>
      <w:bookmarkStart w:id="178" w:name="Tc_wwQzwB-hpEef2FtrgQfpvA_20_0"/>
      <w:bookmarkStart w:id="179" w:name="Tc_DBPcUI0vAEKrE9t07R8eMw_19_0"/>
      <w:bookmarkStart w:id="180" w:name="Tc_N3XXKQr3DEi-m3ogQyFD1Q_18_0"/>
      <w:bookmarkStart w:id="181" w:name="Tc_Ul--9joPwUmffL7vYlxXdQ_17_0"/>
      <w:bookmarkStart w:id="182" w:name="Tc_9_heZw0lWkmoxhll9zrj9Q_16_0"/>
      <w:bookmarkStart w:id="183" w:name="Tc_W_QOQMj1O0Wsclb2jtP0Xg_15_0"/>
      <w:bookmarkStart w:id="184" w:name="Tc_CW6uukNRkk--l84TrbNXTA_14_0"/>
      <w:bookmarkStart w:id="185" w:name="Tc_q-6V2iJoLEOJnF6b2rjFIw_13_0"/>
      <w:bookmarkStart w:id="186" w:name="Tc_eNhBSlHuUkyDagQhuIwJpA_12_0"/>
      <w:bookmarkStart w:id="187" w:name="Tc_0VaeVHddaUGg_ChxLMuw7g_11_0"/>
      <w:bookmarkStart w:id="188" w:name="Tc_rxU2lGauBEWT2vJ8eK9Xpg_10_0"/>
      <w:bookmarkStart w:id="189" w:name="Tc_INTX5XM6ykKgDpsgCfcHaQ_9_0"/>
      <w:bookmarkStart w:id="190" w:name="Tc_Y9s3GfFo2E2HdkI49U3CPw_8_0"/>
      <w:bookmarkStart w:id="191" w:name="Tc_7wYpIe982EuZKmwr59N4Og_7_0"/>
      <w:bookmarkStart w:id="192" w:name="Tc_6rly9iJTvUmNJyrSCIAhdw_6_0"/>
      <w:bookmarkStart w:id="193" w:name="Tc_RxFpf6dcTUK_Nbh4US9kKg_5_11"/>
      <w:bookmarkStart w:id="194" w:name="Tc_fcF6UfrXqUSKiV1EJEuF2g_5_8"/>
      <w:bookmarkStart w:id="195" w:name="Tc_uh1H0lhcVU6zf163D6zUKA_5_5"/>
      <w:bookmarkStart w:id="196" w:name="Tc_uMpo6Fh_b02x-331HjVJyw_5_2"/>
      <w:bookmarkStart w:id="197" w:name="Tc_-V0CO04w6EW6zaDTyRxUUA_5_0"/>
      <w:bookmarkStart w:id="198" w:name="Tc__WN4b5SU-EiohiuNsds_-A_4_0"/>
      <w:bookmarkStart w:id="199" w:name="Tc_jfK4egXNO02o8ffHBrbynQ_3_11"/>
      <w:bookmarkStart w:id="200" w:name="Tc_Cxx9pgsZHUablpRlZ4vq1A_3_8"/>
      <w:bookmarkStart w:id="201" w:name="Tc_-Afd7cNud0a0rV0H4nob7A_3_5"/>
      <w:bookmarkStart w:id="202" w:name="Tc_bSnzlA1jgUehFxqQJ57slg_3_2"/>
      <w:bookmarkStart w:id="203" w:name="Tc_kD9zVXFCZkWrnVy1_Tdkkg_2_8"/>
      <w:bookmarkStart w:id="204" w:name="Tc_S0XbGCg6kkGLHRRslVRhOQ_2_2"/>
      <w:bookmarkStart w:id="205" w:name="Tc_Xw3u_4I4eE26n3VRN8ugtg_1_8"/>
      <w:bookmarkStart w:id="206" w:name="Tc__joM7SKqpkKajEiMdBEbNw_1_2"/>
      <w:bookmarkStart w:id="207" w:name="_6efbabeb_d210_4ec8_9c0e_127462359050"/>
      <w:bookmarkStart w:id="208" w:name="Tc_-dh1NGFbAEGlSa9co69a2g_27_0"/>
      <w:bookmarkStart w:id="209" w:name="Tc_HDyOfjcVUU-lx2GXNkysRw_26_0"/>
      <w:bookmarkStart w:id="210" w:name="Tc_Ni7KEFpHk0OrtAt-KPVtUQ_25_0"/>
      <w:bookmarkStart w:id="211" w:name="Tc_f6pBblMFtEqE2uSdxye79w_24_11"/>
      <w:bookmarkStart w:id="212" w:name="Tc_CFzjxpMQb0Oq6_sOCWac3g_24_8"/>
      <w:bookmarkStart w:id="213" w:name="Tc_A9L-e0U8mkaLqDpVhf2hbQ_24_5"/>
      <w:bookmarkStart w:id="214" w:name="Tc_cW_p20T_vUqx4ystLTLvMw_24_2"/>
      <w:bookmarkStart w:id="215" w:name="Tc_qnQQ9_5uAEqcd_CvzzHCSA_24_0"/>
      <w:bookmarkStart w:id="216" w:name="Tc_g9fkjO2zi0yioqQFoPTeVw_23_11"/>
      <w:bookmarkStart w:id="217" w:name="Tc_YBR_gEKlfU-vyWSpCQaUdw_23_8"/>
      <w:bookmarkStart w:id="218" w:name="Tc_tENnCrd0jEGmBo0PEENofg_23_5"/>
      <w:bookmarkStart w:id="219" w:name="Tc_wd0-U0ILMkyIbvPRORBqiA_23_2"/>
      <w:bookmarkStart w:id="220" w:name="Tc_kz6hGoH5Q0SxuZbXJPdeDg_23_0"/>
      <w:bookmarkStart w:id="221" w:name="Tc_A_dXO7u8Z0uS_aF13d1vFg_22_0"/>
      <w:bookmarkStart w:id="222" w:name="Tc_44L2Zm2h9k2WXJV1vRdgKw_21_11"/>
      <w:bookmarkStart w:id="223" w:name="Tc_P9QdDvHdtkmyIGYYcsbddA_21_8"/>
      <w:bookmarkStart w:id="224" w:name="Tc_0V4OQk1hPkGgExhHaxjC0g_21_5"/>
      <w:bookmarkStart w:id="225" w:name="Tc_gaAUpo4LUU6qu9Mk-NYleg_21_2"/>
      <w:bookmarkStart w:id="226" w:name="Tc_LhYR9P_3_0iWLwR7ZU2gnA_21_0"/>
      <w:bookmarkStart w:id="227" w:name="Tc_wwQzwB-hpEef2FtrgQfpvA_20_0"/>
      <w:bookmarkStart w:id="228" w:name="Tc_DBPcUI0vAEKrE9t07R8eMw_19_0"/>
      <w:bookmarkStart w:id="229" w:name="Tc_N3XXKQr3DEi-m3ogQyFD1Q_18_0"/>
      <w:bookmarkStart w:id="230" w:name="Tc_Ul--9joPwUmffL7vYlxXdQ_17_0"/>
      <w:bookmarkStart w:id="231" w:name="Tc_9_heZw0lWkmoxhll9zrj9Q_16_0"/>
      <w:bookmarkStart w:id="232" w:name="Tc_W_QOQMj1O0Wsclb2jtP0Xg_15_0"/>
      <w:bookmarkStart w:id="233" w:name="Tc_CW6uukNRkk--l84TrbNXTA_14_0"/>
      <w:bookmarkStart w:id="234" w:name="Tc_q-6V2iJoLEOJnF6b2rjFIw_13_0"/>
      <w:bookmarkStart w:id="235" w:name="Tc_eNhBSlHuUkyDagQhuIwJpA_12_0"/>
      <w:bookmarkStart w:id="236" w:name="Tc_0VaeVHddaUGg_ChxLMuw7g_11_0"/>
      <w:bookmarkStart w:id="237" w:name="Tc_rxU2lGauBEWT2vJ8eK9Xpg_10_0"/>
      <w:bookmarkStart w:id="238" w:name="Tc_INTX5XM6ykKgDpsgCfcHaQ_9_0"/>
      <w:bookmarkStart w:id="239" w:name="Tc_Y9s3GfFo2E2HdkI49U3CPw_8_0"/>
      <w:bookmarkStart w:id="240" w:name="Tc_7wYpIe982EuZKmwr59N4Og_7_0"/>
      <w:bookmarkStart w:id="241" w:name="Tc_6rly9iJTvUmNJyrSCIAhdw_6_0"/>
      <w:bookmarkStart w:id="242" w:name="Tc_RxFpf6dcTUK_Nbh4US9kKg_5_11"/>
      <w:bookmarkStart w:id="243" w:name="Tc_fcF6UfrXqUSKiV1EJEuF2g_5_8"/>
      <w:bookmarkStart w:id="244" w:name="Tc_uh1H0lhcVU6zf163D6zUKA_5_5"/>
      <w:bookmarkStart w:id="245" w:name="Tc_uMpo6Fh_b02x-331HjVJyw_5_2"/>
      <w:bookmarkStart w:id="246" w:name="Tc_-V0CO04w6EW6zaDTyRxUUA_5_0"/>
      <w:bookmarkStart w:id="247" w:name="Tc__WN4b5SU-EiohiuNsds_-A_4_0"/>
      <w:bookmarkStart w:id="248" w:name="Tc_jfK4egXNO02o8ffHBrbynQ_3_11"/>
      <w:bookmarkStart w:id="249" w:name="Tc_Cxx9pgsZHUablpRlZ4vq1A_3_8"/>
      <w:bookmarkStart w:id="250" w:name="Tc_-Afd7cNud0a0rV0H4nob7A_3_5"/>
      <w:bookmarkStart w:id="251" w:name="Tc_bSnzlA1jgUehFxqQJ57slg_3_2"/>
      <w:bookmarkStart w:id="252" w:name="Tc_kD9zVXFCZkWrnVy1_Tdkkg_2_8"/>
      <w:bookmarkStart w:id="253" w:name="Tc_S0XbGCg6kkGLHRRslVRhOQ_2_2"/>
      <w:bookmarkStart w:id="254" w:name="Tc_Xw3u_4I4eE26n3VRN8ugtg_1_8"/>
      <w:bookmarkStart w:id="255" w:name="Tc__joM7SKqpkKajEiMdBEbNw_1_2"/>
      <w:bookmarkStart w:id="256" w:name="_6efbabeb_d210_4ec8_9c0e_127462359050"/>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8377" w:type="dxa"/>
        <w:jc w:val="left"/>
        <w:tblInd w:w="0" w:type="dxa"/>
        <w:tblLayout w:type="fixed"/>
        <w:tblCellMar>
          <w:top w:w="0" w:type="dxa"/>
          <w:left w:w="0" w:type="dxa"/>
          <w:bottom w:w="0" w:type="dxa"/>
          <w:right w:w="0" w:type="dxa"/>
        </w:tblCellMar>
      </w:tblPr>
      <w:tblGrid>
        <w:gridCol w:w="4231"/>
        <w:gridCol w:w="109"/>
        <w:gridCol w:w="196"/>
        <w:gridCol w:w="721"/>
        <w:gridCol w:w="109"/>
        <w:gridCol w:w="196"/>
        <w:gridCol w:w="631"/>
        <w:gridCol w:w="109"/>
        <w:gridCol w:w="196"/>
        <w:gridCol w:w="631"/>
        <w:gridCol w:w="346"/>
        <w:gridCol w:w="196"/>
        <w:gridCol w:w="706"/>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686685" cy="175260"/>
                      <wp:effectExtent l="0" t="0" r="0" b="0"/>
                      <wp:wrapNone/>
                      <wp:docPr id="24" name="Frame23"/>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57835" cy="175260"/>
                      <wp:effectExtent l="0" t="0" r="0" b="0"/>
                      <wp:wrapNone/>
                      <wp:docPr id="27" name="Frame2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00685" cy="175260"/>
                      <wp:effectExtent l="0" t="0" r="0" b="0"/>
                      <wp:wrapNone/>
                      <wp:docPr id="30" name="Frame2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00685" cy="175260"/>
                      <wp:effectExtent l="0" t="0" r="0" b="0"/>
                      <wp:wrapNone/>
                      <wp:docPr id="33" name="Frame3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48310" cy="175260"/>
                      <wp:effectExtent l="0" t="0" r="0" b="0"/>
                      <wp:wrapNone/>
                      <wp:docPr id="36" name="Frame3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853"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07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r>
      <w:tr>
        <w:trPr/>
        <w:tc>
          <w:tcPr>
            <w:tcW w:w="42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5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before="0" w:after="1"/>
              <w:ind w:left="0" w:right="0" w:hanging="0"/>
              <w:jc w:val="left"/>
              <w:rPr/>
            </w:pPr>
            <w:r>
              <w:rPr/>
              <w:t>​</w:t>
            </w:r>
          </w:p>
        </w:tc>
        <w:tc>
          <w:tcPr>
            <w:tcW w:w="20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42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09" w:type="dxa"/>
            <w:tcBorders/>
            <w:vAlign w:val="center"/>
          </w:tcPr>
          <w:p>
            <w:pPr>
              <w:pStyle w:val="TableContents"/>
              <w:bidi w:val="0"/>
              <w:spacing w:before="0" w:after="1"/>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10,474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11,769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34,042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38,269</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17,868</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2,410</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7,468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8,595</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20,168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22,561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62,135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64,732</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costs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operating costs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12,959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13,388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37,556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37,971</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5,294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5,014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17,174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16,172</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2,573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7,754</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operating costs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20,726</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20,975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62,120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61,897</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2,835</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gain (loss) on derivative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(9,869)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(3,223)</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other income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(2,880)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(2,292)</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(11,363)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(8,272)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(2,516)</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577</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(8,932)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(2,179)</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(7,043)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(1,939)</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 </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(0.26)</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left"/>
              <w:rPr/>
            </w:pPr>
            <w:r>
              <w:rPr/>
              <w:t> </w:t>
            </w:r>
          </w:p>
        </w:tc>
      </w:tr>
      <w:tr>
        <w:trPr/>
        <w:tc>
          <w:tcPr>
            <w:tcW w:w="4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34,315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33,433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33,979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33,027</w:t>
            </w:r>
          </w:p>
        </w:tc>
      </w:tr>
      <w:tr>
        <w:trPr/>
        <w:tc>
          <w:tcPr>
            <w:tcW w:w="4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34,315</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33,433</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33,979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33,027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57" w:name="ConsolidatedCondensedStatementsofCashFlo"/>
      <w:bookmarkStart w:id="258" w:name="_d54352ed_4bcd_47ea_b6be_12ddcd554472"/>
      <w:bookmarkStart w:id="259" w:name="_contentSection_7407ef7c_dd08_416e_9b76_"/>
      <w:bookmarkEnd w:id="257"/>
      <w:bookmarkEnd w:id="258"/>
      <w:bookmarkEnd w:id="25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60" w:name="Tc_r9RODgvFGEGxyE3OSWSo9A_42_6"/>
      <w:bookmarkStart w:id="261" w:name="Tc_smvRqkkxLUOksqu5uT7I4w_42_0"/>
      <w:bookmarkStart w:id="262" w:name="Tc_Q8ocSBT7-0muMI3Si_z8Hw_41_0"/>
      <w:bookmarkStart w:id="263" w:name="Tc_DOXbYPCXl0aEKkHacuHvqA_40_5"/>
      <w:bookmarkStart w:id="264" w:name="Tc_YWowsf_qvkua16lUl14_uw_40_2"/>
      <w:bookmarkStart w:id="265" w:name="Tc_CMJEPl05ZkGmbcqwHdrxQQ_40_0"/>
      <w:bookmarkStart w:id="266" w:name="Tc_UkP3d4b8REC_Vv61JG2lFA_39_0"/>
      <w:bookmarkStart w:id="267" w:name="Tc_kKR6kjmCBEWHr4g0H84mgQ_38_0"/>
      <w:bookmarkStart w:id="268" w:name="Tc_atvPc41rUEy_qpmBP-T48g_36_5"/>
      <w:bookmarkStart w:id="269" w:name="Tc_v-P7PuLu80mw42Ag_bX1Pg_36_2"/>
      <w:bookmarkStart w:id="270" w:name="Tc_ln417Lw6cEeOi2RQNsrmIA_36_0"/>
      <w:bookmarkStart w:id="271" w:name="Tc_HKS7Vgt5J06ofd_Brtq19A_35_0"/>
      <w:bookmarkStart w:id="272" w:name="Tc_mQdEI2BtEUSN2OZHUiFqRQ_34_0"/>
      <w:bookmarkStart w:id="273" w:name="Tc_jXNypdi1JE-S60ldDHAOmw_33_0"/>
      <w:bookmarkStart w:id="274" w:name="Tc_4ZRErM7P7ECdsBI_gOpNdQ_32_0"/>
      <w:bookmarkStart w:id="275" w:name="Tc_BASMiue1GkK1ATz69qgJXg_31_0"/>
      <w:bookmarkStart w:id="276" w:name="Tc_UoYFdMz1sEWYW7XoEwlCfg_30_6"/>
      <w:bookmarkStart w:id="277" w:name="Tc_kpuje5ZkLk-6cO3dgbbZ4w_30_0"/>
      <w:bookmarkStart w:id="278" w:name="Tc_OIiCkFgv5Eamizu3WaMopA_29_0"/>
      <w:bookmarkStart w:id="279" w:name="Tc_Axu5c6qDr02dx6wj6RCVtA_28_6"/>
      <w:bookmarkStart w:id="280" w:name="Tc_XbguSt8juEObLIXfFHlf6A_28_0"/>
      <w:bookmarkStart w:id="281" w:name="Tc_ndfPgV0UAUO7ELqjKKbRuw_27_0"/>
      <w:bookmarkStart w:id="282" w:name="Tc_IFzH3lVVD0eq7b69vpa2GQ_26_0"/>
      <w:bookmarkStart w:id="283" w:name="Tc_N6XEsf43CEy19terjPXfbQ_25_0"/>
      <w:bookmarkStart w:id="284" w:name="Tc_viNX-Xs1OUqDBk0Cpq6lGw_24_0"/>
      <w:bookmarkStart w:id="285" w:name="Tc_zXaeMHXe-0qa0vU5VhOsZg_23_0"/>
      <w:bookmarkStart w:id="286" w:name="Tc_baZtlU_EiEGbRXOU2tmh_g_22_0"/>
      <w:bookmarkStart w:id="287" w:name="Tc_ck7kheWoRk6heZ-g1ecePQ_21_3"/>
      <w:bookmarkStart w:id="288" w:name="Tc_DsKTPbGUa0uwQvFf1DBSPg_21_0"/>
      <w:bookmarkStart w:id="289" w:name="Tc_LaWGObm2gESBFWXGSYQ5CA_20_0"/>
      <w:bookmarkStart w:id="290" w:name="Tc_TVOiu0qpok-GnEn6QZrUQQ_19_0"/>
      <w:bookmarkStart w:id="291" w:name="Tc_Be51-yKmpEipkCGuj1iGAw_18_0"/>
      <w:bookmarkStart w:id="292" w:name="Tc_81zGWMjpX0GlbwvlZZX9IQ_17_0"/>
      <w:bookmarkStart w:id="293" w:name="Tc_E_YjuKVK30uDN-yCV6CZKw_16_0"/>
      <w:bookmarkStart w:id="294" w:name="Tc_Wq2uVJyLWEmrWmk94JazBg_15_0"/>
      <w:bookmarkStart w:id="295" w:name="Tc_EomlQYzXEU2DlWaJM8Zsig_14_0"/>
      <w:bookmarkStart w:id="296" w:name="Tc_nn6Sds3X9UujnOAoqNiWwg_13_0"/>
      <w:bookmarkStart w:id="297" w:name="Tc_u_ToXuoHS0a_b7YAaT3DTg_12_6"/>
      <w:bookmarkStart w:id="298" w:name="Tc_wTVhH8alv06zPstRAjysVA_12_0"/>
      <w:bookmarkStart w:id="299" w:name="Tc_hzieAlu0EUOuDBzH45UiJw_11_0"/>
      <w:bookmarkStart w:id="300" w:name="Tc_ARMpexGUCkCJvcbY5DfnVw_10_0"/>
      <w:bookmarkStart w:id="301" w:name="Tc_2H2jPuDhU0GP5jDFEmUfEg_9_0"/>
      <w:bookmarkStart w:id="302" w:name="Tc_N1FPVSgWmkiDAImuhY9bag_8_0"/>
      <w:bookmarkStart w:id="303" w:name="Tc_9orG_4pMq0KWxEfBb_BtEg_7_0"/>
      <w:bookmarkStart w:id="304" w:name="Tc_KMRWCMJf3UeB6Q9Z96XFnA_6_0"/>
      <w:bookmarkStart w:id="305" w:name="Tc__hUaXMjD-kaPRQsfIohoXg_5_0"/>
      <w:bookmarkStart w:id="306" w:name="Tc_AZGW-4HgM0K1fCnNvuJ3vw_4_5"/>
      <w:bookmarkStart w:id="307" w:name="Tc_37zDtSJ2YEGax7pmqrya6w_4_2"/>
      <w:bookmarkStart w:id="308" w:name="Tc_z3NA85NJ9ECMOThj6k8JmA_4_0"/>
      <w:bookmarkStart w:id="309" w:name="Tc_PvjAlfutgkiOo8HjtU2zAQ_3_0"/>
      <w:bookmarkStart w:id="310" w:name="Tc_IGP5Ka-xEUqKk6U29Qustg_2_5"/>
      <w:bookmarkStart w:id="311" w:name="Tc_kzIX3QUhL06AcPq_PFbV9g_2_2"/>
      <w:bookmarkStart w:id="312" w:name="Tc_PAdPTZ-i10G8KcUsnOcliA_1_2"/>
      <w:bookmarkStart w:id="313" w:name="_014cb2cf_3a29_4038_8aee_cb5e23794f77"/>
      <w:bookmarkStart w:id="314" w:name="Tc_r9RODgvFGEGxyE3OSWSo9A_42_6"/>
      <w:bookmarkStart w:id="315" w:name="Tc_smvRqkkxLUOksqu5uT7I4w_42_0"/>
      <w:bookmarkStart w:id="316" w:name="Tc_Q8ocSBT7-0muMI3Si_z8Hw_41_0"/>
      <w:bookmarkStart w:id="317" w:name="Tc_DOXbYPCXl0aEKkHacuHvqA_40_5"/>
      <w:bookmarkStart w:id="318" w:name="Tc_YWowsf_qvkua16lUl14_uw_40_2"/>
      <w:bookmarkStart w:id="319" w:name="Tc_CMJEPl05ZkGmbcqwHdrxQQ_40_0"/>
      <w:bookmarkStart w:id="320" w:name="Tc_UkP3d4b8REC_Vv61JG2lFA_39_0"/>
      <w:bookmarkStart w:id="321" w:name="Tc_kKR6kjmCBEWHr4g0H84mgQ_38_0"/>
      <w:bookmarkStart w:id="322" w:name="Tc_atvPc41rUEy_qpmBP-T48g_36_5"/>
      <w:bookmarkStart w:id="323" w:name="Tc_v-P7PuLu80mw42Ag_bX1Pg_36_2"/>
      <w:bookmarkStart w:id="324" w:name="Tc_ln417Lw6cEeOi2RQNsrmIA_36_0"/>
      <w:bookmarkStart w:id="325" w:name="Tc_HKS7Vgt5J06ofd_Brtq19A_35_0"/>
      <w:bookmarkStart w:id="326" w:name="Tc_mQdEI2BtEUSN2OZHUiFqRQ_34_0"/>
      <w:bookmarkStart w:id="327" w:name="Tc_jXNypdi1JE-S60ldDHAOmw_33_0"/>
      <w:bookmarkStart w:id="328" w:name="Tc_4ZRErM7P7ECdsBI_gOpNdQ_32_0"/>
      <w:bookmarkStart w:id="329" w:name="Tc_BASMiue1GkK1ATz69qgJXg_31_0"/>
      <w:bookmarkStart w:id="330" w:name="Tc_UoYFdMz1sEWYW7XoEwlCfg_30_6"/>
      <w:bookmarkStart w:id="331" w:name="Tc_kpuje5ZkLk-6cO3dgbbZ4w_30_0"/>
      <w:bookmarkStart w:id="332" w:name="Tc_OIiCkFgv5Eamizu3WaMopA_29_0"/>
      <w:bookmarkStart w:id="333" w:name="Tc_Axu5c6qDr02dx6wj6RCVtA_28_6"/>
      <w:bookmarkStart w:id="334" w:name="Tc_XbguSt8juEObLIXfFHlf6A_28_0"/>
      <w:bookmarkStart w:id="335" w:name="Tc_ndfPgV0UAUO7ELqjKKbRuw_27_0"/>
      <w:bookmarkStart w:id="336" w:name="Tc_IFzH3lVVD0eq7b69vpa2GQ_26_0"/>
      <w:bookmarkStart w:id="337" w:name="Tc_N6XEsf43CEy19terjPXfbQ_25_0"/>
      <w:bookmarkStart w:id="338" w:name="Tc_viNX-Xs1OUqDBk0Cpq6lGw_24_0"/>
      <w:bookmarkStart w:id="339" w:name="Tc_zXaeMHXe-0qa0vU5VhOsZg_23_0"/>
      <w:bookmarkStart w:id="340" w:name="Tc_baZtlU_EiEGbRXOU2tmh_g_22_0"/>
      <w:bookmarkStart w:id="341" w:name="Tc_ck7kheWoRk6heZ-g1ecePQ_21_3"/>
      <w:bookmarkStart w:id="342" w:name="Tc_DsKTPbGUa0uwQvFf1DBSPg_21_0"/>
      <w:bookmarkStart w:id="343" w:name="Tc_LaWGObm2gESBFWXGSYQ5CA_20_0"/>
      <w:bookmarkStart w:id="344" w:name="Tc_TVOiu0qpok-GnEn6QZrUQQ_19_0"/>
      <w:bookmarkStart w:id="345" w:name="Tc_Be51-yKmpEipkCGuj1iGAw_18_0"/>
      <w:bookmarkStart w:id="346" w:name="Tc_81zGWMjpX0GlbwvlZZX9IQ_17_0"/>
      <w:bookmarkStart w:id="347" w:name="Tc_E_YjuKVK30uDN-yCV6CZKw_16_0"/>
      <w:bookmarkStart w:id="348" w:name="Tc_Wq2uVJyLWEmrWmk94JazBg_15_0"/>
      <w:bookmarkStart w:id="349" w:name="Tc_EomlQYzXEU2DlWaJM8Zsig_14_0"/>
      <w:bookmarkStart w:id="350" w:name="Tc_nn6Sds3X9UujnOAoqNiWwg_13_0"/>
      <w:bookmarkStart w:id="351" w:name="Tc_u_ToXuoHS0a_b7YAaT3DTg_12_6"/>
      <w:bookmarkStart w:id="352" w:name="Tc_wTVhH8alv06zPstRAjysVA_12_0"/>
      <w:bookmarkStart w:id="353" w:name="Tc_hzieAlu0EUOuDBzH45UiJw_11_0"/>
      <w:bookmarkStart w:id="354" w:name="Tc_ARMpexGUCkCJvcbY5DfnVw_10_0"/>
      <w:bookmarkStart w:id="355" w:name="Tc_2H2jPuDhU0GP5jDFEmUfEg_9_0"/>
      <w:bookmarkStart w:id="356" w:name="Tc_N1FPVSgWmkiDAImuhY9bag_8_0"/>
      <w:bookmarkStart w:id="357" w:name="Tc_9orG_4pMq0KWxEfBb_BtEg_7_0"/>
      <w:bookmarkStart w:id="358" w:name="Tc_KMRWCMJf3UeB6Q9Z96XFnA_6_0"/>
      <w:bookmarkStart w:id="359" w:name="Tc__hUaXMjD-kaPRQsfIohoXg_5_0"/>
      <w:bookmarkStart w:id="360" w:name="Tc_AZGW-4HgM0K1fCnNvuJ3vw_4_5"/>
      <w:bookmarkStart w:id="361" w:name="Tc_37zDtSJ2YEGax7pmqrya6w_4_2"/>
      <w:bookmarkStart w:id="362" w:name="Tc_z3NA85NJ9ECMOThj6k8JmA_4_0"/>
      <w:bookmarkStart w:id="363" w:name="Tc_PvjAlfutgkiOo8HjtU2zAQ_3_0"/>
      <w:bookmarkStart w:id="364" w:name="Tc_IGP5Ka-xEUqKk6U29Qustg_2_5"/>
      <w:bookmarkStart w:id="365" w:name="Tc_kzIX3QUhL06AcPq_PFbV9g_2_2"/>
      <w:bookmarkStart w:id="366" w:name="Tc_PAdPTZ-i10G8KcUsnOcliA_1_2"/>
      <w:bookmarkStart w:id="367" w:name="_014cb2cf_3a29_4038_8aee_cb5e23794f77"/>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tbl>
      <w:tblPr>
        <w:tblW w:w="10205" w:type="dxa"/>
        <w:jc w:val="left"/>
        <w:tblInd w:w="0" w:type="dxa"/>
        <w:tblLayout w:type="fixed"/>
        <w:tblCellMar>
          <w:top w:w="0" w:type="dxa"/>
          <w:left w:w="0" w:type="dxa"/>
          <w:bottom w:w="0" w:type="dxa"/>
          <w:right w:w="0" w:type="dxa"/>
        </w:tblCellMar>
      </w:tblPr>
      <w:tblGrid>
        <w:gridCol w:w="7320"/>
        <w:gridCol w:w="346"/>
        <w:gridCol w:w="224"/>
        <w:gridCol w:w="821"/>
        <w:gridCol w:w="396"/>
        <w:gridCol w:w="224"/>
        <w:gridCol w:w="874"/>
      </w:tblGrid>
      <w:tr>
        <w:trPr/>
        <w:tc>
          <w:tcPr>
            <w:tcW w:w="7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648200" cy="175260"/>
                      <wp:effectExtent l="0" t="0" r="0" b="0"/>
                      <wp:wrapNone/>
                      <wp:docPr id="37" name="Frame36"/>
                      <a:graphic xmlns:a="http://schemas.openxmlformats.org/drawingml/2006/main">
                        <a:graphicData uri="http://schemas.microsoft.com/office/word/2010/wordprocessingShape">
                          <wps:wsp>
                            <wps:cNvSpPr txBox="1"/>
                            <wps:spPr>
                              <a:xfrm>
                                <a:off x="0" y="0"/>
                                <a:ext cx="4648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2240" cy="175260"/>
                      <wp:effectExtent l="0" t="0" r="0" b="0"/>
                      <wp:wrapNone/>
                      <wp:docPr id="39" name="Frame38"/>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21335" cy="175260"/>
                      <wp:effectExtent l="0" t="0" r="0" b="0"/>
                      <wp:wrapNone/>
                      <wp:docPr id="40" name="Frame39"/>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51460" cy="175260"/>
                      <wp:effectExtent l="0" t="0" r="0" b="0"/>
                      <wp:wrapNone/>
                      <wp:docPr id="41" name="Frame40"/>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2240" cy="175260"/>
                      <wp:effectExtent l="0" t="0" r="0" b="0"/>
                      <wp:wrapNone/>
                      <wp:docPr id="42" name="Frame41"/>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54990" cy="175260"/>
                      <wp:effectExtent l="0" t="0" r="0" b="0"/>
                      <wp:wrapNone/>
                      <wp:docPr id="43" name="Frame42"/>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20" w:type="dxa"/>
            <w:tcBorders/>
            <w:vAlign w:val="center"/>
          </w:tcPr>
          <w:p>
            <w:pPr>
              <w:pStyle w:val="TableContents"/>
              <w:bidi w:val="0"/>
              <w:spacing w:before="0" w:after="1"/>
              <w:ind w:left="0" w:right="0" w:hanging="0"/>
              <w:jc w:val="left"/>
              <w:rPr>
                <w:color w:val="0563C1"/>
              </w:rPr>
            </w:pPr>
            <w:r>
              <w:rPr>
                <w:color w:val="0563C1"/>
              </w:rPr>
              <w:t>​</w:t>
            </w:r>
          </w:p>
        </w:tc>
        <w:tc>
          <w:tcPr>
            <w:tcW w:w="346" w:type="dxa"/>
            <w:tcBorders/>
            <w:vAlign w:val="center"/>
          </w:tcPr>
          <w:p>
            <w:pPr>
              <w:pStyle w:val="TableContents"/>
              <w:bidi w:val="0"/>
              <w:spacing w:before="0" w:after="1"/>
              <w:ind w:left="0" w:right="0" w:hanging="0"/>
              <w:jc w:val="left"/>
              <w:rPr/>
            </w:pPr>
            <w:r>
              <w:rPr/>
              <w:t>​</w:t>
            </w:r>
          </w:p>
        </w:tc>
        <w:tc>
          <w:tcPr>
            <w:tcW w:w="25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March 31, </w:t>
            </w:r>
          </w:p>
        </w:tc>
      </w:tr>
      <w:tr>
        <w:trPr/>
        <w:tc>
          <w:tcPr>
            <w:tcW w:w="7320"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10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96" w:type="dxa"/>
            <w:tcBorders/>
            <w:vAlign w:val="center"/>
          </w:tcPr>
          <w:p>
            <w:pPr>
              <w:pStyle w:val="TableContents"/>
              <w:bidi w:val="0"/>
              <w:spacing w:before="0" w:after="1"/>
              <w:ind w:left="0" w:right="0" w:hanging="0"/>
              <w:jc w:val="left"/>
              <w:rPr/>
            </w:pPr>
            <w:r>
              <w:rPr/>
              <w:t>  ​ ​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left"/>
              <w:rPr/>
            </w:pPr>
            <w:r>
              <w:rPr/>
              <w:t> </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left"/>
              <w:rPr/>
            </w:pPr>
            <w:r>
              <w:rPr/>
              <w:t> </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(7,043)</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(1,939)</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left"/>
              <w:rPr/>
            </w:pPr>
            <w:r>
              <w:rPr/>
              <w:t> </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Depletion, depreciation, and accretion</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17,174</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16,172</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1,745</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1,860</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Settlement of asset retirement obligations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(346)</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(2,405)</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(2,130)</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loss on derivative contracts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4,875</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3,426</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Amortization of debt issuance costs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left"/>
              <w:rPr/>
            </w:pPr>
            <w:r>
              <w:rPr/>
              <w:t> </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Receivables from crude oil, natural gas, and natural gas liquids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1,583</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1,400</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accrued liabilities and other</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(437)</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4,382</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federal taxes payable</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425</w:t>
            </w:r>
          </w:p>
        </w:tc>
        <w:tc>
          <w:tcPr>
            <w:tcW w:w="39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16,719</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22,596</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deposits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(1,800)</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Acquisition of oil and natural gas properties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(21,308)</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(351)</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expenditures for oil and natural gas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(5,920)</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(7,902)</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(27,228)</w:t>
            </w:r>
          </w:p>
        </w:tc>
        <w:tc>
          <w:tcPr>
            <w:tcW w:w="39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(10,053)</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left"/>
              <w:rPr/>
            </w:pPr>
            <w:r>
              <w:rPr/>
              <w:t> </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left"/>
              <w:rPr/>
            </w:pPr>
            <w:r>
              <w:rPr/>
              <w:t> </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dividends paid</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(12,613)</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(12,224)</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repurchases, including stock surrendered for tax withholding</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(262)</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Borrowings under senior secured credit facility</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22,000</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Repayments of senior secured credit facility</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(3,000)</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(4,000)</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Debt issuance costs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4,944</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3,404</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Offering costs</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w:t>
            </w:r>
          </w:p>
        </w:tc>
        <w:tc>
          <w:tcPr>
            <w:tcW w:w="39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cash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10,618</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(13,388)</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(845)</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6,446</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2,616</w:t>
            </w:r>
          </w:p>
        </w:tc>
        <w:tc>
          <w:tcPr>
            <w:tcW w:w="39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5,601</w:t>
            </w:r>
          </w:p>
        </w:tc>
      </w:tr>
      <w:tr>
        <w:trPr/>
        <w:tc>
          <w:tcPr>
            <w:tcW w:w="732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left"/>
              <w:rPr/>
            </w:pPr>
            <w:r>
              <w:rPr/>
              <w:t>​</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0" w:hanging="0"/>
              <w:jc w:val="left"/>
              <w:rPr/>
            </w:pPr>
            <w:r>
              <w:rPr/>
              <w:t>​</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Non-cash investing and financing transactions: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left"/>
              <w:rPr/>
            </w:pPr>
            <w:r>
              <w:rPr/>
              <w:t>​</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Increase (decrease) in accrued capital expenditures for oil and natural gas properties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(1,733)</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7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384</w:t>
            </w:r>
          </w:p>
        </w:tc>
      </w:tr>
      <w:tr>
        <w:trPr/>
        <w:tc>
          <w:tcPr>
            <w:tcW w:w="7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property costs attributable to the recognition (derecognition) of asset retirement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w:t>
            </w:r>
          </w:p>
        </w:tc>
        <w:tc>
          <w:tcPr>
            <w:tcW w:w="39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87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r>
      <w:tr>
        <w:trPr/>
        <w:tc>
          <w:tcPr>
            <w:tcW w:w="732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offering costs</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w:t>
            </w:r>
          </w:p>
        </w:tc>
        <w:tc>
          <w:tcPr>
            <w:tcW w:w="39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874"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68" w:name="ConsolidatedCondensedStatementsofSHE"/>
      <w:bookmarkStart w:id="369" w:name="_81c264fb_b643_401a_8d50_82609a8db46e"/>
      <w:bookmarkEnd w:id="368"/>
      <w:bookmarkEnd w:id="369"/>
      <w:r>
        <w:rPr>
          <w:rFonts w:ascii="Times New Roman;Times;serif" w:hAnsi="Times New Roman;Times;serif"/>
          <w:b/>
          <w:sz w:val="20"/>
        </w:rPr>
        <w:t>EVOLUTION PETROLEUM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CHANGES IN STOCKHOLDERS’ EQUITY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70" w:name="Tc_PxAEPA3C-UWWHVnT0L7ArA_49_16"/>
      <w:bookmarkStart w:id="371" w:name="Tc_EJ9Jkfu9r0i3eiP_E3rTFw_49_14"/>
      <w:bookmarkStart w:id="372" w:name="Tc_z6GX0OBzU025eOlp6De2Ew_49_13"/>
      <w:bookmarkStart w:id="373" w:name="Tc_zjUc4SCdSEiOmSoKcgnTBw_49_10"/>
      <w:bookmarkStart w:id="374" w:name="Tc_I7ZhmKMEvUCD93eu5X_HJg_49_7"/>
      <w:bookmarkStart w:id="375" w:name="Tc_sbRnvUWZJ0uv61iwxscruw_49_4"/>
      <w:bookmarkStart w:id="376" w:name="Tc_bFfMxNfAJkKziW37nJO5Wg_49_0"/>
      <w:bookmarkStart w:id="377" w:name="Tc_OUQv4wSxXUq07WxTsaF9gQ_48_14"/>
      <w:bookmarkStart w:id="378" w:name="Tc_ZEfOQDFwF0CKCqm0QJ0sIw_48_8"/>
      <w:bookmarkStart w:id="379" w:name="Tc_hL_661FOMUOF5KrwC7guFg_48_5"/>
      <w:bookmarkStart w:id="380" w:name="Tc_xC-NiYFoRkyXioUNpCeEeA_48_2"/>
      <w:bookmarkStart w:id="381" w:name="Tc_XWIbLehElUyhNGZupf6Ugw_48_0"/>
      <w:bookmarkStart w:id="382" w:name="Tc_UIVMSEGFhkCOpM74wOdCbw_47_14"/>
      <w:bookmarkStart w:id="383" w:name="Tc_5Vgng4-lvUa6hlAd5U-W1Q_47_8"/>
      <w:bookmarkStart w:id="384" w:name="Tc_sUAwMxVEKUWn1de7gJk3Bw_47_5"/>
      <w:bookmarkStart w:id="385" w:name="Tc_LdtP6FKfbkKdbbSrVKNRRg_47_2"/>
      <w:bookmarkStart w:id="386" w:name="Tc_5Mu5w1gQ40uAf-RrG-b3dw_47_0"/>
      <w:bookmarkStart w:id="387" w:name="Tc_QGxugQvLnEKzIF8Dl8Tc-A_46_14"/>
      <w:bookmarkStart w:id="388" w:name="Tc_qahKhws6ckyRlHfyU3kwUA_46_11"/>
      <w:bookmarkStart w:id="389" w:name="Tc_C0PrSxp9uEiz1tCBP6hzFg_46_5"/>
      <w:bookmarkStart w:id="390" w:name="Tc_-lyOK9yEKE2oaC9kBFoSIw_46_2"/>
      <w:bookmarkStart w:id="391" w:name="Tc_XcqwqeGXpk-pHJVheztIQw_46_0"/>
      <w:bookmarkStart w:id="392" w:name="Tc_ODJ-Ft7vT0SnTLihR1DBqw_45_14"/>
      <w:bookmarkStart w:id="393" w:name="Tc_Y4JrPynpIEqgH-kfaZQJ1g_45_11"/>
      <w:bookmarkStart w:id="394" w:name="Tc_NK8zv7jwwEOg1oFzy31HvA_45_5"/>
      <w:bookmarkStart w:id="395" w:name="Tc_ekXRmbpL6EyljrTbpwAHsA_45_2"/>
      <w:bookmarkStart w:id="396" w:name="Tc_iajV12x2tU25NGl52MRudg_45_0"/>
      <w:bookmarkStart w:id="397" w:name="Tc_Xulx4OwXEk-m3VFRch2m4A_44_14"/>
      <w:bookmarkStart w:id="398" w:name="Tc_hdaIrsOVFU-SGnZvH2-UuQ_44_11"/>
      <w:bookmarkStart w:id="399" w:name="Tc_ElT5vhISP0GcPFPqD_f3DA_44_0"/>
      <w:bookmarkStart w:id="400" w:name="Tc_mNTMJQGQxUOnmMRh8gbwSg_43_17"/>
      <w:bookmarkStart w:id="401" w:name="Tc_6V13ehFls0qy4L1ffwsrJw_43_11"/>
      <w:bookmarkStart w:id="402" w:name="Tc_UcTanytBCkqQSmC5XSrceA_43_5"/>
      <w:bookmarkStart w:id="403" w:name="Tc_ReLNFxCsU0O2vrFGTsLoDQ_43_0"/>
      <w:bookmarkStart w:id="404" w:name="Tc_JWbGE_jOJUuTIKRsCJdZsA_42_11"/>
      <w:bookmarkStart w:id="405" w:name="Tc_Q4A_kXTyakCJeOqi_HtcXw_42_8"/>
      <w:bookmarkStart w:id="406" w:name="Tc_cgOzlOSNFUajAzKv1uA28g_42_5"/>
      <w:bookmarkStart w:id="407" w:name="Tc_pVdRoDQ-_EO0ZgQOFQnpXA_42_2"/>
      <w:bookmarkStart w:id="408" w:name="Tc_3QXDRa7Ms0GYWcllarUGuw_42_0"/>
      <w:bookmarkStart w:id="409" w:name="Tc_iU-pVRQre0WBzTTT3XbkkA_41_17"/>
      <w:bookmarkStart w:id="410" w:name="Tc_nokkQnuNRE27w_U_fDlm7A_41_14"/>
      <w:bookmarkStart w:id="411" w:name="Tc__Cr9w4x_k0GvO3bNYxlp2Q_41_11"/>
      <w:bookmarkStart w:id="412" w:name="Tc_Xgperxt0PUegU9W5Y82qEw_41_8"/>
      <w:bookmarkStart w:id="413" w:name="Tc_UHX63ZHtb0ubULfyqwpnjA_41_5"/>
      <w:bookmarkStart w:id="414" w:name="Tc_xavorKUIdkuqCf1_JdYYlQ_41_0"/>
      <w:bookmarkStart w:id="415" w:name="Tc_JsaikI2CMUmVuBpUBFWt6Q_40_17"/>
      <w:bookmarkStart w:id="416" w:name="Tc_K-WNQKSInk2BcQ6pKwykTA_40_14"/>
      <w:bookmarkStart w:id="417" w:name="Tc_9gNNiPG80UWpzhxLrizlLA_40_11"/>
      <w:bookmarkStart w:id="418" w:name="Tc_RlQuGcIB-UejVfk4SFabfA_40_8"/>
      <w:bookmarkStart w:id="419" w:name="Tc_DJ5TjnBsfUqjXebWqWHhcg_40_5"/>
      <w:bookmarkStart w:id="420" w:name="Tc_ZTBHx8Eh8EeWb4CWTjt0rw_40_0"/>
      <w:bookmarkStart w:id="421" w:name="Tc_rSgW6AvIcUWdONQurFdhYw_39_16"/>
      <w:bookmarkStart w:id="422" w:name="Tc_NQpoWHh-D0qS3ejLjWq9mg_39_14"/>
      <w:bookmarkStart w:id="423" w:name="Tc_ka0pIGEv7kKb5TO-Ibo18Q_39_13"/>
      <w:bookmarkStart w:id="424" w:name="Tc_J_Zh4e1o-ECTEj0ib-gqTQ_39_10"/>
      <w:bookmarkStart w:id="425" w:name="Tc_o2tdK04MXkyWOAgBwuTUTA_39_7"/>
      <w:bookmarkStart w:id="426" w:name="Tc_lgp0yZz_GEKbeYkU4kK2rw_39_4"/>
      <w:bookmarkStart w:id="427" w:name="Tc_HsfUjqFnnUSzNm6AbmzkUA_39_0"/>
      <w:bookmarkStart w:id="428" w:name="Tc_L5uil1xFmEq8uN5HeslcKA_38_0"/>
      <w:bookmarkStart w:id="429" w:name="Tc_hONFEIK91EWllSW2IFSDCA_36_16"/>
      <w:bookmarkStart w:id="430" w:name="Tc_PLYMWtgvIEKJraLkT2HKVg_36_14"/>
      <w:bookmarkStart w:id="431" w:name="Tc_OOVLY2yJB0O03Dq4ECflpA_36_13"/>
      <w:bookmarkStart w:id="432" w:name="Tc_5y8eSGwC60W_EACuBtF13A_36_10"/>
      <w:bookmarkStart w:id="433" w:name="Tc_2wZ2jfLxLUed9Ll2PuMoGQ_36_7"/>
      <w:bookmarkStart w:id="434" w:name="Tc_OtBglDTtN0yX65cPZ4wF3Q_36_4"/>
      <w:bookmarkStart w:id="435" w:name="Tc_iOKaPos61EWBZ7V_488izw_36_0"/>
      <w:bookmarkStart w:id="436" w:name="Tc_d2c7iuXW706Hw60yV_hOgA_35_14"/>
      <w:bookmarkStart w:id="437" w:name="Tc_WckgvUO6d061hcgCIStXGg_35_8"/>
      <w:bookmarkStart w:id="438" w:name="Tc_CZ9VYAYsmU-j16Y95UaBcQ_35_5"/>
      <w:bookmarkStart w:id="439" w:name="Tc_5d5euvO6JE2gLwUaT1Tyvw_35_2"/>
      <w:bookmarkStart w:id="440" w:name="Tc_b7wSglgYF0WednRQIjJT0A_35_0"/>
      <w:bookmarkStart w:id="441" w:name="Tc_yLblqJc-4Ua1ufNkQYmN_A_34_14"/>
      <w:bookmarkStart w:id="442" w:name="Tc_Aq7oJ-J3mUW0ZOZ13LdlZA_34_8"/>
      <w:bookmarkStart w:id="443" w:name="Tc_3REnrJcumEeJzKO4wjVQ-w_34_5"/>
      <w:bookmarkStart w:id="444" w:name="Tc_QUFdrq_jD0SOfsXFtJZAwQ_34_2"/>
      <w:bookmarkStart w:id="445" w:name="Tc_9KpLrpllW02Ez5R5so0PKw_34_0"/>
      <w:bookmarkStart w:id="446" w:name="Tc_qdJp6IYrxECGOhwu-kVtRw_33_14"/>
      <w:bookmarkStart w:id="447" w:name="Tc_BZNzbPjoMkWNz43t2ozu6A_33_11"/>
      <w:bookmarkStart w:id="448" w:name="Tc_p9s1D_t7M0-UgDQDHEufUA_33_5"/>
      <w:bookmarkStart w:id="449" w:name="Tc_nhtD0EOlXkifr5Pj1zKORw_33_2"/>
      <w:bookmarkStart w:id="450" w:name="Tc_QbIp9Uc73kuld5y4UmsKag_33_0"/>
      <w:bookmarkStart w:id="451" w:name="Tc_UNVz6Dkq5EKo3WzTOI7Qlg_32_14"/>
      <w:bookmarkStart w:id="452" w:name="Tc_W3qrFzOpZEWQZ-rM1rffoA_32_11"/>
      <w:bookmarkStart w:id="453" w:name="Tc_Qoz4b19TLkisbPavqoRTQw_32_5"/>
      <w:bookmarkStart w:id="454" w:name="Tc_u2fE9qzsBUSzfudRJ2Cn8g_32_2"/>
      <w:bookmarkStart w:id="455" w:name="Tc_sAFt_4p1YEGiLkFRnP7xhQ_32_0"/>
      <w:bookmarkStart w:id="456" w:name="Tc_QjWmXskB-Ey5Q3CNcvlF6w_31_14"/>
      <w:bookmarkStart w:id="457" w:name="Tc_xbjj3A4m3USYG5DNURA74g_31_11"/>
      <w:bookmarkStart w:id="458" w:name="Tc_I_a15F_lqUWKnacXVpb5ew_31_5"/>
      <w:bookmarkStart w:id="459" w:name="Tc_tHPT48_oxk-arXil3a2alA_31_0"/>
      <w:bookmarkStart w:id="460" w:name="Tc_FdkuLNuTlkSZYC_vGfndQQ_30_17"/>
      <w:bookmarkStart w:id="461" w:name="Tc_Gi5p7-8Te0-xGnXpVLvZgQ_30_11"/>
      <w:bookmarkStart w:id="462" w:name="Tc_rBJwCIxEf0S3v8V_XXHKNA_30_5"/>
      <w:bookmarkStart w:id="463" w:name="Tc_BtHo2BoNsEaKqHATqEIPrQ_30_0"/>
      <w:bookmarkStart w:id="464" w:name="Tc_tZxPqOlyrEqsuqNhGEDOEQ_29_11"/>
      <w:bookmarkStart w:id="465" w:name="Tc_fpZpnFySv0Gb-kEmRc3Q7w_29_8"/>
      <w:bookmarkStart w:id="466" w:name="Tc_mZEAnXoJTUedIClZCzvxXQ_29_5"/>
      <w:bookmarkStart w:id="467" w:name="Tc_tyreSF11tEipAGg0_Q-1UA_29_2"/>
      <w:bookmarkStart w:id="468" w:name="Tc_2Nkiv6KgaEOcK6kOFqaqDw_29_0"/>
      <w:bookmarkStart w:id="469" w:name="Tc_-EjbUNqBDU-IJeH0QaHBtw_28_16"/>
      <w:bookmarkStart w:id="470" w:name="Tc_dNth1Zf_6Uqo8_SFkVIGFQ_28_14"/>
      <w:bookmarkStart w:id="471" w:name="Tc_3IIslB09DUuIMGDI42IOYw_28_13"/>
      <w:bookmarkStart w:id="472" w:name="Tc_41iA4e-okUiOUjjHqA61RA_28_10"/>
      <w:bookmarkStart w:id="473" w:name="Tc_P44ZZ30ddkKT8nT_JEe44g_28_7"/>
      <w:bookmarkStart w:id="474" w:name="Tc_19NhTlMk30GPhXgUaYQGqw_28_4"/>
      <w:bookmarkStart w:id="475" w:name="Tc_W2mnnPez_kChJCiFmgkrow_28_0"/>
      <w:bookmarkStart w:id="476" w:name="Tc_ycc4pEMJVEqW4_joKaQD0g_27_0"/>
      <w:bookmarkStart w:id="477" w:name="Tc_KM8mWtBE60KW-83Vw8d2LQ_25_16"/>
      <w:bookmarkStart w:id="478" w:name="Tc_Tax9uMs7FECtnKMkohy7hw_25_14"/>
      <w:bookmarkStart w:id="479" w:name="Tc_xo3ug5wWykmHitW4U3Bl5A_25_13"/>
      <w:bookmarkStart w:id="480" w:name="Tc_VJgKQt6gNEmJuKlQ5cRT8A_25_10"/>
      <w:bookmarkStart w:id="481" w:name="Tc_4_IGucJct0Gk3egOoJ9kOw_25_7"/>
      <w:bookmarkStart w:id="482" w:name="Tc_JZhi6CT4bESXRwn0PmZrRQ_25_4"/>
      <w:bookmarkStart w:id="483" w:name="Tc_O5tmDjbjD0K6CV84BQP-CQ_25_0"/>
      <w:bookmarkStart w:id="484" w:name="Tc_mhxaDZ2xD0mvGg-sz3GUUg_24_14"/>
      <w:bookmarkStart w:id="485" w:name="Tc_azcfSfOwwkyfUxRK3VFdbg_24_8"/>
      <w:bookmarkStart w:id="486" w:name="Tc_unj0zf8OZ0eNnaUryS01Ag_24_5"/>
      <w:bookmarkStart w:id="487" w:name="Tc_LMiHLIIct0G5Qb18RkJpnQ_24_2"/>
      <w:bookmarkStart w:id="488" w:name="Tc_D5KVhnBfOkas5SmGkMPgjg_24_0"/>
      <w:bookmarkStart w:id="489" w:name="Tc_KsNGKHYvDEKxU4julNRD_g_23_14"/>
      <w:bookmarkStart w:id="490" w:name="Tc_WMoBLHZLRECcSY0dhM26BA_23_8"/>
      <w:bookmarkStart w:id="491" w:name="Tc_2fjsBQrZF0qjNF7iAkGOAw_23_5"/>
      <w:bookmarkStart w:id="492" w:name="Tc_kTX8DH1PvE226RudLVj6-A_23_2"/>
      <w:bookmarkStart w:id="493" w:name="Tc_BR-UYhTNTE-9KVydx2_7xA_23_0"/>
      <w:bookmarkStart w:id="494" w:name="Tc_4HKBhQFu7UuUUcPN5-EicQ_22_14"/>
      <w:bookmarkStart w:id="495" w:name="Tc_0rhrl7nHj0iJ3tXzYBtfMw_22_11"/>
      <w:bookmarkStart w:id="496" w:name="Tc_B7kjLHl-sUGM0BgzgD-vbg_22_5"/>
      <w:bookmarkStart w:id="497" w:name="Tc_BYzeyxqfQkWukDZ83IeDGg_22_2"/>
      <w:bookmarkStart w:id="498" w:name="Tc_Vy5n_BXCYkCDTo-XeCtNWA_22_0"/>
      <w:bookmarkStart w:id="499" w:name="Tc_j_TWmiC9mUKuMqUqwMvEQg_21_14"/>
      <w:bookmarkStart w:id="500" w:name="Tc_4d3C8f1dIUOiPctSuxMoDw_21_11"/>
      <w:bookmarkStart w:id="501" w:name="Tc_VIOQ7UXc20qEKGqd921HyQ_21_5"/>
      <w:bookmarkStart w:id="502" w:name="Tc_y9KTxkbWX0upzic32t0zLA_21_2"/>
      <w:bookmarkStart w:id="503" w:name="Tc_BGNHi8ApIkukQbSUi_lpAw_21_0"/>
      <w:bookmarkStart w:id="504" w:name="Tc_uM4P1IbbpUKOGe3QnTzbYQ_20_14"/>
      <w:bookmarkStart w:id="505" w:name="Tc_fx3iz2knKUqJhKYZUfLxAA_20_11"/>
      <w:bookmarkStart w:id="506" w:name="Tc_6SbADtvu_Eyj7EyEc9XUFA_20_0"/>
      <w:bookmarkStart w:id="507" w:name="Tc_1uA-euvO5kKO8Mo-co22Bw_19_17"/>
      <w:bookmarkStart w:id="508" w:name="Tc_Z14eAQSUn0-eAqhNGCMD1w_19_11"/>
      <w:bookmarkStart w:id="509" w:name="Tc_ISCZIItLmE2-1d4QfUeOxA_19_5"/>
      <w:bookmarkStart w:id="510" w:name="Tc_1WIqhdMIikqC9WGu55rAyw_19_0"/>
      <w:bookmarkStart w:id="511" w:name="Tc_yqTIpwSpbEy5OhIip3aYmQ_18_11"/>
      <w:bookmarkStart w:id="512" w:name="Tc_OkymtYdB8UGI3vu-3r4Kew_18_8"/>
      <w:bookmarkStart w:id="513" w:name="Tc_m6v1kMGgzU-qe2x_jUF73g_18_5"/>
      <w:bookmarkStart w:id="514" w:name="Tc_JQY1ACNo_UqUZNxH9VHPsQ_18_2"/>
      <w:bookmarkStart w:id="515" w:name="Tc_wTRbRgmYdkOTtqlYu5C5Ig_18_0"/>
      <w:bookmarkStart w:id="516" w:name="Tc__koe33HtnEeQCN1QdSttUA_17_17"/>
      <w:bookmarkStart w:id="517" w:name="Tc_0kFK-eO-lkC-N3otd7tc0A_17_14"/>
      <w:bookmarkStart w:id="518" w:name="Tc_ozR7g61CjkeZWqIDQZSjuA_17_11"/>
      <w:bookmarkStart w:id="519" w:name="Tc_d8t2OvEIYkKe79IFeZQBCA_17_0"/>
      <w:bookmarkStart w:id="520" w:name="Tc_oUPk5dtLc0SH549-RG2nGQ_16_16"/>
      <w:bookmarkStart w:id="521" w:name="Tc_lQpQk3SZn0-m8PW-J3RP0Q_16_14"/>
      <w:bookmarkStart w:id="522" w:name="Tc_kceeShyYS0WzsSz9JGyrLg_16_13"/>
      <w:bookmarkStart w:id="523" w:name="Tc_80JLyzKbkkG7MFFNIQSs8g_16_10"/>
      <w:bookmarkStart w:id="524" w:name="Tc_fVmw68t2BUCljrjaWOWfxg_16_7"/>
      <w:bookmarkStart w:id="525" w:name="Tc_xNw2B7P3tk-VGlGW0PnIDQ_16_4"/>
      <w:bookmarkStart w:id="526" w:name="Tc_LecutyTUc0u9Fl8PN4vrUA_16_0"/>
      <w:bookmarkStart w:id="527" w:name="Tc_0nn5EvxLhESjWCp7kb2ixg_15_0"/>
      <w:bookmarkStart w:id="528" w:name="Tc_WFfuu6UCY0eFdID5NIx5xQ_13_16"/>
      <w:bookmarkStart w:id="529" w:name="Tc_gOV52v1nZk6evpc22_7amw_13_14"/>
      <w:bookmarkStart w:id="530" w:name="Tc_UKJyACgoIkyZABFozhmz1g_13_13"/>
      <w:bookmarkStart w:id="531" w:name="Tc_kPnQb43KJEq82qkIrAtVzw_13_10"/>
      <w:bookmarkStart w:id="532" w:name="Tc_PI4S8Kd0kEOtPxjrKSdnYQ_13_7"/>
      <w:bookmarkStart w:id="533" w:name="Tc_kKFMEeCXQk6c216d2oEWQg_13_4"/>
      <w:bookmarkStart w:id="534" w:name="Tc_EtzxCITSxkqkZH-0hJvPXA_13_0"/>
      <w:bookmarkStart w:id="535" w:name="Tc_w2gpwHMRW0y3usSJt7cLDg_12_14"/>
      <w:bookmarkStart w:id="536" w:name="Tc_6bZ4FP9aM0aidrLUbPNp6A_12_8"/>
      <w:bookmarkStart w:id="537" w:name="Tc_6YNCpQBLVkeai9rCuU9hOg_12_5"/>
      <w:bookmarkStart w:id="538" w:name="Tc_IEDc0gFXOEGFwouCBiGc6w_12_2"/>
      <w:bookmarkStart w:id="539" w:name="Tc_gn7MrH-VKUmhVbUSJgRM3g_12_0"/>
      <w:bookmarkStart w:id="540" w:name="Tc_9RQIwgFrKUSd-VPBT_hJqQ_11_14"/>
      <w:bookmarkStart w:id="541" w:name="Tc_HNMBJtJEoEKe73-lWAHCzA_11_8"/>
      <w:bookmarkStart w:id="542" w:name="Tc_qwnLX04XcU2-Up-eGVSJIA_11_5"/>
      <w:bookmarkStart w:id="543" w:name="Tc_NvRupRzaTk6AtHYR4XQcKQ_11_2"/>
      <w:bookmarkStart w:id="544" w:name="Tc_FM2FhZsqu02wlvUoPvi4Ug_11_0"/>
      <w:bookmarkStart w:id="545" w:name="Tc_vkTfNrQnXEib_a76hc8wjw_10_14"/>
      <w:bookmarkStart w:id="546" w:name="Tc_JQYvwy-2kUePQr0nmEmHNQ_10_11"/>
      <w:bookmarkStart w:id="547" w:name="Tc_stUbc5AtrE2e9JH-6ySAKw_10_5"/>
      <w:bookmarkStart w:id="548" w:name="Tc_-fqjcQ9qLk-X6b41jLGODw_10_2"/>
      <w:bookmarkStart w:id="549" w:name="Tc_arveRULTc0CEDyTxhKFG_g_10_0"/>
      <w:bookmarkStart w:id="550" w:name="Tc_6DORtVf67kKRVAKBfhAWFw_9_14"/>
      <w:bookmarkStart w:id="551" w:name="Tc_Nld-s9hjTUWec1ORY5YiBQ_9_11"/>
      <w:bookmarkStart w:id="552" w:name="Tc_GbGdxArYQkWtd9mHuzLAdQ_9_5"/>
      <w:bookmarkStart w:id="553" w:name="Tc__bgoCdmWFEazOOHF-_4lyQ_9_2"/>
      <w:bookmarkStart w:id="554" w:name="Tc_Mfrtim8ClEKHRYgp-lsrcw_9_0"/>
      <w:bookmarkStart w:id="555" w:name="Tc_GCtUjvMq6USmjWfUyz2QUg_8_14"/>
      <w:bookmarkStart w:id="556" w:name="Tc_jiCr1IjkCkK8aN9lJLUp0w_8_11"/>
      <w:bookmarkStart w:id="557" w:name="Tc_LIhbf1j3LU-dPxJGDncQGg_8_0"/>
      <w:bookmarkStart w:id="558" w:name="Tc_7yBuq2MgW025qJ-5H_42CQ_7_17"/>
      <w:bookmarkStart w:id="559" w:name="Tc_oDRJzeedBkWcY2HiN86DxA_7_11"/>
      <w:bookmarkStart w:id="560" w:name="Tc_-tl-Pofo6ESH51brm7Bo9g_7_5"/>
      <w:bookmarkStart w:id="561" w:name="Tc_Ekz69TfffEml49dvtDPQVw_7_0"/>
      <w:bookmarkStart w:id="562" w:name="Tc_dCccC6eB00mfLVAvuCoREA_6_11"/>
      <w:bookmarkStart w:id="563" w:name="Tc_ymqJba91bU6rZUSCHpXfDA_6_8"/>
      <w:bookmarkStart w:id="564" w:name="Tc_O-2UI4j9_UuXeGH0TRBsAA_6_5"/>
      <w:bookmarkStart w:id="565" w:name="Tc_PaO4lpcZm0Kw6bsCjZn79A_6_2"/>
      <w:bookmarkStart w:id="566" w:name="Tc_ubkP2lVBokOmDfLHQi4sHw_6_0"/>
      <w:bookmarkStart w:id="567" w:name="Tc_OHfDpQHrO0KFoj33EDHnLA_5_16"/>
      <w:bookmarkStart w:id="568" w:name="Tc_e3H26E9I_k-9VsdoGw4dZg_5_14"/>
      <w:bookmarkStart w:id="569" w:name="Tc_qLhi65EUjU2s8tlXu_K_mg_5_13"/>
      <w:bookmarkStart w:id="570" w:name="Tc_L-cXKH_0ekOVx4r0Udj2Ag_5_10"/>
      <w:bookmarkStart w:id="571" w:name="Tc_4k1m6ImIeUmloALXiYH_zQ_5_7"/>
      <w:bookmarkStart w:id="572" w:name="Tc_qe7aCIn47UedszPMzw_dfw_5_4"/>
      <w:bookmarkStart w:id="573" w:name="Tc_kgMNZbwX9U-oIidQSPZ23g_5_0"/>
      <w:bookmarkStart w:id="574" w:name="Tc_gHBJD4om9U6ifTXJwEoeWA_4_0"/>
      <w:bookmarkStart w:id="575" w:name="Tc_FpNXOKLPJE2Av5TlNG0hWQ_3_16"/>
      <w:bookmarkStart w:id="576" w:name="Tc_R6QvDwWQcEuJbhjyI3UQyw_3_13"/>
      <w:bookmarkStart w:id="577" w:name="Tc_dupd8JNzXkCbBzamd1ABqg_3_10"/>
      <w:bookmarkStart w:id="578" w:name="Tc_gs3_iqbve0uNzVU2u4tkqw_3_7"/>
      <w:bookmarkStart w:id="579" w:name="Tc_IOL9JbrBG0G8PysCB_EkLQ_3_4"/>
      <w:bookmarkStart w:id="580" w:name="Tc_HfcPJz4agE6NXxyW7GDKSQ_3_2"/>
      <w:bookmarkStart w:id="581" w:name="Tc_p-I5-_PwYki89vfpcgeoIg_2_16"/>
      <w:bookmarkStart w:id="582" w:name="Tc_9yybr9g9A0KhvZBQdvnUkQ_2_13"/>
      <w:bookmarkStart w:id="583" w:name="Tc_tjCbC53AlEmk2jQfSAJEug_2_10"/>
      <w:bookmarkStart w:id="584" w:name="Tc_XITNDu4DV0K1k83UTurtNg_2_7"/>
      <w:bookmarkStart w:id="585" w:name="Tc_8wi1_btWeEKYVaqmIX1MAA_2_2"/>
      <w:bookmarkStart w:id="586" w:name="Tc_QcsdVkgWJkmyBN5s1F3EJA_1_16"/>
      <w:bookmarkStart w:id="587" w:name="Tc_uRE3tneqAkekT1iybjit4g_1_7"/>
      <w:bookmarkStart w:id="588" w:name="_06ea1a7d_4c1b_4643_b930_3fb3fce994fd"/>
      <w:bookmarkStart w:id="589" w:name="Tc_PxAEPA3C-UWWHVnT0L7ArA_49_16"/>
      <w:bookmarkStart w:id="590" w:name="Tc_EJ9Jkfu9r0i3eiP_E3rTFw_49_14"/>
      <w:bookmarkStart w:id="591" w:name="Tc_z6GX0OBzU025eOlp6De2Ew_49_13"/>
      <w:bookmarkStart w:id="592" w:name="Tc_zjUc4SCdSEiOmSoKcgnTBw_49_10"/>
      <w:bookmarkStart w:id="593" w:name="Tc_I7ZhmKMEvUCD93eu5X_HJg_49_7"/>
      <w:bookmarkStart w:id="594" w:name="Tc_sbRnvUWZJ0uv61iwxscruw_49_4"/>
      <w:bookmarkStart w:id="595" w:name="Tc_bFfMxNfAJkKziW37nJO5Wg_49_0"/>
      <w:bookmarkStart w:id="596" w:name="Tc_OUQv4wSxXUq07WxTsaF9gQ_48_14"/>
      <w:bookmarkStart w:id="597" w:name="Tc_ZEfOQDFwF0CKCqm0QJ0sIw_48_8"/>
      <w:bookmarkStart w:id="598" w:name="Tc_hL_661FOMUOF5KrwC7guFg_48_5"/>
      <w:bookmarkStart w:id="599" w:name="Tc_xC-NiYFoRkyXioUNpCeEeA_48_2"/>
      <w:bookmarkStart w:id="600" w:name="Tc_XWIbLehElUyhNGZupf6Ugw_48_0"/>
      <w:bookmarkStart w:id="601" w:name="Tc_UIVMSEGFhkCOpM74wOdCbw_47_14"/>
      <w:bookmarkStart w:id="602" w:name="Tc_5Vgng4-lvUa6hlAd5U-W1Q_47_8"/>
      <w:bookmarkStart w:id="603" w:name="Tc_sUAwMxVEKUWn1de7gJk3Bw_47_5"/>
      <w:bookmarkStart w:id="604" w:name="Tc_LdtP6FKfbkKdbbSrVKNRRg_47_2"/>
      <w:bookmarkStart w:id="605" w:name="Tc_5Mu5w1gQ40uAf-RrG-b3dw_47_0"/>
      <w:bookmarkStart w:id="606" w:name="Tc_QGxugQvLnEKzIF8Dl8Tc-A_46_14"/>
      <w:bookmarkStart w:id="607" w:name="Tc_qahKhws6ckyRlHfyU3kwUA_46_11"/>
      <w:bookmarkStart w:id="608" w:name="Tc_C0PrSxp9uEiz1tCBP6hzFg_46_5"/>
      <w:bookmarkStart w:id="609" w:name="Tc_-lyOK9yEKE2oaC9kBFoSIw_46_2"/>
      <w:bookmarkStart w:id="610" w:name="Tc_XcqwqeGXpk-pHJVheztIQw_46_0"/>
      <w:bookmarkStart w:id="611" w:name="Tc_ODJ-Ft7vT0SnTLihR1DBqw_45_14"/>
      <w:bookmarkStart w:id="612" w:name="Tc_Y4JrPynpIEqgH-kfaZQJ1g_45_11"/>
      <w:bookmarkStart w:id="613" w:name="Tc_NK8zv7jwwEOg1oFzy31HvA_45_5"/>
      <w:bookmarkStart w:id="614" w:name="Tc_ekXRmbpL6EyljrTbpwAHsA_45_2"/>
      <w:bookmarkStart w:id="615" w:name="Tc_iajV12x2tU25NGl52MRudg_45_0"/>
      <w:bookmarkStart w:id="616" w:name="Tc_Xulx4OwXEk-m3VFRch2m4A_44_14"/>
      <w:bookmarkStart w:id="617" w:name="Tc_hdaIrsOVFU-SGnZvH2-UuQ_44_11"/>
      <w:bookmarkStart w:id="618" w:name="Tc_ElT5vhISP0GcPFPqD_f3DA_44_0"/>
      <w:bookmarkStart w:id="619" w:name="Tc_mNTMJQGQxUOnmMRh8gbwSg_43_17"/>
      <w:bookmarkStart w:id="620" w:name="Tc_6V13ehFls0qy4L1ffwsrJw_43_11"/>
      <w:bookmarkStart w:id="621" w:name="Tc_UcTanytBCkqQSmC5XSrceA_43_5"/>
      <w:bookmarkStart w:id="622" w:name="Tc_ReLNFxCsU0O2vrFGTsLoDQ_43_0"/>
      <w:bookmarkStart w:id="623" w:name="Tc_JWbGE_jOJUuTIKRsCJdZsA_42_11"/>
      <w:bookmarkStart w:id="624" w:name="Tc_Q4A_kXTyakCJeOqi_HtcXw_42_8"/>
      <w:bookmarkStart w:id="625" w:name="Tc_cgOzlOSNFUajAzKv1uA28g_42_5"/>
      <w:bookmarkStart w:id="626" w:name="Tc_pVdRoDQ-_EO0ZgQOFQnpXA_42_2"/>
      <w:bookmarkStart w:id="627" w:name="Tc_3QXDRa7Ms0GYWcllarUGuw_42_0"/>
      <w:bookmarkStart w:id="628" w:name="Tc_iU-pVRQre0WBzTTT3XbkkA_41_17"/>
      <w:bookmarkStart w:id="629" w:name="Tc_nokkQnuNRE27w_U_fDlm7A_41_14"/>
      <w:bookmarkStart w:id="630" w:name="Tc__Cr9w4x_k0GvO3bNYxlp2Q_41_11"/>
      <w:bookmarkStart w:id="631" w:name="Tc_Xgperxt0PUegU9W5Y82qEw_41_8"/>
      <w:bookmarkStart w:id="632" w:name="Tc_UHX63ZHtb0ubULfyqwpnjA_41_5"/>
      <w:bookmarkStart w:id="633" w:name="Tc_xavorKUIdkuqCf1_JdYYlQ_41_0"/>
      <w:bookmarkStart w:id="634" w:name="Tc_JsaikI2CMUmVuBpUBFWt6Q_40_17"/>
      <w:bookmarkStart w:id="635" w:name="Tc_K-WNQKSInk2BcQ6pKwykTA_40_14"/>
      <w:bookmarkStart w:id="636" w:name="Tc_9gNNiPG80UWpzhxLrizlLA_40_11"/>
      <w:bookmarkStart w:id="637" w:name="Tc_RlQuGcIB-UejVfk4SFabfA_40_8"/>
      <w:bookmarkStart w:id="638" w:name="Tc_DJ5TjnBsfUqjXebWqWHhcg_40_5"/>
      <w:bookmarkStart w:id="639" w:name="Tc_ZTBHx8Eh8EeWb4CWTjt0rw_40_0"/>
      <w:bookmarkStart w:id="640" w:name="Tc_rSgW6AvIcUWdONQurFdhYw_39_16"/>
      <w:bookmarkStart w:id="641" w:name="Tc_NQpoWHh-D0qS3ejLjWq9mg_39_14"/>
      <w:bookmarkStart w:id="642" w:name="Tc_ka0pIGEv7kKb5TO-Ibo18Q_39_13"/>
      <w:bookmarkStart w:id="643" w:name="Tc_J_Zh4e1o-ECTEj0ib-gqTQ_39_10"/>
      <w:bookmarkStart w:id="644" w:name="Tc_o2tdK04MXkyWOAgBwuTUTA_39_7"/>
      <w:bookmarkStart w:id="645" w:name="Tc_lgp0yZz_GEKbeYkU4kK2rw_39_4"/>
      <w:bookmarkStart w:id="646" w:name="Tc_HsfUjqFnnUSzNm6AbmzkUA_39_0"/>
      <w:bookmarkStart w:id="647" w:name="Tc_L5uil1xFmEq8uN5HeslcKA_38_0"/>
      <w:bookmarkStart w:id="648" w:name="Tc_hONFEIK91EWllSW2IFSDCA_36_16"/>
      <w:bookmarkStart w:id="649" w:name="Tc_PLYMWtgvIEKJraLkT2HKVg_36_14"/>
      <w:bookmarkStart w:id="650" w:name="Tc_OOVLY2yJB0O03Dq4ECflpA_36_13"/>
      <w:bookmarkStart w:id="651" w:name="Tc_5y8eSGwC60W_EACuBtF13A_36_10"/>
      <w:bookmarkStart w:id="652" w:name="Tc_2wZ2jfLxLUed9Ll2PuMoGQ_36_7"/>
      <w:bookmarkStart w:id="653" w:name="Tc_OtBglDTtN0yX65cPZ4wF3Q_36_4"/>
      <w:bookmarkStart w:id="654" w:name="Tc_iOKaPos61EWBZ7V_488izw_36_0"/>
      <w:bookmarkStart w:id="655" w:name="Tc_d2c7iuXW706Hw60yV_hOgA_35_14"/>
      <w:bookmarkStart w:id="656" w:name="Tc_WckgvUO6d061hcgCIStXGg_35_8"/>
      <w:bookmarkStart w:id="657" w:name="Tc_CZ9VYAYsmU-j16Y95UaBcQ_35_5"/>
      <w:bookmarkStart w:id="658" w:name="Tc_5d5euvO6JE2gLwUaT1Tyvw_35_2"/>
      <w:bookmarkStart w:id="659" w:name="Tc_b7wSglgYF0WednRQIjJT0A_35_0"/>
      <w:bookmarkStart w:id="660" w:name="Tc_yLblqJc-4Ua1ufNkQYmN_A_34_14"/>
      <w:bookmarkStart w:id="661" w:name="Tc_Aq7oJ-J3mUW0ZOZ13LdlZA_34_8"/>
      <w:bookmarkStart w:id="662" w:name="Tc_3REnrJcumEeJzKO4wjVQ-w_34_5"/>
      <w:bookmarkStart w:id="663" w:name="Tc_QUFdrq_jD0SOfsXFtJZAwQ_34_2"/>
      <w:bookmarkStart w:id="664" w:name="Tc_9KpLrpllW02Ez5R5so0PKw_34_0"/>
      <w:bookmarkStart w:id="665" w:name="Tc_qdJp6IYrxECGOhwu-kVtRw_33_14"/>
      <w:bookmarkStart w:id="666" w:name="Tc_BZNzbPjoMkWNz43t2ozu6A_33_11"/>
      <w:bookmarkStart w:id="667" w:name="Tc_p9s1D_t7M0-UgDQDHEufUA_33_5"/>
      <w:bookmarkStart w:id="668" w:name="Tc_nhtD0EOlXkifr5Pj1zKORw_33_2"/>
      <w:bookmarkStart w:id="669" w:name="Tc_QbIp9Uc73kuld5y4UmsKag_33_0"/>
      <w:bookmarkStart w:id="670" w:name="Tc_UNVz6Dkq5EKo3WzTOI7Qlg_32_14"/>
      <w:bookmarkStart w:id="671" w:name="Tc_W3qrFzOpZEWQZ-rM1rffoA_32_11"/>
      <w:bookmarkStart w:id="672" w:name="Tc_Qoz4b19TLkisbPavqoRTQw_32_5"/>
      <w:bookmarkStart w:id="673" w:name="Tc_u2fE9qzsBUSzfudRJ2Cn8g_32_2"/>
      <w:bookmarkStart w:id="674" w:name="Tc_sAFt_4p1YEGiLkFRnP7xhQ_32_0"/>
      <w:bookmarkStart w:id="675" w:name="Tc_QjWmXskB-Ey5Q3CNcvlF6w_31_14"/>
      <w:bookmarkStart w:id="676" w:name="Tc_xbjj3A4m3USYG5DNURA74g_31_11"/>
      <w:bookmarkStart w:id="677" w:name="Tc_I_a15F_lqUWKnacXVpb5ew_31_5"/>
      <w:bookmarkStart w:id="678" w:name="Tc_tHPT48_oxk-arXil3a2alA_31_0"/>
      <w:bookmarkStart w:id="679" w:name="Tc_FdkuLNuTlkSZYC_vGfndQQ_30_17"/>
      <w:bookmarkStart w:id="680" w:name="Tc_Gi5p7-8Te0-xGnXpVLvZgQ_30_11"/>
      <w:bookmarkStart w:id="681" w:name="Tc_rBJwCIxEf0S3v8V_XXHKNA_30_5"/>
      <w:bookmarkStart w:id="682" w:name="Tc_BtHo2BoNsEaKqHATqEIPrQ_30_0"/>
      <w:bookmarkStart w:id="683" w:name="Tc_tZxPqOlyrEqsuqNhGEDOEQ_29_11"/>
      <w:bookmarkStart w:id="684" w:name="Tc_fpZpnFySv0Gb-kEmRc3Q7w_29_8"/>
      <w:bookmarkStart w:id="685" w:name="Tc_mZEAnXoJTUedIClZCzvxXQ_29_5"/>
      <w:bookmarkStart w:id="686" w:name="Tc_tyreSF11tEipAGg0_Q-1UA_29_2"/>
      <w:bookmarkStart w:id="687" w:name="Tc_2Nkiv6KgaEOcK6kOFqaqDw_29_0"/>
      <w:bookmarkStart w:id="688" w:name="Tc_-EjbUNqBDU-IJeH0QaHBtw_28_16"/>
      <w:bookmarkStart w:id="689" w:name="Tc_dNth1Zf_6Uqo8_SFkVIGFQ_28_14"/>
      <w:bookmarkStart w:id="690" w:name="Tc_3IIslB09DUuIMGDI42IOYw_28_13"/>
      <w:bookmarkStart w:id="691" w:name="Tc_41iA4e-okUiOUjjHqA61RA_28_10"/>
      <w:bookmarkStart w:id="692" w:name="Tc_P44ZZ30ddkKT8nT_JEe44g_28_7"/>
      <w:bookmarkStart w:id="693" w:name="Tc_19NhTlMk30GPhXgUaYQGqw_28_4"/>
      <w:bookmarkStart w:id="694" w:name="Tc_W2mnnPez_kChJCiFmgkrow_28_0"/>
      <w:bookmarkStart w:id="695" w:name="Tc_ycc4pEMJVEqW4_joKaQD0g_27_0"/>
      <w:bookmarkStart w:id="696" w:name="Tc_KM8mWtBE60KW-83Vw8d2LQ_25_16"/>
      <w:bookmarkStart w:id="697" w:name="Tc_Tax9uMs7FECtnKMkohy7hw_25_14"/>
      <w:bookmarkStart w:id="698" w:name="Tc_xo3ug5wWykmHitW4U3Bl5A_25_13"/>
      <w:bookmarkStart w:id="699" w:name="Tc_VJgKQt6gNEmJuKlQ5cRT8A_25_10"/>
      <w:bookmarkStart w:id="700" w:name="Tc_4_IGucJct0Gk3egOoJ9kOw_25_7"/>
      <w:bookmarkStart w:id="701" w:name="Tc_JZhi6CT4bESXRwn0PmZrRQ_25_4"/>
      <w:bookmarkStart w:id="702" w:name="Tc_O5tmDjbjD0K6CV84BQP-CQ_25_0"/>
      <w:bookmarkStart w:id="703" w:name="Tc_mhxaDZ2xD0mvGg-sz3GUUg_24_14"/>
      <w:bookmarkStart w:id="704" w:name="Tc_azcfSfOwwkyfUxRK3VFdbg_24_8"/>
      <w:bookmarkStart w:id="705" w:name="Tc_unj0zf8OZ0eNnaUryS01Ag_24_5"/>
      <w:bookmarkStart w:id="706" w:name="Tc_LMiHLIIct0G5Qb18RkJpnQ_24_2"/>
      <w:bookmarkStart w:id="707" w:name="Tc_D5KVhnBfOkas5SmGkMPgjg_24_0"/>
      <w:bookmarkStart w:id="708" w:name="Tc_KsNGKHYvDEKxU4julNRD_g_23_14"/>
      <w:bookmarkStart w:id="709" w:name="Tc_WMoBLHZLRECcSY0dhM26BA_23_8"/>
      <w:bookmarkStart w:id="710" w:name="Tc_2fjsBQrZF0qjNF7iAkGOAw_23_5"/>
      <w:bookmarkStart w:id="711" w:name="Tc_kTX8DH1PvE226RudLVj6-A_23_2"/>
      <w:bookmarkStart w:id="712" w:name="Tc_BR-UYhTNTE-9KVydx2_7xA_23_0"/>
      <w:bookmarkStart w:id="713" w:name="Tc_4HKBhQFu7UuUUcPN5-EicQ_22_14"/>
      <w:bookmarkStart w:id="714" w:name="Tc_0rhrl7nHj0iJ3tXzYBtfMw_22_11"/>
      <w:bookmarkStart w:id="715" w:name="Tc_B7kjLHl-sUGM0BgzgD-vbg_22_5"/>
      <w:bookmarkStart w:id="716" w:name="Tc_BYzeyxqfQkWukDZ83IeDGg_22_2"/>
      <w:bookmarkStart w:id="717" w:name="Tc_Vy5n_BXCYkCDTo-XeCtNWA_22_0"/>
      <w:bookmarkStart w:id="718" w:name="Tc_j_TWmiC9mUKuMqUqwMvEQg_21_14"/>
      <w:bookmarkStart w:id="719" w:name="Tc_4d3C8f1dIUOiPctSuxMoDw_21_11"/>
      <w:bookmarkStart w:id="720" w:name="Tc_VIOQ7UXc20qEKGqd921HyQ_21_5"/>
      <w:bookmarkStart w:id="721" w:name="Tc_y9KTxkbWX0upzic32t0zLA_21_2"/>
      <w:bookmarkStart w:id="722" w:name="Tc_BGNHi8ApIkukQbSUi_lpAw_21_0"/>
      <w:bookmarkStart w:id="723" w:name="Tc_uM4P1IbbpUKOGe3QnTzbYQ_20_14"/>
      <w:bookmarkStart w:id="724" w:name="Tc_fx3iz2knKUqJhKYZUfLxAA_20_11"/>
      <w:bookmarkStart w:id="725" w:name="Tc_6SbADtvu_Eyj7EyEc9XUFA_20_0"/>
      <w:bookmarkStart w:id="726" w:name="Tc_1uA-euvO5kKO8Mo-co22Bw_19_17"/>
      <w:bookmarkStart w:id="727" w:name="Tc_Z14eAQSUn0-eAqhNGCMD1w_19_11"/>
      <w:bookmarkStart w:id="728" w:name="Tc_ISCZIItLmE2-1d4QfUeOxA_19_5"/>
      <w:bookmarkStart w:id="729" w:name="Tc_1WIqhdMIikqC9WGu55rAyw_19_0"/>
      <w:bookmarkStart w:id="730" w:name="Tc_yqTIpwSpbEy5OhIip3aYmQ_18_11"/>
      <w:bookmarkStart w:id="731" w:name="Tc_OkymtYdB8UGI3vu-3r4Kew_18_8"/>
      <w:bookmarkStart w:id="732" w:name="Tc_m6v1kMGgzU-qe2x_jUF73g_18_5"/>
      <w:bookmarkStart w:id="733" w:name="Tc_JQY1ACNo_UqUZNxH9VHPsQ_18_2"/>
      <w:bookmarkStart w:id="734" w:name="Tc_wTRbRgmYdkOTtqlYu5C5Ig_18_0"/>
      <w:bookmarkStart w:id="735" w:name="Tc__koe33HtnEeQCN1QdSttUA_17_17"/>
      <w:bookmarkStart w:id="736" w:name="Tc_0kFK-eO-lkC-N3otd7tc0A_17_14"/>
      <w:bookmarkStart w:id="737" w:name="Tc_ozR7g61CjkeZWqIDQZSjuA_17_11"/>
      <w:bookmarkStart w:id="738" w:name="Tc_d8t2OvEIYkKe79IFeZQBCA_17_0"/>
      <w:bookmarkStart w:id="739" w:name="Tc_oUPk5dtLc0SH549-RG2nGQ_16_16"/>
      <w:bookmarkStart w:id="740" w:name="Tc_lQpQk3SZn0-m8PW-J3RP0Q_16_14"/>
      <w:bookmarkStart w:id="741" w:name="Tc_kceeShyYS0WzsSz9JGyrLg_16_13"/>
      <w:bookmarkStart w:id="742" w:name="Tc_80JLyzKbkkG7MFFNIQSs8g_16_10"/>
      <w:bookmarkStart w:id="743" w:name="Tc_fVmw68t2BUCljrjaWOWfxg_16_7"/>
      <w:bookmarkStart w:id="744" w:name="Tc_xNw2B7P3tk-VGlGW0PnIDQ_16_4"/>
      <w:bookmarkStart w:id="745" w:name="Tc_LecutyTUc0u9Fl8PN4vrUA_16_0"/>
      <w:bookmarkStart w:id="746" w:name="Tc_0nn5EvxLhESjWCp7kb2ixg_15_0"/>
      <w:bookmarkStart w:id="747" w:name="Tc_WFfuu6UCY0eFdID5NIx5xQ_13_16"/>
      <w:bookmarkStart w:id="748" w:name="Tc_gOV52v1nZk6evpc22_7amw_13_14"/>
      <w:bookmarkStart w:id="749" w:name="Tc_UKJyACgoIkyZABFozhmz1g_13_13"/>
      <w:bookmarkStart w:id="750" w:name="Tc_kPnQb43KJEq82qkIrAtVzw_13_10"/>
      <w:bookmarkStart w:id="751" w:name="Tc_PI4S8Kd0kEOtPxjrKSdnYQ_13_7"/>
      <w:bookmarkStart w:id="752" w:name="Tc_kKFMEeCXQk6c216d2oEWQg_13_4"/>
      <w:bookmarkStart w:id="753" w:name="Tc_EtzxCITSxkqkZH-0hJvPXA_13_0"/>
      <w:bookmarkStart w:id="754" w:name="Tc_w2gpwHMRW0y3usSJt7cLDg_12_14"/>
      <w:bookmarkStart w:id="755" w:name="Tc_6bZ4FP9aM0aidrLUbPNp6A_12_8"/>
      <w:bookmarkStart w:id="756" w:name="Tc_6YNCpQBLVkeai9rCuU9hOg_12_5"/>
      <w:bookmarkStart w:id="757" w:name="Tc_IEDc0gFXOEGFwouCBiGc6w_12_2"/>
      <w:bookmarkStart w:id="758" w:name="Tc_gn7MrH-VKUmhVbUSJgRM3g_12_0"/>
      <w:bookmarkStart w:id="759" w:name="Tc_9RQIwgFrKUSd-VPBT_hJqQ_11_14"/>
      <w:bookmarkStart w:id="760" w:name="Tc_HNMBJtJEoEKe73-lWAHCzA_11_8"/>
      <w:bookmarkStart w:id="761" w:name="Tc_qwnLX04XcU2-Up-eGVSJIA_11_5"/>
      <w:bookmarkStart w:id="762" w:name="Tc_NvRupRzaTk6AtHYR4XQcKQ_11_2"/>
      <w:bookmarkStart w:id="763" w:name="Tc_FM2FhZsqu02wlvUoPvi4Ug_11_0"/>
      <w:bookmarkStart w:id="764" w:name="Tc_vkTfNrQnXEib_a76hc8wjw_10_14"/>
      <w:bookmarkStart w:id="765" w:name="Tc_JQYvwy-2kUePQr0nmEmHNQ_10_11"/>
      <w:bookmarkStart w:id="766" w:name="Tc_stUbc5AtrE2e9JH-6ySAKw_10_5"/>
      <w:bookmarkStart w:id="767" w:name="Tc_-fqjcQ9qLk-X6b41jLGODw_10_2"/>
      <w:bookmarkStart w:id="768" w:name="Tc_arveRULTc0CEDyTxhKFG_g_10_0"/>
      <w:bookmarkStart w:id="769" w:name="Tc_6DORtVf67kKRVAKBfhAWFw_9_14"/>
      <w:bookmarkStart w:id="770" w:name="Tc_Nld-s9hjTUWec1ORY5YiBQ_9_11"/>
      <w:bookmarkStart w:id="771" w:name="Tc_GbGdxArYQkWtd9mHuzLAdQ_9_5"/>
      <w:bookmarkStart w:id="772" w:name="Tc__bgoCdmWFEazOOHF-_4lyQ_9_2"/>
      <w:bookmarkStart w:id="773" w:name="Tc_Mfrtim8ClEKHRYgp-lsrcw_9_0"/>
      <w:bookmarkStart w:id="774" w:name="Tc_GCtUjvMq6USmjWfUyz2QUg_8_14"/>
      <w:bookmarkStart w:id="775" w:name="Tc_jiCr1IjkCkK8aN9lJLUp0w_8_11"/>
      <w:bookmarkStart w:id="776" w:name="Tc_LIhbf1j3LU-dPxJGDncQGg_8_0"/>
      <w:bookmarkStart w:id="777" w:name="Tc_7yBuq2MgW025qJ-5H_42CQ_7_17"/>
      <w:bookmarkStart w:id="778" w:name="Tc_oDRJzeedBkWcY2HiN86DxA_7_11"/>
      <w:bookmarkStart w:id="779" w:name="Tc_-tl-Pofo6ESH51brm7Bo9g_7_5"/>
      <w:bookmarkStart w:id="780" w:name="Tc_Ekz69TfffEml49dvtDPQVw_7_0"/>
      <w:bookmarkStart w:id="781" w:name="Tc_dCccC6eB00mfLVAvuCoREA_6_11"/>
      <w:bookmarkStart w:id="782" w:name="Tc_ymqJba91bU6rZUSCHpXfDA_6_8"/>
      <w:bookmarkStart w:id="783" w:name="Tc_O-2UI4j9_UuXeGH0TRBsAA_6_5"/>
      <w:bookmarkStart w:id="784" w:name="Tc_PaO4lpcZm0Kw6bsCjZn79A_6_2"/>
      <w:bookmarkStart w:id="785" w:name="Tc_ubkP2lVBokOmDfLHQi4sHw_6_0"/>
      <w:bookmarkStart w:id="786" w:name="Tc_OHfDpQHrO0KFoj33EDHnLA_5_16"/>
      <w:bookmarkStart w:id="787" w:name="Tc_e3H26E9I_k-9VsdoGw4dZg_5_14"/>
      <w:bookmarkStart w:id="788" w:name="Tc_qLhi65EUjU2s8tlXu_K_mg_5_13"/>
      <w:bookmarkStart w:id="789" w:name="Tc_L-cXKH_0ekOVx4r0Udj2Ag_5_10"/>
      <w:bookmarkStart w:id="790" w:name="Tc_4k1m6ImIeUmloALXiYH_zQ_5_7"/>
      <w:bookmarkStart w:id="791" w:name="Tc_qe7aCIn47UedszPMzw_dfw_5_4"/>
      <w:bookmarkStart w:id="792" w:name="Tc_kgMNZbwX9U-oIidQSPZ23g_5_0"/>
      <w:bookmarkStart w:id="793" w:name="Tc_gHBJD4om9U6ifTXJwEoeWA_4_0"/>
      <w:bookmarkStart w:id="794" w:name="Tc_FpNXOKLPJE2Av5TlNG0hWQ_3_16"/>
      <w:bookmarkStart w:id="795" w:name="Tc_R6QvDwWQcEuJbhjyI3UQyw_3_13"/>
      <w:bookmarkStart w:id="796" w:name="Tc_dupd8JNzXkCbBzamd1ABqg_3_10"/>
      <w:bookmarkStart w:id="797" w:name="Tc_gs3_iqbve0uNzVU2u4tkqw_3_7"/>
      <w:bookmarkStart w:id="798" w:name="Tc_IOL9JbrBG0G8PysCB_EkLQ_3_4"/>
      <w:bookmarkStart w:id="799" w:name="Tc_HfcPJz4agE6NXxyW7GDKSQ_3_2"/>
      <w:bookmarkStart w:id="800" w:name="Tc_p-I5-_PwYki89vfpcgeoIg_2_16"/>
      <w:bookmarkStart w:id="801" w:name="Tc_9yybr9g9A0KhvZBQdvnUkQ_2_13"/>
      <w:bookmarkStart w:id="802" w:name="Tc_tjCbC53AlEmk2jQfSAJEug_2_10"/>
      <w:bookmarkStart w:id="803" w:name="Tc_XITNDu4DV0K1k83UTurtNg_2_7"/>
      <w:bookmarkStart w:id="804" w:name="Tc_8wi1_btWeEKYVaqmIX1MAA_2_2"/>
      <w:bookmarkStart w:id="805" w:name="Tc_QcsdVkgWJkmyBN5s1F3EJA_1_16"/>
      <w:bookmarkStart w:id="806" w:name="Tc_uRE3tneqAkekT1iybjit4g_1_7"/>
      <w:bookmarkStart w:id="807" w:name="_06ea1a7d_4c1b_4643_b930_3fb3fce994fd"/>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p>
    <w:tbl>
      <w:tblPr>
        <w:tblW w:w="10205" w:type="dxa"/>
        <w:jc w:val="left"/>
        <w:tblInd w:w="0" w:type="dxa"/>
        <w:tblLayout w:type="fixed"/>
        <w:tblCellMar>
          <w:top w:w="0" w:type="dxa"/>
          <w:left w:w="0" w:type="dxa"/>
          <w:bottom w:w="0" w:type="dxa"/>
          <w:right w:w="0" w:type="dxa"/>
        </w:tblCellMar>
      </w:tblPr>
      <w:tblGrid>
        <w:gridCol w:w="3601"/>
        <w:gridCol w:w="346"/>
        <w:gridCol w:w="541"/>
        <w:gridCol w:w="346"/>
        <w:gridCol w:w="233"/>
        <w:gridCol w:w="447"/>
        <w:gridCol w:w="346"/>
        <w:gridCol w:w="207"/>
        <w:gridCol w:w="604"/>
        <w:gridCol w:w="346"/>
        <w:gridCol w:w="181"/>
        <w:gridCol w:w="601"/>
        <w:gridCol w:w="346"/>
        <w:gridCol w:w="224"/>
        <w:gridCol w:w="467"/>
        <w:gridCol w:w="346"/>
        <w:gridCol w:w="231"/>
        <w:gridCol w:w="792"/>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86635" cy="175260"/>
                      <wp:effectExtent l="0" t="0" r="0" b="0"/>
                      <wp:wrapNone/>
                      <wp:docPr id="44" name="Frame43"/>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43535" cy="175260"/>
                      <wp:effectExtent l="0" t="0" r="0" b="0"/>
                      <wp:wrapNone/>
                      <wp:docPr id="46" name="Frame4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7955" cy="175260"/>
                      <wp:effectExtent l="0" t="0" r="0" b="0"/>
                      <wp:wrapNone/>
                      <wp:docPr id="48" name="Frame4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83845" cy="175260"/>
                      <wp:effectExtent l="0" t="0" r="0" b="0"/>
                      <wp:wrapNone/>
                      <wp:docPr id="49" name="Frame48"/>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1445" cy="175260"/>
                      <wp:effectExtent l="0" t="0" r="0" b="0"/>
                      <wp:wrapNone/>
                      <wp:docPr id="51" name="Frame50"/>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83540" cy="175260"/>
                      <wp:effectExtent l="0" t="0" r="0" b="0"/>
                      <wp:wrapNone/>
                      <wp:docPr id="52" name="Frame51"/>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14935" cy="175260"/>
                      <wp:effectExtent l="0" t="0" r="0" b="0"/>
                      <wp:wrapNone/>
                      <wp:docPr id="54" name="Frame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81635" cy="175260"/>
                      <wp:effectExtent l="0" t="0" r="0" b="0"/>
                      <wp:wrapNone/>
                      <wp:docPr id="55" name="Frame5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42240" cy="175260"/>
                      <wp:effectExtent l="0" t="0" r="0" b="0"/>
                      <wp:wrapNone/>
                      <wp:docPr id="57" name="Frame56"/>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96545" cy="175260"/>
                      <wp:effectExtent l="0" t="0" r="0" b="0"/>
                      <wp:wrapNone/>
                      <wp:docPr id="58" name="Frame57"/>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46685" cy="175260"/>
                      <wp:effectExtent l="0" t="0" r="0" b="0"/>
                      <wp:wrapNone/>
                      <wp:docPr id="60" name="Frame5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02920" cy="175260"/>
                      <wp:effectExtent l="0" t="0" r="0" b="0"/>
                      <wp:wrapNone/>
                      <wp:docPr id="61" name="Frame60"/>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02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360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56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46" w:type="dxa"/>
            <w:tcBorders/>
            <w:vAlign w:val="center"/>
          </w:tcPr>
          <w:p>
            <w:pPr>
              <w:pStyle w:val="TableContents"/>
              <w:bidi w:val="0"/>
              <w:spacing w:before="0" w:after="1"/>
              <w:ind w:left="0" w:right="0" w:hanging="0"/>
              <w:jc w:val="left"/>
              <w:rPr/>
            </w:pPr>
            <w:r>
              <w:rPr/>
              <w:t>​</w:t>
            </w:r>
          </w:p>
        </w:tc>
        <w:tc>
          <w:tcPr>
            <w:tcW w:w="8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346" w:type="dxa"/>
            <w:tcBorders/>
            <w:vAlign w:val="center"/>
          </w:tcPr>
          <w:p>
            <w:pPr>
              <w:pStyle w:val="TableContents"/>
              <w:bidi w:val="0"/>
              <w:spacing w:before="0" w:after="1"/>
              <w:ind w:left="0" w:right="0" w:hanging="0"/>
              <w:jc w:val="left"/>
              <w:rPr/>
            </w:pPr>
            <w:r>
              <w:rPr/>
              <w:t>​</w:t>
            </w:r>
          </w:p>
        </w:tc>
        <w:tc>
          <w:tcPr>
            <w:tcW w:w="69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Treasury</w:t>
            </w:r>
          </w:p>
        </w:tc>
        <w:tc>
          <w:tcPr>
            <w:tcW w:w="346" w:type="dxa"/>
            <w:tcBorders/>
            <w:vAlign w:val="center"/>
          </w:tcPr>
          <w:p>
            <w:pPr>
              <w:pStyle w:val="TableContents"/>
              <w:bidi w:val="0"/>
              <w:spacing w:before="0" w:after="1"/>
              <w:ind w:left="0" w:right="0" w:hanging="0"/>
              <w:jc w:val="left"/>
              <w:rPr/>
            </w:pPr>
            <w:r>
              <w:rPr/>
              <w:t>​</w:t>
            </w:r>
          </w:p>
        </w:tc>
        <w:tc>
          <w:tcPr>
            <w:tcW w:w="1023"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Par Value</w:t>
            </w:r>
          </w:p>
        </w:tc>
        <w:tc>
          <w:tcPr>
            <w:tcW w:w="346" w:type="dxa"/>
            <w:tcBorders/>
            <w:vAlign w:val="center"/>
          </w:tcPr>
          <w:p>
            <w:pPr>
              <w:pStyle w:val="TableContents"/>
              <w:bidi w:val="0"/>
              <w:spacing w:before="0" w:after="1"/>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346" w:type="dxa"/>
            <w:tcBorders/>
            <w:vAlign w:val="center"/>
          </w:tcPr>
          <w:p>
            <w:pPr>
              <w:pStyle w:val="TableContents"/>
              <w:bidi w:val="0"/>
              <w:spacing w:before="0" w:after="1"/>
              <w:ind w:left="0" w:right="0" w:hanging="0"/>
              <w:jc w:val="left"/>
              <w:rPr/>
            </w:pPr>
            <w:r>
              <w:rPr/>
              <w:t>  ​ ​ ​</w:t>
            </w:r>
          </w:p>
        </w:tc>
        <w:tc>
          <w:tcPr>
            <w:tcW w:w="10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For the Three Months Ended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center"/>
              <w:rPr/>
            </w:pPr>
            <w:r>
              <w:rPr/>
              <w:t>​</w:t>
            </w:r>
          </w:p>
        </w:tc>
        <w:tc>
          <w:tcPr>
            <w:tcW w:w="44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center"/>
              <w:rPr/>
            </w:pPr>
            <w:r>
              <w:rPr/>
              <w:t>​</w:t>
            </w:r>
          </w:p>
        </w:tc>
        <w:tc>
          <w:tcPr>
            <w:tcW w:w="604"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60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center"/>
              <w:rPr/>
            </w:pPr>
            <w:r>
              <w:rPr/>
              <w:t>​</w:t>
            </w:r>
          </w:p>
        </w:tc>
        <w:tc>
          <w:tcPr>
            <w:tcW w:w="46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center"/>
              <w:rPr/>
            </w:pPr>
            <w:r>
              <w:rPr/>
              <w:t>​</w:t>
            </w:r>
          </w:p>
        </w:tc>
        <w:tc>
          <w:tcPr>
            <w:tcW w:w="792" w:type="dxa"/>
            <w:tcBorders/>
            <w:shd w:fill="CCEEFF" w:val="clear"/>
            <w:vAlign w:val="center"/>
          </w:tcPr>
          <w:p>
            <w:pPr>
              <w:pStyle w:val="TableContents"/>
              <w:bidi w:val="0"/>
              <w:spacing w:before="0" w:after="1"/>
              <w:ind w:left="0" w:right="0" w:hanging="0"/>
              <w:jc w:val="center"/>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December 31, 2025</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35,004</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48,843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18,666</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67,544</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repurchases, including stock surrendered for tax withholding</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Retirements of treasury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827</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3,671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3,672</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Offering costs</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(167)</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(167)</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595</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(8,932)</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(8,932)</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dividends paid</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(4,261)</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(4,261)</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March 31, 2026</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35,821</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52,899</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5,473</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58,408</w:t>
            </w:r>
          </w:p>
        </w:tc>
      </w:tr>
      <w:tr>
        <w:trPr/>
        <w:tc>
          <w:tcPr>
            <w:tcW w:w="3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For the Nine Months Ended March 31, 2026</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center"/>
              <w:rPr/>
            </w:pPr>
            <w:r>
              <w:rPr/>
              <w:t>​</w:t>
            </w:r>
          </w:p>
        </w:tc>
        <w:tc>
          <w:tcPr>
            <w:tcW w:w="44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center"/>
              <w:rPr/>
            </w:pPr>
            <w:r>
              <w:rPr/>
              <w:t>​</w:t>
            </w:r>
          </w:p>
        </w:tc>
        <w:tc>
          <w:tcPr>
            <w:tcW w:w="6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center"/>
              <w:rPr/>
            </w:pPr>
            <w:r>
              <w:rPr/>
              <w:t>​</w:t>
            </w:r>
          </w:p>
        </w:tc>
        <w:tc>
          <w:tcPr>
            <w:tcW w:w="46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center"/>
              <w:rPr/>
            </w:pPr>
            <w:r>
              <w:rPr/>
              <w:t>​</w:t>
            </w:r>
          </w:p>
        </w:tc>
        <w:tc>
          <w:tcPr>
            <w:tcW w:w="792" w:type="dxa"/>
            <w:tcBorders/>
            <w:vAlign w:val="center"/>
          </w:tcPr>
          <w:p>
            <w:pPr>
              <w:pStyle w:val="TableContents"/>
              <w:bidi w:val="0"/>
              <w:spacing w:before="0" w:after="1"/>
              <w:ind w:left="0" w:right="0" w:hanging="0"/>
              <w:jc w:val="center"/>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34,337</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46,650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25,129</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71,813</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restricted common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401</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repurchases, including stock surrendered for tax withholding</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(225)</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(225)</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Retirements of treasury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225</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1,130</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4,943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4,944</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Offering costs</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(213)</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(213)</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1,745</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1,745</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(7,043)</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(7,043)</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dividends paid</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(12,613)</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(12,613)</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March 31, 2026</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35,821</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52,899</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5,473</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58,408</w:t>
            </w:r>
          </w:p>
        </w:tc>
      </w:tr>
      <w:tr>
        <w:trPr/>
        <w:tc>
          <w:tcPr>
            <w:tcW w:w="3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For the Three Months Ended March 31, 2025</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34,077</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44,140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32,128</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76,302</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repurchases, including stock surrendered for tax withholding</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Retirements of treasury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221</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1,145</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31" w:type="dxa"/>
            <w:tcBorders/>
            <w:vAlign w:val="center"/>
          </w:tcPr>
          <w:p>
            <w:pPr>
              <w:pStyle w:val="TableContents"/>
              <w:bidi w:val="0"/>
              <w:spacing w:before="0" w:after="1"/>
              <w:ind w:left="0" w:right="0" w:hanging="0"/>
              <w:jc w:val="righ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1,145</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Offering costs</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642</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Net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(2,179)</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(2,179)</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dividends paid</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(4,109)</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(4,109)</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34,284</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45,786</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25,840</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71,660</w:t>
            </w:r>
          </w:p>
        </w:tc>
      </w:tr>
      <w:tr>
        <w:trPr/>
        <w:tc>
          <w:tcPr>
            <w:tcW w:w="36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For the Nine Months Ended 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June 30, 2024</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33,340</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41,091</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40,003</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81,127</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restricted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376</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pPr>
            <w:r>
              <w:rPr/>
              <w:t>—</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Forfeitures of restricted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repurchases, including stock surrendered for tax withholding</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(262)</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(262)</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Retirements of treasury stock</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(262)</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262</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pPr>
            <w:r>
              <w:rPr/>
              <w:t>—</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626</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3,403</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3,404</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Offering costs</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(306)</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(306)</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4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0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1,860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w:t>
            </w:r>
          </w:p>
        </w:tc>
        <w:tc>
          <w:tcPr>
            <w:tcW w:w="46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1,860</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4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0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(1,939)</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w:t>
            </w:r>
          </w:p>
        </w:tc>
        <w:tc>
          <w:tcPr>
            <w:tcW w:w="46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792"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(1,939)</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stock dividends paid</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(12,224)</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(12,224)</w:t>
            </w:r>
          </w:p>
        </w:tc>
      </w:tr>
      <w:tr>
        <w:trPr/>
        <w:tc>
          <w:tcPr>
            <w:tcW w:w="360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Balances at March 31, 2025</w:t>
            </w:r>
          </w:p>
        </w:tc>
        <w:tc>
          <w:tcPr>
            <w:tcW w:w="346" w:type="dxa"/>
            <w:tcBorders/>
            <w:vAlign w:val="center"/>
          </w:tcPr>
          <w:p>
            <w:pPr>
              <w:pStyle w:val="TableContents"/>
              <w:bidi w:val="0"/>
              <w:spacing w:before="0" w:after="1"/>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34,284</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45,786</w:t>
            </w:r>
          </w:p>
        </w:tc>
        <w:tc>
          <w:tcPr>
            <w:tcW w:w="34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25,840</w:t>
            </w:r>
          </w:p>
        </w:tc>
        <w:tc>
          <w:tcPr>
            <w:tcW w:w="346" w:type="dxa"/>
            <w:tcBorders/>
            <w:vAlign w:val="center"/>
          </w:tcPr>
          <w:p>
            <w:pPr>
              <w:pStyle w:val="TableContents"/>
              <w:bidi w:val="0"/>
              <w:spacing w:before="0" w:after="1"/>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67"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2"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71,660</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808" w:name="Note_to_Unaudited_Condensed"/>
      <w:bookmarkStart w:id="809" w:name="Note1SummaryofSignificantEventsandAccoun"/>
      <w:bookmarkEnd w:id="808"/>
      <w:bookmarkEnd w:id="809"/>
      <w:r>
        <w:rPr>
          <w:rFonts w:ascii="Times New Roman;Times;serif" w:hAnsi="Times New Roman;Times;serif"/>
          <w:b/>
          <w:sz w:val="20"/>
        </w:rPr>
        <w:t>Note 1. Financial Statement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Nature of Operations. </w:t>
      </w:r>
      <w:r>
        <w:rPr>
          <w:rFonts w:ascii="Times New Roman;Times;serif" w:hAnsi="Times New Roman;Times;serif"/>
          <w:sz w:val="20"/>
        </w:rPr>
        <w:t>  Evolution Petroleum Corporation (“Evolution,” and together with its consolidated subsidiaries, the “Company”)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oil and natural gas properties consist of non-operated working and mineral interests in </w:t>
      </w:r>
      <w:r>
        <w:rPr>
          <w:rFonts w:ascii="Times New Roman;Times;serif" w:hAnsi="Times New Roman;Times;serif"/>
          <w:color w:val="333333"/>
          <w:sz w:val="20"/>
        </w:rPr>
        <w:t xml:space="preserve">the following areas: the SCOOP and STACK plays of the Anadarko Basin located in central Oklahoma; </w:t>
      </w:r>
      <w:r>
        <w:rPr>
          <w:rFonts w:ascii="Times New Roman;Times;serif" w:hAnsi="Times New Roman;Times;serif"/>
          <w:sz w:val="20"/>
        </w:rPr>
        <w:t xml:space="preserve">the Chaveroo Field in Chaves and Roosevelt Counties of New Mexico; the </w:t>
      </w:r>
      <w:r>
        <w:rPr>
          <w:rFonts w:ascii="Times New Roman;Times;serif" w:hAnsi="Times New Roman;Times;serif"/>
          <w:color w:val="333333"/>
          <w:sz w:val="20"/>
        </w:rPr>
        <w:t xml:space="preserve">Jonah </w:t>
      </w:r>
      <w:r>
        <w:rPr>
          <w:rFonts w:ascii="Times New Roman;Times;serif" w:hAnsi="Times New Roman;Times;serif"/>
          <w:sz w:val="20"/>
        </w:rPr>
        <w:t>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CO</w:t>
      </w:r>
      <w:r>
        <w:rPr>
          <w:rFonts w:ascii="Times New Roman;Times;serif" w:hAnsi="Times New Roman;Times;serif"/>
          <w:sz w:val="15"/>
        </w:rPr>
        <w:t>2</w:t>
      </w:r>
      <w:r>
        <w:rPr>
          <w:rFonts w:ascii="Times New Roman;Times;serif" w:hAnsi="Times New Roman;Times;serif"/>
          <w:sz w:val="20"/>
        </w:rPr>
        <w:t xml:space="preserve"> enhanced oil recovery project; the TexMex interests located in Lea, Eddy and Chaves Counties, New Mexico and Stephens County, Texas; as well as small overriding royalty and mineral interests in Texas and Louisiana.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Interim Financial Statements. </w:t>
      </w:r>
      <w:r>
        <w:rPr>
          <w:rFonts w:ascii="Times New Roman;Times;serif" w:hAnsi="Times New Roman;Times;serif"/>
          <w:sz w:val="20"/>
        </w:rPr>
        <w:t>  The accompanying unaudited condensed consolidated financial statements have been 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2025 Annual Report on Form 10-K for the fiscal year ended June 30, 2025, as filed with the SEC on September 17, 2025.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Principles of Consolidation and Reporting. </w:t>
      </w:r>
      <w:r>
        <w:rPr>
          <w:rFonts w:ascii="Times New Roman;Times;serif" w:hAnsi="Times New Roman;Times;serif"/>
          <w:sz w:val="20"/>
        </w:rPr>
        <w:t xml:space="preserve">  The unaudited condensed consolidated financial statements include the accounts of Evolution Petroleum Corporation and its wholly-owned subsidiaries. All significant intercompany transactions have been eliminated in consolidation. The unaudited condensed consolidated financial statements for the previous year may be condensed or include certain reclassifications to conform to the current presentation. </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Risk and Uncertainties. </w:t>
      </w:r>
      <w:r>
        <w:rPr>
          <w:rFonts w:ascii="Times New Roman;Times;serif" w:hAnsi="Times New Roman;Times;serif"/>
          <w:sz w:val="20"/>
        </w:rPr>
        <w:t>The Company’s oil and natural gas interests are operated by third-party operators and involve other third-party working interest owners. As a result, the Company has limited ability to influence the operation or future development of such properties. However, the Company proactively works with its third-party operators to review the management of capital expenditures for its non-operated working interests.</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Oil and Natural Gas Properties.</w:t>
      </w:r>
      <w:r>
        <w:rPr>
          <w:rFonts w:ascii="Times New Roman;Times;serif" w:hAnsi="Times New Roman;Times;serif"/>
          <w:sz w:val="20"/>
        </w:rPr>
        <w:t xml:space="preserve">   The Company uses the full-cost method of accounting for its investments in oil and 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Use of Estimates. </w:t>
      </w:r>
      <w:r>
        <w:rPr>
          <w:rFonts w:ascii="Times New Roman;Times;serif" w:hAnsi="Times New Roman;Times;serif"/>
          <w:sz w:val="20"/>
        </w:rPr>
        <w:t xml:space="preserve">  The preparation of the Company’s unaudited condensed consolidated financial statements in conformity with GAAP requires the Company to make estimates and assumptions that affect the reported amounts of assets and liabilities and the disclosure of contingent assets and liabilities, if any, at the date of the consolidated financial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statements and the reported amounts of revenues and expenses during the respective reporting periods. Significant 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operating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Segment Information.</w:t>
      </w:r>
      <w:r>
        <w:rPr>
          <w:rFonts w:ascii="Times New Roman;Times;serif" w:hAnsi="Times New Roman;Times;serif"/>
          <w:sz w:val="20"/>
        </w:rPr>
        <w:t xml:space="preserve"> The Company has one reportable segment, which focuses on the ownership of and investment in onshore oil and natural gas properties in the United States. The segment’s revenues are derived from the Company’s interests in the sales of crude oil, natural gas, and NGL production to customers in the United States. The Company evaluates performance based on various financial metrics, including but not limited to consolidated income or loss from operations, net revenue, and cash flow from operations. The Company’s chief executive officer, chief operating officer, and chief financial officer together function as the chief operating decision maker (“CODM”). The CODM manages the Company’s business activities as a single operating segment. </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accounting policies of the one reportable segment are identical to accounting policies described for the consolidated Company. The CODM uses income (loss), as reported in the unaudited condensed consolidated statement of operations to measure segment profitability, assess performance, and manage strategic capital resources allocations. The measure of segment assets is reported as “</w:t>
      </w:r>
      <w:r>
        <w:rPr>
          <w:rFonts w:ascii="Times New Roman;Times;serif" w:hAnsi="Times New Roman;Times;serif"/>
          <w:i/>
          <w:sz w:val="20"/>
        </w:rPr>
        <w:t>Total assets</w:t>
      </w:r>
      <w:r>
        <w:rPr>
          <w:rFonts w:ascii="Times New Roman;Times;serif" w:hAnsi="Times New Roman;Times;serif"/>
          <w:sz w:val="20"/>
        </w:rPr>
        <w:t>” on the unaudited condensed consolidated balance sheets. The significant expense categories regularly provided to and reviewed by the CODM are the expenses categories as noted on the unaudited condensed consolidated statements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July 2025, the FASB issued ASU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xml:space="preserve"> (“ASU 2025-05”). ASU 2025-05 permits companies to apply a practical expedient which assumes that current conditions as of the balance sheet date do not change for the remaining life of the asset when developing estimates for credit losses for accounts receivable and contract assets under Topic 606, </w:t>
      </w:r>
      <w:r>
        <w:rPr>
          <w:rFonts w:ascii="Times New Roman;Times;serif" w:hAnsi="Times New Roman;Times;serif"/>
          <w:i/>
          <w:sz w:val="20"/>
        </w:rPr>
        <w:t>Revenue from Contracts with Customers</w:t>
      </w:r>
      <w:r>
        <w:rPr>
          <w:rFonts w:ascii="Times New Roman;Times;serif" w:hAnsi="Times New Roman;Times;serif"/>
          <w:sz w:val="20"/>
        </w:rPr>
        <w:t>. ASU 2025-05 is effective prospectively for annual reporting periods beginning after December 15, 2025, and interim reporting periods within those annual reporting periods, with early adoption permitted. The Company is currently evaluating ASU 2025-05 and the impact it may have on the Company’s financial position, results of operations, cash flow, or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xml:space="preserve"> (“ASU 2024-03”). ASU 2024-03 increases the transparency of expense information presented in the statement of operations through disclosures of expanded disaggregation of relevant expense captions, including purchases of inventory, employee compensation, depletion, depreciation, and amortization. ASU 2024-03 is effective for annual periods beginning after December 15, 2026, and interim periods within fiscal years beginning after December 15, 2027, with early adoption permitted. The Company is currently evaluating ASU 2024-03 and the impact it may have to the Company’s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ASU 2023-09, Improvements to </w:t>
      </w:r>
      <w:r>
        <w:rPr>
          <w:rFonts w:ascii="Times New Roman;Times;serif" w:hAnsi="Times New Roman;Times;serif"/>
          <w:i/>
          <w:sz w:val="20"/>
        </w:rPr>
        <w:t xml:space="preserve">Income Tax Disclosures </w:t>
      </w:r>
      <w:r>
        <w:rPr>
          <w:rFonts w:ascii="Times New Roman;Times;serif" w:hAnsi="Times New Roman;Times;serif"/>
          <w:sz w:val="20"/>
        </w:rPr>
        <w:t>(“ASU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and can be implemented either prospectively or retrospectively. As such, the Company adopted ASU 2023-09 effective July 1, 2025. The Company will include the applicable enhanced disclosures in its annual financial statements for the fiscal year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accounting pronouncements that have recently been issued by the FASB or other standards-setting bodies are not expected to have a material impact on the Company’s financial position, results of operations, cash flows, or disclosures.</w:t>
      </w:r>
    </w:p>
    <w:p>
      <w:pPr>
        <w:pStyle w:val="TextBody"/>
        <w:bidi w:val="0"/>
        <w:spacing w:before="0" w:after="240"/>
        <w:ind w:left="0" w:right="0" w:hanging="0"/>
        <w:jc w:val="left"/>
        <w:rPr>
          <w:rFonts w:ascii="Times New Roman;Times;serif" w:hAnsi="Times New Roman;Times;serif"/>
          <w:b/>
          <w:sz w:val="20"/>
        </w:rPr>
      </w:pPr>
      <w:bookmarkStart w:id="810" w:name="Tc_W_xmTOwuVEC-O3Svl41Ieg_8_11"/>
      <w:bookmarkStart w:id="811" w:name="Tc_bOuSfWOZ-kmvYqONdBh-YQ_8_8"/>
      <w:bookmarkStart w:id="812" w:name="Tc_-bGI1MHm806MO19UqZdkFg_8_5"/>
      <w:bookmarkStart w:id="813" w:name="Tc_-5xnkHYoqkusHOUDJYJRbg_8_2"/>
      <w:bookmarkStart w:id="814" w:name="Tc_iK2EvqaohEC2Cdg_F5Hy-A_8_0"/>
      <w:bookmarkStart w:id="815" w:name="Tc_cLYvTqbzeEWs2eBUiwsPMg_7_0"/>
      <w:bookmarkStart w:id="816" w:name="Tc_Ak86JNYt_ECTBB2-TRpBkQ_6_0"/>
      <w:bookmarkStart w:id="817" w:name="Tc_GFmkG-sJ5021MXu-0FwPNg_5_11"/>
      <w:bookmarkStart w:id="818" w:name="Tc_LCyfO5_URUaDZzCvxQ7fEw_5_8"/>
      <w:bookmarkStart w:id="819" w:name="Tc_9qYlxgc-d0K90C7ZjQlWeQ_5_5"/>
      <w:bookmarkStart w:id="820" w:name="Tc_cFLIVfxctkCi78A3SD1J8w_5_2"/>
      <w:bookmarkStart w:id="821" w:name="Tc_1PV3INp65EGTGQv7g4xSdw_5_0"/>
      <w:bookmarkStart w:id="822" w:name="Tc_uwjS0ryLI02UDXV2FSRrPA_4_0"/>
      <w:bookmarkStart w:id="823" w:name="Tc_WRuZ9LggXECPnp_dOIbXeg_3_11"/>
      <w:bookmarkStart w:id="824" w:name="Tc_L9tI6k9r3EePfT0wgXB_Ig_3_8"/>
      <w:bookmarkStart w:id="825" w:name="Tc_JzXWoJfTLUiSoj94d7Yqkg_3_5"/>
      <w:bookmarkStart w:id="826" w:name="Tc__pLvY8MeNUelqfNy7kuVAA_3_2"/>
      <w:bookmarkStart w:id="827" w:name="Tc_TcQDEBR2yUa-5JS7vOItxA_2_8"/>
      <w:bookmarkStart w:id="828" w:name="Tc_hM8hDIF97EWnYoPQyfWqow_2_2"/>
      <w:bookmarkStart w:id="829" w:name="Tc_PT3ZYIt-pk6Q5MBAlfcjLA_1_8"/>
      <w:bookmarkStart w:id="830" w:name="Tc_Q23mpnxbo0WH12Rg_grd2A_1_2"/>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r>
        <w:rPr>
          <w:rFonts w:ascii="Times New Roman;Times;serif" w:hAnsi="Times New Roman;Times;serif"/>
          <w:b/>
          <w:sz w:val="20"/>
        </w:rPr>
        <w:t>Note 2. 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revenues are primarily generated from its crude oil, natural gas and NGL production from </w:t>
      </w:r>
      <w:r>
        <w:rPr>
          <w:rFonts w:ascii="Times New Roman;Times;serif" w:hAnsi="Times New Roman;Times;serif"/>
          <w:color w:val="333333"/>
          <w:sz w:val="20"/>
        </w:rPr>
        <w:t>the SCOOP and STACK plays in central Oklahoma; t</w:t>
      </w:r>
      <w:r>
        <w:rPr>
          <w:rFonts w:ascii="Times New Roman;Times;serif" w:hAnsi="Times New Roman;Times;serif"/>
          <w:sz w:val="20"/>
        </w:rPr>
        <w:t xml:space="preserve">he Chaveroo Field in Chaves and Roosevelt Counties of New Mexico; the </w:t>
      </w:r>
      <w:r>
        <w:rPr>
          <w:rFonts w:ascii="Times New Roman;Times;serif" w:hAnsi="Times New Roman;Times;serif"/>
          <w:color w:val="333333"/>
          <w:sz w:val="20"/>
        </w:rPr>
        <w:t xml:space="preserve">Jonah </w:t>
      </w:r>
      <w:r>
        <w:rPr>
          <w:rFonts w:ascii="Times New Roman;Times;serif" w:hAnsi="Times New Roman;Times;serif"/>
          <w:sz w:val="20"/>
        </w:rPr>
        <w:t>Field in Sublette County, Wyoming; the Williston Basin in North Dakota; the Barnett Shale located in North Texas; the Hamilton Dome Field in Wyoming; the Delhi Field in Northeast Louisiana; and the TexMex interests located in Lea, Eddy and Chaves Counties, New Mexico and Stephens County, Texas. Additionally, the Company has small overriding royalty and mineral interests in Texas and Louisiana. The following table disaggregates the Company’s revenues by major product for the three and nine months ended March 31, 2026 and 2025 (in thousands):</w:t>
      </w:r>
    </w:p>
    <w:p>
      <w:pPr>
        <w:pStyle w:val="TextBody"/>
        <w:bidi w:val="0"/>
        <w:spacing w:before="0" w:after="0"/>
        <w:ind w:left="0" w:right="0" w:hanging="0"/>
        <w:jc w:val="left"/>
        <w:rPr/>
      </w:pPr>
      <w:r>
        <w:rPr/>
        <w:t>​</w:t>
      </w:r>
    </w:p>
    <w:tbl>
      <w:tblPr>
        <w:tblW w:w="5755" w:type="dxa"/>
        <w:jc w:val="left"/>
        <w:tblInd w:w="0" w:type="dxa"/>
        <w:tblLayout w:type="fixed"/>
        <w:tblCellMar>
          <w:top w:w="0" w:type="dxa"/>
          <w:left w:w="0" w:type="dxa"/>
          <w:bottom w:w="0" w:type="dxa"/>
          <w:right w:w="0" w:type="dxa"/>
        </w:tblCellMar>
      </w:tblPr>
      <w:tblGrid>
        <w:gridCol w:w="1456"/>
        <w:gridCol w:w="346"/>
        <w:gridCol w:w="207"/>
        <w:gridCol w:w="635"/>
        <w:gridCol w:w="115"/>
        <w:gridCol w:w="207"/>
        <w:gridCol w:w="635"/>
        <w:gridCol w:w="109"/>
        <w:gridCol w:w="196"/>
        <w:gridCol w:w="601"/>
        <w:gridCol w:w="346"/>
        <w:gridCol w:w="196"/>
        <w:gridCol w:w="70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24560" cy="175260"/>
                      <wp:effectExtent l="0" t="0" r="0" b="0"/>
                      <wp:wrapNone/>
                      <wp:docPr id="62" name="Frame61"/>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1445" cy="175260"/>
                      <wp:effectExtent l="0" t="0" r="0" b="0"/>
                      <wp:wrapNone/>
                      <wp:docPr id="64" name="Frame63"/>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03225" cy="175260"/>
                      <wp:effectExtent l="0" t="0" r="0" b="0"/>
                      <wp:wrapNone/>
                      <wp:docPr id="65" name="Frame64"/>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73025" cy="175260"/>
                      <wp:effectExtent l="0" t="0" r="0" b="0"/>
                      <wp:wrapNone/>
                      <wp:docPr id="66" name="Frame65"/>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1445" cy="175260"/>
                      <wp:effectExtent l="0" t="0" r="0" b="0"/>
                      <wp:wrapNone/>
                      <wp:docPr id="67" name="Frame66"/>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03225" cy="175260"/>
                      <wp:effectExtent l="0" t="0" r="0" b="0"/>
                      <wp:wrapNone/>
                      <wp:docPr id="68" name="Frame67"/>
                      <a:graphic xmlns:a="http://schemas.openxmlformats.org/drawingml/2006/main">
                        <a:graphicData uri="http://schemas.microsoft.com/office/word/2010/wordprocessingShape">
                          <wps:wsp>
                            <wps:cNvSpPr txBox="1"/>
                            <wps:spPr>
                              <a:xfrm>
                                <a:off x="0" y="0"/>
                                <a:ext cx="403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70" name="Frame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81635" cy="175260"/>
                      <wp:effectExtent l="0" t="0" r="0" b="0"/>
                      <wp:wrapNone/>
                      <wp:docPr id="71" name="Frame7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3" name="Frame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48310" cy="175260"/>
                      <wp:effectExtent l="0" t="0" r="0" b="0"/>
                      <wp:wrapNone/>
                      <wp:docPr id="74" name="Frame7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799"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04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r>
      <w:tr>
        <w:trPr/>
        <w:tc>
          <w:tcPr>
            <w:tcW w:w="14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before="0" w:after="1"/>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145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15" w:type="dxa"/>
            <w:tcBorders/>
            <w:vAlign w:val="center"/>
          </w:tcPr>
          <w:p>
            <w:pPr>
              <w:pStyle w:val="TableContents"/>
              <w:bidi w:val="0"/>
              <w:spacing w:before="0" w:after="1"/>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15"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left"/>
              <w:rPr/>
            </w:pPr>
            <w:r>
              <w:rPr/>
              <w:t>​</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Crude oil</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10,474</w:t>
            </w:r>
          </w:p>
        </w:tc>
        <w:tc>
          <w:tcPr>
            <w:tcW w:w="115"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11,769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34,042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38,269</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7,284</w:t>
            </w:r>
          </w:p>
        </w:tc>
        <w:tc>
          <w:tcPr>
            <w:tcW w:w="115"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pPr>
            <w:r>
              <w:rPr/>
              <w:t>​</w:t>
            </w:r>
          </w:p>
        </w:tc>
        <w:tc>
          <w:tcPr>
            <w:tcW w:w="6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7,790</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20,625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17,868</w:t>
            </w:r>
          </w:p>
        </w:tc>
      </w:tr>
      <w:tr>
        <w:trPr/>
        <w:tc>
          <w:tcPr>
            <w:tcW w:w="145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Natural gas liquids</w:t>
            </w:r>
          </w:p>
        </w:tc>
        <w:tc>
          <w:tcPr>
            <w:tcW w:w="346"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2,410</w:t>
            </w:r>
          </w:p>
        </w:tc>
        <w:tc>
          <w:tcPr>
            <w:tcW w:w="115" w:type="dxa"/>
            <w:tcBorders/>
            <w:vAlign w:val="center"/>
          </w:tcPr>
          <w:p>
            <w:pPr>
              <w:pStyle w:val="TableContents"/>
              <w:bidi w:val="0"/>
              <w:spacing w:before="0" w:after="1"/>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3,002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7,468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8,595</w:t>
            </w:r>
          </w:p>
        </w:tc>
      </w:tr>
      <w:tr>
        <w:trPr/>
        <w:tc>
          <w:tcPr>
            <w:tcW w:w="145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20,168</w:t>
            </w:r>
          </w:p>
        </w:tc>
        <w:tc>
          <w:tcPr>
            <w:tcW w:w="115" w:type="dxa"/>
            <w:tcBorders/>
            <w:shd w:fill="CCEEFF" w:val="clear"/>
            <w:vAlign w:val="center"/>
          </w:tcPr>
          <w:p>
            <w:pPr>
              <w:pStyle w:val="TableContents"/>
              <w:bidi w:val="0"/>
              <w:spacing w:before="0" w:after="1"/>
              <w:ind w:left="0" w:right="0" w:hanging="0"/>
              <w:jc w:val="left"/>
              <w:rPr/>
            </w:pPr>
            <w:r>
              <w:rPr/>
              <w:t>​</w:t>
            </w:r>
          </w:p>
        </w:tc>
        <w:tc>
          <w:tcPr>
            <w:tcW w:w="2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22,561</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62,135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64,732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Jonah Field, the Company has elected to take its natural gas and NGL working interest production in-kind and markets its NGL production to Enterprise Products Partners L.P. (“Enterprise”) and its natural gas production to different purchasers.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typically receives payment from the sale of oil and natural gas production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after delivery.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Judgments made in applying the guidance in ASC 606, </w:t>
      </w:r>
      <w:r>
        <w:rPr>
          <w:rFonts w:ascii="Times New Roman;Times;serif" w:hAnsi="Times New Roman;Times;serif"/>
          <w:i/>
          <w:sz w:val="20"/>
        </w:rPr>
        <w:t>Revenue from Contracts with Customers</w:t>
      </w:r>
      <w:r>
        <w:rPr>
          <w:rFonts w:ascii="Times New Roman;Times;serif" w:hAnsi="Times New Roman;Times;serif"/>
          <w:sz w:val="20"/>
        </w:rPr>
        <w:t>, relate primarily to determining the point in time when control of products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contractual performance obligations arise upon the production of hydrocarbons from wells in which the Company has an ownership interest. The performance obligations are considered satisfied upon the transfer of control of produced hydrocarbons to a customer at a specified delivery point. Consideration is allocated to completed performance obligations at the end of an accounting period.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 is recorded in the month when contractual performance obligations are satisfied. However, settlement statements from the purchasers of hydrocarbons and the related cash consideration are received by field operators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contractual performance obligations have been satisfied and an unconditional right to consideration exists as of the balance sheet date, the Company recognized amounts due from contracts with field operators as “</w:t>
      </w:r>
      <w:r>
        <w:rPr>
          <w:rFonts w:ascii="Times New Roman;Times;serif" w:hAnsi="Times New Roman;Times;serif"/>
          <w:i/>
          <w:sz w:val="20"/>
        </w:rPr>
        <w:t>Receivables from crude oil, natural gas, and natural gas liquids revenues”</w:t>
      </w:r>
      <w:r>
        <w:rPr>
          <w:rFonts w:ascii="Times New Roman;Times;serif" w:hAnsi="Times New Roman;Times;serif"/>
          <w:sz w:val="20"/>
        </w:rPr>
        <w:t xml:space="preserve"> on the unaudited condensed consolidated balance sheets. Differences between estimates and actual amounts received for product sales are recorded in the month that payments received from purchasers are remitted to the Company by field operators.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Acquisitions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of Louisiana Minerals</w:t>
      </w:r>
    </w:p>
    <w:p>
      <w:pPr>
        <w:pStyle w:val="TextBody"/>
        <w:bidi w:val="0"/>
        <w:spacing w:before="0" w:after="240"/>
        <w:ind w:left="0" w:right="0" w:hanging="0"/>
        <w:jc w:val="left"/>
        <w:rPr>
          <w:rFonts w:ascii="Times New Roman;Times;serif" w:hAnsi="Times New Roman;Times;serif"/>
          <w:sz w:val="20"/>
        </w:rPr>
      </w:pPr>
      <w:r>
        <w:rPr>
          <w:rFonts w:ascii="TimesNewRomanRegular" w:hAnsi="TimesNewRomanRegular"/>
          <w:sz w:val="20"/>
        </w:rPr>
        <w:t>From December 2025 through March 2026, the Company acquired mineral and royalty interests in multiple parishes across Louisiana from various private sellers for cash consideration totaling $5.0</w:t>
      </w:r>
      <w:r>
        <w:rPr>
          <w:rFonts w:ascii="Times New Roman;Times;serif" w:hAnsi="Times New Roman;Times;serif"/>
          <w:sz w:val="20"/>
        </w:rPr>
        <w:t xml:space="preserve"> </w:t>
      </w:r>
      <w:r>
        <w:rPr>
          <w:rFonts w:ascii="TimesNewRomanRegular" w:hAnsi="TimesNewRomanRegular"/>
          <w:sz w:val="20"/>
        </w:rPr>
        <w:t>million, including capitalized direct transaction costs. The mineral acreage in Louisiana primarily consists of proved undeveloped acreage targeting the Bossier/Haynesville Shales and is currently being actively developed by operators in the area. These acquisitions were each considered asset acquisitions and funded with cash on hand and sales from the Company’s ATM Sales Agreements.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SCOOP/STACK Minerals Transactions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August 4, 2025, the Company </w:t>
      </w:r>
      <w:r>
        <w:rPr>
          <w:rFonts w:ascii="Times New Roman;Times;serif" w:hAnsi="Times New Roman;Times;serif"/>
          <w:sz w:val="20"/>
          <w:shd w:fill="FFFFFF" w:val="clear"/>
        </w:rPr>
        <w:t>completed the acquisition of certain mineral and royalty interests in the SCOOP and STACK plays in Oklahoma from a non-affiliated private seller (the “SCOOP/STACK Minerals Acquisition”) in a cash transaction valued at approximately $16.3 million, including customary post-closing adjustments of $0.8 million. The SCOOP/STACK Minerals Acquisition had an effective date of May 1, 2025. The Company accounted for the transaction as an asset acquisition, allocating $12.5 million of the purchase price to proved oil and natural gas properties, subject to amortization, and $3.8 million to unproved properties. The Company funded the purchase price for the SCOOP/STACK Minerals Acquisition with a combination of $15.0 million in borrowings under its Senior Secured Credit Facility and cash on hand. The acquired assets include an average royalty interest of 0.6% across approximately 5,500 net royalty acres located primarily in Grady and Canadian Counties, Oklahoma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Subsequent to the third fiscal quarter of 2026, the Company entered into a purchase and sale agreement with a private buyer for the sale of a portion of its non-core, non-producing net mineral acres in the SCOOP/STACK. The total sale price for the acreage is approximately $3.3 million, subject to customary closing conditions. The divestiture is expected to close in the fourth fiscal quarter of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TexMex Acquisition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14, 2025, the Company closed the acquisition of non-operated working interests in certain oil and natural gas wells located primarily in Lea, Eddy, and Chaves Counties, New Mexico, and Stephens County, Texas (the “TexMex Acquisition”) from a private seller. The total purchase price for the TexMex Acquisition was approximately $8.9 million including customary post-closing adjustments of $0.3 million, with an effective date of February 1, 2025. The Company funded the purchase price for the TexMex Acquisition through a combination of cash on hand and borrowings under its Senior Secured Credit Facility. The TexMex Acquisition includes an average working interest of 42% and an average revenue interest of 35% in approximately 600 gross wells.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831" w:name="Tc_IrRodgTRt0ahZ0c7nYqA1A_6_5"/>
      <w:bookmarkStart w:id="832" w:name="Tc_o8i_uDWxpUGsmeD-zaQpPg_6_2"/>
      <w:bookmarkStart w:id="833" w:name="Tc_hSTES6Id3UWeBk7sYRJLoA_6_0"/>
      <w:bookmarkStart w:id="834" w:name="Tc_upbAIjNXa0qwTX5y3XZ00Q_5_0"/>
      <w:bookmarkStart w:id="835" w:name="Tc_4snmwU8ApUqVBn9iHPxe7g_4_6"/>
      <w:bookmarkStart w:id="836" w:name="Tc_6xPP_mhlwE6HmUPvNQzSfw_4_0"/>
      <w:bookmarkStart w:id="837" w:name="Tc_Pn64X-SockyZMD_A7xvojA_3_5"/>
      <w:bookmarkStart w:id="838" w:name="Tc_Er5aE6l0jkKoWxc28yhc5g_3_2"/>
      <w:bookmarkStart w:id="839" w:name="Tc_UcM0BPYatkSSxWcYu1fpwQ_3_0"/>
      <w:bookmarkStart w:id="840" w:name="Tc_1mR3p33GlUu7stNHprMCPA_2_0"/>
      <w:bookmarkStart w:id="841" w:name="Tc_xn1JH5kFqkOSxX47EShWDA_1_5"/>
      <w:bookmarkStart w:id="842" w:name="Tc_irOjFU_gu0WSePKpxHqOzg_1_2"/>
      <w:bookmarkStart w:id="843" w:name="_bb6f76be_405b_431f_a9f2_efc06cd04540"/>
      <w:bookmarkEnd w:id="831"/>
      <w:bookmarkEnd w:id="832"/>
      <w:bookmarkEnd w:id="833"/>
      <w:bookmarkEnd w:id="834"/>
      <w:bookmarkEnd w:id="835"/>
      <w:bookmarkEnd w:id="836"/>
      <w:bookmarkEnd w:id="837"/>
      <w:bookmarkEnd w:id="838"/>
      <w:bookmarkEnd w:id="839"/>
      <w:bookmarkEnd w:id="840"/>
      <w:bookmarkEnd w:id="841"/>
      <w:bookmarkEnd w:id="842"/>
      <w:bookmarkEnd w:id="843"/>
      <w:r>
        <w:rPr>
          <w:rFonts w:ascii="Times New Roman;Times;serif" w:hAnsi="Times New Roman;Times;serif"/>
          <w:b/>
          <w:sz w:val="20"/>
        </w:rPr>
        <w:t>Note 4. Property and Equipment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consisted of the following for the periods presented (in thousands):</w:t>
      </w:r>
    </w:p>
    <w:p>
      <w:pPr>
        <w:pStyle w:val="TextBody"/>
        <w:bidi w:val="0"/>
        <w:spacing w:before="0" w:after="240"/>
        <w:ind w:left="0" w:right="0" w:hanging="0"/>
        <w:jc w:val="left"/>
        <w:rPr/>
      </w:pPr>
      <w:r>
        <w:rPr/>
        <w:t>​</w:t>
      </w:r>
    </w:p>
    <w:tbl>
      <w:tblPr>
        <w:tblW w:w="7475" w:type="dxa"/>
        <w:jc w:val="left"/>
        <w:tblInd w:w="0" w:type="dxa"/>
        <w:tblLayout w:type="fixed"/>
        <w:tblCellMar>
          <w:top w:w="0" w:type="dxa"/>
          <w:left w:w="0" w:type="dxa"/>
          <w:bottom w:w="0" w:type="dxa"/>
          <w:right w:w="0" w:type="dxa"/>
        </w:tblCellMar>
      </w:tblPr>
      <w:tblGrid>
        <w:gridCol w:w="4291"/>
        <w:gridCol w:w="346"/>
        <w:gridCol w:w="267"/>
        <w:gridCol w:w="1024"/>
        <w:gridCol w:w="346"/>
        <w:gridCol w:w="237"/>
        <w:gridCol w:w="96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724785" cy="175260"/>
                      <wp:effectExtent l="0" t="0" r="0" b="0"/>
                      <wp:wrapNone/>
                      <wp:docPr id="75" name="Frame74"/>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6"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9545" cy="175260"/>
                      <wp:effectExtent l="0" t="0" r="0" b="0"/>
                      <wp:wrapNone/>
                      <wp:docPr id="77" name="Frame7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50240" cy="175260"/>
                      <wp:effectExtent l="0" t="0" r="0" b="0"/>
                      <wp:wrapNone/>
                      <wp:docPr id="78" name="Frame77"/>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50495" cy="175260"/>
                      <wp:effectExtent l="0" t="0" r="0" b="0"/>
                      <wp:wrapNone/>
                      <wp:docPr id="80" name="Frame7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12140" cy="175260"/>
                      <wp:effectExtent l="0" t="0" r="0" b="0"/>
                      <wp:wrapNone/>
                      <wp:docPr id="81" name="Frame80"/>
                      <a:graphic xmlns:a="http://schemas.openxmlformats.org/drawingml/2006/main">
                        <a:graphicData uri="http://schemas.microsoft.com/office/word/2010/wordprocessingShape">
                          <wps:wsp>
                            <wps:cNvSpPr txBox="1"/>
                            <wps:spPr>
                              <a:xfrm>
                                <a:off x="0" y="0"/>
                                <a:ext cx="612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2026</w:t>
            </w:r>
          </w:p>
        </w:tc>
        <w:tc>
          <w:tcPr>
            <w:tcW w:w="346" w:type="dxa"/>
            <w:tcBorders/>
            <w:vAlign w:val="center"/>
          </w:tcPr>
          <w:p>
            <w:pPr>
              <w:pStyle w:val="TableContents"/>
              <w:bidi w:val="0"/>
              <w:spacing w:before="0" w:after="1"/>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Oil and natural gas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left"/>
              <w:rPr/>
            </w:pPr>
            <w:r>
              <w:rPr/>
              <w:t> </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subject to amortization</w:t>
            </w:r>
          </w:p>
        </w:tc>
        <w:tc>
          <w:tcPr>
            <w:tcW w:w="34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294,238</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272,496</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costs not subject to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1024"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3,804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964" w:type="dxa"/>
            <w:tcBorders/>
            <w:shd w:fill="CCEEFF" w:val="clear"/>
            <w:vAlign w:val="center"/>
          </w:tcPr>
          <w:p>
            <w:pPr>
              <w:pStyle w:val="TableContents"/>
              <w:bidi w:val="0"/>
              <w:spacing w:before="0" w:after="1"/>
              <w:ind w:left="0" w:right="0" w:hanging="0"/>
              <w:jc w:val="right"/>
              <w:rPr/>
            </w:pPr>
            <w:r>
              <w:rPr/>
              <w:t>—</w:t>
            </w:r>
          </w:p>
        </w:tc>
      </w:tr>
      <w:tr>
        <w:trPr/>
        <w:tc>
          <w:tcPr>
            <w:tcW w:w="429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Accumulated depletion, depreciation, and impairment</w:t>
            </w:r>
          </w:p>
        </w:tc>
        <w:tc>
          <w:tcPr>
            <w:tcW w:w="346" w:type="dxa"/>
            <w:tcBorders/>
            <w:vAlign w:val="center"/>
          </w:tcPr>
          <w:p>
            <w:pPr>
              <w:pStyle w:val="TableContents"/>
              <w:bidi w:val="0"/>
              <w:spacing w:before="0" w:after="1"/>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(146,240)</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(130,248)</w:t>
            </w:r>
          </w:p>
        </w:tc>
      </w:tr>
      <w:tr>
        <w:trPr/>
        <w:tc>
          <w:tcPr>
            <w:tcW w:w="429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Oil and natural gas properties, net</w:t>
            </w:r>
          </w:p>
        </w:tc>
        <w:tc>
          <w:tcPr>
            <w:tcW w:w="346" w:type="dxa"/>
            <w:tcBorders/>
            <w:shd w:fill="CCEEFF" w:val="clear"/>
            <w:vAlign w:val="center"/>
          </w:tcPr>
          <w:p>
            <w:pPr>
              <w:pStyle w:val="TableContents"/>
              <w:bidi w:val="0"/>
              <w:spacing w:before="0" w:after="1"/>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151,802</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142,248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2026, $3.8 million of oil and natural gas property costs were not subject to amortization. These costs related to mineral and royalty interests acquired as part of the Company’s SCOOP/STACK Minerals Acquisition described in Note 3, “</w:t>
      </w:r>
      <w:r>
        <w:rPr>
          <w:rFonts w:ascii="Times New Roman;Times;serif" w:hAnsi="Times New Roman;Times;serif"/>
          <w:i/>
          <w:sz w:val="20"/>
        </w:rPr>
        <w:t>Acquisitions”</w:t>
      </w:r>
      <w:r>
        <w:rPr>
          <w:rFonts w:ascii="Times New Roman;Times;serif" w:hAnsi="Times New Roman;Times;serif"/>
          <w:sz w:val="20"/>
        </w:rPr>
        <w:t xml:space="preserve"> above. The mineral and royalty interests include approximately 3,600 net royalty acres for unproved locations. Property costs identified at the SCOOP/STACK Minerals Acquisition associated with proved reserves were recorded to evaluated oil and natural gas properties and subject to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Additionally, the Company assesses all properties classified as unproved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on oil and natural gas properties was $16.0 million and $15.0 million for the nine months ended March 31, 2026 and 2025, respectively. During the nine months ended March 31, 2026 and 2025, the Company incurred development capital expenditures of $4.0 million and $8.8 million,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March 31, 2026, the ceiling test value of the Company’s reserves was calculated based on the first-day-of-the-month average for the 12-months ended March 31, 2026 of the West Texas Intermediate (“WTI”) crude oil spot price of $63.80 per barrel and Henry Hub natural gas spot price of $3.72 per MMBtu, adjusted by market differentials by field. The net price per barrel of NGLs was $22.50, which was based on historical differentials to WTI as NGLs do not have any single comparable reference index price. Using these prices, at March 31, 2026 the cost center ceiling was higher than the capitalized costs of oil and natural gas properties, subject to amortization, and, as a result, no write-down was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At March 31, 2025, the ceiling test value of the Company’s reserves was calculated based on the first-day-of the month average for the 12-months ended March 31, 2025 of the WTI crude oil spot price of $75.33 per barrel and Henry Hub natural gas spot price of $2.45 per MMBtu, adjusted by market differentials by field. The net price per barrel of NGLs was $22.38, which was based on historical prices received as NGLs do not have any single comparable reference index price. Using these prices, at March 31, 2025 the cost center ceiling was higher than the capitalized costs of oil and natural gas properties, subject to amortization, and, as a result, no write-down was applicable.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5.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11, 2016, the Company entered into a senior secured reserve-based credit facility with MidFirst Bank in an amount up to $50.0 million. On June 30, 2025, the Company entered into a syndicated amended and restated senior secured reserve-based credit facility (the “Senior Secured Credit Facility”) with MidFirst Bank, as administrative agent for the lenders party, thereto, in an amount up to $200.0 million with an initial and current borrowing base of $65.0 million, maturing on June 30, 2028</w:t>
      </w:r>
      <w:r>
        <w:rPr>
          <w:rFonts w:ascii="Times New Roman;Times;serif" w:hAnsi="Times New Roman;Times;serif"/>
          <w:sz w:val="20"/>
          <w:shd w:fill="FFFFFF" w:val="clear"/>
        </w:rPr>
        <w:t>.</w:t>
      </w:r>
      <w:r>
        <w:rPr>
          <w:rFonts w:ascii="Times New Roman;Times;serif" w:hAnsi="Times New Roman;Times;serif"/>
          <w:sz w:val="20"/>
        </w:rPr>
        <w:t xml:space="preserve">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(i) the Secured Overnight Financing Rate (“SOFR”), subject to a minimum SOFR of 3.25%, plus a credit spread adjustment of 0.05%, or (ii) the Prime Rate, as defined under the Senior Secured Credit Facility, plus 1.00%, plus, in either case of (i) or (ii), an applicable margin of 2.75%</w:t>
      </w:r>
      <w:r>
        <w:rPr>
          <w:rFonts w:ascii="Times New Roman;Times;serif" w:hAnsi="Times New Roman;Times;serif"/>
          <w:sz w:val="20"/>
          <w:shd w:fill="FFFFFF" w:val="clea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may elect, at its option, to prepay any borrowings outstanding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 Borrowings under the Senior Secured Credit Facility may be used for the acquisition and for the drilling and development of oil and natural gas properties, investments in cash flow generating properties complimentary to the production of oil and natural gas, and for letters of credit or other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Senior Secured Credit Facility contains certain events of default, including non-payment; breaches of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w:t>
      </w:r>
      <w:r>
        <w:rPr>
          <w:rFonts w:ascii="Times New Roman;Times;serif" w:hAnsi="Times New Roman;Times;serif"/>
          <w:sz w:val="20"/>
          <w:shd w:fill="FFFFFF" w:val="clear"/>
        </w:rPr>
        <w:t>In addition, the Senior Secured Credit Facility contains hedging requirements that apply when utilization is greater than 25% of (x) the Margined Collateral Value, as defined under the Senior Secured Credit Facility, at any time when the leverage ratio is less than 2.25 to 1.00, or (y) the borrowing base, at any time when the leverage ratio is greater than or equal to 2.25 to 1.00.</w:t>
      </w:r>
      <w:r>
        <w:rPr>
          <w:rFonts w:ascii="Times New Roman;Times;serif" w:hAnsi="Times New Roman;Times;serif"/>
          <w:sz w:val="20"/>
        </w:rPr>
        <w:t xml:space="preserve"> As of March 31, 2026, the Company had $56.5 million borrowings outstanding and $0.8 million of letters of credit outstanding under its Senior Secured Credit Facility, resulting in $7.7 million of available borrowing capacity. </w:t>
      </w:r>
      <w:r>
        <w:rPr>
          <w:rFonts w:ascii="Times New Roman;Times;serif" w:hAnsi="Times New Roman;Times;serif"/>
          <w:sz w:val="20"/>
          <w:shd w:fill="FFFFFF" w:val="clear"/>
        </w:rPr>
        <w:t>For the nine months ended March 31, 2026 and 2025, the weighted average interest on borrowings under the Senior Secured Credit Facility was 6.78% and 7.59%,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November 28, 2025, the Company entered into a letter agreement with MidFirst Bank pursuant to which Margined Collateral Value, as defined under the Senior Secured Credit Facility, was modified to $65.0 million. In addition, it granted the Company additional time to enter into further commodity hedges to meet the hedging requirements under the Senior Secured Credit Facility.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29, 2025, the Company entered into the first amendment of its Senior Secured Credit Facility with MidFirst Bank pursuant to which it was determined for purposes of the hedge covenant that total crude oil and natural gas volumes from proved developed producing reserves will be combined on a barrels of oil equivalent basis to determine compliance with the required hedging covenant.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2026, the Company is in compliance with all covenants under the 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capitalizes certain direct costs associated with its Senior Secured Credit Facility and amortizes these costs over the life of the facility. For the nine months ended March 31, 2026, the Company amortized $0.1 million and capitalized $0.1 million of debt issuance costs in conjunction with amending and restating the Senior Secured Credit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Facility. The debt issuance costs are presented in “</w:t>
      </w:r>
      <w:r>
        <w:rPr>
          <w:rFonts w:ascii="Times New Roman;Times;serif" w:hAnsi="Times New Roman;Times;serif"/>
          <w:i/>
          <w:sz w:val="20"/>
        </w:rPr>
        <w:t>Other assets, net</w:t>
      </w:r>
      <w:r>
        <w:rPr>
          <w:rFonts w:ascii="Times New Roman;Times;serif" w:hAnsi="Times New Roman;Times;serif"/>
          <w:sz w:val="20"/>
        </w:rPr>
        <w:t>” on the unaudited condensed consolidated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files a consolidated federal income tax return in the United States and various combined and separate filings in several state and local jurisdictions.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2022 through June 30, 2025 for federal tax purposes and for the fiscal years ended June 30, 2021 through June 30, 2025 for state tax purposes. To the extent the Company utilizes net operating losses (“NOLs”) generated in earlier years, such earlier years may also be subject to audit.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nine months ended March 31, 2026, the Company recognized an income tax benefit of $1.2 million and had an effective tax rate of 14.9% compared to income tax benefit of $0.6 million and an effective tax rate of 22.9% for the nine months ended March 31, 2025. </w:t>
      </w:r>
      <w:r>
        <w:rPr>
          <w:rFonts w:ascii="Times New Roman;Times;serif" w:hAnsi="Times New Roman;Times;serif"/>
          <w:color w:val="232323"/>
          <w:sz w:val="20"/>
          <w:shd w:fill="FFFFFF" w:val="clear"/>
        </w:rPr>
        <w:t>The Company evaluates its tax provision on a quarterly basis and adjusts its effective tax rate given changes in facts and circumstances expected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4, 2025, President Trump signed into law the One Big Beautiful Bill Act ("OBBBA"). The OBBBA makes permanent key elements of the Tax Cuts and Jobs Act of 2017, including 100% bonus depreciation and the business interest expense limitation, as well as other provisions. The Company’s consolidated financial statements for the nine months ended March 31, 2026, include the OBBBA’s effect for the period beginning July 1, 2025, through March 31, 2026. Some of the provisions in the OBBBA were effective for periods before July 1, 2025, and thus when the Company filed its June 30, 2025 tax return on April 15, 2026, the Company was able to reduce its fiscal year tax liability and defer current cash taxes owed, due to the 100% bonus depreciation allowed in the OBBBA. The tax effects related to fiscal year 2025 were recorded in the financial statements as a return to provision adjustment during the quarter ended March 31, 2026, once the effects were identified and quantifiable.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effective tax rate will typically differ from the statutory federal rate as a result of state income taxes, primarily in the states of Louisiana, North Dakota, Oklahoma and New Mexico, due to percentage depletion in excess of basis, and other permanent differences. For both periods, the respective statutory federal tax rate was 21%.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Deferred income taxes primarily represent the net tax effect of temporary differences between the carrying amounts of assets and liabilities for financial reporting purposes and the amounts used for income tax purposes.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exposed to certain risks relating to its ongoing business operations, including commodity price risk and interest rate risk. In accordance with the Company’s strategy and the requirements under the Senior Secured Credit Facility (as discussed in Note 5, “</w:t>
      </w:r>
      <w:r>
        <w:rPr>
          <w:rFonts w:ascii="Times New Roman;Times;serif" w:hAnsi="Times New Roman;Times;serif"/>
          <w:i/>
          <w:sz w:val="20"/>
        </w:rPr>
        <w:t>Senior Secured Credit Facility”</w:t>
      </w:r>
      <w:r>
        <w:rPr>
          <w:rFonts w:ascii="Times New Roman;Times;serif" w:hAnsi="Times New Roman;Times;serif"/>
          <w:sz w:val="20"/>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 hedge strategies and objectives may change significantly as its operational profile changes or as required under the Senior Secured Credit Facility. The Company does not enter into derivative contracts for speculative trading purposes.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844" w:name="Tc_8QPJRqA1dkqg5sETCyOXrw_6_15"/>
      <w:bookmarkStart w:id="845" w:name="Tc_GeKkdeT6YEeZaictyALrFw_6_12"/>
      <w:bookmarkStart w:id="846" w:name="Tc_PE7ym-kbpkmouUMVzFPM1Q_6_7"/>
      <w:bookmarkStart w:id="847" w:name="Tc_N5k1-H6wP0mpmamV63OF3A_6_4"/>
      <w:bookmarkStart w:id="848" w:name="Tc_gpecHmQK60ytA7hrVx3Rpw_6_0"/>
      <w:bookmarkStart w:id="849" w:name="Tc_e6hG6FgFZ0uKTX7zogo6mQ_5_10"/>
      <w:bookmarkStart w:id="850" w:name="Tc_9MMgJ1fbpk6G-t86oX4RSA_5_2"/>
      <w:bookmarkStart w:id="851" w:name="Tc_oZNbonXTVUivklHA2Ymchw_5_0"/>
      <w:bookmarkStart w:id="852" w:name="Tc_AtyQ46Ax_E2FV0OuuM49RA_4_15"/>
      <w:bookmarkStart w:id="853" w:name="Tc_8oeLAiVHdUa8azvRyUdjFw_4_12"/>
      <w:bookmarkStart w:id="854" w:name="Tc_XxSE8IG_uUa1Uz5loqohhQ_4_10"/>
      <w:bookmarkStart w:id="855" w:name="Tc_rcRrU3CjE0mUBepk5VzveQ_4_7"/>
      <w:bookmarkStart w:id="856" w:name="Tc_hfhGfknI30ObW9PgbQhE0Q_4_4"/>
      <w:bookmarkStart w:id="857" w:name="Tc_PuCzL9GWKUaOC5EAiSl_4g_4_2"/>
      <w:bookmarkStart w:id="858" w:name="Tc_8moxQYpKwEuDOGfU8XvidQ_4_0"/>
      <w:bookmarkStart w:id="859" w:name="Tc_YQOMjjDRokKEBz1gOatkog_3_15"/>
      <w:bookmarkStart w:id="860" w:name="Tc_FlI7aT90jkuYT6jf0XgiMQ_3_12"/>
      <w:bookmarkStart w:id="861" w:name="Tc_Eu6ouEG9mkizPyuLT8_6Vw_3_10"/>
      <w:bookmarkStart w:id="862" w:name="Tc_qab_ULu01Em0F5NbBl857A_3_7"/>
      <w:bookmarkStart w:id="863" w:name="Tc_Bqd31V2HA0iEbSzFK2tc-Q_3_4"/>
      <w:bookmarkStart w:id="864" w:name="Tc_qjWuJtHgPE2SjcLFUMa-eg_3_2"/>
      <w:bookmarkStart w:id="865" w:name="Tc_6Nx0ic5vwUqDLotPbSn7Yg_3_0"/>
      <w:bookmarkStart w:id="866" w:name="Tc_P_X7S60MuEm6SxAnVdOehw_2_12"/>
      <w:bookmarkStart w:id="867" w:name="Tc_mqKUplQD2EOm2AKHmtmi5g_2_10"/>
      <w:bookmarkStart w:id="868" w:name="Tc_UzlihW3LE0mmyKJ0wgbvgg_2_4"/>
      <w:bookmarkStart w:id="869" w:name="Tc_2fABJcM-ukWzMyI0XkE2WA_2_2"/>
      <w:bookmarkStart w:id="870" w:name="Tc_-WuVGPejTUeD1xcLq7tX7w_2_0"/>
      <w:bookmarkStart w:id="871" w:name="Tc_1cQidYecQUeYbd2Tbs8wSA_1_0"/>
      <w:bookmarkStart w:id="872" w:name="_88f33886_f2f0_4dc5_84fb_944f1b6536f6"/>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Times New Roman;Times;serif" w:hAnsi="Times New Roman;Times;serif"/>
          <w:sz w:val="20"/>
        </w:rPr>
        <w:t>It is the Company’s policy to enter into derivative contracts only with counterparties that are creditworthy financial or commodity hedging institutions deemed by management as competent and competitive market makers. As of March 31, 2026, the Company did not post collateral under any of its derivative contracts during the periods in which contracts were open as they were secured under the Company’s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When the Company utilizes commodity derivative contracts, it expects to enter into deferred premium puts, costless put/call collars including two-way and three-way collars, fixed-price swaps, and/or basis swaps to hedge a portion of its anticipated future production. A two-way costless collar consists of a sold call, which establishes a maximum price the Company will receive for the volumes under contract, and a purchased put that establishes a minimum price. Three-way collars are designed to establish a minimum price (floor), unless the market price falls below the sold put (sub-floor), at which point the minimum price would be the index price plus the difference between the purchased put and the sold put strike price. The sold call establishes a maximum price (ceiling) for the volumes under contract. Fixed-price swaps are designed so that the Company receives or makes payments based on a differential between fixed and variable prices for the volumes under contract. Basis swaps effectively lock in a price differential between regional prices (i.e., Inside FERC’s Northwest Pipeline Corp Rocky Mountains) where the product is sold and the relevant pricing index under which the natural gas production is hedged (i.e., NYMEX Henry Hub). The Company may, from time to time, restructure existing derivative contracts or enter into new transactions to effectively modify the terms of current contracts in order to improve the pricing parameters in existing contracts.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Times;serif" w:hAnsi="Times New Roman;Times;serif"/>
          <w:i/>
          <w:sz w:val="20"/>
        </w:rPr>
        <w:t>Net gain (loss) on derivative contracts</w:t>
      </w:r>
      <w:r>
        <w:rPr>
          <w:rFonts w:ascii="Times New Roman;Times;serif" w:hAnsi="Times New Roman;Times;serif"/>
          <w:sz w:val="20"/>
        </w:rPr>
        <w:t>” on the unaudited condensed consolidated statements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All derivative contracts are recorded at fair market value in accordance with ASC 815, </w:t>
      </w:r>
      <w:r>
        <w:rPr>
          <w:rFonts w:ascii="Times New Roman;Times;serif" w:hAnsi="Times New Roman;Times;serif"/>
          <w:i/>
          <w:sz w:val="20"/>
        </w:rPr>
        <w:t>Derivatives and Hedging</w:t>
      </w:r>
      <w:r>
        <w:rPr>
          <w:rFonts w:ascii="Times New Roman;Times;serif" w:hAnsi="Times New Roman;Times;serif"/>
          <w:sz w:val="20"/>
        </w:rPr>
        <w:t xml:space="preserve"> (“ASC 815”) and ASC 820, </w:t>
      </w:r>
      <w:r>
        <w:rPr>
          <w:rFonts w:ascii="Times New Roman;Times;serif" w:hAnsi="Times New Roman;Times;serif"/>
          <w:i/>
          <w:sz w:val="20"/>
        </w:rPr>
        <w:t>Fair Value Measurement</w:t>
      </w:r>
      <w:r>
        <w:rPr>
          <w:rFonts w:ascii="Times New Roman;Times;serif" w:hAnsi="Times New Roman;Times;serif"/>
          <w:sz w:val="20"/>
        </w:rPr>
        <w:t xml:space="preserve"> (“ASC 820”)</w:t>
      </w:r>
      <w:r>
        <w:rPr>
          <w:rFonts w:ascii="Times New Roman;Times;serif" w:hAnsi="Times New Roman;Times;serif"/>
          <w:sz w:val="20"/>
          <w:shd w:fill="FFFFFF" w:val="clear"/>
        </w:rPr>
        <w:t xml:space="preserve"> and included in the unaudited condensed consolidated balance sheets as assets or liabilities. The “</w:t>
      </w:r>
      <w:r>
        <w:rPr>
          <w:rFonts w:ascii="Times New Roman;Times;serif" w:hAnsi="Times New Roman;Times;serif"/>
          <w:i/>
          <w:sz w:val="20"/>
          <w:shd w:fill="FFFFFF" w:val="clear"/>
        </w:rPr>
        <w:t>Derivative contract assets”</w:t>
      </w:r>
      <w:r>
        <w:rPr>
          <w:rFonts w:ascii="Times New Roman;Times;serif" w:hAnsi="Times New Roman;Times;serif"/>
          <w:sz w:val="20"/>
          <w:shd w:fill="FFFFFF" w:val="clear"/>
        </w:rPr>
        <w:t> and “</w:t>
      </w:r>
      <w:r>
        <w:rPr>
          <w:rFonts w:ascii="Times New Roman;Times;serif" w:hAnsi="Times New Roman;Times;serif"/>
          <w:i/>
          <w:sz w:val="20"/>
          <w:shd w:fill="FFFFFF" w:val="clear"/>
        </w:rPr>
        <w:t>Derivative contract liabilities”</w:t>
      </w:r>
      <w:r>
        <w:rPr>
          <w:rFonts w:ascii="Times New Roman;Times;serif" w:hAnsi="Times New Roman;Times;serif"/>
          <w:sz w:val="20"/>
          <w:shd w:fill="FFFFFF" w:val="clear"/>
        </w:rPr>
        <w:t> represent the difference between the market commodity prices and the hedged prices for the remaining volumes of production hedges as of March 31, 2026 and June 30, 2025 (the “mark-to-market valuation”).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The following table summarizes the location and fair value amounts of all derivative contracts in the unaudited condensed consolidated balance sheets as of March 31, 2026 and June 30, 2025 (in thousands):</w:t>
      </w:r>
      <w:r>
        <w:rPr>
          <w:rFonts w:ascii="'Times New Roman','Times','serif'" w:hAnsi="'Times New Roman','Times','serif'"/>
          <w:sz w:val="20"/>
        </w:rPr>
        <w:t xml:space="preserve"> </w:t>
      </w:r>
    </w:p>
    <w:tbl>
      <w:tblPr>
        <w:tblW w:w="10205" w:type="dxa"/>
        <w:jc w:val="left"/>
        <w:tblInd w:w="0" w:type="dxa"/>
        <w:tblLayout w:type="fixed"/>
        <w:tblCellMar>
          <w:top w:w="0" w:type="dxa"/>
          <w:left w:w="0" w:type="dxa"/>
          <w:bottom w:w="0" w:type="dxa"/>
          <w:right w:w="0" w:type="dxa"/>
        </w:tblCellMar>
      </w:tblPr>
      <w:tblGrid>
        <w:gridCol w:w="1180"/>
        <w:gridCol w:w="346"/>
        <w:gridCol w:w="1059"/>
        <w:gridCol w:w="346"/>
        <w:gridCol w:w="349"/>
        <w:gridCol w:w="912"/>
        <w:gridCol w:w="349"/>
        <w:gridCol w:w="312"/>
        <w:gridCol w:w="814"/>
        <w:gridCol w:w="346"/>
        <w:gridCol w:w="1060"/>
        <w:gridCol w:w="346"/>
        <w:gridCol w:w="349"/>
        <w:gridCol w:w="912"/>
        <w:gridCol w:w="351"/>
        <w:gridCol w:w="282"/>
        <w:gridCol w:w="892"/>
      </w:tblGrid>
      <w:tr>
        <w:trPr/>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749300" cy="175260"/>
                      <wp:effectExtent l="0" t="0" r="0" b="0"/>
                      <wp:wrapNone/>
                      <wp:docPr id="82" name="Frame81"/>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72465" cy="175260"/>
                      <wp:effectExtent l="0" t="0" r="0" b="0"/>
                      <wp:wrapNone/>
                      <wp:docPr id="84" name="Frame83"/>
                      <a:graphic xmlns:a="http://schemas.openxmlformats.org/drawingml/2006/main">
                        <a:graphicData uri="http://schemas.microsoft.com/office/word/2010/wordprocessingShape">
                          <wps:wsp>
                            <wps:cNvSpPr txBox="1"/>
                            <wps:spPr>
                              <a:xfrm>
                                <a:off x="0" y="0"/>
                                <a:ext cx="672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21615" cy="175260"/>
                      <wp:effectExtent l="0" t="0" r="0" b="0"/>
                      <wp:wrapNone/>
                      <wp:docPr id="86" name="Frame85"/>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79120" cy="175260"/>
                      <wp:effectExtent l="0" t="0" r="0" b="0"/>
                      <wp:wrapNone/>
                      <wp:docPr id="87" name="Frame86"/>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21615" cy="175260"/>
                      <wp:effectExtent l="0" t="0" r="0" b="0"/>
                      <wp:wrapNone/>
                      <wp:docPr id="88" name="Frame87"/>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98120" cy="175260"/>
                      <wp:effectExtent l="0" t="0" r="0" b="0"/>
                      <wp:wrapNone/>
                      <wp:docPr id="89" name="Frame8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16890" cy="175260"/>
                      <wp:effectExtent l="0" t="0" r="0" b="0"/>
                      <wp:wrapNone/>
                      <wp:docPr id="90" name="Frame89"/>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73100" cy="175260"/>
                      <wp:effectExtent l="0" t="0" r="0" b="0"/>
                      <wp:wrapNone/>
                      <wp:docPr id="92" name="Frame91"/>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21615" cy="175260"/>
                      <wp:effectExtent l="0" t="0" r="0" b="0"/>
                      <wp:wrapNone/>
                      <wp:docPr id="94" name="Frame93"/>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79120" cy="175260"/>
                      <wp:effectExtent l="0" t="0" r="0" b="0"/>
                      <wp:wrapNone/>
                      <wp:docPr id="95" name="Frame94"/>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22885" cy="175260"/>
                      <wp:effectExtent l="0" t="0" r="0" b="0"/>
                      <wp:wrapNone/>
                      <wp:docPr id="96" name="Frame95"/>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9070" cy="175260"/>
                      <wp:effectExtent l="0" t="0" r="0" b="0"/>
                      <wp:wrapNone/>
                      <wp:docPr id="97" name="Frame96"/>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6420" cy="175260"/>
                      <wp:effectExtent l="0" t="0" r="0" b="0"/>
                      <wp:wrapNone/>
                      <wp:docPr id="98" name="Frame97"/>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46"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736" w:type="dxa"/>
            <w:gridSpan w:val="5"/>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786" w:type="dxa"/>
            <w:gridSpan w:val="5"/>
            <w:tcBorders/>
            <w:vAlign w:val="center"/>
          </w:tcPr>
          <w:p>
            <w:pPr>
              <w:pStyle w:val="TableContents"/>
              <w:bidi w:val="0"/>
              <w:spacing w:before="0" w:after="1"/>
              <w:ind w:left="0" w:right="0" w:hanging="0"/>
              <w:jc w:val="center"/>
              <w:rPr/>
            </w:pPr>
            <w:r>
              <w:rPr/>
              <w:t>​</w:t>
            </w:r>
          </w:p>
        </w:tc>
      </w:tr>
      <w:tr>
        <w:trPr/>
        <w:tc>
          <w:tcPr>
            <w:tcW w:w="118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46"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46" w:type="dxa"/>
            <w:tcBorders/>
            <w:vAlign w:val="center"/>
          </w:tcPr>
          <w:p>
            <w:pPr>
              <w:pStyle w:val="TableContents"/>
              <w:bidi w:val="0"/>
              <w:spacing w:before="0" w:after="1"/>
              <w:ind w:left="0" w:right="0" w:hanging="0"/>
              <w:jc w:val="left"/>
              <w:rPr/>
            </w:pPr>
            <w:r>
              <w:rPr/>
              <w:t>​</w:t>
            </w:r>
          </w:p>
        </w:tc>
        <w:tc>
          <w:tcPr>
            <w:tcW w:w="27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Assets</w:t>
            </w:r>
          </w:p>
        </w:tc>
        <w:tc>
          <w:tcPr>
            <w:tcW w:w="346"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w:t>
            </w:r>
          </w:p>
        </w:tc>
        <w:tc>
          <w:tcPr>
            <w:tcW w:w="346" w:type="dxa"/>
            <w:tcBorders/>
            <w:vAlign w:val="center"/>
          </w:tcPr>
          <w:p>
            <w:pPr>
              <w:pStyle w:val="TableContents"/>
              <w:bidi w:val="0"/>
              <w:spacing w:before="0" w:after="1"/>
              <w:ind w:left="0" w:right="0" w:hanging="0"/>
              <w:jc w:val="left"/>
              <w:rPr/>
            </w:pPr>
            <w:r>
              <w:rPr/>
              <w:t>​</w:t>
            </w:r>
          </w:p>
        </w:tc>
        <w:tc>
          <w:tcPr>
            <w:tcW w:w="278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Derivative Contract Liabilities</w:t>
            </w:r>
          </w:p>
        </w:tc>
      </w:tr>
      <w:tr>
        <w:trPr/>
        <w:tc>
          <w:tcPr>
            <w:tcW w:w="118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46" w:type="dxa"/>
            <w:tcBorders/>
            <w:vAlign w:val="center"/>
          </w:tcPr>
          <w:p>
            <w:pPr>
              <w:pStyle w:val="TableContents"/>
              <w:bidi w:val="0"/>
              <w:spacing w:before="0" w:after="1"/>
              <w:ind w:left="0" w:right="0" w:hanging="0"/>
              <w:jc w:val="left"/>
              <w:rPr/>
            </w:pPr>
            <w:r>
              <w:rPr/>
              <w:t>  ​ ​ ​</w:t>
            </w:r>
          </w:p>
        </w:tc>
        <w:tc>
          <w:tcPr>
            <w:tcW w:w="10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49" w:type="dxa"/>
            <w:tcBorders/>
            <w:vAlign w:val="center"/>
          </w:tcPr>
          <w:p>
            <w:pPr>
              <w:pStyle w:val="TableContents"/>
              <w:bidi w:val="0"/>
              <w:spacing w:before="0" w:after="1"/>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1"/>
              <w:ind w:left="0" w:right="0" w:hanging="0"/>
              <w:jc w:val="left"/>
              <w:rPr/>
            </w:pPr>
            <w:r>
              <w:rPr/>
              <w:t>  ​ ​ ​</w:t>
            </w:r>
          </w:p>
        </w:tc>
        <w:tc>
          <w:tcPr>
            <w:tcW w:w="10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location</w:t>
            </w:r>
          </w:p>
        </w:tc>
        <w:tc>
          <w:tcPr>
            <w:tcW w:w="346" w:type="dxa"/>
            <w:tcBorders/>
            <w:vAlign w:val="center"/>
          </w:tcPr>
          <w:p>
            <w:pPr>
              <w:pStyle w:val="TableContents"/>
              <w:bidi w:val="0"/>
              <w:spacing w:before="0" w:after="1"/>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51" w:type="dxa"/>
            <w:tcBorders/>
            <w:vAlign w:val="center"/>
          </w:tcPr>
          <w:p>
            <w:pPr>
              <w:pStyle w:val="TableContents"/>
              <w:bidi w:val="0"/>
              <w:spacing w:before="0" w:after="1"/>
              <w:ind w:left="0" w:right="0" w:hanging="0"/>
              <w:jc w:val="left"/>
              <w:rPr/>
            </w:pPr>
            <w:r>
              <w:rPr/>
              <w:t>  ​ ​ ​</w:t>
            </w:r>
          </w:p>
        </w:tc>
        <w:tc>
          <w:tcPr>
            <w:tcW w:w="11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11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 - derivative contract assets</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2,428</w:t>
            </w:r>
          </w:p>
        </w:tc>
        <w:tc>
          <w:tcPr>
            <w:tcW w:w="34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1,777</w:t>
            </w:r>
          </w:p>
        </w:tc>
        <w:tc>
          <w:tcPr>
            <w:tcW w:w="346"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 - derivative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8,514</w:t>
            </w:r>
          </w:p>
        </w:tc>
        <w:tc>
          <w:tcPr>
            <w:tcW w:w="351" w:type="dxa"/>
            <w:tcBorders/>
            <w:shd w:fill="CCEEFF" w:val="clear"/>
            <w:vAlign w:val="center"/>
          </w:tcPr>
          <w:p>
            <w:pPr>
              <w:pStyle w:val="TableContents"/>
              <w:bidi w:val="0"/>
              <w:spacing w:before="0" w:after="1"/>
              <w:ind w:left="0" w:right="0" w:hanging="0"/>
              <w:jc w:val="left"/>
              <w:rPr/>
            </w:pPr>
            <w:r>
              <w:rPr/>
              <w:t>​</w:t>
            </w:r>
          </w:p>
        </w:tc>
        <w:tc>
          <w:tcPr>
            <w:tcW w:w="28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1,577</w:t>
            </w:r>
          </w:p>
        </w:tc>
      </w:tr>
      <w:tr>
        <w:trPr/>
        <w:tc>
          <w:tcPr>
            <w:tcW w:w="118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Commodity contracts</w:t>
            </w:r>
          </w:p>
        </w:tc>
        <w:tc>
          <w:tcPr>
            <w:tcW w:w="346" w:type="dxa"/>
            <w:tcBorders/>
            <w:vAlign w:val="center"/>
          </w:tcPr>
          <w:p>
            <w:pPr>
              <w:pStyle w:val="TableContents"/>
              <w:bidi w:val="0"/>
              <w:spacing w:before="0" w:after="1"/>
              <w:ind w:left="0" w:right="0" w:hanging="0"/>
              <w:jc w:val="left"/>
              <w:rPr/>
            </w:pPr>
            <w:r>
              <w:rPr/>
              <w:t>​</w:t>
            </w:r>
          </w:p>
        </w:tc>
        <w:tc>
          <w:tcPr>
            <w:tcW w:w="105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 - derivative contract assets</w:t>
            </w:r>
          </w:p>
        </w:tc>
        <w:tc>
          <w:tcPr>
            <w:tcW w:w="34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634</w:t>
            </w:r>
          </w:p>
        </w:tc>
        <w:tc>
          <w:tcPr>
            <w:tcW w:w="349"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w:t>
            </w:r>
          </w:p>
        </w:tc>
        <w:tc>
          <w:tcPr>
            <w:tcW w:w="346" w:type="dxa"/>
            <w:tcBorders/>
            <w:vAlign w:val="center"/>
          </w:tcPr>
          <w:p>
            <w:pPr>
              <w:pStyle w:val="TableContents"/>
              <w:bidi w:val="0"/>
              <w:spacing w:before="0" w:after="1"/>
              <w:ind w:left="0" w:right="0" w:hanging="0"/>
              <w:jc w:val="left"/>
              <w:rPr/>
            </w:pPr>
            <w:r>
              <w:rPr/>
              <w:t>​</w:t>
            </w:r>
          </w:p>
        </w:tc>
        <w:tc>
          <w:tcPr>
            <w:tcW w:w="106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 term liabilities - derivative contract liabilities</w:t>
            </w:r>
          </w:p>
        </w:tc>
        <w:tc>
          <w:tcPr>
            <w:tcW w:w="346" w:type="dxa"/>
            <w:tcBorders/>
            <w:vAlign w:val="center"/>
          </w:tcPr>
          <w:p>
            <w:pPr>
              <w:pStyle w:val="TableContents"/>
              <w:bidi w:val="0"/>
              <w:spacing w:before="0" w:after="1"/>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808</w:t>
            </w:r>
          </w:p>
        </w:tc>
        <w:tc>
          <w:tcPr>
            <w:tcW w:w="351" w:type="dxa"/>
            <w:tcBorders/>
            <w:vAlign w:val="center"/>
          </w:tcPr>
          <w:p>
            <w:pPr>
              <w:pStyle w:val="TableContents"/>
              <w:bidi w:val="0"/>
              <w:spacing w:before="0" w:after="1"/>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1,783</w:t>
            </w:r>
          </w:p>
        </w:tc>
      </w:tr>
      <w:tr>
        <w:trPr/>
        <w:tc>
          <w:tcPr>
            <w:tcW w:w="118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derivatives not designated as hedging contracts under ASC 815</w:t>
            </w:r>
          </w:p>
        </w:tc>
        <w:tc>
          <w:tcPr>
            <w:tcW w:w="346" w:type="dxa"/>
            <w:tcBorders/>
            <w:shd w:fill="CCEEFF" w:val="clear"/>
            <w:vAlign w:val="center"/>
          </w:tcPr>
          <w:p>
            <w:pPr>
              <w:pStyle w:val="TableContents"/>
              <w:bidi w:val="0"/>
              <w:spacing w:before="0" w:after="1"/>
              <w:ind w:left="0" w:right="0" w:hanging="0"/>
              <w:jc w:val="left"/>
              <w:rPr/>
            </w:pPr>
            <w:r>
              <w:rPr/>
              <w:t>​</w:t>
            </w:r>
          </w:p>
        </w:tc>
        <w:tc>
          <w:tcPr>
            <w:tcW w:w="105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3,062</w:t>
            </w:r>
          </w:p>
        </w:tc>
        <w:tc>
          <w:tcPr>
            <w:tcW w:w="349" w:type="dxa"/>
            <w:tcBorders/>
            <w:shd w:fill="CCEEFF" w:val="clear"/>
            <w:vAlign w:val="center"/>
          </w:tcPr>
          <w:p>
            <w:pPr>
              <w:pStyle w:val="TableContents"/>
              <w:bidi w:val="0"/>
              <w:spacing w:before="0" w:after="1"/>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1,975</w:t>
            </w:r>
          </w:p>
        </w:tc>
        <w:tc>
          <w:tcPr>
            <w:tcW w:w="346" w:type="dxa"/>
            <w:tcBorders/>
            <w:shd w:fill="CCEEFF" w:val="clear"/>
            <w:vAlign w:val="center"/>
          </w:tcPr>
          <w:p>
            <w:pPr>
              <w:pStyle w:val="TableContents"/>
              <w:bidi w:val="0"/>
              <w:spacing w:before="0" w:after="1"/>
              <w:ind w:left="0" w:right="0" w:hanging="0"/>
              <w:jc w:val="left"/>
              <w:rPr/>
            </w:pPr>
            <w:r>
              <w:rPr/>
              <w:t>​</w:t>
            </w:r>
          </w:p>
        </w:tc>
        <w:tc>
          <w:tcPr>
            <w:tcW w:w="106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9,322</w:t>
            </w:r>
          </w:p>
        </w:tc>
        <w:tc>
          <w:tcPr>
            <w:tcW w:w="351" w:type="dxa"/>
            <w:tcBorders/>
            <w:shd w:fill="CCEEFF" w:val="clear"/>
            <w:vAlign w:val="center"/>
          </w:tcPr>
          <w:p>
            <w:pPr>
              <w:pStyle w:val="TableContents"/>
              <w:bidi w:val="0"/>
              <w:spacing w:before="0" w:after="1"/>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9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3,360</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location and amounts of the Company’s realized and unrealized gains and losses on derivative contracts in the Company’s unaudited condensed consolidated statements of operations for the three and nine months ended March 31, 2026 and 2025 (in thousands). “</w:t>
      </w:r>
      <w:r>
        <w:rPr>
          <w:rFonts w:ascii="Times New Roman;Times;serif" w:hAnsi="Times New Roman;Times;serif"/>
          <w:i/>
          <w:sz w:val="20"/>
        </w:rPr>
        <w:t>Realized gain (loss) on derivative contracts”</w:t>
      </w:r>
      <w:r>
        <w:rPr>
          <w:rFonts w:ascii="Times New Roman;Times;serif" w:hAnsi="Times New Roman;Times;serif"/>
          <w:sz w:val="20"/>
        </w:rPr>
        <w:t xml:space="preserve"> represents 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873" w:name="Tc_qY9YR-ZSiEKPXnwVtwJIaw_5_11"/>
      <w:bookmarkStart w:id="874" w:name="Tc_lfNsfgewnkyLfRGP265jGg_5_8"/>
      <w:bookmarkStart w:id="875" w:name="Tc_M1GK1E7gUkad2_n7sgHetQ_5_5"/>
      <w:bookmarkStart w:id="876" w:name="Tc_w4JMIOFmN0CbujslaRvSkQ_5_3"/>
      <w:bookmarkStart w:id="877" w:name="Tc__3LRN3tEwUCcmoTgcpLPhg_5_2"/>
      <w:bookmarkStart w:id="878" w:name="Tc_paM4wbpLBkC11itt0epICQ_5_0"/>
      <w:bookmarkStart w:id="879" w:name="Tc_P_5JgoA3pUOuQd7Xc87u4g_4_0"/>
      <w:bookmarkStart w:id="880" w:name="Tc_2l3KJ1wa1EmV90kkKg8hPg_3_11"/>
      <w:bookmarkStart w:id="881" w:name="Tc_ihyxP8pSTkuduq8gtLfaRQ_3_8"/>
      <w:bookmarkStart w:id="882" w:name="Tc_VcMSeWLQvEqLmamr3DxY-w_3_5"/>
      <w:bookmarkStart w:id="883" w:name="Tc_4GFa9xi_6USsvzFr7mFECw_3_2"/>
      <w:bookmarkStart w:id="884" w:name="Tc_cEvgBJFb906gI1mWqvKRuQ_3_0"/>
      <w:bookmarkStart w:id="885" w:name="Tc_7C9bdcSf4020iIifRsDCAw_2_11"/>
      <w:bookmarkStart w:id="886" w:name="Tc_gjhmndoZ10m59S4Pb_Y6Yw_2_8"/>
      <w:bookmarkStart w:id="887" w:name="Tc_p29Y9QbAJkqdiW5B8s4iZQ_2_5"/>
      <w:bookmarkStart w:id="888" w:name="Tc_zBo-I3eYC06XVROxGhd5tA_2_2"/>
      <w:bookmarkStart w:id="889" w:name="Tc_lAbBpPs-3kWsnYJQ4obKBQ_2_0"/>
      <w:bookmarkStart w:id="890" w:name="Tc_yOfv4B-1tEmjWmDYQcMQTg_1_8"/>
      <w:bookmarkStart w:id="891" w:name="Tc_6uPWT1L1g0WQuQ5aPVgeEg_1_2"/>
      <w:bookmarkStart w:id="892" w:name="Tc_kJsZ0IsWu0K-7yY5jP4wcg_4_17"/>
      <w:bookmarkStart w:id="893" w:name="Tc_o57Q2RyTlEWafUOzgM-GIg_4_14"/>
      <w:bookmarkStart w:id="894" w:name="Tc_QKD-afDymUKc9OAJMiDZOA_4_4"/>
      <w:bookmarkStart w:id="895" w:name="Tc_9aYsUDNqhk-ggqsg_I201A_4_2"/>
      <w:bookmarkStart w:id="896" w:name="Tc_d4OEYDJmxkGGLaL0L_BG0A_4_0"/>
      <w:bookmarkStart w:id="897" w:name="Tc_84w-OMDWdkORsNSwlqlOLQ_3_8"/>
      <w:bookmarkStart w:id="898" w:name="Tc_vjGFCEDQ6EyoBPVuxtihxw_3_4"/>
      <w:bookmarkStart w:id="899" w:name="Tc_icfPtfL0KE6sSd418N-Xww_3_2"/>
      <w:bookmarkStart w:id="900" w:name="Tc_OT7c_aXaj0mOqDQ4l_whpQ_3_0"/>
      <w:bookmarkStart w:id="901" w:name="Tc_-LnDgexSaUyyR1Xz0JoTYw_2_17"/>
      <w:bookmarkStart w:id="902" w:name="Tc_18dpIYSwhECK7wyDc7oqPQ_2_14"/>
      <w:bookmarkStart w:id="903" w:name="Tc_k3Xmu8GA-0O6hDAeLEFcfA_2_11"/>
      <w:bookmarkStart w:id="904" w:name="Tc_PNiIcXD7ckyir_vAwZ6UvA_2_8"/>
      <w:bookmarkStart w:id="905" w:name="Tc_bDv80VrneEy90Kmcd-dFHg_2_6"/>
      <w:bookmarkStart w:id="906" w:name="Tc_HzHdZfUY9kaOaK08WPHlMQ_2_4"/>
      <w:bookmarkStart w:id="907" w:name="Tc_a7zsLdNzPUSijmv6cd22gw_2_2"/>
      <w:bookmarkStart w:id="908" w:name="Tc_oka1gu4IiUaNf8AoFRnBQw_2_0"/>
      <w:bookmarkStart w:id="909" w:name="Tc_V1WX_QqVQ0mf9rf0o2SU0w_1_8"/>
      <w:bookmarkStart w:id="910" w:name="Tc_ukP35nWoVES5Lr1TAwxKnQ_1_6"/>
      <w:bookmarkStart w:id="911" w:name="_a7eb3e52_8991_47a8_a6e0_63ef6ba25b6e"/>
      <w:bookmarkStart w:id="912" w:name="Tc_BSP4BSL28EWD4d8Bmn9aGg_11_4"/>
      <w:bookmarkStart w:id="913" w:name="Tc_qz_Tp5ZvX0KKTrdOzAyAtA_11_2"/>
      <w:bookmarkStart w:id="914" w:name="Tc_5mgHQ2xPIkWqzONs59Ss-w_11_0"/>
      <w:bookmarkStart w:id="915" w:name="Tc_nIZ07TSBEU--h7gbsSX9fA_10_4"/>
      <w:bookmarkStart w:id="916" w:name="Tc_waEXgj5-YESmtiEkexV6aQ_10_2"/>
      <w:bookmarkStart w:id="917" w:name="Tc_-3V8NIk--0-x0dnwkel3ow_10_0"/>
      <w:bookmarkStart w:id="918" w:name="Tc_XvVNmejvQkOQ5sGfZD8QAQ_9_4"/>
      <w:bookmarkStart w:id="919" w:name="Tc_Dy5a4tAnIEOaElSg56bclg_9_2"/>
      <w:bookmarkStart w:id="920" w:name="Tc_rLbhH2-u30SZkZj5SI8wHw_9_0"/>
      <w:bookmarkStart w:id="921" w:name="Tc_8NkOrXZUTU6Y-4LsI90zYw_8_4"/>
      <w:bookmarkStart w:id="922" w:name="Tc_wwZ2w-ddYkexZmnGBRZLPA_8_2"/>
      <w:bookmarkStart w:id="923" w:name="Tc_pbuDn9yMbUG4KDqbpUY9Jg_8_0"/>
      <w:bookmarkStart w:id="924" w:name="Tc_AufhGNRGqkOqh-pKvC42VQ_7_11"/>
      <w:bookmarkStart w:id="925" w:name="Tc_c2znY_6a30maUpfz04h3Nw_7_4"/>
      <w:bookmarkStart w:id="926" w:name="Tc_DuKM-maelk-iD-_Om5Cc8w_7_2"/>
      <w:bookmarkStart w:id="927" w:name="Tc_fZgpUAhiAkWdcQ2l513FTQ_7_0"/>
      <w:bookmarkStart w:id="928" w:name="Tc__PEtYmsUF0O8qHgUrfF96A_6_4"/>
      <w:bookmarkStart w:id="929" w:name="Tc_cV-JFfVepUunk94LM10bjA_6_2"/>
      <w:bookmarkStart w:id="930" w:name="Tc_mSB8uqNgNkq5GbRRXNHUbg_6_0"/>
      <w:bookmarkStart w:id="931" w:name="Tc_u9OYxddKD06QFd6sbSoZuw_5_17"/>
      <w:bookmarkStart w:id="932" w:name="Tc_Z4bzN0t1t0WbqqPfSbGMGA_5_14"/>
      <w:bookmarkStart w:id="933" w:name="Tc_Y9ranKAtv0WWNPQspr6I1w_5_4"/>
      <w:bookmarkStart w:id="934" w:name="Tc_lWKkdI5WbkeNDLlcdN2gKg_5_2"/>
      <w:bookmarkStart w:id="935" w:name="Tc_HhSY4eyecUC1q76kGjf9nA_5_0"/>
      <w:bookmarkStart w:id="936" w:name="Tc_EhXfOpTKj0yMK8mkpqPVsQ_4_4"/>
      <w:bookmarkStart w:id="937" w:name="Tc_joXOI7OMOE2wsPOV_LA5Xw_4_2"/>
      <w:bookmarkStart w:id="938" w:name="Tc_8rs9sPuRu0CXKDZvReOy-A_4_0"/>
      <w:bookmarkStart w:id="939" w:name="Tc_KxnEO9N4a0K3AukVzBJA1A_3_8"/>
      <w:bookmarkStart w:id="940" w:name="Tc_9Jb8N8t3U0KRIS6575G98A_3_4"/>
      <w:bookmarkStart w:id="941" w:name="Tc_FJ9mVRbkfUK3_iSfAxHyLA_3_2"/>
      <w:bookmarkStart w:id="942" w:name="Tc_wZPuvtIn-0u8OVvZLCrpLA_3_0"/>
      <w:bookmarkStart w:id="943" w:name="Tc_Z9tgvO9l6UWEew8FsJkqVg_2_17"/>
      <w:bookmarkStart w:id="944" w:name="Tc_uLSbwtmXpU628chGtkpAQw_2_14"/>
      <w:bookmarkStart w:id="945" w:name="Tc_p2mYrVAeokSSOELokzZkQA_2_11"/>
      <w:bookmarkStart w:id="946" w:name="Tc_6ut68clxYkeHU6eYsvpZJA_2_8"/>
      <w:bookmarkStart w:id="947" w:name="Tc_u_n83SoaF0WvwbVnt0wTyw_2_6"/>
      <w:bookmarkStart w:id="948" w:name="Tc_GlrrOpNCZUyvtrLFiJZx2Q_2_4"/>
      <w:bookmarkStart w:id="949" w:name="Tc_WnTawlGraE-_YbBtMPdV_A_2_2"/>
      <w:bookmarkStart w:id="950" w:name="Tc_tBAYdiQQskyC3NREIZkvkQ_2_0"/>
      <w:bookmarkStart w:id="951" w:name="Tc_TQQSIYh0k02x3B72hhJyjQ_1_8"/>
      <w:bookmarkStart w:id="952" w:name="Tc_s6xseEM_KUGzNIDZB24IIg_1_6"/>
      <w:bookmarkStart w:id="953" w:name="_54de0322_cf00_4a29_abe1_f46fea67f0cd"/>
      <w:bookmarkStart w:id="954" w:name="Tc_8YVE-4cat0KPdUEUnqmbkg_7_13"/>
      <w:bookmarkStart w:id="955" w:name="Tc_EcXGjJHj1EmVi6_KEIXiDQ_7_10"/>
      <w:bookmarkStart w:id="956" w:name="Tc_qf1tj1XhL0yx-1CYhusvqw_7_7"/>
      <w:bookmarkStart w:id="957" w:name="Tc_cpiX6mVFdkyl8mIeuw9org_7_4"/>
      <w:bookmarkStart w:id="958" w:name="Tc_1GhF5QDu-EGmKWFLyPNCHA_7_0"/>
      <w:bookmarkStart w:id="959" w:name="Tc_1dgsPussw0ixoHxy7ibFIg_6_2"/>
      <w:bookmarkStart w:id="960" w:name="Tc_x0Y09sXviUSFXDxvjUvmdA_6_0"/>
      <w:bookmarkStart w:id="961" w:name="Tc_QUtzdOHXBE6YxO3VVS55oA_5_13"/>
      <w:bookmarkStart w:id="962" w:name="Tc_PlSLIRw9ZkywtqxaTw4znA_5_10"/>
      <w:bookmarkStart w:id="963" w:name="Tc_MxPpqFdfl0qK5t1HaPJINw_5_7"/>
      <w:bookmarkStart w:id="964" w:name="Tc_-0HHBnUtQUCHPCcMigmysA_5_4"/>
      <w:bookmarkStart w:id="965" w:name="Tc_MtuHE8IKiUCZLhfMxMLNDQ_5_2"/>
      <w:bookmarkStart w:id="966" w:name="Tc_mDa99JwyaEmxxcAyn-isbQ_5_0"/>
      <w:bookmarkStart w:id="967" w:name="Tc_oCWhvHTgEE2c3R3ZQa1bLw_4_0"/>
      <w:bookmarkStart w:id="968" w:name="Tc_8zvm_R2MuEeHMdGei-KWtg_3_13"/>
      <w:bookmarkStart w:id="969" w:name="Tc_OLb2oWQPXEa3fQH6XqXt-A_3_10"/>
      <w:bookmarkStart w:id="970" w:name="Tc_9ljpwaXSMEmVJfYxxEt2qQ_3_7"/>
      <w:bookmarkStart w:id="971" w:name="Tc_xw6a71uNUUe1uQqKW4sAEw_3_4"/>
      <w:bookmarkStart w:id="972" w:name="Tc_a9PN1r--HE-hMNSSYgp8Sw_3_2"/>
      <w:bookmarkStart w:id="973" w:name="Tc_ChTvskfDZUWFvqZUJbznTQ_3_0"/>
      <w:bookmarkStart w:id="974" w:name="Tc_0LJVHTLNxEWxuytzcFtsyw_2_10"/>
      <w:bookmarkStart w:id="975" w:name="Tc_IpJpg7ifwk-fH4RAVuhM-w_2_4"/>
      <w:bookmarkStart w:id="976" w:name="Tc_ezWwe5x64kG16N5qXXtU_Q_2_2"/>
      <w:bookmarkStart w:id="977" w:name="Tc_AHXQr5PQSkqtkxi7jutrAQ_2_0"/>
      <w:bookmarkStart w:id="978" w:name="Tc_eEJgHGLzJUmZeMTaA_nFIQ_1_10"/>
      <w:bookmarkStart w:id="979" w:name="Tc_J2_kDt1qUkGiLJ5MSC2ZQw_1_4"/>
      <w:bookmarkStart w:id="980" w:name="Tc_wqYav5B500qR2h2yDUbYNA_1_2"/>
      <w:bookmarkStart w:id="981" w:name="Tc_qudQEmZIt0-EsPU9qJO5_w_1_0"/>
      <w:bookmarkStart w:id="982" w:name="_9d6eb02c_4362_4afa_9b80_7d5a6a691dc6"/>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r>
        <w:rPr>
          <w:rFonts w:ascii="Times New Roman;Times;serif" w:hAnsi="Times New Roman;Times;serif"/>
          <w:sz w:val="20"/>
        </w:rPr>
        <w:t>receipts (payments) on derivative contracts settled during the period. “</w:t>
      </w:r>
      <w:r>
        <w:rPr>
          <w:rFonts w:ascii="Times New Roman;Times;serif" w:hAnsi="Times New Roman;Times;serif"/>
          <w:i/>
          <w:sz w:val="20"/>
        </w:rPr>
        <w:t xml:space="preserve">Unrealized gain (loss) on derivative contracts” </w:t>
      </w:r>
      <w:r>
        <w:rPr>
          <w:rFonts w:ascii="Times New Roman;Times;serif" w:hAnsi="Times New Roman;Times;serif"/>
          <w:sz w:val="20"/>
        </w:rPr>
        <w:t>represents the net change in the mark-to-market valuation of the derivative contracts.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93"/>
        <w:gridCol w:w="346"/>
        <w:gridCol w:w="3292"/>
        <w:gridCol w:w="346"/>
        <w:gridCol w:w="196"/>
        <w:gridCol w:w="608"/>
        <w:gridCol w:w="109"/>
        <w:gridCol w:w="196"/>
        <w:gridCol w:w="608"/>
        <w:gridCol w:w="109"/>
        <w:gridCol w:w="196"/>
        <w:gridCol w:w="608"/>
        <w:gridCol w:w="346"/>
        <w:gridCol w:w="196"/>
        <w:gridCol w:w="656"/>
      </w:tblGrid>
      <w:tr>
        <w:trPr/>
        <w:tc>
          <w:tcPr>
            <w:tcW w:w="2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19555" cy="175260"/>
                      <wp:effectExtent l="0" t="0" r="0" b="0"/>
                      <wp:wrapNone/>
                      <wp:docPr id="99" name="Frame98"/>
                      <a:graphic xmlns:a="http://schemas.openxmlformats.org/drawingml/2006/main">
                        <a:graphicData uri="http://schemas.microsoft.com/office/word/2010/wordprocessingShape">
                          <wps:wsp>
                            <wps:cNvSpPr txBox="1"/>
                            <wps:spPr>
                              <a:xfrm>
                                <a:off x="0" y="0"/>
                                <a:ext cx="151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90420" cy="175260"/>
                      <wp:effectExtent l="0" t="0" r="0" b="0"/>
                      <wp:wrapNone/>
                      <wp:docPr id="101" name="Frame100"/>
                      <a:graphic xmlns:a="http://schemas.openxmlformats.org/drawingml/2006/main">
                        <a:graphicData uri="http://schemas.microsoft.com/office/word/2010/wordprocessingShape">
                          <wps:wsp>
                            <wps:cNvSpPr txBox="1"/>
                            <wps:spPr>
                              <a:xfrm>
                                <a:off x="0" y="0"/>
                                <a:ext cx="2090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86080" cy="175260"/>
                      <wp:effectExtent l="0" t="0" r="0" b="0"/>
                      <wp:wrapNone/>
                      <wp:docPr id="104" name="Frame103"/>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9215" cy="175260"/>
                      <wp:effectExtent l="0" t="0" r="0" b="0"/>
                      <wp:wrapNone/>
                      <wp:docPr id="105"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24460" cy="175260"/>
                      <wp:effectExtent l="0" t="0" r="0" b="0"/>
                      <wp:wrapNone/>
                      <wp:docPr id="106"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86080" cy="175260"/>
                      <wp:effectExtent l="0" t="0" r="0" b="0"/>
                      <wp:wrapNone/>
                      <wp:docPr id="107" name="Frame106"/>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4460" cy="175260"/>
                      <wp:effectExtent l="0" t="0" r="0" b="0"/>
                      <wp:wrapNone/>
                      <wp:docPr id="109" name="Frame1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86080" cy="175260"/>
                      <wp:effectExtent l="0" t="0" r="0" b="0"/>
                      <wp:wrapNone/>
                      <wp:docPr id="110" name="Frame109"/>
                      <a:graphic xmlns:a="http://schemas.openxmlformats.org/drawingml/2006/main">
                        <a:graphicData uri="http://schemas.microsoft.com/office/word/2010/wordprocessingShape">
                          <wps:wsp>
                            <wps:cNvSpPr txBox="1"/>
                            <wps:spPr>
                              <a:xfrm>
                                <a:off x="0" y="0"/>
                                <a:ext cx="38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4460" cy="175260"/>
                      <wp:effectExtent l="0" t="0" r="0" b="0"/>
                      <wp:wrapNone/>
                      <wp:docPr id="112"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16560" cy="175260"/>
                      <wp:effectExtent l="0" t="0" r="0" b="0"/>
                      <wp:wrapNone/>
                      <wp:docPr id="113" name="Frame112"/>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9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Derivatives not designated </w:t>
            </w:r>
          </w:p>
        </w:tc>
        <w:tc>
          <w:tcPr>
            <w:tcW w:w="346" w:type="dxa"/>
            <w:tcBorders/>
            <w:vAlign w:val="center"/>
          </w:tcPr>
          <w:p>
            <w:pPr>
              <w:pStyle w:val="TableContents"/>
              <w:bidi w:val="0"/>
              <w:spacing w:before="0" w:after="0"/>
              <w:ind w:left="0" w:right="0" w:hanging="0"/>
              <w:jc w:val="left"/>
              <w:rPr/>
            </w:pPr>
            <w:r>
              <w:rPr/>
              <w:t>​</w:t>
            </w:r>
          </w:p>
        </w:tc>
        <w:tc>
          <w:tcPr>
            <w:tcW w:w="329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Location of gain (loss)</w:t>
            </w:r>
          </w:p>
        </w:tc>
        <w:tc>
          <w:tcPr>
            <w:tcW w:w="346" w:type="dxa"/>
            <w:tcBorders/>
            <w:vAlign w:val="center"/>
          </w:tcPr>
          <w:p>
            <w:pPr>
              <w:pStyle w:val="TableContents"/>
              <w:bidi w:val="0"/>
              <w:spacing w:before="0" w:after="0"/>
              <w:ind w:left="0" w:right="0" w:hanging="0"/>
              <w:jc w:val="left"/>
              <w:rPr/>
            </w:pPr>
            <w:r>
              <w:rPr/>
              <w:t>​</w:t>
            </w:r>
          </w:p>
        </w:tc>
        <w:tc>
          <w:tcPr>
            <w:tcW w:w="171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00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239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hedging contracts</w:t>
            </w:r>
          </w:p>
        </w:tc>
        <w:tc>
          <w:tcPr>
            <w:tcW w:w="346" w:type="dxa"/>
            <w:tcBorders/>
            <w:vAlign w:val="center"/>
          </w:tcPr>
          <w:p>
            <w:pPr>
              <w:pStyle w:val="TableContents"/>
              <w:bidi w:val="0"/>
              <w:spacing w:before="0" w:after="0"/>
              <w:ind w:left="0" w:right="0" w:hanging="0"/>
              <w:jc w:val="left"/>
              <w:rPr/>
            </w:pPr>
            <w:r>
              <w:rPr/>
              <w:t>​</w:t>
            </w:r>
          </w:p>
        </w:tc>
        <w:tc>
          <w:tcPr>
            <w:tcW w:w="329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recognized in income on </w:t>
            </w:r>
          </w:p>
        </w:tc>
        <w:tc>
          <w:tcPr>
            <w:tcW w:w="346" w:type="dxa"/>
            <w:tcBorders/>
            <w:vAlign w:val="center"/>
          </w:tcPr>
          <w:p>
            <w:pPr>
              <w:pStyle w:val="TableContents"/>
              <w:bidi w:val="0"/>
              <w:spacing w:before="0" w:after="0"/>
              <w:ind w:left="0" w:right="0" w:hanging="0"/>
              <w:jc w:val="left"/>
              <w:rPr/>
            </w:pPr>
            <w:r>
              <w:rPr/>
              <w:t>​</w:t>
            </w:r>
          </w:p>
        </w:tc>
        <w:tc>
          <w:tcPr>
            <w:tcW w:w="17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0"/>
              <w:ind w:left="0" w:right="0" w:hanging="0"/>
              <w:jc w:val="left"/>
              <w:rPr/>
            </w:pPr>
            <w:r>
              <w:rPr/>
              <w:t>​</w:t>
            </w:r>
          </w:p>
        </w:tc>
        <w:tc>
          <w:tcPr>
            <w:tcW w:w="20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39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under ASC 815</w:t>
            </w:r>
          </w:p>
        </w:tc>
        <w:tc>
          <w:tcPr>
            <w:tcW w:w="346" w:type="dxa"/>
            <w:tcBorders/>
            <w:vAlign w:val="center"/>
          </w:tcPr>
          <w:p>
            <w:pPr>
              <w:pStyle w:val="TableContents"/>
              <w:bidi w:val="0"/>
              <w:spacing w:before="0" w:after="0"/>
              <w:ind w:left="0" w:right="0" w:hanging="0"/>
              <w:jc w:val="left"/>
              <w:rPr/>
            </w:pPr>
            <w:r>
              <w:rPr/>
              <w:t>  ​ ​ ​</w:t>
            </w:r>
          </w:p>
        </w:tc>
        <w:tc>
          <w:tcPr>
            <w:tcW w:w="329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 contracts</w:t>
            </w:r>
          </w:p>
        </w:tc>
        <w:tc>
          <w:tcPr>
            <w:tcW w:w="346" w:type="dxa"/>
            <w:tcBorders/>
            <w:vAlign w:val="center"/>
          </w:tcPr>
          <w:p>
            <w:pPr>
              <w:pStyle w:val="TableContents"/>
              <w:bidi w:val="0"/>
              <w:spacing w:before="0" w:after="0"/>
              <w:ind w:left="0" w:right="0" w:hanging="0"/>
              <w:jc w:val="left"/>
              <w:rPr/>
            </w:pPr>
            <w:r>
              <w:rPr/>
              <w:t>  ​ ​ ​</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93"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Commodity contracts:</w:t>
            </w:r>
          </w:p>
        </w:tc>
        <w:tc>
          <w:tcPr>
            <w:tcW w:w="346" w:type="dxa"/>
            <w:tcBorders/>
            <w:vAlign w:val="center"/>
          </w:tcPr>
          <w:p>
            <w:pPr>
              <w:pStyle w:val="TableContents"/>
              <w:bidi w:val="0"/>
              <w:spacing w:before="0" w:after="0"/>
              <w:ind w:left="0" w:right="0" w:hanging="0"/>
              <w:jc w:val="left"/>
              <w:rPr/>
            </w:pPr>
            <w:r>
              <w:rPr/>
              <w:t>​</w:t>
            </w:r>
          </w:p>
        </w:tc>
        <w:tc>
          <w:tcPr>
            <w:tcW w:w="329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left"/>
              <w:rPr/>
            </w:pPr>
            <w:r>
              <w:rPr/>
              <w:t>​</w:t>
            </w:r>
          </w:p>
        </w:tc>
      </w:tr>
      <w:tr>
        <w:trPr/>
        <w:tc>
          <w:tcPr>
            <w:tcW w:w="2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Realized gain (loss) on derivative contracts </w:t>
            </w:r>
          </w:p>
        </w:tc>
        <w:tc>
          <w:tcPr>
            <w:tcW w:w="346" w:type="dxa"/>
            <w:tcBorders/>
            <w:shd w:fill="CCEEFF" w:val="clear"/>
            <w:vAlign w:val="center"/>
          </w:tcPr>
          <w:p>
            <w:pPr>
              <w:pStyle w:val="TableContents"/>
              <w:bidi w:val="0"/>
              <w:spacing w:before="0" w:after="0"/>
              <w:ind w:left="0" w:right="0" w:hanging="0"/>
              <w:jc w:val="left"/>
              <w:rPr/>
            </w:pPr>
            <w:r>
              <w:rPr/>
              <w:t>​</w:t>
            </w:r>
          </w:p>
        </w:tc>
        <w:tc>
          <w:tcPr>
            <w:tcW w:w="329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w:t>
            </w:r>
          </w:p>
        </w:tc>
      </w:tr>
      <w:tr>
        <w:trPr/>
        <w:tc>
          <w:tcPr>
            <w:tcW w:w="239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46" w:type="dxa"/>
            <w:tcBorders/>
            <w:vAlign w:val="center"/>
          </w:tcPr>
          <w:p>
            <w:pPr>
              <w:pStyle w:val="TableContents"/>
              <w:bidi w:val="0"/>
              <w:spacing w:before="0" w:after="0"/>
              <w:ind w:left="0" w:right="0" w:hanging="0"/>
              <w:jc w:val="left"/>
              <w:rPr/>
            </w:pPr>
            <w:r>
              <w:rPr/>
              <w:t>​</w:t>
            </w:r>
          </w:p>
        </w:tc>
        <w:tc>
          <w:tcPr>
            <w:tcW w:w="329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and expenses - net gain (loss) on derivative contracts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(7,621)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(3,426)</w:t>
            </w:r>
          </w:p>
        </w:tc>
      </w:tr>
      <w:tr>
        <w:trPr/>
        <w:tc>
          <w:tcPr>
            <w:tcW w:w="23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329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31, 2026, the Company had the following open crude oil and natural gas derivative contracts:</w:t>
      </w:r>
    </w:p>
    <w:p>
      <w:pPr>
        <w:pStyle w:val="TextBody"/>
        <w:bidi w:val="0"/>
        <w:spacing w:before="0" w:after="0"/>
        <w:ind w:left="0" w:right="0" w:hanging="0"/>
        <w:jc w:val="left"/>
        <w:rPr/>
      </w:pPr>
      <w:r>
        <w:rPr/>
        <w:t>​</w:t>
      </w:r>
    </w:p>
    <w:tbl>
      <w:tblPr>
        <w:tblW w:w="9893" w:type="dxa"/>
        <w:jc w:val="left"/>
        <w:tblInd w:w="0" w:type="dxa"/>
        <w:tblLayout w:type="fixed"/>
        <w:tblCellMar>
          <w:top w:w="0" w:type="dxa"/>
          <w:left w:w="0" w:type="dxa"/>
          <w:bottom w:w="0" w:type="dxa"/>
          <w:right w:w="0" w:type="dxa"/>
        </w:tblCellMar>
      </w:tblPr>
      <w:tblGrid>
        <w:gridCol w:w="2161"/>
        <w:gridCol w:w="346"/>
        <w:gridCol w:w="856"/>
        <w:gridCol w:w="346"/>
        <w:gridCol w:w="1171"/>
        <w:gridCol w:w="346"/>
        <w:gridCol w:w="1051"/>
        <w:gridCol w:w="109"/>
        <w:gridCol w:w="181"/>
        <w:gridCol w:w="451"/>
        <w:gridCol w:w="346"/>
        <w:gridCol w:w="219"/>
        <w:gridCol w:w="546"/>
        <w:gridCol w:w="346"/>
        <w:gridCol w:w="181"/>
        <w:gridCol w:w="451"/>
        <w:gridCol w:w="109"/>
        <w:gridCol w:w="181"/>
        <w:gridCol w:w="49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72235" cy="175260"/>
                      <wp:effectExtent l="0" t="0" r="0" b="0"/>
                      <wp:wrapNone/>
                      <wp:docPr id="114" name="Frame113"/>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43560" cy="175260"/>
                      <wp:effectExtent l="0" t="0" r="0" b="0"/>
                      <wp:wrapNone/>
                      <wp:docPr id="116" name="Frame115"/>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43585" cy="175260"/>
                      <wp:effectExtent l="0" t="0" r="0" b="0"/>
                      <wp:wrapNone/>
                      <wp:docPr id="118" name="Frame117"/>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67385" cy="175260"/>
                      <wp:effectExtent l="0" t="0" r="0" b="0"/>
                      <wp:wrapNone/>
                      <wp:docPr id="120" name="Frame11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9215" cy="175260"/>
                      <wp:effectExtent l="0" t="0" r="0" b="0"/>
                      <wp:wrapNone/>
                      <wp:docPr id="121" name="Frame1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14935" cy="175260"/>
                      <wp:effectExtent l="0" t="0" r="0" b="0"/>
                      <wp:wrapNone/>
                      <wp:docPr id="122" name="Frame1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86385" cy="175260"/>
                      <wp:effectExtent l="0" t="0" r="0" b="0"/>
                      <wp:wrapNone/>
                      <wp:docPr id="123" name="Frame12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9065" cy="175260"/>
                      <wp:effectExtent l="0" t="0" r="0" b="0"/>
                      <wp:wrapNone/>
                      <wp:docPr id="125" name="Frame124"/>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46710" cy="175260"/>
                      <wp:effectExtent l="0" t="0" r="0" b="0"/>
                      <wp:wrapNone/>
                      <wp:docPr id="126" name="Frame125"/>
                      <a:graphic xmlns:a="http://schemas.openxmlformats.org/drawingml/2006/main">
                        <a:graphicData uri="http://schemas.microsoft.com/office/word/2010/wordprocessingShape">
                          <wps:wsp>
                            <wps:cNvSpPr txBox="1"/>
                            <wps:spPr>
                              <a:xfrm>
                                <a:off x="0" y="0"/>
                                <a:ext cx="346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14935" cy="175260"/>
                      <wp:effectExtent l="0" t="0" r="0" b="0"/>
                      <wp:wrapNone/>
                      <wp:docPr id="128" name="Frame12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86385" cy="175260"/>
                      <wp:effectExtent l="0" t="0" r="0" b="0"/>
                      <wp:wrapNone/>
                      <wp:docPr id="129" name="Frame128"/>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30"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14935" cy="175260"/>
                      <wp:effectExtent l="0" t="0" r="0" b="0"/>
                      <wp:wrapNone/>
                      <wp:docPr id="131" name="Frame13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14960" cy="175260"/>
                      <wp:effectExtent l="0" t="0" r="0" b="0"/>
                      <wp:wrapNone/>
                      <wp:docPr id="132" name="Frame131"/>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Volumes in</w:t>
            </w:r>
          </w:p>
        </w:tc>
        <w:tc>
          <w:tcPr>
            <w:tcW w:w="109" w:type="dxa"/>
            <w:tcBorders/>
            <w:vAlign w:val="center"/>
          </w:tcPr>
          <w:p>
            <w:pPr>
              <w:pStyle w:val="TableContents"/>
              <w:bidi w:val="0"/>
              <w:spacing w:before="0" w:after="1"/>
              <w:ind w:left="0" w:right="0" w:hanging="0"/>
              <w:jc w:val="left"/>
              <w:rPr/>
            </w:pPr>
            <w:r>
              <w:rPr/>
              <w:t>​</w:t>
            </w:r>
          </w:p>
        </w:tc>
        <w:tc>
          <w:tcPr>
            <w:tcW w:w="35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Weighted Average Price per MMBTU/BBL</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Period</w:t>
            </w:r>
          </w:p>
        </w:tc>
        <w:tc>
          <w:tcPr>
            <w:tcW w:w="346" w:type="dxa"/>
            <w:tcBorders/>
            <w:vAlign w:val="center"/>
          </w:tcPr>
          <w:p>
            <w:pPr>
              <w:pStyle w:val="TableContents"/>
              <w:bidi w:val="0"/>
              <w:spacing w:before="0" w:after="1"/>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Commodity</w:t>
            </w:r>
          </w:p>
        </w:tc>
        <w:tc>
          <w:tcPr>
            <w:tcW w:w="346" w:type="dxa"/>
            <w:tcBorders/>
            <w:vAlign w:val="center"/>
          </w:tcPr>
          <w:p>
            <w:pPr>
              <w:pStyle w:val="TableContents"/>
              <w:bidi w:val="0"/>
              <w:spacing w:before="0" w:after="1"/>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Instrument</w:t>
            </w:r>
          </w:p>
        </w:tc>
        <w:tc>
          <w:tcPr>
            <w:tcW w:w="346" w:type="dxa"/>
            <w:tcBorders/>
            <w:vAlign w:val="center"/>
          </w:tcPr>
          <w:p>
            <w:pPr>
              <w:pStyle w:val="TableContents"/>
              <w:bidi w:val="0"/>
              <w:spacing w:before="0" w:after="1"/>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Swap</w:t>
            </w:r>
          </w:p>
        </w:tc>
        <w:tc>
          <w:tcPr>
            <w:tcW w:w="346" w:type="dxa"/>
            <w:tcBorders/>
            <w:vAlign w:val="center"/>
          </w:tcPr>
          <w:p>
            <w:pPr>
              <w:pStyle w:val="TableContents"/>
              <w:bidi w:val="0"/>
              <w:spacing w:before="0" w:after="1"/>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Sub Floor</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Floor</w:t>
            </w:r>
          </w:p>
        </w:tc>
        <w:tc>
          <w:tcPr>
            <w:tcW w:w="109" w:type="dxa"/>
            <w:tcBorders/>
            <w:vAlign w:val="center"/>
          </w:tcPr>
          <w:p>
            <w:pPr>
              <w:pStyle w:val="TableContents"/>
              <w:bidi w:val="0"/>
              <w:spacing w:before="0" w:after="1"/>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Ceiling</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April 2026 - September 2026</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140,441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60.24</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December 2027</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108,222</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65.12</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April 2026 - December 2026</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115,372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56.33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64.11</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December 2027</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138,157</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58.13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69.37</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September 2026 - December 2026</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Crude Oil</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Three-Way Collar</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67,002</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54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58.83</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70.36</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April 2026 - December 2026</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2,532,778</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3.62</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December 2027</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1,430,858</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3.57</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r>
      <w:tr>
        <w:trPr/>
        <w:tc>
          <w:tcPr>
            <w:tcW w:w="216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April 2026 - December 2026</w:t>
            </w:r>
          </w:p>
        </w:tc>
        <w:tc>
          <w:tcPr>
            <w:tcW w:w="346"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1,749,713</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3.55</w:t>
            </w:r>
          </w:p>
        </w:tc>
        <w:tc>
          <w:tcPr>
            <w:tcW w:w="109"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4.65</w:t>
            </w:r>
          </w:p>
        </w:tc>
      </w:tr>
      <w:tr>
        <w:trPr/>
        <w:tc>
          <w:tcPr>
            <w:tcW w:w="216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January 2027 - March 2027</w:t>
            </w:r>
          </w:p>
        </w:tc>
        <w:tc>
          <w:tcPr>
            <w:tcW w:w="346"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744,644</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3.71</w:t>
            </w:r>
          </w:p>
        </w:tc>
        <w:tc>
          <w:tcPr>
            <w:tcW w:w="109"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5.90</w:t>
            </w:r>
          </w:p>
        </w:tc>
      </w:tr>
    </w:tbl>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Subsequent to March 31, 2026, the Company entered into the following new natural gas derivative contracts:</w:t>
      </w:r>
    </w:p>
    <w:tbl>
      <w:tblPr>
        <w:tblW w:w="8523" w:type="dxa"/>
        <w:jc w:val="left"/>
        <w:tblInd w:w="0" w:type="dxa"/>
        <w:tblLayout w:type="fixed"/>
        <w:tblCellMar>
          <w:top w:w="0" w:type="dxa"/>
          <w:left w:w="0" w:type="dxa"/>
          <w:bottom w:w="0" w:type="dxa"/>
          <w:right w:w="0" w:type="dxa"/>
        </w:tblCellMar>
      </w:tblPr>
      <w:tblGrid>
        <w:gridCol w:w="841"/>
        <w:gridCol w:w="346"/>
        <w:gridCol w:w="856"/>
        <w:gridCol w:w="346"/>
        <w:gridCol w:w="1171"/>
        <w:gridCol w:w="346"/>
        <w:gridCol w:w="1051"/>
        <w:gridCol w:w="109"/>
        <w:gridCol w:w="190"/>
        <w:gridCol w:w="395"/>
        <w:gridCol w:w="364"/>
        <w:gridCol w:w="382"/>
        <w:gridCol w:w="383"/>
        <w:gridCol w:w="364"/>
        <w:gridCol w:w="190"/>
        <w:gridCol w:w="395"/>
        <w:gridCol w:w="114"/>
        <w:gridCol w:w="190"/>
        <w:gridCol w:w="490"/>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34035" cy="175260"/>
                      <wp:effectExtent l="0" t="0" r="0" b="0"/>
                      <wp:wrapNone/>
                      <wp:docPr id="133" name="Frame13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43560" cy="175260"/>
                      <wp:effectExtent l="0" t="0" r="0" b="0"/>
                      <wp:wrapNone/>
                      <wp:docPr id="135" name="Frame134"/>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43585" cy="175260"/>
                      <wp:effectExtent l="0" t="0" r="0" b="0"/>
                      <wp:wrapNone/>
                      <wp:docPr id="137" name="Frame136"/>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67385" cy="175260"/>
                      <wp:effectExtent l="0" t="0" r="0" b="0"/>
                      <wp:wrapNone/>
                      <wp:docPr id="139" name="Frame13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20650" cy="175260"/>
                      <wp:effectExtent l="0" t="0" r="0" b="0"/>
                      <wp:wrapNone/>
                      <wp:docPr id="141" name="Frame140"/>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50825" cy="175260"/>
                      <wp:effectExtent l="0" t="0" r="0" b="0"/>
                      <wp:wrapNone/>
                      <wp:docPr id="142" name="Frame141"/>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31140" cy="175260"/>
                      <wp:effectExtent l="0" t="0" r="0" b="0"/>
                      <wp:wrapNone/>
                      <wp:docPr id="143" name="Frame14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42570" cy="175260"/>
                      <wp:effectExtent l="0" t="0" r="0" b="0"/>
                      <wp:wrapNone/>
                      <wp:docPr id="144" name="Frame143"/>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43205" cy="175260"/>
                      <wp:effectExtent l="0" t="0" r="0" b="0"/>
                      <wp:wrapNone/>
                      <wp:docPr id="145" name="Frame144"/>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1140" cy="175260"/>
                      <wp:effectExtent l="0" t="0" r="0" b="0"/>
                      <wp:wrapNone/>
                      <wp:docPr id="146" name="Frame14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20650" cy="175260"/>
                      <wp:effectExtent l="0" t="0" r="0" b="0"/>
                      <wp:wrapNone/>
                      <wp:docPr id="147" name="Frame146"/>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50825" cy="175260"/>
                      <wp:effectExtent l="0" t="0" r="0" b="0"/>
                      <wp:wrapNone/>
                      <wp:docPr id="148" name="Frame147"/>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2390" cy="175260"/>
                      <wp:effectExtent l="0" t="0" r="0" b="0"/>
                      <wp:wrapNone/>
                      <wp:docPr id="149" name="Frame148"/>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20650" cy="175260"/>
                      <wp:effectExtent l="0" t="0" r="0" b="0"/>
                      <wp:wrapNone/>
                      <wp:docPr id="150" name="Frame149"/>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11150" cy="175260"/>
                      <wp:effectExtent l="0" t="0" r="0" b="0"/>
                      <wp:wrapNone/>
                      <wp:docPr id="151" name="Frame150"/>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Volumes in</w:t>
            </w:r>
          </w:p>
        </w:tc>
        <w:tc>
          <w:tcPr>
            <w:tcW w:w="109" w:type="dxa"/>
            <w:tcBorders/>
            <w:vAlign w:val="center"/>
          </w:tcPr>
          <w:p>
            <w:pPr>
              <w:pStyle w:val="TableContents"/>
              <w:bidi w:val="0"/>
              <w:spacing w:before="0" w:after="0"/>
              <w:ind w:left="0" w:right="0" w:hanging="0"/>
              <w:jc w:val="left"/>
              <w:rPr/>
            </w:pPr>
            <w:r>
              <w:rPr/>
              <w:t>​</w:t>
            </w:r>
          </w:p>
        </w:tc>
        <w:tc>
          <w:tcPr>
            <w:tcW w:w="345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 Average Price per MMBTU/BBL</w:t>
            </w:r>
          </w:p>
        </w:tc>
      </w:tr>
      <w:tr>
        <w:trPr/>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Period</w:t>
            </w:r>
          </w:p>
        </w:tc>
        <w:tc>
          <w:tcPr>
            <w:tcW w:w="346" w:type="dxa"/>
            <w:tcBorders/>
            <w:vAlign w:val="center"/>
          </w:tcPr>
          <w:p>
            <w:pPr>
              <w:pStyle w:val="TableContents"/>
              <w:bidi w:val="0"/>
              <w:spacing w:before="0" w:after="0"/>
              <w:ind w:left="0" w:right="0" w:hanging="0"/>
              <w:jc w:val="left"/>
              <w:rPr/>
            </w:pPr>
            <w:r>
              <w:rPr/>
              <w:t>  ​ ​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Commodity</w:t>
            </w:r>
          </w:p>
        </w:tc>
        <w:tc>
          <w:tcPr>
            <w:tcW w:w="346" w:type="dxa"/>
            <w:tcBorders/>
            <w:vAlign w:val="center"/>
          </w:tcPr>
          <w:p>
            <w:pPr>
              <w:pStyle w:val="TableContents"/>
              <w:bidi w:val="0"/>
              <w:spacing w:before="0" w:after="0"/>
              <w:ind w:left="0" w:right="0" w:hanging="0"/>
              <w:jc w:val="left"/>
              <w:rPr/>
            </w:pPr>
            <w:r>
              <w:rPr/>
              <w:t>  ​ ​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Instrument</w:t>
            </w:r>
          </w:p>
        </w:tc>
        <w:tc>
          <w:tcPr>
            <w:tcW w:w="346" w:type="dxa"/>
            <w:tcBorders/>
            <w:vAlign w:val="center"/>
          </w:tcPr>
          <w:p>
            <w:pPr>
              <w:pStyle w:val="TableContents"/>
              <w:bidi w:val="0"/>
              <w:spacing w:before="0" w:after="0"/>
              <w:ind w:left="0" w:right="0" w:hanging="0"/>
              <w:jc w:val="left"/>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MMBTU/BBL</w:t>
            </w:r>
          </w:p>
        </w:tc>
        <w:tc>
          <w:tcPr>
            <w:tcW w:w="109" w:type="dxa"/>
            <w:tcBorders/>
            <w:vAlign w:val="center"/>
          </w:tcPr>
          <w:p>
            <w:pPr>
              <w:pStyle w:val="TableContents"/>
              <w:bidi w:val="0"/>
              <w:spacing w:before="0" w:after="0"/>
              <w:ind w:left="0" w:right="0" w:hanging="0"/>
              <w:jc w:val="left"/>
              <w:rPr/>
            </w:pPr>
            <w:r>
              <w:rPr/>
              <w:t>​</w:t>
            </w:r>
          </w:p>
        </w:tc>
        <w:tc>
          <w:tcPr>
            <w:tcW w:w="5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Swap</w:t>
            </w:r>
          </w:p>
        </w:tc>
        <w:tc>
          <w:tcPr>
            <w:tcW w:w="364" w:type="dxa"/>
            <w:tcBorders/>
            <w:vAlign w:val="center"/>
          </w:tcPr>
          <w:p>
            <w:pPr>
              <w:pStyle w:val="TableContents"/>
              <w:bidi w:val="0"/>
              <w:spacing w:before="0" w:after="0"/>
              <w:ind w:left="0" w:right="0" w:hanging="0"/>
              <w:jc w:val="left"/>
              <w:rPr/>
            </w:pPr>
            <w:r>
              <w:rPr/>
              <w:t>  ​ ​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Sub Floor</w:t>
            </w:r>
          </w:p>
        </w:tc>
        <w:tc>
          <w:tcPr>
            <w:tcW w:w="364" w:type="dxa"/>
            <w:tcBorders/>
            <w:vAlign w:val="center"/>
          </w:tcPr>
          <w:p>
            <w:pPr>
              <w:pStyle w:val="TableContents"/>
              <w:bidi w:val="0"/>
              <w:spacing w:before="0" w:after="0"/>
              <w:ind w:left="0" w:right="0" w:hanging="0"/>
              <w:jc w:val="left"/>
              <w:rPr/>
            </w:pPr>
            <w:r>
              <w:rPr/>
              <w:t>  ​ ​ ​</w:t>
            </w:r>
          </w:p>
        </w:tc>
        <w:tc>
          <w:tcPr>
            <w:tcW w:w="5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Floor</w:t>
            </w:r>
          </w:p>
        </w:tc>
        <w:tc>
          <w:tcPr>
            <w:tcW w:w="114" w:type="dxa"/>
            <w:tcBorders/>
            <w:vAlign w:val="center"/>
          </w:tcPr>
          <w:p>
            <w:pPr>
              <w:pStyle w:val="TableContents"/>
              <w:bidi w:val="0"/>
              <w:spacing w:before="0" w:after="0"/>
              <w:ind w:left="0" w:right="0" w:hanging="0"/>
              <w:jc w:val="left"/>
              <w:rPr/>
            </w:pPr>
            <w:r>
              <w:rPr/>
              <w:t>​</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Ceiling</w:t>
            </w:r>
          </w:p>
        </w:tc>
      </w:tr>
      <w:tr>
        <w:trPr/>
        <w:tc>
          <w:tcPr>
            <w:tcW w:w="841"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March 2027</w:t>
            </w:r>
          </w:p>
        </w:tc>
        <w:tc>
          <w:tcPr>
            <w:tcW w:w="34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Fixed-Price Swap</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106,150</w:t>
            </w:r>
          </w:p>
        </w:tc>
        <w:tc>
          <w:tcPr>
            <w:tcW w:w="109"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9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3.19</w:t>
            </w:r>
          </w:p>
        </w:tc>
        <w:tc>
          <w:tcPr>
            <w:tcW w:w="364"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395" w:type="dxa"/>
            <w:tcBorders/>
            <w:shd w:fill="CCEEFF" w:val="clear"/>
            <w:vAlign w:val="center"/>
          </w:tcPr>
          <w:p>
            <w:pPr>
              <w:pStyle w:val="TableContents"/>
              <w:bidi w:val="0"/>
              <w:spacing w:before="0" w:after="0"/>
              <w:ind w:left="0" w:right="0" w:hanging="0"/>
              <w:jc w:val="left"/>
              <w:rPr/>
            </w:pPr>
            <w:r>
              <w:rPr/>
              <w:t>​</w:t>
            </w:r>
          </w:p>
        </w:tc>
        <w:tc>
          <w:tcPr>
            <w:tcW w:w="114"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March 2027</w:t>
            </w:r>
          </w:p>
        </w:tc>
        <w:tc>
          <w:tcPr>
            <w:tcW w:w="34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Natural Gas</w:t>
            </w:r>
          </w:p>
        </w:tc>
        <w:tc>
          <w:tcPr>
            <w:tcW w:w="34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sz w:val="15"/>
              </w:rPr>
            </w:pPr>
            <w:r>
              <w:rPr>
                <w:rFonts w:ascii="Times New Roman;Times;serif" w:hAnsi="Times New Roman;Times;serif"/>
                <w:sz w:val="15"/>
              </w:rPr>
              <w:t>Two-Way Collar</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106,150</w:t>
            </w:r>
          </w:p>
        </w:tc>
        <w:tc>
          <w:tcPr>
            <w:tcW w:w="109"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395"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39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w:t>
            </w:r>
          </w:p>
        </w:tc>
        <w:tc>
          <w:tcPr>
            <w:tcW w:w="114"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90" w:type="dxa"/>
            <w:tcBorders/>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3.50</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Company presents the fair value of its derivative contracts at the gross amounts in the unaudited condensed consolidated balance sheets. The following table shows the potential effects of master netting arrangements on the fair value of the Company’s derivative contracts for the periods presented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25"/>
        <w:gridCol w:w="346"/>
        <w:gridCol w:w="322"/>
        <w:gridCol w:w="939"/>
        <w:gridCol w:w="364"/>
        <w:gridCol w:w="287"/>
        <w:gridCol w:w="839"/>
        <w:gridCol w:w="346"/>
        <w:gridCol w:w="322"/>
        <w:gridCol w:w="939"/>
        <w:gridCol w:w="404"/>
        <w:gridCol w:w="282"/>
        <w:gridCol w:w="890"/>
      </w:tblGrid>
      <w:tr>
        <w:trPr/>
        <w:tc>
          <w:tcPr>
            <w:tcW w:w="3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492375" cy="175260"/>
                      <wp:effectExtent l="0" t="0" r="0" b="0"/>
                      <wp:wrapNone/>
                      <wp:docPr id="152" name="Frame151"/>
                      <a:graphic xmlns:a="http://schemas.openxmlformats.org/drawingml/2006/main">
                        <a:graphicData uri="http://schemas.microsoft.com/office/word/2010/wordprocessingShape">
                          <wps:wsp>
                            <wps:cNvSpPr txBox="1"/>
                            <wps:spPr>
                              <a:xfrm>
                                <a:off x="0" y="0"/>
                                <a:ext cx="2492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4470" cy="175260"/>
                      <wp:effectExtent l="0" t="0" r="0" b="0"/>
                      <wp:wrapNone/>
                      <wp:docPr id="154" name="Frame153"/>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96265" cy="175260"/>
                      <wp:effectExtent l="0" t="0" r="0" b="0"/>
                      <wp:wrapNone/>
                      <wp:docPr id="155" name="Frame154"/>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31140" cy="175260"/>
                      <wp:effectExtent l="0" t="0" r="0" b="0"/>
                      <wp:wrapNone/>
                      <wp:docPr id="156" name="Frame15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82245" cy="175260"/>
                      <wp:effectExtent l="0" t="0" r="0" b="0"/>
                      <wp:wrapNone/>
                      <wp:docPr id="157" name="Frame15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32765" cy="175260"/>
                      <wp:effectExtent l="0" t="0" r="0" b="0"/>
                      <wp:wrapNone/>
                      <wp:docPr id="158" name="Frame157"/>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4470" cy="175260"/>
                      <wp:effectExtent l="0" t="0" r="0" b="0"/>
                      <wp:wrapNone/>
                      <wp:docPr id="160" name="Frame159"/>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96265" cy="175260"/>
                      <wp:effectExtent l="0" t="0" r="0" b="0"/>
                      <wp:wrapNone/>
                      <wp:docPr id="161" name="Frame160"/>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56540" cy="175260"/>
                      <wp:effectExtent l="0" t="0" r="0" b="0"/>
                      <wp:wrapNone/>
                      <wp:docPr id="162" name="Frame161"/>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79070" cy="175260"/>
                      <wp:effectExtent l="0" t="0" r="0" b="0"/>
                      <wp:wrapNone/>
                      <wp:docPr id="163" name="Frame16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65150" cy="175260"/>
                      <wp:effectExtent l="0" t="0" r="0" b="0"/>
                      <wp:wrapNone/>
                      <wp:docPr id="164" name="Frame163"/>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2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Contracts Assets</w:t>
            </w:r>
          </w:p>
        </w:tc>
        <w:tc>
          <w:tcPr>
            <w:tcW w:w="346" w:type="dxa"/>
            <w:tcBorders/>
            <w:vAlign w:val="center"/>
          </w:tcPr>
          <w:p>
            <w:pPr>
              <w:pStyle w:val="TableContents"/>
              <w:bidi w:val="0"/>
              <w:spacing w:before="0" w:after="0"/>
              <w:ind w:left="0" w:right="0" w:hanging="0"/>
              <w:jc w:val="left"/>
              <w:rPr/>
            </w:pPr>
            <w:r>
              <w:rPr/>
              <w:t>​</w:t>
            </w:r>
          </w:p>
        </w:tc>
        <w:tc>
          <w:tcPr>
            <w:tcW w:w="28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 Contracts Liabilities</w:t>
            </w:r>
          </w:p>
        </w:tc>
      </w:tr>
      <w:tr>
        <w:trPr/>
        <w:tc>
          <w:tcPr>
            <w:tcW w:w="39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Offsetting of Derivative Assets and Liabilities</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364"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c>
          <w:tcPr>
            <w:tcW w:w="346" w:type="dxa"/>
            <w:tcBorders/>
            <w:vAlign w:val="center"/>
          </w:tcPr>
          <w:p>
            <w:pPr>
              <w:pStyle w:val="TableContents"/>
              <w:bidi w:val="0"/>
              <w:spacing w:before="0" w:after="0"/>
              <w:ind w:left="0" w:right="0" w:hanging="0"/>
              <w:jc w:val="left"/>
              <w:rPr/>
            </w:pPr>
            <w:r>
              <w:rPr/>
              <w:t>  ​ ​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2026</w:t>
            </w:r>
          </w:p>
        </w:tc>
        <w:tc>
          <w:tcPr>
            <w:tcW w:w="404" w:type="dxa"/>
            <w:tcBorders/>
            <w:vAlign w:val="center"/>
          </w:tcPr>
          <w:p>
            <w:pPr>
              <w:pStyle w:val="TableContents"/>
              <w:bidi w:val="0"/>
              <w:spacing w:before="0" w:after="0"/>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9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amounts presented in the Consolidated Balance Sheet</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3,062</w:t>
            </w:r>
          </w:p>
        </w:tc>
        <w:tc>
          <w:tcPr>
            <w:tcW w:w="364"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1,975</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9,322</w:t>
            </w:r>
          </w:p>
        </w:tc>
        <w:tc>
          <w:tcPr>
            <w:tcW w:w="404"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3,360</w:t>
            </w:r>
          </w:p>
        </w:tc>
      </w:tr>
      <w:tr>
        <w:trPr/>
        <w:tc>
          <w:tcPr>
            <w:tcW w:w="39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Amounts not offset in the Consolidated Balance Sheet</w:t>
            </w:r>
          </w:p>
        </w:tc>
        <w:tc>
          <w:tcPr>
            <w:tcW w:w="346"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(3,062)</w:t>
            </w:r>
          </w:p>
        </w:tc>
        <w:tc>
          <w:tcPr>
            <w:tcW w:w="364"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(1,774)</w:t>
            </w:r>
          </w:p>
        </w:tc>
        <w:tc>
          <w:tcPr>
            <w:tcW w:w="346" w:type="dxa"/>
            <w:tcBorders/>
            <w:vAlign w:val="center"/>
          </w:tcPr>
          <w:p>
            <w:pPr>
              <w:pStyle w:val="TableContents"/>
              <w:bidi w:val="0"/>
              <w:spacing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(3,062)</w:t>
            </w:r>
          </w:p>
        </w:tc>
        <w:tc>
          <w:tcPr>
            <w:tcW w:w="404"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(1,774)</w:t>
            </w:r>
          </w:p>
        </w:tc>
      </w:tr>
      <w:tr>
        <w:trPr/>
        <w:tc>
          <w:tcPr>
            <w:tcW w:w="39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amount</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w:t>
            </w:r>
          </w:p>
        </w:tc>
        <w:tc>
          <w:tcPr>
            <w:tcW w:w="346" w:type="dxa"/>
            <w:tcBorders/>
            <w:shd w:fill="CCEEFF" w:val="clear"/>
            <w:vAlign w:val="center"/>
          </w:tcPr>
          <w:p>
            <w:pPr>
              <w:pStyle w:val="TableContents"/>
              <w:bidi w:val="0"/>
              <w:spacing w:before="0" w:after="0"/>
              <w:ind w:left="0" w:right="0" w:hanging="0"/>
              <w:jc w:val="left"/>
              <w:rPr/>
            </w:pPr>
            <w:r>
              <w:rPr/>
              <w:t>​</w:t>
            </w:r>
          </w:p>
        </w:tc>
        <w:tc>
          <w:tcPr>
            <w:tcW w:w="3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6,260</w:t>
            </w:r>
          </w:p>
        </w:tc>
        <w:tc>
          <w:tcPr>
            <w:tcW w:w="404"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1,586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 of amounts payable or receivable between the Company and the counterparty, at the election of both parties, for transactions that occur on the same date and in the same currency.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983" w:name="Tc_oGh2t8xmuUyHd29JFM-3Rg_7_11"/>
      <w:bookmarkStart w:id="984" w:name="Tc_4jTQCcH0CkySv-qItZiIaw_7_9"/>
      <w:bookmarkStart w:id="985" w:name="Tc_Gg3TJYIJnUe2rWYE_gYRFw_7_8"/>
      <w:bookmarkStart w:id="986" w:name="Tc_zWIFrdeT90KzQXn9_icLFw_7_5"/>
      <w:bookmarkStart w:id="987" w:name="Tc_lG5hZ8jLNk23rg2z7YBK-Q_7_3"/>
      <w:bookmarkStart w:id="988" w:name="Tc_ot9V3QVl7E6R1cR_YGWF4Q_7_2"/>
      <w:bookmarkStart w:id="989" w:name="Tc_Nxg7ozbMgUCSXbD3tJ6FdQ_7_0"/>
      <w:bookmarkStart w:id="990" w:name="Tc_WkOP8ShHVU-1_z6UkAKjaA_6_0"/>
      <w:bookmarkStart w:id="991" w:name="Tc_f3qhTvnxwUKiwBYURx_PZQ_4_11"/>
      <w:bookmarkStart w:id="992" w:name="Tc_pC2pCleodkyXn8SKyhmuBA_4_9"/>
      <w:bookmarkStart w:id="993" w:name="Tc_WsivUrXy1EGWT8kcnUT_ng_4_8"/>
      <w:bookmarkStart w:id="994" w:name="Tc_Cw9bEyg9EkG0IbRH8_uJ2A_4_5"/>
      <w:bookmarkStart w:id="995" w:name="Tc_QycTwj4gKUCkQz9ZMn8A2Q_4_3"/>
      <w:bookmarkStart w:id="996" w:name="Tc_wAcL71og0UWemI3DRNHwlQ_4_2"/>
      <w:bookmarkStart w:id="997" w:name="Tc_ITDcsYN8EU-1Rq-mDOBQGw_4_0"/>
      <w:bookmarkStart w:id="998" w:name="Tc_Jy420bUYoEypifPq3kc0DA_3_0"/>
      <w:bookmarkStart w:id="999" w:name="Tc_t_zkiU1uI0O_3hL0xB99hw_2_11"/>
      <w:bookmarkStart w:id="1000" w:name="Tc_UfQLzPptuk21sabCpCM7pA_2_8"/>
      <w:bookmarkStart w:id="1001" w:name="Tc_asY5GhOJJEOg0iP7QVRAtg_2_5"/>
      <w:bookmarkStart w:id="1002" w:name="Tc_ZERka2Qe60iE8u1wlepF-w_2_2"/>
      <w:bookmarkStart w:id="1003" w:name="Tc_TM83LAMAokihXjXznyYlcA_1_2"/>
      <w:bookmarkStart w:id="1004" w:name="_cf4886da_d818_461c_b878_0e52ff679af7"/>
      <w:bookmarkStart w:id="1005" w:name="Tc_wvGP5pk_ZUGH_x0ocbqNDQ_7_11"/>
      <w:bookmarkStart w:id="1006" w:name="Tc_-FkGK6ZHIk6pZuo4mKkVsQ_7_9"/>
      <w:bookmarkStart w:id="1007" w:name="Tc_wULTVHsZn0OwvxZiQ0GXPA_7_8"/>
      <w:bookmarkStart w:id="1008" w:name="Tc_NsnvaycuA0OiV5J9lKenwQ_7_5"/>
      <w:bookmarkStart w:id="1009" w:name="Tc_eNRoLp04JU6kai7Ak0ts-A_7_3"/>
      <w:bookmarkStart w:id="1010" w:name="Tc_DbXJ5pTAz0ub4fKt4OEYNw_7_2"/>
      <w:bookmarkStart w:id="1011" w:name="Tc_1FnXjIgU1EGrC8-G1LGLdw_7_0"/>
      <w:bookmarkStart w:id="1012" w:name="Tc_j-ByF8leFUyo8jArh76Drw_6_0"/>
      <w:bookmarkStart w:id="1013" w:name="Tc_F3KIUpA4HkC0gOrg1FGPBw_4_11"/>
      <w:bookmarkStart w:id="1014" w:name="Tc_sNbVFnIReEWISQt9HGw1ew_4_9"/>
      <w:bookmarkStart w:id="1015" w:name="Tc_MKHGkbemFU647W8jwiTTOA_4_8"/>
      <w:bookmarkStart w:id="1016" w:name="Tc_tmlgNpFAb064qixuad5Eew_4_5"/>
      <w:bookmarkStart w:id="1017" w:name="Tc_O75i0dKycU2thQMlgn1ukA_4_3"/>
      <w:bookmarkStart w:id="1018" w:name="Tc_rPilOZC7NkiC2W8uSVfDAQ_4_2"/>
      <w:bookmarkStart w:id="1019" w:name="Tc_8z-xfM0Nb0Kv6cZ113DIFw_4_0"/>
      <w:bookmarkStart w:id="1020" w:name="Tc_2JZ9MJxanEO3FwUntZcCDQ_3_0"/>
      <w:bookmarkStart w:id="1021" w:name="Tc_cn_afWYPLUKHxjwDCIrJ3Q_2_11"/>
      <w:bookmarkStart w:id="1022" w:name="Tc_dX5Zs0UICk--PMbFKOVq9w_2_8"/>
      <w:bookmarkStart w:id="1023" w:name="Tc_XyYHg_j5bE-bHoaFmNnwVA_2_5"/>
      <w:bookmarkStart w:id="1024" w:name="Tc_xfcsvgW2IkCdps_CQg8eyw_2_2"/>
      <w:bookmarkStart w:id="1025" w:name="Tc_QO3olP7E5UGVzFvEBooUyw_1_2"/>
      <w:bookmarkStart w:id="1026" w:name="_2e76a9d5_741f_427b_b807_ee7b4b9c6bd6"/>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rFonts w:ascii="Times New Roman;Times;serif" w:hAnsi="Times New Roman;Times;serif"/>
          <w:b/>
          <w:sz w:val="20"/>
        </w:rPr>
        <w:t>Note 8. Fair Value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three levels are defined as follows: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1—Observable inputs such as quoted prices in active markets at the measurement date for identical, unrestricted assets or liabilities.</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2—Other inputs that are observable directly or indirectly, such as quoted prices in markets that are not active or inputs which are observable, either directly or indirectly, for substantially the full term of the asset or liability.</w:t>
      </w:r>
    </w:p>
    <w:p>
      <w:pPr>
        <w:pStyle w:val="TextBody"/>
        <w:bidi w:val="0"/>
        <w:spacing w:before="0" w:after="120"/>
        <w:ind w:left="720" w:right="0" w:hanging="0"/>
        <w:jc w:val="left"/>
        <w:rPr>
          <w:rFonts w:ascii="Times New Roman;Times;serif" w:hAnsi="Times New Roman;Times;serif"/>
          <w:sz w:val="20"/>
        </w:rPr>
      </w:pPr>
      <w:r>
        <w:rPr>
          <w:rFonts w:ascii="Times New Roman;Times;serif" w:hAnsi="Times New Roman;Times;serif"/>
          <w:sz w:val="20"/>
        </w:rPr>
        <w:t>Level 3—Unobservable inputs for which there are little or no market data and which the Company makes its own assumptions about how market participants would price the assets and liabilities.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Fair Value of Derivative Instruments.</w:t>
      </w:r>
      <w:r>
        <w:rPr>
          <w:rFonts w:ascii="Times New Roman;Times;serif" w:hAnsi="Times New Roman;Times;serif"/>
          <w:sz w:val="20"/>
        </w:rPr>
        <w:t xml:space="preserve"> The Company’s determination of fair value incorporates not only the credit standing 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any period presented in this report. The following table, set forth by level within the fair value hierarchy, shows the Company’s financial assets and liabilities that were accounted for at fair value for the periods presented (in thousands). </w:t>
      </w:r>
    </w:p>
    <w:p>
      <w:pPr>
        <w:pStyle w:val="TextBody"/>
        <w:bidi w:val="0"/>
        <w:spacing w:before="0" w:after="0"/>
        <w:ind w:left="0" w:right="0" w:hanging="0"/>
        <w:jc w:val="left"/>
        <w:rPr/>
      </w:pPr>
      <w:r>
        <w:rPr/>
        <w:t>​</w:t>
      </w:r>
    </w:p>
    <w:tbl>
      <w:tblPr>
        <w:tblW w:w="6324" w:type="dxa"/>
        <w:jc w:val="left"/>
        <w:tblInd w:w="0" w:type="dxa"/>
        <w:tblLayout w:type="fixed"/>
        <w:tblCellMar>
          <w:top w:w="0" w:type="dxa"/>
          <w:left w:w="0" w:type="dxa"/>
          <w:bottom w:w="0" w:type="dxa"/>
          <w:right w:w="0" w:type="dxa"/>
        </w:tblCellMar>
      </w:tblPr>
      <w:tblGrid>
        <w:gridCol w:w="2131"/>
        <w:gridCol w:w="346"/>
        <w:gridCol w:w="233"/>
        <w:gridCol w:w="412"/>
        <w:gridCol w:w="346"/>
        <w:gridCol w:w="196"/>
        <w:gridCol w:w="511"/>
        <w:gridCol w:w="346"/>
        <w:gridCol w:w="233"/>
        <w:gridCol w:w="412"/>
        <w:gridCol w:w="34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53185" cy="175260"/>
                      <wp:effectExtent l="0" t="0" r="0" b="0"/>
                      <wp:wrapNone/>
                      <wp:docPr id="165" name="Frame164"/>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7955" cy="175260"/>
                      <wp:effectExtent l="0" t="0" r="0" b="0"/>
                      <wp:wrapNone/>
                      <wp:docPr id="167" name="Frame16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61620" cy="175260"/>
                      <wp:effectExtent l="0" t="0" r="0" b="0"/>
                      <wp:wrapNone/>
                      <wp:docPr id="168" name="Frame167"/>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24485" cy="175260"/>
                      <wp:effectExtent l="0" t="0" r="0" b="0"/>
                      <wp:wrapNone/>
                      <wp:docPr id="171" name="Frame17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47955" cy="175260"/>
                      <wp:effectExtent l="0" t="0" r="0" b="0"/>
                      <wp:wrapNone/>
                      <wp:docPr id="173" name="Frame17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61620" cy="175260"/>
                      <wp:effectExtent l="0" t="0" r="0" b="0"/>
                      <wp:wrapNone/>
                      <wp:docPr id="174" name="Frame17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6" name="Frame1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91160" cy="175260"/>
                      <wp:effectExtent l="0" t="0" r="0" b="0"/>
                      <wp:wrapNone/>
                      <wp:docPr id="177" name="Frame17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4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2026</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3,062</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3,062</w:t>
            </w:r>
          </w:p>
        </w:tc>
      </w:tr>
      <w:tr>
        <w:trPr/>
        <w:tc>
          <w:tcPr>
            <w:tcW w:w="21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9,322</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9,322</w:t>
            </w:r>
          </w:p>
        </w:tc>
      </w:tr>
    </w:tbl>
    <w:p>
      <w:pPr>
        <w:pStyle w:val="TextBody"/>
        <w:bidi w:val="0"/>
        <w:spacing w:before="0" w:after="240"/>
        <w:ind w:left="0" w:right="0" w:hanging="0"/>
        <w:jc w:val="left"/>
        <w:rPr/>
      </w:pPr>
      <w:r>
        <w:rPr/>
        <w:t>​</w:t>
      </w:r>
    </w:p>
    <w:tbl>
      <w:tblPr>
        <w:tblW w:w="6324" w:type="dxa"/>
        <w:jc w:val="left"/>
        <w:tblInd w:w="0" w:type="dxa"/>
        <w:tblLayout w:type="fixed"/>
        <w:tblCellMar>
          <w:top w:w="0" w:type="dxa"/>
          <w:left w:w="0" w:type="dxa"/>
          <w:bottom w:w="0" w:type="dxa"/>
          <w:right w:w="0" w:type="dxa"/>
        </w:tblCellMar>
      </w:tblPr>
      <w:tblGrid>
        <w:gridCol w:w="2131"/>
        <w:gridCol w:w="346"/>
        <w:gridCol w:w="233"/>
        <w:gridCol w:w="412"/>
        <w:gridCol w:w="346"/>
        <w:gridCol w:w="196"/>
        <w:gridCol w:w="511"/>
        <w:gridCol w:w="346"/>
        <w:gridCol w:w="233"/>
        <w:gridCol w:w="412"/>
        <w:gridCol w:w="346"/>
        <w:gridCol w:w="196"/>
        <w:gridCol w:w="6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53185" cy="175260"/>
                      <wp:effectExtent l="0" t="0" r="0" b="0"/>
                      <wp:wrapNone/>
                      <wp:docPr id="178" name="Frame177"/>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47955" cy="175260"/>
                      <wp:effectExtent l="0" t="0" r="0" b="0"/>
                      <wp:wrapNone/>
                      <wp:docPr id="180" name="Frame17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61620" cy="175260"/>
                      <wp:effectExtent l="0" t="0" r="0" b="0"/>
                      <wp:wrapNone/>
                      <wp:docPr id="181" name="Frame180"/>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24485" cy="175260"/>
                      <wp:effectExtent l="0" t="0" r="0" b="0"/>
                      <wp:wrapNone/>
                      <wp:docPr id="184" name="Frame18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47955" cy="175260"/>
                      <wp:effectExtent l="0" t="0" r="0" b="0"/>
                      <wp:wrapNone/>
                      <wp:docPr id="186" name="Frame18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61620" cy="175260"/>
                      <wp:effectExtent l="0" t="0" r="0" b="0"/>
                      <wp:wrapNone/>
                      <wp:docPr id="187" name="Frame186"/>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89" name="Frame1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91160" cy="175260"/>
                      <wp:effectExtent l="0" t="0" r="0" b="0"/>
                      <wp:wrapNone/>
                      <wp:docPr id="190" name="Frame18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84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1</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2</w:t>
            </w:r>
          </w:p>
        </w:tc>
        <w:tc>
          <w:tcPr>
            <w:tcW w:w="346" w:type="dxa"/>
            <w:tcBorders/>
            <w:vAlign w:val="center"/>
          </w:tcPr>
          <w:p>
            <w:pPr>
              <w:pStyle w:val="TableContents"/>
              <w:bidi w:val="0"/>
              <w:spacing w:before="0" w:after="1"/>
              <w:ind w:left="0" w:right="0" w:hanging="0"/>
              <w:jc w:val="left"/>
              <w:rPr/>
            </w:pPr>
            <w:r>
              <w:rPr/>
              <w:t>  ​ ​ ​</w:t>
            </w:r>
          </w:p>
        </w:tc>
        <w:tc>
          <w:tcPr>
            <w:tcW w:w="6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Level 3</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assets</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1,975</w:t>
            </w:r>
          </w:p>
        </w:tc>
      </w:tr>
      <w:tr>
        <w:trPr/>
        <w:tc>
          <w:tcPr>
            <w:tcW w:w="21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contract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3,360</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3,360</w:t>
            </w:r>
          </w:p>
        </w:tc>
      </w:tr>
    </w:tbl>
    <w:p>
      <w:pPr>
        <w:pStyle w:val="TextBody"/>
        <w:bidi w:val="0"/>
        <w:spacing w:before="0" w:after="24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contracts listed above as Level 2 include fixed-price swaps and costless put/call collars that are carried at fair value. The Company records the net change in fair value of these positions in “</w:t>
      </w:r>
      <w:r>
        <w:rPr>
          <w:rFonts w:ascii="Times New Roman;Times;serif" w:hAnsi="Times New Roman;Times;serif"/>
          <w:i/>
          <w:sz w:val="20"/>
        </w:rPr>
        <w:t>Net gain (loss) on derivative contracts”</w:t>
      </w:r>
      <w:r>
        <w:rPr>
          <w:rFonts w:ascii="Times New Roman;Times;serif" w:hAnsi="Times New Roman;Times;serif"/>
          <w:sz w:val="20"/>
        </w:rPr>
        <w:t xml:space="preserve"> in the Company’s unaudited condensed consolidated statements of operations. The Company is able to value the assets and liabilities based on observable market data for similar instruments, which resulted in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its derivatives as Level 2. This observable data includes the forward curves for commodity prices based on quoted market prices and implied volatility factors related to changes in the forward curves. See Note 7, “</w:t>
      </w:r>
      <w:r>
        <w:rPr>
          <w:rFonts w:ascii="Times New Roman;Times;serif" w:hAnsi="Times New Roman;Times;serif"/>
          <w:i/>
          <w:sz w:val="20"/>
        </w:rPr>
        <w:t>Derivatives</w:t>
      </w:r>
      <w:r>
        <w:rPr>
          <w:rFonts w:ascii="Times New Roman;Times;serif" w:hAnsi="Times New Roman;Times;serif"/>
          <w:sz w:val="20"/>
        </w:rPr>
        <w:t>,” for additional discussion of derivatives.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expect such nonperformance.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Other Fair Value Measurements.</w:t>
      </w:r>
      <w:r>
        <w:rPr>
          <w:rFonts w:ascii="Times New Roman;Times;serif" w:hAnsi="Times New Roman;Times;serif"/>
          <w:sz w:val="20"/>
        </w:rPr>
        <w:t xml:space="preserve"> The following disclosure of the estimated fair value of financial instruments is made in accordance with the requirements of ASC 825, </w:t>
      </w:r>
      <w:r>
        <w:rPr>
          <w:rFonts w:ascii="Times New Roman;Times;serif" w:hAnsi="Times New Roman;Times;serif"/>
          <w:i/>
          <w:sz w:val="20"/>
        </w:rPr>
        <w:t>Financial Instruments</w:t>
      </w:r>
      <w:r>
        <w:rPr>
          <w:rFonts w:ascii="Times New Roman;Times;serif" w:hAnsi="Times New Roman;Times;serif"/>
          <w:sz w:val="20"/>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Times;serif" w:hAnsi="Times New Roman;Times;serif"/>
          <w:i/>
          <w:sz w:val="20"/>
        </w:rPr>
        <w:t>Asset Retirement Obligations</w:t>
      </w:r>
      <w:r>
        <w:rPr>
          <w:rFonts w:ascii="Times New Roman;Times;serif" w:hAnsi="Times New Roman;Times;serif"/>
          <w:sz w:val="20"/>
        </w:rPr>
        <w:t>,” for a reconciliation of the beginning and ending balances of the liability for the Company’s ARO.</w:t>
      </w:r>
    </w:p>
    <w:p>
      <w:pPr>
        <w:pStyle w:val="TextBody"/>
        <w:bidi w:val="0"/>
        <w:spacing w:before="0" w:after="240"/>
        <w:ind w:left="0" w:right="0" w:hanging="0"/>
        <w:jc w:val="left"/>
        <w:rPr>
          <w:rFonts w:ascii="Times New Roman;Times;serif" w:hAnsi="Times New Roman;Times;serif"/>
          <w:b/>
          <w:sz w:val="20"/>
        </w:rPr>
      </w:pPr>
      <w:bookmarkStart w:id="1027" w:name="Tc_P2mwDotO5kik5_9RljcmRQ_7_2"/>
      <w:bookmarkStart w:id="1028" w:name="Tc_h596_iuY3keVHs0gmhvs5A_7_0"/>
      <w:bookmarkStart w:id="1029" w:name="Tc_g5DQIEz020qb-bSheOSl4g_6_0"/>
      <w:bookmarkStart w:id="1030" w:name="Tc_RD64Dw20xEWeL7VKHdvVBA_5_0"/>
      <w:bookmarkStart w:id="1031" w:name="Tc_uo-Nj2oKfkOfzLW9zPqs9Q_4_0"/>
      <w:bookmarkStart w:id="1032" w:name="Tc_acRwqv661kWrw8cnFFfBAA_3_0"/>
      <w:bookmarkStart w:id="1033" w:name="Tc_ZwEaj-jF7Em-Spo2OGabwg_2_2"/>
      <w:bookmarkStart w:id="1034" w:name="Tc_gXNv5hqIBUGTT9lnuVJ0ZA_2_0"/>
      <w:bookmarkStart w:id="1035" w:name="Tc_u7MRGr3H9UikUgNXRfDxkQ_1_2"/>
      <w:bookmarkStart w:id="1036" w:name="_ca729665_5364_4415_b087_50a217d730f7"/>
      <w:bookmarkEnd w:id="1027"/>
      <w:bookmarkEnd w:id="1028"/>
      <w:bookmarkEnd w:id="1029"/>
      <w:bookmarkEnd w:id="1030"/>
      <w:bookmarkEnd w:id="1031"/>
      <w:bookmarkEnd w:id="1032"/>
      <w:bookmarkEnd w:id="1033"/>
      <w:bookmarkEnd w:id="1034"/>
      <w:bookmarkEnd w:id="1035"/>
      <w:bookmarkEnd w:id="1036"/>
      <w:r>
        <w:rPr>
          <w:rFonts w:ascii="Times New Roman;Times;serif" w:hAnsi="Times New Roman;Times;serif"/>
          <w:b/>
          <w:sz w:val="20"/>
        </w:rPr>
        <w:t>Note 9. Asset Retirement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Times New Roman;Times;serif" w:hAnsi="Times New Roman;Times;serif"/>
          <w:i/>
          <w:sz w:val="20"/>
        </w:rPr>
        <w:t xml:space="preserve">Oil and natural gas properties, subject to amortization, net” </w:t>
      </w:r>
      <w:r>
        <w:rPr>
          <w:rFonts w:ascii="Times New Roman;Times;serif" w:hAnsi="Times New Roman;Times;serif"/>
          <w:sz w:val="20"/>
        </w:rPr>
        <w:t>during the period in which the obligation is incurred. The Company records the accretion of its ARO liabilities in “</w:t>
      </w:r>
      <w:r>
        <w:rPr>
          <w:rFonts w:ascii="Times New Roman;Times;serif" w:hAnsi="Times New Roman;Times;serif"/>
          <w:i/>
          <w:sz w:val="20"/>
        </w:rPr>
        <w:t xml:space="preserve">Depletion, depreciation and accretion” </w:t>
      </w:r>
      <w:r>
        <w:rPr>
          <w:rFonts w:ascii="Times New Roman;Times;serif" w:hAnsi="Times New Roman;Times;serif"/>
          <w:sz w:val="20"/>
        </w:rPr>
        <w:t xml:space="preserve">expense in the unaudited condensed consolidated statements of operations.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is a reconciliation of the activity related to the Company’s ARO liability (inclusive of the current portion) for the period ended March 31, 2026 (in thousands):</w:t>
      </w:r>
    </w:p>
    <w:tbl>
      <w:tblPr>
        <w:tblW w:w="5448" w:type="dxa"/>
        <w:jc w:val="left"/>
        <w:tblInd w:w="0" w:type="dxa"/>
        <w:tblLayout w:type="fixed"/>
        <w:tblCellMar>
          <w:top w:w="0" w:type="dxa"/>
          <w:left w:w="0" w:type="dxa"/>
          <w:bottom w:w="0" w:type="dxa"/>
          <w:right w:w="0" w:type="dxa"/>
        </w:tblCellMar>
      </w:tblPr>
      <w:tblGrid>
        <w:gridCol w:w="3766"/>
        <w:gridCol w:w="346"/>
        <w:gridCol w:w="290"/>
        <w:gridCol w:w="104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391410" cy="175260"/>
                      <wp:effectExtent l="0" t="0" r="0" b="0"/>
                      <wp:wrapNone/>
                      <wp:docPr id="191" name="Frame190"/>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4150" cy="175260"/>
                      <wp:effectExtent l="0" t="0" r="0" b="0"/>
                      <wp:wrapNone/>
                      <wp:docPr id="193" name="Frame192"/>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64210" cy="175260"/>
                      <wp:effectExtent l="0" t="0" r="0" b="0"/>
                      <wp:wrapNone/>
                      <wp:docPr id="194" name="Frame193"/>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2026</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21,830</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Liabilities settled and divested</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discount</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1,182</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Asset retirement obligations — end of period</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22,831</w:t>
            </w:r>
          </w:p>
        </w:tc>
      </w:tr>
      <w:tr>
        <w:trPr/>
        <w:tc>
          <w:tcPr>
            <w:tcW w:w="376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Less: current asset retirement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376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portion of asset retirement obligations</w:t>
            </w:r>
          </w:p>
        </w:tc>
        <w:tc>
          <w:tcPr>
            <w:tcW w:w="346" w:type="dxa"/>
            <w:tcBorders/>
            <w:vAlign w:val="center"/>
          </w:tcPr>
          <w:p>
            <w:pPr>
              <w:pStyle w:val="TableContents"/>
              <w:bidi w:val="0"/>
              <w:spacing w:before="0" w:after="1"/>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22,700</w:t>
            </w:r>
          </w:p>
        </w:tc>
      </w:tr>
    </w:tbl>
    <w:p>
      <w:pPr>
        <w:pStyle w:val="TextBody"/>
        <w:bidi w:val="0"/>
        <w:spacing w:before="0" w:after="240"/>
        <w:ind w:left="0" w:right="0" w:hanging="0"/>
        <w:jc w:val="left"/>
        <w:rPr/>
      </w:pPr>
      <w:r>
        <w:rPr/>
        <w:t>​</w:t>
      </w:r>
    </w:p>
    <w:p>
      <w:pPr>
        <w:pStyle w:val="TextBody"/>
        <w:bidi w:val="0"/>
        <w:spacing w:before="0" w:after="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Commitments and Contingencies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pStyle w:val="TextBody"/>
        <w:bidi w:val="0"/>
        <w:spacing w:before="0" w:after="120"/>
        <w:ind w:left="0" w:right="0" w:hanging="0"/>
        <w:jc w:val="left"/>
        <w:rPr>
          <w:rFonts w:ascii="Times New Roman;Times;serif" w:hAnsi="Times New Roman;Times;serif"/>
          <w:b/>
          <w:sz w:val="20"/>
        </w:rPr>
      </w:pPr>
      <w:bookmarkStart w:id="1037" w:name="Tc_H65ZAx9Q_kWX0KRLJIh5Mw_6_5"/>
      <w:bookmarkStart w:id="1038" w:name="Tc_pe5bxNzB0kWZoRXvEAU-Rg_6_2"/>
      <w:bookmarkStart w:id="1039" w:name="Tc_SAntYdKozEKdSi39W9CCkg_6_0"/>
      <w:bookmarkStart w:id="1040" w:name="Tc_cNxhx00t5kiEYMB1UPmu1Q_5_5"/>
      <w:bookmarkStart w:id="1041" w:name="Tc_ZUrsX3E6BUGfSXnlw9ZOyw_5_2"/>
      <w:bookmarkStart w:id="1042" w:name="Tc_g3NRsUwHm0erY6cDjIeZYQ_5_0"/>
      <w:bookmarkStart w:id="1043" w:name="Tc_JX_aCpEDQ0Ozrzc-O1HUYA_4_0"/>
      <w:bookmarkStart w:id="1044" w:name="Tc_4AbfyZb1tE-ckM5SCyDu5Q_3_5"/>
      <w:bookmarkStart w:id="1045" w:name="Tc_yiwK0VffhkqVmFgtT_Bkzg_3_2"/>
      <w:bookmarkStart w:id="1046" w:name="Tc_TtYNAjr_yEujztnFyfDPrg_2_2"/>
      <w:bookmarkStart w:id="1047" w:name="Tc_j07DLR522kOjYt0LekHiiQ_1_2"/>
      <w:bookmarkStart w:id="1048" w:name="_faec2dab_219a_4016_96a6_ff08ac0a25ec"/>
      <w:bookmarkStart w:id="1049" w:name="Tc_wXhiraDP3EK42hgD9BaVbQ_5_0"/>
      <w:bookmarkStart w:id="1050" w:name="Tc_03S2c1J9m0uOB8IJhpfIUg_4_0"/>
      <w:bookmarkStart w:id="1051" w:name="Tc_bBJK-5HNRkKUYU16NWgBZg_3_5"/>
      <w:bookmarkStart w:id="1052" w:name="Tc_JcNHVlh6dk-ywM-lU1eiSA_3_2"/>
      <w:bookmarkStart w:id="1053" w:name="Tc_ca4EVKUwd0KVqeWcKjfV4Q_3_0"/>
      <w:bookmarkStart w:id="1054" w:name="Tc_xE5ItopG6UqMMTWLqVdsnA_2_5"/>
      <w:bookmarkStart w:id="1055" w:name="Tc_sa7AWt0jtkyDOaSG_Q_fmQ_2_2"/>
      <w:bookmarkStart w:id="1056" w:name="Tc_xhNIqseJrkqczESvqWTquQ_1_2"/>
      <w:bookmarkStart w:id="1057" w:name="_7829c56e_1e63_4215_87a8_4acdb16554ad"/>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r>
        <w:rPr>
          <w:rFonts w:ascii="Times New Roman;Times;serif" w:hAnsi="Times New Roman;Times;serif"/>
          <w:b/>
          <w:sz w:val="20"/>
        </w:rPr>
        <w:t>Note 11. Stockholders’ Equity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of March 31, 2026, the Company had 35,821,410 shares of common stock outstanding.</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Company began paying quarterly cash dividends on common stock in December 2013. As of March 31, 2026, the Company has cumulatively paid over $147.4 million in cash dividends. The Company paid dividends of $12.6 million and $12.2 million to its common stockholders during the nine months ended March 31, 2026 and 2025, respectively.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table reflects the dividends paid per share within the respective three-month periods:</w:t>
      </w:r>
    </w:p>
    <w:tbl>
      <w:tblPr>
        <w:tblW w:w="3817" w:type="dxa"/>
        <w:jc w:val="left"/>
        <w:tblInd w:w="0" w:type="dxa"/>
        <w:tblLayout w:type="fixed"/>
        <w:tblCellMar>
          <w:top w:w="0" w:type="dxa"/>
          <w:left w:w="0" w:type="dxa"/>
          <w:bottom w:w="0" w:type="dxa"/>
          <w:right w:w="0" w:type="dxa"/>
        </w:tblCellMar>
      </w:tblPr>
      <w:tblGrid>
        <w:gridCol w:w="1606"/>
        <w:gridCol w:w="346"/>
        <w:gridCol w:w="196"/>
        <w:gridCol w:w="511"/>
        <w:gridCol w:w="346"/>
        <w:gridCol w:w="196"/>
        <w:gridCol w:w="61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019810" cy="175260"/>
                      <wp:effectExtent l="0" t="0" r="0" b="0"/>
                      <wp:wrapNone/>
                      <wp:docPr id="195" name="Frame194"/>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24485" cy="175260"/>
                      <wp:effectExtent l="0" t="0" r="0" b="0"/>
                      <wp:wrapNone/>
                      <wp:docPr id="198" name="Frame197"/>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24460" cy="175260"/>
                      <wp:effectExtent l="0" t="0" r="0" b="0"/>
                      <wp:wrapNone/>
                      <wp:docPr id="200" name="Frame1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91160" cy="175260"/>
                      <wp:effectExtent l="0" t="0" r="0" b="0"/>
                      <wp:wrapNone/>
                      <wp:docPr id="201" name="Frame20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Fiscal Year</w:t>
            </w:r>
          </w:p>
        </w:tc>
      </w:tr>
      <w:tr>
        <w:trPr/>
        <w:tc>
          <w:tcPr>
            <w:tcW w:w="16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Third fiscal quarter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r>
      <w:tr>
        <w:trPr/>
        <w:tc>
          <w:tcPr>
            <w:tcW w:w="160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Second fiscal quarter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r>
      <w:tr>
        <w:trPr/>
        <w:tc>
          <w:tcPr>
            <w:tcW w:w="160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First fiscal quarter</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0.120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the Company entered into an At-the-Market (“ATM”) equity Sales Agreement with Roth Capital Partners, LLC (the “Lead Agent”), Northland Securities Inc., and A.G.P./Alliance Global Partners pursuant to which the Company may issue and sell, from time to time, up to $30.0 million of shares of common stock through or to the Lead Agent, acting as agent or principal to facilitate acquisitions and other general corporate purposes. On February 11, 2026, the Company executed a new ATM equity Sales Agreement, substantially consistent with the original October agreement (the “ATM Sales Agreements”) restoring the $30.0 million common stock sales capacity. During the nine months ended March 31, 2026, the Company sold a total of approximately 1.1 million shares of its common stock under the ATM Sales Agreements for net proceeds of approximately $4.7 million, net of $0.2 million of offering costs incurred. The Company intends to use the net proceeds from sales of common stock for general corporate purposes, including to repay outstanding indebtedness.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8, 2022, the Board of Directors approved a share repurchase program, under which the Company was authorized to repurchase up to $25.0 million of its common stock in the open market through December 31, 2024. The Company funded repurchases from working capital and cash provided by operating activities. The share repurchase program was complimentary to the existing dividend policy and was a tax efficient means to further improve shareholder return. The shares were repurchased in open market transactions, through privately negotiated transactions or by other means in accordance with federal securities laws. The Company did not repurchase any shares of common stock under the plan during the six months ended December 31, 2024, the plan’s termination date. While the plan was in effect, a total of 0.8 million shares of the Company’s common stock were repurchased under the program at a total cost of approximately $4.6 million, including incremental direct transaction costs.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March 31, 2026 and 2025, the Company acquired treasury stock upon the ordinary course of scheduled vestings of employee stock-based awards to fund payroll tax withholding obligations. These treasury shares were subsequently cancelled. Such shares were valued at fair market value on the date of vesting.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all treasury stock purchases during the periods presented (in thousands, except per share amounts):</w:t>
      </w:r>
    </w:p>
    <w:tbl>
      <w:tblPr>
        <w:tblW w:w="4667" w:type="dxa"/>
        <w:jc w:val="left"/>
        <w:tblInd w:w="0" w:type="dxa"/>
        <w:tblLayout w:type="fixed"/>
        <w:tblCellMar>
          <w:top w:w="0" w:type="dxa"/>
          <w:left w:w="0" w:type="dxa"/>
          <w:bottom w:w="0" w:type="dxa"/>
          <w:right w:w="0" w:type="dxa"/>
        </w:tblCellMar>
      </w:tblPr>
      <w:tblGrid>
        <w:gridCol w:w="2761"/>
        <w:gridCol w:w="346"/>
        <w:gridCol w:w="218"/>
        <w:gridCol w:w="468"/>
        <w:gridCol w:w="121"/>
        <w:gridCol w:w="218"/>
        <w:gridCol w:w="535"/>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753235" cy="175260"/>
                      <wp:effectExtent l="0" t="0" r="0" b="0"/>
                      <wp:wrapNone/>
                      <wp:docPr id="202" name="Frame20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8430" cy="175260"/>
                      <wp:effectExtent l="0" t="0" r="0" b="0"/>
                      <wp:wrapNone/>
                      <wp:docPr id="204" name="Frame20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97180" cy="175260"/>
                      <wp:effectExtent l="0" t="0" r="0" b="0"/>
                      <wp:wrapNone/>
                      <wp:docPr id="205" name="Frame204"/>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6835" cy="175260"/>
                      <wp:effectExtent l="0" t="0" r="0" b="0"/>
                      <wp:wrapNone/>
                      <wp:docPr id="206" name="Frame205"/>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8430" cy="175260"/>
                      <wp:effectExtent l="0" t="0" r="0" b="0"/>
                      <wp:wrapNone/>
                      <wp:docPr id="207" name="Frame20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39725" cy="175260"/>
                      <wp:effectExtent l="0" t="0" r="0" b="0"/>
                      <wp:wrapNone/>
                      <wp:docPr id="208" name="Frame207"/>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6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1" w:type="dxa"/>
            <w:tcBorders/>
            <w:vAlign w:val="center"/>
          </w:tcPr>
          <w:p>
            <w:pPr>
              <w:pStyle w:val="TableContents"/>
              <w:bidi w:val="0"/>
              <w:spacing w:before="0" w:after="1"/>
              <w:ind w:left="0" w:right="0" w:hanging="0"/>
              <w:jc w:val="left"/>
              <w:rPr/>
            </w:pPr>
            <w:r>
              <w:rPr/>
              <w:t>​</w:t>
            </w:r>
          </w:p>
        </w:tc>
        <w:tc>
          <w:tcPr>
            <w:tcW w:w="7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Number of treasury shares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46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121"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53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Average cost per share</w:t>
            </w:r>
          </w:p>
        </w:tc>
        <w:tc>
          <w:tcPr>
            <w:tcW w:w="34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w:t>
            </w:r>
          </w:p>
        </w:tc>
        <w:tc>
          <w:tcPr>
            <w:tcW w:w="121"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5.26</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cost of treasury shares acquired</w:t>
            </w:r>
          </w:p>
        </w:tc>
        <w:tc>
          <w:tcPr>
            <w:tcW w:w="34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121"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3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262</w:t>
            </w:r>
          </w:p>
        </w:tc>
      </w:tr>
    </w:tbl>
    <w:p>
      <w:pPr>
        <w:pStyle w:val="TextBody"/>
        <w:bidi w:val="0"/>
        <w:spacing w:before="0" w:after="24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Expected Tax Treatment of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fiscal year ended June 30, 2025, all common stock dividends for that fiscal year were treated for tax purposes as qualified dividend income to the recipients. Based on its current projections for the fiscal year ended June 30, 2026, the Company expects all common stock dividends for such period to be treated as qualified dividend income to the recipients. Such projections are based on the Company’s reasonable expectations as of March 31, 2026 and are subject to change based on the Company’s final tax calculations at the end of the fiscal year.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Stock-Based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Evolution Petroleum Corporation 2016 Equity Incentive Plan (as amended the “2016 Plan”) authorizes the issuance of 3.6 million shares of common stock prior to its expiration on December 8, 2026. On December 5, 2024 shareholders approved and adopted the amendment and restatement of the 2016 Plan (hereinafter the “Amended and Restated Plan”), which increased the shares authorized for issuance under the 2016 Plan by 2.1 million shares to a maximum of 5.7 million shares. The duration of the Amended and Restated Plan is indefinite, provided that no new awards shall be made under the Amended and Restated Plan on or after the tenth anniversary of the date the stockholders approved the Amended and Restated Plan. Incentives under the Amended and Restated Plan may be granted to employees, directors, and consultants of the Company in any one or a combination of the following forms: incentive stock options, non-qualified stock options, stock appreciation rights, restricted awards, and performance share awards. As of March 31, 2026 and June 30, 2025, approximately 2.1 million shares and 2.5 million shares, respectively, remained available for grant under the Amended and Restated Plan.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estimates the fair value of stock-based compensation awards on the grant date to provide the basis for future compensation expense. During the three and nine months ended March 31, 2026, the Company recognized $0.6 million and $1.7 million, respectively, related to stock-based compensation. During the three and nine months ended March 31, 2025, the Company recognized $0.6 million and $1.9 million, respectively, related to stock-based compensation. Stock-based compensation expense is recorded as a component of “</w:t>
      </w:r>
      <w:r>
        <w:rPr>
          <w:rFonts w:ascii="Times New Roman;Times;serif" w:hAnsi="Times New Roman;Times;serif"/>
          <w:i/>
          <w:sz w:val="20"/>
        </w:rPr>
        <w:t>General and administrative expenses</w:t>
      </w:r>
      <w:r>
        <w:rPr>
          <w:rFonts w:ascii="Times New Roman;Times;serif" w:hAnsi="Times New Roman;Times;serif"/>
          <w:sz w:val="20"/>
        </w:rPr>
        <w:t xml:space="preserve">” on the unaudited condensed consolidated statements of operations.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Time-Vested 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years. Awards to the Company’s directors generally have one-year cliff vesting. For such awards, grant date fair value is based on market value of the Company’s 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Performance-Based Restricted Stock Awards and Performance-Based Contingent Stock Units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Performance-based restricted stock awards and performance-based contingent stock units contain market-based vesting conditions based on the price of the Company’s common stock compared to the performance of the common stock of its peers. The common shares underlying the Company’s performance-based restricted stock awards are issued on the date of grant and participate in dividends paid by the Company and expire after a maximum of three years from the date of grant if unvested. Performance-based contingent share units do not participate in dividends and shares are only issued in part or in full upon the attainment of vesting conditions, generally have a lower probability of achievement and expire after a maximum of three years from the date of grant if unvested. Shares underlying performance-based contingent share units are reserved from the Amended and Restated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Stock-based compensation is recognized ratably over the expected vesting period, so long as the award holder remains an employee of the Company. Previously recognized compensation expense is only reversed for the awards with market-based vesting conditions if the requisite service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1058" w:name="Tc_kGDCZZ3-VUmE_cajOJ252w_10_7"/>
      <w:bookmarkStart w:id="1059" w:name="Tc_4TLTn_AX-ES10h37PoorTw_10_4"/>
      <w:bookmarkStart w:id="1060" w:name="Tc_m1CbQFbduEiGMKfhGp-YlQ_10_0"/>
      <w:bookmarkStart w:id="1061" w:name="Tc_f3gQ41EGsEis_mU2IdUeFA_9_0"/>
      <w:bookmarkStart w:id="1062" w:name="Tc_PLQPv6cR3UmQWTUyuft70Q_8_0"/>
      <w:bookmarkStart w:id="1063" w:name="Tc_vw4sSPRB30OuhVTHPNskLA_7_0"/>
      <w:bookmarkStart w:id="1064" w:name="Tc_OfJzfBgYd0S7eegKRWt6uQ_6_7"/>
      <w:bookmarkStart w:id="1065" w:name="Tc_Z1lZYdFXpk6otkFl6Y4zMA_6_4"/>
      <w:bookmarkStart w:id="1066" w:name="Tc_2hIegZfZgUeQgz8fYrHC_w_6_0"/>
      <w:bookmarkStart w:id="1067" w:name="Tc_0KuHvCE2X0qOA65rYsSazA_5_10"/>
      <w:bookmarkStart w:id="1068" w:name="Tc_dVIm4shcvk2oXOUUNh65Mw_5_7"/>
      <w:bookmarkStart w:id="1069" w:name="Tc_SFhQIYPU8E2W0zlh6TObJg_5_4"/>
      <w:bookmarkStart w:id="1070" w:name="Tc_59etxZzrG0iTCErGWmlTiw_5_2"/>
      <w:bookmarkStart w:id="1071" w:name="Tc_7ysksxQI90Wib84buVTniw_4_10"/>
      <w:bookmarkStart w:id="1072" w:name="Tc_yHofETk1gUaB4VzMZSxIvA_4_7"/>
      <w:bookmarkStart w:id="1073" w:name="Tc_zD9asyuYSkCT87dxHBaPFg_4_4"/>
      <w:bookmarkStart w:id="1074" w:name="Tc_o0VX2MNp10WtbPkkUvo_NA_4_2"/>
      <w:bookmarkStart w:id="1075" w:name="Tc_l7JaICcBc0eME1lhT7yH5A_3_10"/>
      <w:bookmarkStart w:id="1076" w:name="Tc_6kVvgK2zUkyw2TGpKpDw2A_3_7"/>
      <w:bookmarkStart w:id="1077" w:name="Tc_VlehFTztkke0vKGG8_t9ow_3_4"/>
      <w:bookmarkStart w:id="1078" w:name="Tc_3e6qyUCIH0e2DoCKYKPraA_3_2"/>
      <w:bookmarkStart w:id="1079" w:name="Tc_MHm7X-ln7kahRK5aHG5P2A_2_10"/>
      <w:bookmarkStart w:id="1080" w:name="Tc_wicJWEa9uU6hFEl8M96b1Q_2_7"/>
      <w:bookmarkStart w:id="1081" w:name="Tc_06wa-RRozEqvK_w2CUXQkQ_2_4"/>
      <w:bookmarkStart w:id="1082" w:name="Tc_N5YQvr8GvU2xWjYaC2lGnw_1_10"/>
      <w:bookmarkStart w:id="1083" w:name="_2aae393f_a863_4b61_9c55_af88f4acb3ad"/>
      <w:bookmarkStart w:id="1084" w:name="Tc_wMaRMvJjn0CluGUMsFtWAg_7_4"/>
      <w:bookmarkStart w:id="1085" w:name="Tc_K9M8esK1k06QoZ9CGW1Sow_7_0"/>
      <w:bookmarkStart w:id="1086" w:name="Tc_xvTsU5FI-kSMpmSxsHNtxg_6_0"/>
      <w:bookmarkStart w:id="1087" w:name="Tc_5R5-EN8igEWykvqJoAUheg_5_4"/>
      <w:bookmarkStart w:id="1088" w:name="Tc_Ed60J87ox06kpwAPXe0vnA_5_0"/>
      <w:bookmarkStart w:id="1089" w:name="Tc_mSL9pY70tUultYY7YjC9xQ_4_4"/>
      <w:bookmarkStart w:id="1090" w:name="Tc_YgXlN1-nC0y_v2i5shxa3w_4_2"/>
      <w:bookmarkStart w:id="1091" w:name="Tc_qVD6qZKoVEiiqdexPR19-Q_4_0"/>
      <w:bookmarkStart w:id="1092" w:name="Tc_KgWfEFpkfkWVg_0OmdONSw_3_4"/>
      <w:bookmarkStart w:id="1093" w:name="Tc_6X2V3iNVd0ml2AJeDJgmWg_3_2"/>
      <w:bookmarkStart w:id="1094" w:name="Tc_nJQJYQ_C8kq7AR8EfeQeuA_2_4"/>
      <w:bookmarkStart w:id="1095" w:name="Tc_pcT4rP5sBEqDijFkT80j-Q_2_2"/>
      <w:bookmarkStart w:id="1096" w:name="Tc_JNhgz7Qn-E-jGr8yj69Q6A_1_4"/>
      <w:bookmarkStart w:id="1097" w:name="_c30fad03_af99_45f2_b601_513f8d8e1004"/>
      <w:bookmarkStart w:id="1098" w:name="Tc_RmBUxWkw5kiU8zWjkf7Fjw_8_0"/>
      <w:bookmarkStart w:id="1099" w:name="Tc_FxD7YxoY5UGv5RyJ-05VjQ_7_0"/>
      <w:bookmarkStart w:id="1100" w:name="Tc_BiILvxgX60CS5WdGaqzxQw_6_0"/>
      <w:bookmarkStart w:id="1101" w:name="Tc_WgVixiHyG0WlcntJ6qBcPQ_5_0"/>
      <w:bookmarkStart w:id="1102" w:name="Tc_X1OmUs20J0a3rOWpIqOuGw_4_5"/>
      <w:bookmarkStart w:id="1103" w:name="Tc_2i4-eFIupECbljSgVdHH3Q_4_2"/>
      <w:bookmarkStart w:id="1104" w:name="Tc_vvN0bNkJIU2pLg6sonW2hQ_4_0"/>
      <w:bookmarkStart w:id="1105" w:name="Tc_XOZIJ_2hO0m5wAXaldZkgw_3_5"/>
      <w:bookmarkStart w:id="1106" w:name="Tc_O7qm-6QNuEevVRJp439y9g_3_2"/>
      <w:bookmarkStart w:id="1107" w:name="Tc_cUcdnl_AvUWDKcc453M3wQ_2_2"/>
      <w:bookmarkStart w:id="1108" w:name="Tc_WCVIWxltbEWS2NXompQ8ow_1_2"/>
      <w:bookmarkStart w:id="1109" w:name="_c63d5b6f_0d29_4e39_b0cc_583e195a680b"/>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r>
        <w:rPr>
          <w:rFonts w:ascii="Times New Roman;Times;serif" w:hAnsi="Times New Roman;Times;serif"/>
          <w:sz w:val="20"/>
        </w:rPr>
        <w:t>period is not rendered by the holder resulting in forfeiture of the award or as a result of regulatory required clawback.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March 31, 2026, the Company granted a total of 0.4 million equity awards that included 0.2 million time-vested restricted stock awards and 0.2 million performance-based restricted stock awards.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ended March 31, 2025, the Company granted a total of 0.5 million equity awards that included 0.2 million time-vested restricted stock awards, 0.2 million performance-based restricted stock awards, and 0.1 million of performance-based contingent stock units.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performance-based awards granted during the nine months ended March 31, 2026 and 2025, the assumptions used in the Monte Carlo simulation valuations were as follows:</w:t>
      </w:r>
    </w:p>
    <w:tbl>
      <w:tblPr>
        <w:tblW w:w="7072" w:type="dxa"/>
        <w:jc w:val="left"/>
        <w:tblInd w:w="0" w:type="dxa"/>
        <w:tblLayout w:type="fixed"/>
        <w:tblCellMar>
          <w:top w:w="0" w:type="dxa"/>
          <w:left w:w="0" w:type="dxa"/>
          <w:bottom w:w="0" w:type="dxa"/>
          <w:right w:w="0" w:type="dxa"/>
        </w:tblCellMar>
      </w:tblPr>
      <w:tblGrid>
        <w:gridCol w:w="4801"/>
        <w:gridCol w:w="346"/>
        <w:gridCol w:w="196"/>
        <w:gridCol w:w="571"/>
        <w:gridCol w:w="346"/>
        <w:gridCol w:w="196"/>
        <w:gridCol w:w="61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048635" cy="175260"/>
                      <wp:effectExtent l="0" t="0" r="0" b="0"/>
                      <wp:wrapNone/>
                      <wp:docPr id="209" name="Frame208"/>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24460" cy="175260"/>
                      <wp:effectExtent l="0" t="0" r="0" b="0"/>
                      <wp:wrapNone/>
                      <wp:docPr id="211" name="Frame2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62585" cy="175260"/>
                      <wp:effectExtent l="0" t="0" r="0" b="0"/>
                      <wp:wrapNone/>
                      <wp:docPr id="212" name="Frame2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24460" cy="175260"/>
                      <wp:effectExtent l="0" t="0" r="0" b="0"/>
                      <wp:wrapNone/>
                      <wp:docPr id="214" name="Frame2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91160" cy="175260"/>
                      <wp:effectExtent l="0" t="0" r="0" b="0"/>
                      <wp:wrapNone/>
                      <wp:docPr id="215" name="Frame21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2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4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fair value of performance-based awards granted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3.90</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Risk-free interest rate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term in years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2.78</w:t>
            </w:r>
          </w:p>
        </w:tc>
      </w:tr>
      <w:tr>
        <w:trPr/>
        <w:tc>
          <w:tcPr>
            <w:tcW w:w="48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Expected volatility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50.2%</w:t>
            </w:r>
          </w:p>
        </w:tc>
      </w:tr>
      <w:tr>
        <w:trPr/>
        <w:tc>
          <w:tcPr>
            <w:tcW w:w="48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Dividend yield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8.4%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restricted stock awards as of March 31, 2026 consisted of the following:</w:t>
      </w:r>
    </w:p>
    <w:p>
      <w:pPr>
        <w:pStyle w:val="TextBody"/>
        <w:bidi w:val="0"/>
        <w:spacing w:before="0" w:after="240"/>
        <w:ind w:left="0" w:right="0" w:hanging="0"/>
        <w:jc w:val="left"/>
        <w:rPr/>
      </w:pPr>
      <w:r>
        <w:rPr/>
        <w:t>​</w:t>
      </w:r>
    </w:p>
    <w:tbl>
      <w:tblPr>
        <w:tblW w:w="4820" w:type="dxa"/>
        <w:jc w:val="left"/>
        <w:tblInd w:w="0" w:type="dxa"/>
        <w:tblLayout w:type="fixed"/>
        <w:tblCellMar>
          <w:top w:w="0" w:type="dxa"/>
          <w:left w:w="0" w:type="dxa"/>
          <w:bottom w:w="0" w:type="dxa"/>
          <w:right w:w="0" w:type="dxa"/>
        </w:tblCellMar>
      </w:tblPr>
      <w:tblGrid>
        <w:gridCol w:w="2146"/>
        <w:gridCol w:w="346"/>
        <w:gridCol w:w="946"/>
        <w:gridCol w:w="346"/>
        <w:gridCol w:w="280"/>
        <w:gridCol w:w="75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62710" cy="175260"/>
                      <wp:effectExtent l="0" t="0" r="0" b="0"/>
                      <wp:wrapNone/>
                      <wp:docPr id="216" name="Frame215"/>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00710" cy="175260"/>
                      <wp:effectExtent l="0" t="0" r="0" b="0"/>
                      <wp:wrapNone/>
                      <wp:docPr id="218" name="Frame21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77800" cy="175260"/>
                      <wp:effectExtent l="0" t="0" r="0" b="0"/>
                      <wp:wrapNone/>
                      <wp:docPr id="220" name="Frame21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80060" cy="175260"/>
                      <wp:effectExtent l="0" t="0" r="0" b="0"/>
                      <wp:wrapNone/>
                      <wp:docPr id="221" name="Frame220"/>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4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r>
      <w:tr>
        <w:trPr/>
        <w:tc>
          <w:tcPr>
            <w:tcW w:w="21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Award Type</w:t>
            </w:r>
          </w:p>
        </w:tc>
        <w:tc>
          <w:tcPr>
            <w:tcW w:w="346" w:type="dxa"/>
            <w:tcBorders/>
            <w:shd w:fill="FFFFFF" w:val="clear"/>
            <w:vAlign w:val="center"/>
          </w:tcPr>
          <w:p>
            <w:pPr>
              <w:pStyle w:val="TableContents"/>
              <w:bidi w:val="0"/>
              <w:spacing w:before="0" w:after="1"/>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left"/>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awards</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349,497</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awards</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508,851</w:t>
            </w:r>
          </w:p>
        </w:tc>
        <w:tc>
          <w:tcPr>
            <w:tcW w:w="34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858,348</w:t>
            </w:r>
          </w:p>
        </w:tc>
        <w:tc>
          <w:tcPr>
            <w:tcW w:w="34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4.93</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restricted stock award transactions for the nine months ended March 31, 2026:</w:t>
      </w:r>
    </w:p>
    <w:p>
      <w:pPr>
        <w:pStyle w:val="TextBody"/>
        <w:bidi w:val="0"/>
        <w:spacing w:before="0" w:after="240"/>
        <w:ind w:left="0" w:right="0" w:hanging="0"/>
        <w:jc w:val="left"/>
        <w:rPr/>
      </w:pPr>
      <w:r>
        <w:rPr/>
        <w:t>​</w:t>
      </w:r>
    </w:p>
    <w:tbl>
      <w:tblPr>
        <w:tblW w:w="8408" w:type="dxa"/>
        <w:jc w:val="left"/>
        <w:tblInd w:w="0" w:type="dxa"/>
        <w:tblLayout w:type="fixed"/>
        <w:tblCellMar>
          <w:top w:w="0" w:type="dxa"/>
          <w:left w:w="0" w:type="dxa"/>
          <w:bottom w:w="0" w:type="dxa"/>
          <w:right w:w="0" w:type="dxa"/>
        </w:tblCellMar>
      </w:tblPr>
      <w:tblGrid>
        <w:gridCol w:w="2551"/>
        <w:gridCol w:w="346"/>
        <w:gridCol w:w="946"/>
        <w:gridCol w:w="346"/>
        <w:gridCol w:w="314"/>
        <w:gridCol w:w="677"/>
        <w:gridCol w:w="346"/>
        <w:gridCol w:w="353"/>
        <w:gridCol w:w="922"/>
        <w:gridCol w:w="346"/>
        <w:gridCol w:w="126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619885" cy="175260"/>
                      <wp:effectExtent l="0" t="0" r="0" b="0"/>
                      <wp:wrapNone/>
                      <wp:docPr id="222" name="Frame221"/>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00710" cy="175260"/>
                      <wp:effectExtent l="0" t="0" r="0" b="0"/>
                      <wp:wrapNone/>
                      <wp:docPr id="224" name="Frame22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99390" cy="175260"/>
                      <wp:effectExtent l="0" t="0" r="0" b="0"/>
                      <wp:wrapNone/>
                      <wp:docPr id="226" name="Frame22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29895" cy="175260"/>
                      <wp:effectExtent l="0" t="0" r="0" b="0"/>
                      <wp:wrapNone/>
                      <wp:docPr id="227" name="Frame226"/>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24155" cy="175260"/>
                      <wp:effectExtent l="0" t="0" r="0" b="0"/>
                      <wp:wrapNone/>
                      <wp:docPr id="229" name="Frame228"/>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85470" cy="175260"/>
                      <wp:effectExtent l="0" t="0" r="0" b="0"/>
                      <wp:wrapNone/>
                      <wp:docPr id="230" name="Frame229"/>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00735" cy="175260"/>
                      <wp:effectExtent l="0" t="0" r="0" b="0"/>
                      <wp:wrapNone/>
                      <wp:docPr id="232" name="Frame231"/>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Unamortized</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Remaining</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4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5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left"/>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1"/>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46" w:type="dxa"/>
            <w:tcBorders/>
            <w:vAlign w:val="center"/>
          </w:tcPr>
          <w:p>
            <w:pPr>
              <w:pStyle w:val="TableContents"/>
              <w:bidi w:val="0"/>
              <w:spacing w:before="0" w:after="1"/>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670,285</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5.58</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2,196</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Time-vested shares granted</w:t>
            </w:r>
          </w:p>
        </w:tc>
        <w:tc>
          <w:tcPr>
            <w:tcW w:w="34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214,423</w:t>
            </w:r>
          </w:p>
        </w:tc>
        <w:tc>
          <w:tcPr>
            <w:tcW w:w="346" w:type="dxa"/>
            <w:tcBorders/>
            <w:vAlign w:val="center"/>
          </w:tcPr>
          <w:p>
            <w:pPr>
              <w:pStyle w:val="TableContents"/>
              <w:bidi w:val="0"/>
              <w:spacing w:before="0" w:after="1"/>
              <w:ind w:left="0" w:right="0" w:hanging="0"/>
              <w:jc w:val="left"/>
              <w:rPr/>
            </w:pPr>
            <w:r>
              <w:rPr/>
              <w:t>​</w:t>
            </w:r>
          </w:p>
        </w:tc>
        <w:tc>
          <w:tcPr>
            <w:tcW w:w="31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4.75</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Performance-based shares granted</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186,709</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4.36</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92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Vested</w:t>
            </w:r>
          </w:p>
        </w:tc>
        <w:tc>
          <w:tcPr>
            <w:tcW w:w="346" w:type="dxa"/>
            <w:tcBorders/>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(213,069)</w:t>
            </w:r>
          </w:p>
        </w:tc>
        <w:tc>
          <w:tcPr>
            <w:tcW w:w="346" w:type="dxa"/>
            <w:tcBorders/>
            <w:vAlign w:val="center"/>
          </w:tcPr>
          <w:p>
            <w:pPr>
              <w:pStyle w:val="TableContents"/>
              <w:bidi w:val="0"/>
              <w:spacing w:before="0" w:after="1"/>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6.28</w:t>
            </w:r>
          </w:p>
        </w:tc>
        <w:tc>
          <w:tcPr>
            <w:tcW w:w="346" w:type="dxa"/>
            <w:tcBorders/>
            <w:vAlign w:val="center"/>
          </w:tcPr>
          <w:p>
            <w:pPr>
              <w:pStyle w:val="TableContents"/>
              <w:bidi w:val="0"/>
              <w:spacing w:before="0" w:after="1"/>
              <w:ind w:left="0" w:right="0" w:hanging="0"/>
              <w:jc w:val="left"/>
              <w:rPr/>
            </w:pPr>
            <w:r>
              <w:rPr/>
              <w:t>​</w:t>
            </w:r>
          </w:p>
        </w:tc>
        <w:tc>
          <w:tcPr>
            <w:tcW w:w="353" w:type="dxa"/>
            <w:tcBorders/>
            <w:vAlign w:val="center"/>
          </w:tcPr>
          <w:p>
            <w:pPr>
              <w:pStyle w:val="TableContents"/>
              <w:bidi w:val="0"/>
              <w:spacing w:before="0" w:after="1"/>
              <w:ind w:left="0" w:right="0" w:hanging="0"/>
              <w:jc w:val="left"/>
              <w:rPr/>
            </w:pPr>
            <w:r>
              <w:rPr/>
              <w:t>​</w:t>
            </w:r>
          </w:p>
        </w:tc>
        <w:tc>
          <w:tcPr>
            <w:tcW w:w="92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March 31, 2026</w:t>
            </w:r>
          </w:p>
        </w:tc>
        <w:tc>
          <w:tcPr>
            <w:tcW w:w="346" w:type="dxa"/>
            <w:tcBorders/>
            <w:shd w:fill="CCEEFF" w:val="clear"/>
            <w:vAlign w:val="center"/>
          </w:tcPr>
          <w:p>
            <w:pPr>
              <w:pStyle w:val="TableContents"/>
              <w:bidi w:val="0"/>
              <w:spacing w:before="0" w:after="1"/>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858,348</w:t>
            </w:r>
          </w:p>
        </w:tc>
        <w:tc>
          <w:tcPr>
            <w:tcW w:w="346" w:type="dxa"/>
            <w:tcBorders/>
            <w:shd w:fill="CCEEFF" w:val="clear"/>
            <w:vAlign w:val="center"/>
          </w:tcPr>
          <w:p>
            <w:pPr>
              <w:pStyle w:val="TableContents"/>
              <w:bidi w:val="0"/>
              <w:spacing w:before="0" w:after="1"/>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4.93</w:t>
            </w:r>
          </w:p>
        </w:tc>
        <w:tc>
          <w:tcPr>
            <w:tcW w:w="346"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2,437</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1110" w:name="Tc_13Up6wom1EiO8R8TOXFUYQ_7_7"/>
      <w:bookmarkStart w:id="1111" w:name="Tc_7c2nV7kr1EenfXl3VZGBIQ_7_4"/>
      <w:bookmarkStart w:id="1112" w:name="Tc_7k-ILDed0USV04RneqPANg_7_0"/>
      <w:bookmarkStart w:id="1113" w:name="Tc_qLH4951SgEKZ2-dy1JxRHA_6_7"/>
      <w:bookmarkStart w:id="1114" w:name="Tc_Pqjm7gedukOt0EPIfBBD4Q_6_4"/>
      <w:bookmarkStart w:id="1115" w:name="Tc_q1ILxljpc0-HP-oRJLQZlA_6_0"/>
      <w:bookmarkStart w:id="1116" w:name="Tc_dri4cVw18kCG-u9joHClnA_5_10"/>
      <w:bookmarkStart w:id="1117" w:name="Tc_59Efwz3C8kK56QiGm1TfQg_5_7"/>
      <w:bookmarkStart w:id="1118" w:name="Tc_CbCx_4CT1UuaEn9UObfpIA_5_4"/>
      <w:bookmarkStart w:id="1119" w:name="Tc_EhRTBjZlxka_9jFtQ-0W4Q_5_2"/>
      <w:bookmarkStart w:id="1120" w:name="Tc_K4bNJBIZjkaSt6nKBRxizA_4_10"/>
      <w:bookmarkStart w:id="1121" w:name="Tc_LSns0sjE1k6sa2VOC_qbJA_4_7"/>
      <w:bookmarkStart w:id="1122" w:name="Tc_JjVVH6mYYUW79wH_ysdb1w_4_4"/>
      <w:bookmarkStart w:id="1123" w:name="Tc_bkOteEV6T0urXb-GzxOZ6g_4_2"/>
      <w:bookmarkStart w:id="1124" w:name="Tc_f-F7TKZ1N0qiPT99LdANQA_3_10"/>
      <w:bookmarkStart w:id="1125" w:name="Tc_3o_PSCLmq0GyVJsIHgphOw_3_7"/>
      <w:bookmarkStart w:id="1126" w:name="Tc_Ys2gfgIuwE-60rkW-b0DQA_3_4"/>
      <w:bookmarkStart w:id="1127" w:name="Tc_MvrP8Nam9Uy0qFUIcUckmQ_3_2"/>
      <w:bookmarkStart w:id="1128" w:name="Tc_5N2NXKXmWkOSaPPWNd3HbA_2_10"/>
      <w:bookmarkStart w:id="1129" w:name="Tc_h_kurNwRN0SXNKJ6aVHtHA_2_7"/>
      <w:bookmarkStart w:id="1130" w:name="Tc_r5uCTSMtG0isH5aeX0kUTQ_1_10"/>
      <w:bookmarkStart w:id="1131" w:name="_39bb90b1_d154_4baf_8a63_17a1713e0525"/>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r>
        <w:rPr>
          <w:rFonts w:ascii="Times New Roman;Times;serif" w:hAnsi="Times New Roman;Times;serif"/>
          <w:sz w:val="20"/>
        </w:rPr>
        <w:t>The following table sets forth contingent restricted stock unit transactions for the nine months ended March 31, 2026:</w:t>
      </w:r>
    </w:p>
    <w:tbl>
      <w:tblPr>
        <w:tblW w:w="8587" w:type="dxa"/>
        <w:jc w:val="left"/>
        <w:tblInd w:w="0" w:type="dxa"/>
        <w:tblLayout w:type="fixed"/>
        <w:tblCellMar>
          <w:top w:w="0" w:type="dxa"/>
          <w:left w:w="0" w:type="dxa"/>
          <w:bottom w:w="0" w:type="dxa"/>
          <w:right w:w="0" w:type="dxa"/>
        </w:tblCellMar>
      </w:tblPr>
      <w:tblGrid>
        <w:gridCol w:w="2146"/>
        <w:gridCol w:w="346"/>
        <w:gridCol w:w="1006"/>
        <w:gridCol w:w="346"/>
        <w:gridCol w:w="481"/>
        <w:gridCol w:w="1034"/>
        <w:gridCol w:w="346"/>
        <w:gridCol w:w="436"/>
        <w:gridCol w:w="839"/>
        <w:gridCol w:w="346"/>
        <w:gridCol w:w="1261"/>
      </w:tblGrid>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38810" cy="175260"/>
                      <wp:effectExtent l="0" t="0" r="0" b="0"/>
                      <wp:wrapNone/>
                      <wp:docPr id="233" name="Frame23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05435" cy="175260"/>
                      <wp:effectExtent l="0" t="0" r="0" b="0"/>
                      <wp:wrapNone/>
                      <wp:docPr id="235" name="Frame23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56590" cy="175260"/>
                      <wp:effectExtent l="0" t="0" r="0" b="0"/>
                      <wp:wrapNone/>
                      <wp:docPr id="236" name="Frame235"/>
                      <a:graphic xmlns:a="http://schemas.openxmlformats.org/drawingml/2006/main">
                        <a:graphicData uri="http://schemas.microsoft.com/office/word/2010/wordprocessingShape">
                          <wps:wsp>
                            <wps:cNvSpPr txBox="1"/>
                            <wps:spPr>
                              <a:xfrm>
                                <a:off x="0" y="0"/>
                                <a:ext cx="656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76860" cy="175260"/>
                      <wp:effectExtent l="0" t="0" r="0" b="0"/>
                      <wp:wrapNone/>
                      <wp:docPr id="238" name="Frame237"/>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32765" cy="175260"/>
                      <wp:effectExtent l="0" t="0" r="0" b="0"/>
                      <wp:wrapNone/>
                      <wp:docPr id="239" name="Frame238"/>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800735" cy="175260"/>
                      <wp:effectExtent l="0" t="0" r="0" b="0"/>
                      <wp:wrapNone/>
                      <wp:docPr id="241" name="Frame240"/>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83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Weighted </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left"/>
              <w:rPr/>
            </w:pPr>
            <w:r>
              <w:rPr/>
              <w:t>​</w:t>
            </w:r>
          </w:p>
        </w:tc>
        <w:tc>
          <w:tcPr>
            <w:tcW w:w="103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Unamortized </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Average</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Weighted Average</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Compensation </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Remaining </w:t>
            </w:r>
          </w:p>
        </w:tc>
      </w:tr>
      <w:tr>
        <w:trPr/>
        <w:tc>
          <w:tcPr>
            <w:tcW w:w="21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Restricted</w:t>
            </w:r>
          </w:p>
        </w:tc>
        <w:tc>
          <w:tcPr>
            <w:tcW w:w="346" w:type="dxa"/>
            <w:tcBorders/>
            <w:vAlign w:val="center"/>
          </w:tcPr>
          <w:p>
            <w:pPr>
              <w:pStyle w:val="TableContents"/>
              <w:bidi w:val="0"/>
              <w:spacing w:before="0" w:after="1"/>
              <w:ind w:left="0" w:right="0" w:hanging="0"/>
              <w:jc w:val="left"/>
              <w:rPr/>
            </w:pPr>
            <w:r>
              <w:rPr/>
              <w:t>​</w:t>
            </w:r>
          </w:p>
        </w:tc>
        <w:tc>
          <w:tcPr>
            <w:tcW w:w="151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Grant-Date</w:t>
            </w:r>
          </w:p>
        </w:tc>
        <w:tc>
          <w:tcPr>
            <w:tcW w:w="346" w:type="dxa"/>
            <w:tcBorders/>
            <w:vAlign w:val="center"/>
          </w:tcPr>
          <w:p>
            <w:pPr>
              <w:pStyle w:val="TableContents"/>
              <w:bidi w:val="0"/>
              <w:spacing w:before="0" w:after="1"/>
              <w:ind w:left="0" w:right="0" w:hanging="0"/>
              <w:jc w:val="left"/>
              <w:rPr/>
            </w:pPr>
            <w:r>
              <w:rPr/>
              <w:t>​</w:t>
            </w:r>
          </w:p>
        </w:tc>
        <w:tc>
          <w:tcPr>
            <w:tcW w:w="127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Expense</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Amortization</w:t>
            </w:r>
          </w:p>
        </w:tc>
      </w:tr>
      <w:tr>
        <w:trPr/>
        <w:tc>
          <w:tcPr>
            <w:tcW w:w="214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 Units</w:t>
            </w:r>
          </w:p>
        </w:tc>
        <w:tc>
          <w:tcPr>
            <w:tcW w:w="346" w:type="dxa"/>
            <w:tcBorders/>
            <w:vAlign w:val="center"/>
          </w:tcPr>
          <w:p>
            <w:pPr>
              <w:pStyle w:val="TableContents"/>
              <w:bidi w:val="0"/>
              <w:spacing w:before="0" w:after="1"/>
              <w:ind w:left="0" w:right="0" w:hanging="0"/>
              <w:jc w:val="left"/>
              <w:rPr/>
            </w:pPr>
            <w:r>
              <w:rPr/>
              <w:t>  ​ ​ ​</w:t>
            </w:r>
          </w:p>
        </w:tc>
        <w:tc>
          <w:tcPr>
            <w:tcW w:w="15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346" w:type="dxa"/>
            <w:tcBorders/>
            <w:vAlign w:val="center"/>
          </w:tcPr>
          <w:p>
            <w:pPr>
              <w:pStyle w:val="TableContents"/>
              <w:bidi w:val="0"/>
              <w:spacing w:before="0" w:after="1"/>
              <w:ind w:left="0" w:right="0" w:hanging="0"/>
              <w:jc w:val="left"/>
              <w:rPr/>
            </w:pPr>
            <w:r>
              <w:rPr/>
              <w:t>  ​ ​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c>
          <w:tcPr>
            <w:tcW w:w="346" w:type="dxa"/>
            <w:tcBorders/>
            <w:vAlign w:val="center"/>
          </w:tcPr>
          <w:p>
            <w:pPr>
              <w:pStyle w:val="TableContents"/>
              <w:bidi w:val="0"/>
              <w:spacing w:before="0" w:after="1"/>
              <w:ind w:left="0" w:right="0" w:hanging="0"/>
              <w:jc w:val="left"/>
              <w:rPr/>
            </w:pPr>
            <w:r>
              <w:rPr/>
              <w:t>  ​ ​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Period (Years)</w:t>
            </w:r>
          </w:p>
        </w:tc>
      </w:tr>
      <w:tr>
        <w:trPr/>
        <w:tc>
          <w:tcPr>
            <w:tcW w:w="21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June 30, 2025</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34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w:t>
            </w:r>
          </w:p>
        </w:tc>
        <w:tc>
          <w:tcPr>
            <w:tcW w:w="346" w:type="dxa"/>
            <w:tcBorders/>
            <w:shd w:fill="CCEEFF" w:val="clear"/>
            <w:vAlign w:val="center"/>
          </w:tcPr>
          <w:p>
            <w:pPr>
              <w:pStyle w:val="TableContents"/>
              <w:bidi w:val="0"/>
              <w:spacing w:before="0" w:after="1"/>
              <w:ind w:left="0" w:right="0" w:hanging="0"/>
              <w:jc w:val="left"/>
              <w:rPr/>
            </w:pPr>
            <w:r>
              <w:rPr/>
              <w:t>​</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21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at March 31, 2026</w:t>
            </w:r>
          </w:p>
        </w:tc>
        <w:tc>
          <w:tcPr>
            <w:tcW w:w="34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241,613</w:t>
            </w:r>
          </w:p>
        </w:tc>
        <w:tc>
          <w:tcPr>
            <w:tcW w:w="346" w:type="dxa"/>
            <w:tcBorders/>
            <w:vAlign w:val="center"/>
          </w:tcPr>
          <w:p>
            <w:pPr>
              <w:pStyle w:val="TableContents"/>
              <w:bidi w:val="0"/>
              <w:spacing w:before="0" w:after="1"/>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w:t>
            </w:r>
          </w:p>
        </w:tc>
        <w:tc>
          <w:tcPr>
            <w:tcW w:w="34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w:t>
            </w:r>
          </w:p>
        </w:tc>
        <w:tc>
          <w:tcPr>
            <w:tcW w:w="346" w:type="dxa"/>
            <w:tcBorders/>
            <w:vAlign w:val="center"/>
          </w:tcPr>
          <w:p>
            <w:pPr>
              <w:pStyle w:val="TableContents"/>
              <w:bidi w:val="0"/>
              <w:spacing w:before="0" w:after="1"/>
              <w:ind w:left="0" w:right="0" w:hanging="0"/>
              <w:jc w:val="left"/>
              <w:rPr/>
            </w:pPr>
            <w:r>
              <w:rPr/>
              <w:t>​</w:t>
            </w:r>
          </w:p>
        </w:tc>
        <w:tc>
          <w:tcPr>
            <w:tcW w:w="1261"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32" w:name="Tc_iBOPxBT9rUCqU9Nw4NoiOQ_17_11"/>
      <w:bookmarkStart w:id="1133" w:name="Tc_MajcMaRngEit-CEsWvdiMg_17_8"/>
      <w:bookmarkStart w:id="1134" w:name="Tc_oH1xf2HUPkqYI3eb1Gs1_Q_17_5"/>
      <w:bookmarkStart w:id="1135" w:name="Tc_LMv86_yhOkKBfs3EOOqyCQ_17_2"/>
      <w:bookmarkStart w:id="1136" w:name="Tc_e6ZXSWdeTUK9BcLXPLIoUg_17_0"/>
      <w:bookmarkStart w:id="1137" w:name="Tc_POk9Dwlq1ECkTgeUhkaVtg_16_11"/>
      <w:bookmarkStart w:id="1138" w:name="Tc_d0HYVAzYG0e8WE9bS8RxPg_16_8"/>
      <w:bookmarkStart w:id="1139" w:name="Tc_0PqSyPolB0eXxy_JPA8rWg_16_5"/>
      <w:bookmarkStart w:id="1140" w:name="Tc_D_xgANRiy0aQkBS2r9fPig_16_2"/>
      <w:bookmarkStart w:id="1141" w:name="Tc_3PfBL1bWgUW3WiAma5jBng_16_0"/>
      <w:bookmarkStart w:id="1142" w:name="Tc_8tUNEqls_Uyzk8sv1TMcxQ_14_0"/>
      <w:bookmarkStart w:id="1143" w:name="Tc_MZ4PZmLAqkSmcaovsxFV-g_13_12"/>
      <w:bookmarkStart w:id="1144" w:name="Tc_dgnxyEQixU2woxJO70Y-Bg_13_9"/>
      <w:bookmarkStart w:id="1145" w:name="Tc_ap1NiDkKnUqEN3a79M0zcA_13_6"/>
      <w:bookmarkStart w:id="1146" w:name="Tc_RgKZAKGdJEic67zIgIoPYQ_13_3"/>
      <w:bookmarkStart w:id="1147" w:name="Tc_ZwvWl_W5zU6YsDKrihjuyA_13_0"/>
      <w:bookmarkStart w:id="1148" w:name="Tc_fy9c6StBhEqkXg6s3akG5w_12_12"/>
      <w:bookmarkStart w:id="1149" w:name="Tc_tUL6HSIdTE-X6GOQFjypIA_12_9"/>
      <w:bookmarkStart w:id="1150" w:name="Tc_aMbp1A7N90K5vU5to42wbg_12_6"/>
      <w:bookmarkStart w:id="1151" w:name="Tc_-lhZgK7B8EypIod3aJXniQ_12_3"/>
      <w:bookmarkStart w:id="1152" w:name="Tc_iAEq0JJD8Uqmg8G297n6yg_12_0"/>
      <w:bookmarkStart w:id="1153" w:name="Tc_QCAoVHfdS0mIG85xhExlcw_11_0"/>
      <w:bookmarkStart w:id="1154" w:name="Tc_eskKI4U0LUGShkGIpNfkrg_10_0"/>
      <w:bookmarkStart w:id="1155" w:name="Tc_mEq244HtD0u3pKWJ7YLhNw_9_0"/>
      <w:bookmarkStart w:id="1156" w:name="Tc_iXFGmQf2r0KsYsufnjjbzw_7_11"/>
      <w:bookmarkStart w:id="1157" w:name="Tc_RAK2HrkjM02o6hft7bfTLA_7_8"/>
      <w:bookmarkStart w:id="1158" w:name="Tc_Cp4CYJYblUGoUFVNMGJYhQ_7_5"/>
      <w:bookmarkStart w:id="1159" w:name="Tc_h6bMqo8daEqLxlL-_z3_wQ_7_2"/>
      <w:bookmarkStart w:id="1160" w:name="Tc_f7M2DBgPAUuvfb4B8UHnTw_7_0"/>
      <w:bookmarkStart w:id="1161" w:name="Tc_guACq0HtH02H-DGtK9cd2g_6_0"/>
      <w:bookmarkStart w:id="1162" w:name="Tc_HPGrDJGCjkyA6CfIoq3qIA_5_11"/>
      <w:bookmarkStart w:id="1163" w:name="Tc_cRXUnatuV0C2pq66AcBKvQ_5_8"/>
      <w:bookmarkStart w:id="1164" w:name="Tc_k_U3fpsxnUi82lpIt_ec1g_5_5"/>
      <w:bookmarkStart w:id="1165" w:name="Tc_BAmAE3OVNEixBjKaE54XKQ_5_2"/>
      <w:bookmarkStart w:id="1166" w:name="Tc_CkYXGTbQt0yN6q2fLkzSIQ_5_0"/>
      <w:bookmarkStart w:id="1167" w:name="Tc_hqOuK4zJAUSFI-Bd41YdjA_4_0"/>
      <w:bookmarkStart w:id="1168" w:name="Tc_IDygm8NNfEm4_BI_6LtgPg_3_11"/>
      <w:bookmarkStart w:id="1169" w:name="Tc_8BOOcHolWU6ZpcTxH0JHEQ_3_8"/>
      <w:bookmarkStart w:id="1170" w:name="Tc_V-PQElS0HU6adI9FJLlxoQ_3_5"/>
      <w:bookmarkStart w:id="1171" w:name="Tc_BE2OqixOwUuXF4AgyhsRsA_3_2"/>
      <w:bookmarkStart w:id="1172" w:name="Tc_FFn1GAO6qkK8cT7LEbtqxA_2_8"/>
      <w:bookmarkStart w:id="1173" w:name="Tc_dNJscpA2pkmzhgEg5fHgLg_2_2"/>
      <w:bookmarkStart w:id="1174" w:name="Tc_8qNyKRkxP0-MxBYxAwa2RA_1_8"/>
      <w:bookmarkStart w:id="1175" w:name="Tc_5bPixvvaPEqiCAZzisnuGw_1_2"/>
      <w:bookmarkStart w:id="1176" w:name="_df994df1_7081_4b15_b377_b6bca88397c0"/>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r>
        <w:rPr>
          <w:rFonts w:ascii="Times New Roman;Times;serif" w:hAnsi="Times New Roman;Times;serif"/>
          <w:b/>
          <w:sz w:val="20"/>
        </w:rPr>
        <w:t>Note 12. Earnings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computation of basic and diluted earnings (loss) per common share, reflecting the application of the two-class method (in thousands, except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959"/>
        <w:gridCol w:w="346"/>
        <w:gridCol w:w="198"/>
        <w:gridCol w:w="629"/>
        <w:gridCol w:w="110"/>
        <w:gridCol w:w="198"/>
        <w:gridCol w:w="629"/>
        <w:gridCol w:w="109"/>
        <w:gridCol w:w="196"/>
        <w:gridCol w:w="620"/>
        <w:gridCol w:w="346"/>
        <w:gridCol w:w="196"/>
        <w:gridCol w:w="669"/>
      </w:tblGrid>
      <w:tr>
        <w:trPr/>
        <w:tc>
          <w:tcPr>
            <w:tcW w:w="5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783965" cy="175260"/>
                      <wp:effectExtent l="0" t="0" r="0" b="0"/>
                      <wp:wrapNone/>
                      <wp:docPr id="242" name="Frame241"/>
                      <a:graphic xmlns:a="http://schemas.openxmlformats.org/drawingml/2006/main">
                        <a:graphicData uri="http://schemas.microsoft.com/office/word/2010/wordprocessingShape">
                          <wps:wsp>
                            <wps:cNvSpPr txBox="1"/>
                            <wps:spPr>
                              <a:xfrm>
                                <a:off x="0" y="0"/>
                                <a:ext cx="3783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25730" cy="175260"/>
                      <wp:effectExtent l="0" t="0" r="0" b="0"/>
                      <wp:wrapNone/>
                      <wp:docPr id="244" name="Frame243"/>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99415" cy="175260"/>
                      <wp:effectExtent l="0" t="0" r="0" b="0"/>
                      <wp:wrapNone/>
                      <wp:docPr id="245" name="Frame244"/>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850" cy="175260"/>
                      <wp:effectExtent l="0" t="0" r="0" b="0"/>
                      <wp:wrapNone/>
                      <wp:docPr id="246" name="Frame245"/>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5730" cy="175260"/>
                      <wp:effectExtent l="0" t="0" r="0" b="0"/>
                      <wp:wrapNone/>
                      <wp:docPr id="247" name="Frame246"/>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99415" cy="175260"/>
                      <wp:effectExtent l="0" t="0" r="0" b="0"/>
                      <wp:wrapNone/>
                      <wp:docPr id="248" name="Frame247"/>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215" cy="175260"/>
                      <wp:effectExtent l="0" t="0" r="0" b="0"/>
                      <wp:wrapNone/>
                      <wp:docPr id="249"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4460" cy="175260"/>
                      <wp:effectExtent l="0" t="0" r="0" b="0"/>
                      <wp:wrapNone/>
                      <wp:docPr id="250" name="Frame2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93700" cy="175260"/>
                      <wp:effectExtent l="0" t="0" r="0" b="0"/>
                      <wp:wrapNone/>
                      <wp:docPr id="251" name="Frame250"/>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24460" cy="175260"/>
                      <wp:effectExtent l="0" t="0" r="0" b="0"/>
                      <wp:wrapNone/>
                      <wp:docPr id="253" name="Frame2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24815" cy="175260"/>
                      <wp:effectExtent l="0" t="0" r="0" b="0"/>
                      <wp:wrapNone/>
                      <wp:docPr id="254" name="Frame253"/>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59"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1764"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2027"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r>
      <w:tr>
        <w:trPr/>
        <w:tc>
          <w:tcPr>
            <w:tcW w:w="5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109" w:type="dxa"/>
            <w:tcBorders/>
            <w:vAlign w:val="center"/>
          </w:tcPr>
          <w:p>
            <w:pPr>
              <w:pStyle w:val="TableContents"/>
              <w:bidi w:val="0"/>
              <w:spacing w:before="0" w:after="1"/>
              <w:ind w:left="0" w:right="0" w:hanging="0"/>
              <w:jc w:val="left"/>
              <w:rPr/>
            </w:pPr>
            <w:r>
              <w:rPr/>
              <w:t>​</w:t>
            </w:r>
          </w:p>
        </w:tc>
        <w:tc>
          <w:tcPr>
            <w:tcW w:w="20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5959"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10" w:type="dxa"/>
            <w:tcBorders/>
            <w:vAlign w:val="center"/>
          </w:tcPr>
          <w:p>
            <w:pPr>
              <w:pStyle w:val="TableContents"/>
              <w:bidi w:val="0"/>
              <w:spacing w:before="0" w:after="1"/>
              <w:ind w:left="0" w:right="0" w:hanging="0"/>
              <w:jc w:val="left"/>
              <w:rPr/>
            </w:pPr>
            <w:r>
              <w:rPr/>
              <w:t>​</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left"/>
              <w:rPr/>
            </w:pPr>
            <w:r>
              <w:rPr/>
              <w:t>​</w:t>
            </w:r>
          </w:p>
        </w:tc>
        <w:tc>
          <w:tcPr>
            <w:tcW w:w="8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959" w:type="dxa"/>
            <w:tcBorders/>
            <w:shd w:fill="CCEEFF" w:val="clear"/>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Numerator</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left"/>
              <w:rPr/>
            </w:pPr>
            <w:r>
              <w:rPr/>
              <w:t> </w:t>
            </w:r>
          </w:p>
        </w:tc>
        <w:tc>
          <w:tcPr>
            <w:tcW w:w="110"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0"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left"/>
              <w:rPr/>
            </w:pPr>
            <w:r>
              <w:rPr/>
              <w:t> </w:t>
            </w:r>
          </w:p>
        </w:tc>
      </w:tr>
      <w:tr>
        <w:trPr/>
        <w:tc>
          <w:tcPr>
            <w:tcW w:w="595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(loss) </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(8,932)</w:t>
            </w:r>
          </w:p>
        </w:tc>
        <w:tc>
          <w:tcPr>
            <w:tcW w:w="110"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(2,179)</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(1,939)</w:t>
            </w:r>
          </w:p>
        </w:tc>
      </w:tr>
      <w:tr>
        <w:trPr/>
        <w:tc>
          <w:tcPr>
            <w:tcW w:w="595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Undistributed earnings allocated to unvested restricted stock</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w:t>
            </w:r>
          </w:p>
        </w:tc>
        <w:tc>
          <w:tcPr>
            <w:tcW w:w="110" w:type="dxa"/>
            <w:tcBorders/>
            <w:shd w:fill="CCEEFF" w:val="clear"/>
            <w:vAlign w:val="center"/>
          </w:tcPr>
          <w:p>
            <w:pPr>
              <w:pStyle w:val="TableContents"/>
              <w:bidi w:val="0"/>
              <w:spacing w:before="0" w:after="1"/>
              <w:ind w:left="0" w:right="0" w:hanging="0"/>
              <w:jc w:val="left"/>
              <w:rPr/>
            </w:pPr>
            <w:r>
              <w:rPr/>
              <w:t>​</w:t>
            </w:r>
          </w:p>
        </w:tc>
        <w:tc>
          <w:tcPr>
            <w:tcW w:w="1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w:t>
            </w:r>
          </w:p>
        </w:tc>
      </w:tr>
      <w:tr>
        <w:trPr/>
        <w:tc>
          <w:tcPr>
            <w:tcW w:w="595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for earnings per share calculation</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(9,037)</w:t>
            </w:r>
          </w:p>
        </w:tc>
        <w:tc>
          <w:tcPr>
            <w:tcW w:w="110"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(2,275)</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(7,334)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(2,213)</w:t>
            </w:r>
          </w:p>
        </w:tc>
      </w:tr>
      <w:tr>
        <w:trPr/>
        <w:tc>
          <w:tcPr>
            <w:tcW w:w="595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left"/>
              <w:rPr/>
            </w:pPr>
            <w:r>
              <w:rPr/>
              <w:t> </w:t>
            </w:r>
          </w:p>
        </w:tc>
        <w:tc>
          <w:tcPr>
            <w:tcW w:w="110"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0"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left"/>
              <w:rPr/>
            </w:pPr>
            <w:r>
              <w:rPr/>
              <w:t> </w:t>
            </w:r>
          </w:p>
        </w:tc>
      </w:tr>
      <w:tr>
        <w:trPr/>
        <w:tc>
          <w:tcPr>
            <w:tcW w:w="5959" w:type="dxa"/>
            <w:tcBorders/>
            <w:vAlign w:val="center"/>
          </w:tcPr>
          <w:p>
            <w:pPr>
              <w:pStyle w:val="TableContents"/>
              <w:bidi w:val="0"/>
              <w:spacing w:before="0" w:after="1"/>
              <w:ind w:left="0" w:right="0" w:hanging="0"/>
              <w:jc w:val="left"/>
              <w:rPr>
                <w:rFonts w:ascii="Times New Roman;Times;serif" w:hAnsi="Times New Roman;Times;serif"/>
                <w:i/>
                <w:sz w:val="18"/>
              </w:rPr>
            </w:pPr>
            <w:r>
              <w:rPr>
                <w:rFonts w:ascii="Times New Roman;Times;serif" w:hAnsi="Times New Roman;Times;serif"/>
                <w:i/>
                <w:sz w:val="18"/>
              </w:rPr>
              <w:t>Denominator</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left"/>
              <w:rPr/>
            </w:pPr>
            <w:r>
              <w:rPr/>
              <w:t>​</w:t>
            </w:r>
          </w:p>
        </w:tc>
        <w:tc>
          <w:tcPr>
            <w:tcW w:w="110"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left"/>
              <w:rPr/>
            </w:pPr>
            <w:r>
              <w:rPr/>
              <w:t>​</w:t>
            </w:r>
          </w:p>
        </w:tc>
      </w:tr>
      <w:tr>
        <w:trPr/>
        <w:tc>
          <w:tcPr>
            <w:tcW w:w="595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outstanding — Basic</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34,315</w:t>
            </w:r>
          </w:p>
        </w:tc>
        <w:tc>
          <w:tcPr>
            <w:tcW w:w="110" w:type="dxa"/>
            <w:tcBorders/>
            <w:shd w:fill="CCEEFF" w:val="clear"/>
            <w:vAlign w:val="center"/>
          </w:tcPr>
          <w:p>
            <w:pPr>
              <w:pStyle w:val="TableContents"/>
              <w:bidi w:val="0"/>
              <w:spacing w:before="0" w:after="1"/>
              <w:ind w:left="0" w:right="0" w:hanging="0"/>
              <w:jc w:val="righ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33,433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33,979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33,027</w:t>
            </w:r>
          </w:p>
        </w:tc>
      </w:tr>
      <w:tr>
        <w:trPr/>
        <w:tc>
          <w:tcPr>
            <w:tcW w:w="595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left"/>
              <w:rPr/>
            </w:pPr>
            <w:r>
              <w:rPr/>
              <w:t>​</w:t>
            </w:r>
          </w:p>
        </w:tc>
        <w:tc>
          <w:tcPr>
            <w:tcW w:w="110"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left"/>
              <w:rPr/>
            </w:pPr>
            <w:r>
              <w:rPr/>
              <w:t>​</w:t>
            </w:r>
          </w:p>
        </w:tc>
      </w:tr>
      <w:tr>
        <w:trPr/>
        <w:tc>
          <w:tcPr>
            <w:tcW w:w="595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restricted stock awards</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right"/>
              <w:rPr/>
            </w:pPr>
            <w:r>
              <w:rPr/>
              <w:t>—</w:t>
            </w:r>
          </w:p>
        </w:tc>
        <w:tc>
          <w:tcPr>
            <w:tcW w:w="110" w:type="dxa"/>
            <w:tcBorders/>
            <w:shd w:fill="CCEEFF" w:val="clear"/>
            <w:vAlign w:val="center"/>
          </w:tcPr>
          <w:p>
            <w:pPr>
              <w:pStyle w:val="TableContents"/>
              <w:bidi w:val="0"/>
              <w:spacing w:before="0" w:after="1"/>
              <w:ind w:left="0" w:right="0" w:hanging="0"/>
              <w:jc w:val="righ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6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2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pPr>
            <w:r>
              <w:rPr/>
              <w:t>—</w:t>
            </w:r>
          </w:p>
        </w:tc>
      </w:tr>
      <w:tr>
        <w:trPr/>
        <w:tc>
          <w:tcPr>
            <w:tcW w:w="595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Unvested contingent restricted stock units</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10" w:type="dxa"/>
            <w:tcBorders/>
            <w:vAlign w:val="center"/>
          </w:tcPr>
          <w:p>
            <w:pPr>
              <w:pStyle w:val="TableContents"/>
              <w:bidi w:val="0"/>
              <w:spacing w:before="0" w:after="1"/>
              <w:ind w:left="0" w:right="0" w:hanging="0"/>
              <w:jc w:val="left"/>
              <w:rPr/>
            </w:pPr>
            <w:r>
              <w:rPr/>
              <w:t>​</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95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number of common shares and dilutive potential common shares used in diluted earnings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34,315</w:t>
            </w:r>
          </w:p>
        </w:tc>
        <w:tc>
          <w:tcPr>
            <w:tcW w:w="110" w:type="dxa"/>
            <w:tcBorders/>
            <w:shd w:fill="CCEEFF" w:val="clear"/>
            <w:vAlign w:val="center"/>
          </w:tcPr>
          <w:p>
            <w:pPr>
              <w:pStyle w:val="TableContents"/>
              <w:bidi w:val="0"/>
              <w:spacing w:before="0" w:after="1"/>
              <w:ind w:left="0" w:right="0" w:hanging="0"/>
              <w:jc w:val="righ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33,433</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33,979</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33,027</w:t>
            </w:r>
          </w:p>
        </w:tc>
      </w:tr>
      <w:tr>
        <w:trPr/>
        <w:tc>
          <w:tcPr>
            <w:tcW w:w="595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left"/>
              <w:rPr/>
            </w:pPr>
            <w:r>
              <w:rPr/>
              <w:t>​</w:t>
            </w:r>
          </w:p>
        </w:tc>
        <w:tc>
          <w:tcPr>
            <w:tcW w:w="110"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left"/>
              <w:rPr/>
            </w:pPr>
            <w:r>
              <w:rPr/>
              <w:t>​</w:t>
            </w:r>
          </w:p>
        </w:tc>
      </w:tr>
      <w:tr>
        <w:trPr/>
        <w:tc>
          <w:tcPr>
            <w:tcW w:w="595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Basic</w:t>
            </w:r>
          </w:p>
        </w:tc>
        <w:tc>
          <w:tcPr>
            <w:tcW w:w="346"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(0.26)</w:t>
            </w:r>
          </w:p>
        </w:tc>
        <w:tc>
          <w:tcPr>
            <w:tcW w:w="110" w:type="dxa"/>
            <w:tcBorders/>
            <w:shd w:fill="CCEEFF" w:val="clear"/>
            <w:vAlign w:val="center"/>
          </w:tcPr>
          <w:p>
            <w:pPr>
              <w:pStyle w:val="TableContents"/>
              <w:bidi w:val="0"/>
              <w:spacing w:before="0" w:after="1"/>
              <w:ind w:left="0" w:right="0" w:hanging="0"/>
              <w:jc w:val="left"/>
              <w:rPr/>
            </w:pPr>
            <w:r>
              <w:rPr/>
              <w:t>​</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r>
      <w:tr>
        <w:trPr/>
        <w:tc>
          <w:tcPr>
            <w:tcW w:w="595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(loss) per common share — Diluted</w:t>
            </w:r>
          </w:p>
        </w:tc>
        <w:tc>
          <w:tcPr>
            <w:tcW w:w="346"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(0.26)</w:t>
            </w:r>
          </w:p>
        </w:tc>
        <w:tc>
          <w:tcPr>
            <w:tcW w:w="110" w:type="dxa"/>
            <w:tcBorders/>
            <w:vAlign w:val="center"/>
          </w:tcPr>
          <w:p>
            <w:pPr>
              <w:pStyle w:val="TableContents"/>
              <w:bidi w:val="0"/>
              <w:spacing w:before="0" w:after="1"/>
              <w:ind w:left="0" w:right="0" w:hanging="0"/>
              <w:jc w:val="left"/>
              <w:rPr/>
            </w:pPr>
            <w:r>
              <w:rPr/>
              <w:t>​</w:t>
            </w:r>
          </w:p>
        </w:tc>
        <w:tc>
          <w:tcPr>
            <w:tcW w:w="1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2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(0.22)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(0.07)</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Unvested restricted stock awards, totaling 0.9 million and 0.8 million for the three and nine months ended March 31, 2026, respectively, were not included in the computation of diluted earnings per common share because the effect would have been anti-dilutive due to the net losses.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Unvested restricted stock awards, totaling 0.8 million for each of the three and nine months ended March 31, 2025, were not included in the computation of diluted earnings per common share because the effect would have been anti-dilutive due to the net losses.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unvested performance-based restricted stock awards and unvested contingent restricted stock units that would not meet the performance criteria as of the period end are excluded from the computation of diluted earnings per common share.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13. Leases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 are reflected as an operating lease right of use (“ROU”) asset included in “</w:t>
      </w:r>
      <w:r>
        <w:rPr>
          <w:rFonts w:ascii="Times New Roman;Times;serif" w:hAnsi="Times New Roman;Times;serif"/>
          <w:i/>
          <w:sz w:val="20"/>
        </w:rPr>
        <w:t>Other assets, net”</w:t>
      </w:r>
      <w:r>
        <w:rPr>
          <w:rFonts w:ascii="Times New Roman;Times;serif" w:hAnsi="Times New Roman;Times;serif"/>
          <w:sz w:val="20"/>
        </w:rPr>
        <w:t>, and as a ROU liability in “</w:t>
      </w:r>
      <w:r>
        <w:rPr>
          <w:rFonts w:ascii="Times New Roman;Times;serif" w:hAnsi="Times New Roman;Times;serif"/>
          <w:i/>
          <w:sz w:val="20"/>
        </w:rPr>
        <w:t>Accrued liabilities and other”</w:t>
      </w:r>
      <w:r>
        <w:rPr>
          <w:rFonts w:ascii="Times New Roman;Times;serif" w:hAnsi="Times New Roman;Times;serif"/>
          <w:sz w:val="20"/>
        </w:rPr>
        <w:t xml:space="preserve"> and “</w:t>
      </w:r>
      <w:r>
        <w:rPr>
          <w:rFonts w:ascii="Times New Roman;Times;serif" w:hAnsi="Times New Roman;Times;serif"/>
          <w:i/>
          <w:sz w:val="20"/>
        </w:rPr>
        <w:t>Operating lease liability”</w:t>
      </w:r>
      <w:r>
        <w:rPr>
          <w:rFonts w:ascii="Times New Roman;Times;serif" w:hAnsi="Times New Roman;Times;serif"/>
          <w:sz w:val="20"/>
        </w:rPr>
        <w:t xml:space="preserve"> on the Company’s unaudited condensed consolidated balance sheets. Operating lease ROU assets and liabilities are recognized at the commencement date of an arrangement based on the present value of lease payments over the lease term. In addition to the present value of lease payments, the operating lease ROU asset would also include any lease payments made to the lessor prior to lease commencement less any lease incentives and initial direct costs incurred, if any. Lease expense for operating lease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1177" w:name="Tc_yxUn8A5mU02T99Lfoy_rfQ_5_7"/>
      <w:bookmarkStart w:id="1178" w:name="Tc_OxBaRuJWpUa6Ymqlogdp6g_5_0"/>
      <w:bookmarkStart w:id="1179" w:name="Tc_v7iDYggACU65x7ch3_ac3Q_3_6"/>
      <w:bookmarkStart w:id="1180" w:name="Tc_fDbmFmwqwkeqpoIaoHZmsQ_3_2"/>
      <w:bookmarkStart w:id="1181" w:name="Tc_GBuDERbRzUegHCXLPT7s6A_2_0"/>
      <w:bookmarkStart w:id="1182" w:name="Tc_2LCzQYDOqUSysRI6akkaBw_1_6"/>
      <w:bookmarkStart w:id="1183" w:name="Tc_0KrGjOCHpE6Sbr745DjZTA_1_2"/>
      <w:bookmarkStart w:id="1184" w:name="_7a1c5a2e_9cf3_424f_9c9a_e002d82eeaa6"/>
      <w:bookmarkStart w:id="1185" w:name="Tc_6AxKVqQfJUm22lsEGbJK5A_15_8"/>
      <w:bookmarkStart w:id="1186" w:name="Tc_N3D0g0KjJkC5bLvaJ-CHmw_15_4"/>
      <w:bookmarkStart w:id="1187" w:name="Tc_XimNC51duUacolfPEPxovQ_15_0"/>
      <w:bookmarkStart w:id="1188" w:name="Tc_-FKczk4NKke7bGOONoor9g_14_0"/>
      <w:bookmarkStart w:id="1189" w:name="Tc_5xtkbyIE3ky-EKLkME9I9g_13_7"/>
      <w:bookmarkStart w:id="1190" w:name="Tc_T5pgE9GT00uqddKBkRILxg_13_6"/>
      <w:bookmarkStart w:id="1191" w:name="Tc_y2w8jPbdeUWyR0XURw9USg_13_2"/>
      <w:bookmarkStart w:id="1192" w:name="Tc_eLCYCGx1RUyWXB6NnX4Ymg_13_0"/>
      <w:bookmarkStart w:id="1193" w:name="Tc_vi6lRs6Y6EyHe6t08ttrmQ_12_0"/>
      <w:bookmarkStart w:id="1194" w:name="Tc_ZK7tiqDXPEK-wsA2Sv7dHQ_10_6"/>
      <w:bookmarkStart w:id="1195" w:name="Tc_Wz_1BqdlVUSs_Piw35Oa3Q_10_2"/>
      <w:bookmarkStart w:id="1196" w:name="Tc_t-2h9Y8J-0WG_gN5emegOA_10_0"/>
      <w:bookmarkStart w:id="1197" w:name="Tc_x9cklxJDn0O4DCUUO4iOIw_9_0"/>
      <w:bookmarkStart w:id="1198" w:name="Tc_p1Y0b1UDvUW9qHOCSTvhng_8_0"/>
      <w:bookmarkStart w:id="1199" w:name="Tc_6Pds7dMhykqJTX59aPEFsg_6_6"/>
      <w:bookmarkStart w:id="1200" w:name="Tc_Lf3GCSVzh0udp8HBp3fn7A_6_2"/>
      <w:bookmarkStart w:id="1201" w:name="Tc_yMBiXsH6_U26YlSStmkecA_6_0"/>
      <w:bookmarkStart w:id="1202" w:name="Tc_J3ZjE8_jHkKEAoPd6_6YfQ_5_0"/>
      <w:bookmarkStart w:id="1203" w:name="Tc_BXI03CP0q0OmUwwwMIRWBw_4_6"/>
      <w:bookmarkStart w:id="1204" w:name="Tc_9LDIzWGNnEmIy9XwnUbBmg_4_2"/>
      <w:bookmarkStart w:id="1205" w:name="Tc_0kjbwx9eUkCe7fGtKkZiuQ_4_0"/>
      <w:bookmarkStart w:id="1206" w:name="Tc_VcDWifsuGEuPDun2Hd5JnQ_3_0"/>
      <w:bookmarkStart w:id="1207" w:name="Tc_lURY582rOkOTBzS0X47_GA_2_6"/>
      <w:bookmarkStart w:id="1208" w:name="Tc_zLqDStKZX0-e99zM_EuSjw_2_2"/>
      <w:bookmarkStart w:id="1209" w:name="Tc_M-NSHQUw80-DIJFdTBxF5w_1_2"/>
      <w:bookmarkStart w:id="1210" w:name="_f6fc486c_2bb9_4bdb_b72e_8b611ad2ce9b"/>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r>
        <w:rPr>
          <w:rFonts w:ascii="Times New Roman;Times;serif" w:hAnsi="Times New Roman;Times;serif"/>
          <w:sz w:val="20"/>
        </w:rPr>
        <w:t>payments is recognized on a straight-line basis over the lease term and are presented as “</w:t>
      </w:r>
      <w:r>
        <w:rPr>
          <w:rFonts w:ascii="Times New Roman;Times;serif" w:hAnsi="Times New Roman;Times;serif"/>
          <w:i/>
          <w:sz w:val="20"/>
        </w:rPr>
        <w:t>General and administrative expenses</w:t>
      </w:r>
      <w:r>
        <w:rPr>
          <w:rFonts w:ascii="Times New Roman;Times;serif" w:hAnsi="Times New Roman;Times;serif"/>
          <w:sz w:val="20"/>
        </w:rPr>
        <w:t>” in the unaudited condensed consolidated statements of operations. Certain leases have payment terms that vary based on the usage of the underlying assets. Variable lease payments are not included in ROU assets and lease liabilities. For all operating leases, lease and non-lease components are accounted for as a single lease component.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a non-operator and having adequate liquidity, the Company has generally not entered into lease transactions. The Company’s only operating lease is for corporate office space in Houston, Texas, effective May 1, 2019 and amended most recently November 30, 2025 and set to expire June 30, 2031. The Company does not have any leases that meet the criteria for classification as a finance lease or a short-term lease.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makes certain assumptions and judgments when evaluating a contract that meets the definition of a lease under ASC 842, </w:t>
      </w:r>
      <w:r>
        <w:rPr>
          <w:rFonts w:ascii="Times New Roman;Times;serif" w:hAnsi="Times New Roman;Times;serif"/>
          <w:i/>
          <w:sz w:val="20"/>
        </w:rPr>
        <w:t>Leases</w:t>
      </w:r>
      <w:r>
        <w:rPr>
          <w:rFonts w:ascii="Times New Roman;Times;serif" w:hAnsi="Times New Roman;Times;serif"/>
          <w:sz w:val="20"/>
        </w:rPr>
        <w:t>. As the Company’s operating lease did not provide an implicit rate, an incremental borrowing rate was calculated using information available at the commencement and modification dates of the lease. The incremental borrowing rate for a lease is the rate of interest for which the Company would pay on a collateralized basis to borrow an amount equal to the lease payments under similar terms. The lease term was determined by considering any option available to extend or to early terminate the lease which the Company believed was reasonably certain to be exercised.</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table below summarized the Company’s leases for the nine months ended March 31, 2026 and 2025 (in thousands, except years and discount rate):</w:t>
      </w:r>
    </w:p>
    <w:tbl>
      <w:tblPr>
        <w:tblW w:w="8009" w:type="dxa"/>
        <w:jc w:val="left"/>
        <w:tblInd w:w="0" w:type="dxa"/>
        <w:tblLayout w:type="fixed"/>
        <w:tblCellMar>
          <w:top w:w="0" w:type="dxa"/>
          <w:left w:w="0" w:type="dxa"/>
          <w:bottom w:w="0" w:type="dxa"/>
          <w:right w:w="0" w:type="dxa"/>
        </w:tblCellMar>
      </w:tblPr>
      <w:tblGrid>
        <w:gridCol w:w="5086"/>
        <w:gridCol w:w="346"/>
        <w:gridCol w:w="236"/>
        <w:gridCol w:w="508"/>
        <w:gridCol w:w="309"/>
        <w:gridCol w:w="417"/>
        <w:gridCol w:w="236"/>
        <w:gridCol w:w="508"/>
        <w:gridCol w:w="363"/>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229610" cy="175260"/>
                      <wp:effectExtent l="0" t="0" r="0" b="0"/>
                      <wp:wrapNone/>
                      <wp:docPr id="255" name="Frame254"/>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9860" cy="175260"/>
                      <wp:effectExtent l="0" t="0" r="0" b="0"/>
                      <wp:wrapNone/>
                      <wp:docPr id="257" name="Frame256"/>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22580" cy="175260"/>
                      <wp:effectExtent l="0" t="0" r="0" b="0"/>
                      <wp:wrapNone/>
                      <wp:docPr id="258" name="Frame257"/>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96215" cy="175260"/>
                      <wp:effectExtent l="0" t="0" r="0" b="0"/>
                      <wp:wrapNone/>
                      <wp:docPr id="259" name="Frame258"/>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64795" cy="175260"/>
                      <wp:effectExtent l="0" t="0" r="0" b="0"/>
                      <wp:wrapNone/>
                      <wp:docPr id="260" name="Frame259"/>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49860" cy="175260"/>
                      <wp:effectExtent l="0" t="0" r="0" b="0"/>
                      <wp:wrapNone/>
                      <wp:docPr id="261" name="Frame260"/>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22580" cy="175260"/>
                      <wp:effectExtent l="0" t="0" r="0" b="0"/>
                      <wp:wrapNone/>
                      <wp:docPr id="262" name="Frame261"/>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30505" cy="175260"/>
                      <wp:effectExtent l="0" t="0" r="0" b="0"/>
                      <wp:wrapNone/>
                      <wp:docPr id="263" name="Frame26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7"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March 31, </w:t>
            </w:r>
          </w:p>
        </w:tc>
      </w:tr>
      <w:tr>
        <w:trPr/>
        <w:tc>
          <w:tcPr>
            <w:tcW w:w="508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 ​ ​</w:t>
            </w:r>
          </w:p>
        </w:tc>
        <w:tc>
          <w:tcPr>
            <w:tcW w:w="10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17" w:type="dxa"/>
            <w:tcBorders/>
            <w:vAlign w:val="center"/>
          </w:tcPr>
          <w:p>
            <w:pPr>
              <w:pStyle w:val="TableContents"/>
              <w:bidi w:val="0"/>
              <w:spacing w:before="0" w:after="1"/>
              <w:ind w:left="0" w:right="0" w:hanging="0"/>
              <w:jc w:val="left"/>
              <w:rPr/>
            </w:pPr>
            <w:r>
              <w:rPr/>
              <w:t>  ​ ​ ​</w:t>
            </w:r>
          </w:p>
        </w:tc>
        <w:tc>
          <w:tcPr>
            <w:tcW w:w="1107"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Statements of Operations: </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pPr>
            <w:r>
              <w:rPr/>
              <w:t>​</w:t>
            </w:r>
          </w:p>
        </w:tc>
        <w:tc>
          <w:tcPr>
            <w:tcW w:w="309" w:type="dxa"/>
            <w:tcBorders/>
            <w:shd w:fill="CCEEFF" w:val="clear"/>
            <w:vAlign w:val="center"/>
          </w:tcPr>
          <w:p>
            <w:pPr>
              <w:pStyle w:val="TableContents"/>
              <w:bidi w:val="0"/>
              <w:spacing w:before="0" w:after="1"/>
              <w:ind w:left="0" w:right="0" w:hanging="0"/>
              <w:jc w:val="righ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costs</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w:t>
            </w:r>
          </w:p>
        </w:tc>
        <w:tc>
          <w:tcPr>
            <w:tcW w:w="309"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c>
          <w:tcPr>
            <w:tcW w:w="363"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Variable lease costs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w:t>
            </w:r>
          </w:p>
        </w:tc>
        <w:tc>
          <w:tcPr>
            <w:tcW w:w="309" w:type="dxa"/>
            <w:tcBorders/>
            <w:shd w:fill="CCEEFF" w:val="clear"/>
            <w:vAlign w:val="center"/>
          </w:tcPr>
          <w:p>
            <w:pPr>
              <w:pStyle w:val="TableContents"/>
              <w:bidi w:val="0"/>
              <w:spacing w:before="0" w:after="1"/>
              <w:ind w:left="0" w:right="0" w:hanging="0"/>
              <w:jc w:val="righ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363"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lease costs</w:t>
            </w:r>
          </w:p>
        </w:tc>
        <w:tc>
          <w:tcPr>
            <w:tcW w:w="346"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w:t>
            </w:r>
          </w:p>
        </w:tc>
        <w:tc>
          <w:tcPr>
            <w:tcW w:w="309"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w:t>
            </w:r>
          </w:p>
        </w:tc>
        <w:tc>
          <w:tcPr>
            <w:tcW w:w="363"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pPr>
            <w:r>
              <w:rPr/>
              <w:t>​</w:t>
            </w:r>
          </w:p>
        </w:tc>
        <w:tc>
          <w:tcPr>
            <w:tcW w:w="309" w:type="dxa"/>
            <w:tcBorders/>
            <w:shd w:fill="CCEEFF" w:val="clear"/>
            <w:vAlign w:val="center"/>
          </w:tcPr>
          <w:p>
            <w:pPr>
              <w:pStyle w:val="TableContents"/>
              <w:bidi w:val="0"/>
              <w:spacing w:before="0" w:after="1"/>
              <w:ind w:left="0" w:right="0" w:hanging="0"/>
              <w:jc w:val="righ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Statements of Cash Flow:</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right"/>
              <w:rPr/>
            </w:pPr>
            <w:r>
              <w:rPr/>
              <w:t>​</w:t>
            </w:r>
          </w:p>
        </w:tc>
        <w:tc>
          <w:tcPr>
            <w:tcW w:w="309"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right"/>
              <w:rPr/>
            </w:pPr>
            <w:r>
              <w:rPr/>
              <w:t>​</w:t>
            </w:r>
          </w:p>
        </w:tc>
        <w:tc>
          <w:tcPr>
            <w:tcW w:w="363"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paid for amounts included in the measurement of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pPr>
            <w:r>
              <w:rPr/>
              <w:t>​</w:t>
            </w:r>
          </w:p>
        </w:tc>
        <w:tc>
          <w:tcPr>
            <w:tcW w:w="309" w:type="dxa"/>
            <w:tcBorders/>
            <w:shd w:fill="CCEEFF" w:val="clear"/>
            <w:vAlign w:val="center"/>
          </w:tcPr>
          <w:p>
            <w:pPr>
              <w:pStyle w:val="TableContents"/>
              <w:bidi w:val="0"/>
              <w:spacing w:before="0" w:after="1"/>
              <w:ind w:left="0" w:right="0" w:hanging="0"/>
              <w:jc w:val="righ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cash flows from operating leases</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w:t>
            </w:r>
          </w:p>
        </w:tc>
        <w:tc>
          <w:tcPr>
            <w:tcW w:w="309"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w:t>
            </w:r>
          </w:p>
        </w:tc>
        <w:tc>
          <w:tcPr>
            <w:tcW w:w="363"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pPr>
            <w:r>
              <w:rPr/>
              <w:t>​</w:t>
            </w:r>
          </w:p>
        </w:tc>
        <w:tc>
          <w:tcPr>
            <w:tcW w:w="309" w:type="dxa"/>
            <w:tcBorders/>
            <w:shd w:fill="CCEEFF" w:val="clear"/>
            <w:vAlign w:val="center"/>
          </w:tcPr>
          <w:p>
            <w:pPr>
              <w:pStyle w:val="TableContents"/>
              <w:bidi w:val="0"/>
              <w:spacing w:before="0" w:after="1"/>
              <w:ind w:left="0" w:right="0" w:hanging="0"/>
              <w:jc w:val="righ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right"/>
              <w:rPr/>
            </w:pPr>
            <w:r>
              <w:rPr/>
              <w:t>​</w:t>
            </w:r>
          </w:p>
        </w:tc>
        <w:tc>
          <w:tcPr>
            <w:tcW w:w="309"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right"/>
              <w:rPr/>
            </w:pPr>
            <w:r>
              <w:rPr/>
              <w:t>​</w:t>
            </w:r>
          </w:p>
        </w:tc>
        <w:tc>
          <w:tcPr>
            <w:tcW w:w="363"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ROU assets obtained in exchange for new operating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w:t>
            </w:r>
          </w:p>
        </w:tc>
        <w:tc>
          <w:tcPr>
            <w:tcW w:w="309" w:type="dxa"/>
            <w:tcBorders/>
            <w:shd w:fill="CCEEFF" w:val="clear"/>
            <w:vAlign w:val="center"/>
          </w:tcPr>
          <w:p>
            <w:pPr>
              <w:pStyle w:val="TableContents"/>
              <w:bidi w:val="0"/>
              <w:spacing w:before="0" w:after="1"/>
              <w:ind w:left="0" w:right="0" w:hanging="0"/>
              <w:jc w:val="righ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08" w:type="dxa"/>
            <w:tcBorders/>
            <w:shd w:fill="CCEEFF" w:val="clear"/>
            <w:vAlign w:val="center"/>
          </w:tcPr>
          <w:p>
            <w:pPr>
              <w:pStyle w:val="TableContents"/>
              <w:bidi w:val="0"/>
              <w:spacing w:before="0" w:after="1"/>
              <w:ind w:left="0" w:right="0" w:hanging="0"/>
              <w:jc w:val="right"/>
              <w:rPr/>
            </w:pPr>
            <w:r>
              <w:rPr/>
              <w:t>—</w:t>
            </w:r>
          </w:p>
        </w:tc>
        <w:tc>
          <w:tcPr>
            <w:tcW w:w="363" w:type="dxa"/>
            <w:tcBorders/>
            <w:shd w:fill="CCEEFF" w:val="clear"/>
            <w:vAlign w:val="center"/>
          </w:tcPr>
          <w:p>
            <w:pPr>
              <w:pStyle w:val="TableContents"/>
              <w:bidi w:val="0"/>
              <w:spacing w:before="0" w:after="1"/>
              <w:ind w:left="0" w:right="0" w:hanging="0"/>
              <w:jc w:val="left"/>
              <w:rPr/>
            </w:pPr>
            <w:r>
              <w:rPr/>
              <w:t>​</w:t>
            </w:r>
          </w:p>
        </w:tc>
      </w:tr>
      <w:tr>
        <w:trPr/>
        <w:tc>
          <w:tcPr>
            <w:tcW w:w="50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remaining lease term in years</w:t>
            </w:r>
          </w:p>
        </w:tc>
        <w:tc>
          <w:tcPr>
            <w:tcW w:w="346"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5.25</w:t>
            </w:r>
          </w:p>
        </w:tc>
        <w:tc>
          <w:tcPr>
            <w:tcW w:w="309" w:type="dxa"/>
            <w:tcBorders/>
            <w:vAlign w:val="center"/>
          </w:tcPr>
          <w:p>
            <w:pPr>
              <w:pStyle w:val="TableContents"/>
              <w:bidi w:val="0"/>
              <w:spacing w:before="0" w:after="1"/>
              <w:ind w:left="0" w:right="0" w:hanging="0"/>
              <w:jc w:val="right"/>
              <w:rPr/>
            </w:pPr>
            <w:r>
              <w:rPr/>
              <w:t>​</w:t>
            </w:r>
          </w:p>
        </w:tc>
        <w:tc>
          <w:tcPr>
            <w:tcW w:w="417" w:type="dxa"/>
            <w:tcBorders/>
            <w:vAlign w:val="center"/>
          </w:tcPr>
          <w:p>
            <w:pPr>
              <w:pStyle w:val="TableContents"/>
              <w:bidi w:val="0"/>
              <w:spacing w:before="0" w:after="1"/>
              <w:ind w:left="0" w:right="0" w:hanging="0"/>
              <w:jc w:val="left"/>
              <w:rPr/>
            </w:pPr>
            <w:r>
              <w:rPr/>
              <w:t>​</w:t>
            </w:r>
          </w:p>
        </w:tc>
        <w:tc>
          <w:tcPr>
            <w:tcW w:w="236" w:type="dxa"/>
            <w:tcBorders/>
            <w:vAlign w:val="center"/>
          </w:tcPr>
          <w:p>
            <w:pPr>
              <w:pStyle w:val="TableContents"/>
              <w:bidi w:val="0"/>
              <w:spacing w:before="0" w:after="1"/>
              <w:ind w:left="0" w:right="0" w:hanging="0"/>
              <w:jc w:val="left"/>
              <w:rPr/>
            </w:pPr>
            <w:r>
              <w:rPr/>
              <w:t>​</w:t>
            </w:r>
          </w:p>
        </w:tc>
        <w:tc>
          <w:tcPr>
            <w:tcW w:w="5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0.92</w:t>
            </w:r>
          </w:p>
        </w:tc>
        <w:tc>
          <w:tcPr>
            <w:tcW w:w="363" w:type="dxa"/>
            <w:tcBorders/>
            <w:vAlign w:val="center"/>
          </w:tcPr>
          <w:p>
            <w:pPr>
              <w:pStyle w:val="TableContents"/>
              <w:bidi w:val="0"/>
              <w:spacing w:before="0" w:after="1"/>
              <w:ind w:left="0" w:right="0" w:hanging="0"/>
              <w:jc w:val="left"/>
              <w:rPr/>
            </w:pPr>
            <w:r>
              <w:rPr/>
              <w:t>​</w:t>
            </w:r>
          </w:p>
        </w:tc>
      </w:tr>
      <w:tr>
        <w:trPr/>
        <w:tc>
          <w:tcPr>
            <w:tcW w:w="50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discount rate</w:t>
            </w:r>
          </w:p>
        </w:tc>
        <w:tc>
          <w:tcPr>
            <w:tcW w:w="346"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6.09</w:t>
            </w:r>
          </w:p>
        </w:tc>
        <w:tc>
          <w:tcPr>
            <w:tcW w:w="309"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c>
          <w:tcPr>
            <w:tcW w:w="417" w:type="dxa"/>
            <w:tcBorders/>
            <w:shd w:fill="CCEEFF" w:val="clear"/>
            <w:vAlign w:val="center"/>
          </w:tcPr>
          <w:p>
            <w:pPr>
              <w:pStyle w:val="TableContents"/>
              <w:bidi w:val="0"/>
              <w:spacing w:before="0" w:after="1"/>
              <w:ind w:left="0" w:right="0" w:hanging="0"/>
              <w:jc w:val="left"/>
              <w:rPr/>
            </w:pPr>
            <w:r>
              <w:rPr/>
              <w:t>​</w:t>
            </w:r>
          </w:p>
        </w:tc>
        <w:tc>
          <w:tcPr>
            <w:tcW w:w="236" w:type="dxa"/>
            <w:tcBorders/>
            <w:shd w:fill="CCEEFF" w:val="clear"/>
            <w:vAlign w:val="center"/>
          </w:tcPr>
          <w:p>
            <w:pPr>
              <w:pStyle w:val="TableContents"/>
              <w:bidi w:val="0"/>
              <w:spacing w:before="0" w:after="1"/>
              <w:ind w:left="0" w:right="0" w:hanging="0"/>
              <w:jc w:val="left"/>
              <w:rPr/>
            </w:pPr>
            <w:r>
              <w:rPr/>
              <w:t>​</w:t>
            </w:r>
          </w:p>
        </w:tc>
        <w:tc>
          <w:tcPr>
            <w:tcW w:w="5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w:t>
            </w:r>
          </w:p>
        </w:tc>
        <w:tc>
          <w:tcPr>
            <w:tcW w:w="363" w:type="dxa"/>
            <w:tcBorders/>
            <w:shd w:fill="CCEEFF" w:val="cle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ROU assets and lease liabilities (in thousands):</w:t>
      </w:r>
    </w:p>
    <w:p>
      <w:pPr>
        <w:pStyle w:val="TextBody"/>
        <w:bidi w:val="0"/>
        <w:spacing w:before="0" w:after="240"/>
        <w:ind w:left="0" w:right="0" w:hanging="0"/>
        <w:jc w:val="left"/>
        <w:rPr/>
      </w:pPr>
      <w:r>
        <w:rPr/>
        <w:t>​</w:t>
      </w:r>
    </w:p>
    <w:tbl>
      <w:tblPr>
        <w:tblW w:w="6975" w:type="dxa"/>
        <w:jc w:val="left"/>
        <w:tblInd w:w="0" w:type="dxa"/>
        <w:tblLayout w:type="fixed"/>
        <w:tblCellMar>
          <w:top w:w="0" w:type="dxa"/>
          <w:left w:w="0" w:type="dxa"/>
          <w:bottom w:w="0" w:type="dxa"/>
          <w:right w:w="0" w:type="dxa"/>
        </w:tblCellMar>
      </w:tblPr>
      <w:tblGrid>
        <w:gridCol w:w="4156"/>
        <w:gridCol w:w="109"/>
        <w:gridCol w:w="442"/>
        <w:gridCol w:w="849"/>
        <w:gridCol w:w="109"/>
        <w:gridCol w:w="109"/>
        <w:gridCol w:w="363"/>
        <w:gridCol w:w="838"/>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639060" cy="175260"/>
                      <wp:effectExtent l="0" t="0" r="0" b="0"/>
                      <wp:wrapNone/>
                      <wp:docPr id="264" name="Frame263"/>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9215" cy="175260"/>
                      <wp:effectExtent l="0" t="0" r="0" b="0"/>
                      <wp:wrapNone/>
                      <wp:docPr id="265"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80670" cy="175260"/>
                      <wp:effectExtent l="0" t="0" r="0" b="0"/>
                      <wp:wrapNone/>
                      <wp:docPr id="266" name="Frame265"/>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39115" cy="175260"/>
                      <wp:effectExtent l="0" t="0" r="0" b="0"/>
                      <wp:wrapNone/>
                      <wp:docPr id="267" name="Frame266"/>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30505" cy="175260"/>
                      <wp:effectExtent l="0" t="0" r="0" b="0"/>
                      <wp:wrapNone/>
                      <wp:docPr id="270" name="Frame269"/>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32130" cy="175260"/>
                      <wp:effectExtent l="0" t="0" r="0" b="0"/>
                      <wp:wrapNone/>
                      <wp:docPr id="271" name="Frame270"/>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2026</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Sheets:</w:t>
            </w:r>
          </w:p>
        </w:tc>
        <w:tc>
          <w:tcPr>
            <w:tcW w:w="10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Operating lease ROU asset (included in other assets, net)</w:t>
            </w:r>
          </w:p>
        </w:tc>
        <w:tc>
          <w:tcPr>
            <w:tcW w:w="10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415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Accrued liabilities and other - current</w:t>
            </w:r>
          </w:p>
        </w:tc>
        <w:tc>
          <w:tcPr>
            <w:tcW w:w="10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3"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41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liability - long-term</w:t>
            </w:r>
          </w:p>
        </w:tc>
        <w:tc>
          <w:tcPr>
            <w:tcW w:w="10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369</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EVOLUTION PETROLEUM CORPORATION</w:t>
      </w:r>
    </w:p>
    <w:p>
      <w:pPr>
        <w:pStyle w:val="TextBody"/>
        <w:shd w:fill="FFFFFF" w:val="clear"/>
        <w:bidi w:val="0"/>
        <w:spacing w:lineRule="auto" w:line="429" w:before="0" w:after="240"/>
        <w:ind w:left="0" w:right="0" w:hanging="0"/>
        <w:jc w:val="center"/>
        <w:rPr>
          <w:rFonts w:ascii="Times New Roman;Times;serif" w:hAnsi="Times New Roman;Times;serif"/>
          <w:b/>
          <w:color w:val="212529"/>
          <w:sz w:val="20"/>
        </w:rPr>
      </w:pPr>
      <w:r>
        <w:rPr>
          <w:rFonts w:ascii="Times New Roman;Times;serif" w:hAnsi="Times New Roman;Times;serif"/>
          <w:b/>
          <w:color w:val="212529"/>
          <w:sz w:val="20"/>
        </w:rPr>
        <w:t>NOTES TO UNAUDITED CONDENSED CONSOLIDATED FINANCIAL STATEMENTS</w:t>
      </w:r>
    </w:p>
    <w:p>
      <w:pPr>
        <w:pStyle w:val="TextBody"/>
        <w:bidi w:val="0"/>
        <w:spacing w:before="0" w:after="120"/>
        <w:ind w:left="0" w:right="0" w:hanging="0"/>
        <w:jc w:val="left"/>
        <w:rPr>
          <w:rFonts w:ascii="Times New Roman;Times;serif" w:hAnsi="Times New Roman;Times;serif"/>
          <w:sz w:val="20"/>
        </w:rPr>
      </w:pPr>
      <w:bookmarkStart w:id="1211" w:name="Tc_jbh43hf2Gkq6c_uwHpxQEw_12_2"/>
      <w:bookmarkStart w:id="1212" w:name="Tc_sepg2pRIekiIJPPCVryeLg_12_0"/>
      <w:bookmarkStart w:id="1213" w:name="Tc_abE7joJT2ECmoGtPtrmTlQ_11_0"/>
      <w:bookmarkStart w:id="1214" w:name="Tc_mfFgF7xL3UCUDztDnyG2sg_9_0"/>
      <w:bookmarkStart w:id="1215" w:name="Tc_Ski3BG5eb0aqOvPY9b1hgA_8_0"/>
      <w:bookmarkStart w:id="1216" w:name="Tc_4UvBBAqM2Ui_cQk4dLgurQ_7_0"/>
      <w:bookmarkStart w:id="1217" w:name="Tc_yqoEUApDy0iBpc53THzqew_6_0"/>
      <w:bookmarkStart w:id="1218" w:name="Tc_Y_JhooWokkmtdhAxqV2kJw_5_0"/>
      <w:bookmarkStart w:id="1219" w:name="Tc_C2jKHgtlMkiqzbYr1QSDag_4_0"/>
      <w:bookmarkStart w:id="1220" w:name="Tc_zb_2zkRKJUCiRUnKKw4jBQ_3_0"/>
      <w:bookmarkStart w:id="1221" w:name="Tc_1Lo0EKwMsUWnzaUcynxSPA_2_3"/>
      <w:bookmarkStart w:id="1222" w:name="Tc_iIXd2QuBZUSiWmQ37NL0Mg_2_2"/>
      <w:bookmarkStart w:id="1223" w:name="Tc_PBG5kluw_USEaapCEzpVIw_2_0"/>
      <w:bookmarkStart w:id="1224" w:name="Tc_Mui_h6zA2Eq0eIL24FXeJw_1_2"/>
      <w:bookmarkStart w:id="1225" w:name="Tc_XLr0_OYLdkCw5nVyCn5wrQ_1_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r>
        <w:rPr>
          <w:rFonts w:ascii="Times New Roman;Times;serif" w:hAnsi="Times New Roman;Times;serif"/>
          <w:sz w:val="20"/>
        </w:rPr>
        <w:t>As of March 31, 2026, the future minimum lease payments associated with the Company’s non-cancellable operating lease for office space are as follows (in thousands):</w:t>
      </w:r>
    </w:p>
    <w:p>
      <w:pPr>
        <w:pStyle w:val="TextBody"/>
        <w:bidi w:val="0"/>
        <w:spacing w:before="0" w:after="0"/>
        <w:ind w:left="0" w:right="0" w:hanging="0"/>
        <w:jc w:val="left"/>
        <w:rPr/>
      </w:pPr>
      <w:r>
        <w:rPr/>
        <w:t>​</w:t>
      </w:r>
    </w:p>
    <w:tbl>
      <w:tblPr>
        <w:tblW w:w="4488" w:type="dxa"/>
        <w:jc w:val="left"/>
        <w:tblInd w:w="0" w:type="dxa"/>
        <w:tblLayout w:type="fixed"/>
        <w:tblCellMar>
          <w:top w:w="0" w:type="dxa"/>
          <w:left w:w="0" w:type="dxa"/>
          <w:bottom w:w="0" w:type="dxa"/>
          <w:right w:w="0" w:type="dxa"/>
        </w:tblCellMar>
      </w:tblPr>
      <w:tblGrid>
        <w:gridCol w:w="2806"/>
        <w:gridCol w:w="346"/>
        <w:gridCol w:w="386"/>
        <w:gridCol w:w="950"/>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781810" cy="175260"/>
                      <wp:effectExtent l="0" t="0" r="0" b="0"/>
                      <wp:wrapNone/>
                      <wp:docPr id="272" name="Frame271"/>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45110" cy="175260"/>
                      <wp:effectExtent l="0" t="0" r="0" b="0"/>
                      <wp:wrapNone/>
                      <wp:docPr id="274" name="Frame27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03250" cy="175260"/>
                      <wp:effectExtent l="0" t="0" r="0" b="0"/>
                      <wp:wrapNone/>
                      <wp:docPr id="275" name="Frame274"/>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Fiscal Year</w:t>
            </w:r>
          </w:p>
        </w:tc>
        <w:tc>
          <w:tcPr>
            <w:tcW w:w="346" w:type="dxa"/>
            <w:tcBorders/>
            <w:vAlign w:val="center"/>
          </w:tcPr>
          <w:p>
            <w:pPr>
              <w:pStyle w:val="TableContents"/>
              <w:bidi w:val="0"/>
              <w:spacing w:before="0" w:after="0"/>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2026</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Remaining in 2026</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0" w:type="dxa"/>
            <w:tcBorders/>
            <w:shd w:fill="CCEEFF" w:val="clear"/>
            <w:vAlign w:val="center"/>
          </w:tcPr>
          <w:p>
            <w:pPr>
              <w:pStyle w:val="TableContents"/>
              <w:bidi w:val="0"/>
              <w:spacing w:before="0" w:after="0"/>
              <w:ind w:left="0" w:right="0" w:hanging="0"/>
              <w:jc w:val="righ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2027</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2029</w:t>
            </w:r>
          </w:p>
        </w:tc>
        <w:tc>
          <w:tcPr>
            <w:tcW w:w="34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Thereafter</w:t>
            </w:r>
          </w:p>
        </w:tc>
        <w:tc>
          <w:tcPr>
            <w:tcW w:w="34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discount to present value</w:t>
            </w:r>
          </w:p>
        </w:tc>
        <w:tc>
          <w:tcPr>
            <w:tcW w:w="34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current operating lease liabilities</w:t>
            </w:r>
          </w:p>
        </w:tc>
        <w:tc>
          <w:tcPr>
            <w:tcW w:w="34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 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369</w:t>
            </w:r>
          </w:p>
        </w:tc>
      </w:tr>
    </w:tbl>
    <w:p>
      <w:pPr>
        <w:pStyle w:val="TextBody"/>
        <w:bidi w:val="0"/>
        <w:spacing w:before="0" w:after="0"/>
        <w:ind w:left="0" w:right="0" w:hanging="0"/>
        <w:jc w:val="left"/>
        <w:rPr/>
      </w:pPr>
      <w:r>
        <w:rPr/>
        <w:t>​</w:t>
      </w:r>
    </w:p>
    <w:p>
      <w:pPr>
        <w:pStyle w:val="TextBody"/>
        <w:bidi w:val="0"/>
        <w:spacing w:before="240" w:after="120"/>
        <w:ind w:left="0" w:right="0" w:hanging="0"/>
        <w:jc w:val="left"/>
        <w:rPr>
          <w:rFonts w:ascii="Times New Roman;Times;serif" w:hAnsi="Times New Roman;Times;serif"/>
          <w:b/>
          <w:sz w:val="20"/>
        </w:rPr>
      </w:pPr>
      <w:bookmarkStart w:id="1226" w:name="Tc_I7_R5XOl8Eq1homOxdQmMg_27_5"/>
      <w:bookmarkStart w:id="1227" w:name="Tc_2H8CeVsVo0iYDEjDewtqQw_27_2"/>
      <w:bookmarkStart w:id="1228" w:name="Tc_hB82knQRcUmiVLC-_TzLGg_27_0"/>
      <w:bookmarkStart w:id="1229" w:name="Tc_oAwCW4tFQ0mo-JaUc5-SZA_26_0"/>
      <w:bookmarkStart w:id="1230" w:name="Tc__zGSYiUFoEaR4kRemUSyEA_25_0"/>
      <w:bookmarkStart w:id="1231" w:name="Tc_oLONiHjyFUO5YD7mW8CoAA_24_0"/>
      <w:bookmarkStart w:id="1232" w:name="Tc_SmtSxYYnNE2UbDZPjMEfRg_23_6"/>
      <w:bookmarkStart w:id="1233" w:name="Tc_nNmlYk5MtEiakBhxuOM6gw_23_0"/>
      <w:bookmarkStart w:id="1234" w:name="Tc_W6ul2Pb_mUCr79NtH6gb-w_22_0"/>
      <w:bookmarkStart w:id="1235" w:name="Tc_8CtCoAr7PkyINIufVPl8Dg_21_0"/>
      <w:bookmarkStart w:id="1236" w:name="Tc_UDadEFMCYkuN7Zzl35AK0g_20_0"/>
      <w:bookmarkStart w:id="1237" w:name="Tc_tHSmKJax2Uq7bdBNKmeSQg_19_3"/>
      <w:bookmarkStart w:id="1238" w:name="Tc_JkUz-JDjp02mAj1glovVJA_19_0"/>
      <w:bookmarkStart w:id="1239" w:name="Tc_Q4bPeufovEeSx5dz0cb_5A_18_5"/>
      <w:bookmarkStart w:id="1240" w:name="Tc_1DVVH7eGREWIvinrbWKG1Q_18_2"/>
      <w:bookmarkStart w:id="1241" w:name="Tc_yzJiXLHK1EuRqlp6fic5Sw_18_0"/>
      <w:bookmarkStart w:id="1242" w:name="Tc__M_azVOeuUKopR0NzM-QXQ_17_0"/>
      <w:bookmarkStart w:id="1243" w:name="Tc_UhW5lijNh0OB80UfYDuGqw_15_5"/>
      <w:bookmarkStart w:id="1244" w:name="Tc_GDcxS5j6_k6R_QXWGYG6TQ_15_2"/>
      <w:bookmarkStart w:id="1245" w:name="Tc_GFK29hxqkU-bkeSeCbwwVg_15_0"/>
      <w:bookmarkStart w:id="1246" w:name="Tc_wXBqe7aDjkGJ9xEAF3LRGA_14_0"/>
      <w:bookmarkStart w:id="1247" w:name="Tc_wEcQ_dKTX0qRmf8zi0THLg_13_0"/>
      <w:bookmarkStart w:id="1248" w:name="Tc_qfSf7dWN80qka_phhNy7kQ_12_5"/>
      <w:bookmarkStart w:id="1249" w:name="Tc_DE-8KYKUDE2svkCZqRlsIA_12_2"/>
      <w:bookmarkStart w:id="1250" w:name="Tc_W8oQMhBvWUarkFUNx_Re8A_12_0"/>
      <w:bookmarkStart w:id="1251" w:name="Tc_nCxsdo9aGE6RPyUNXwtIdQ_11_0"/>
      <w:bookmarkStart w:id="1252" w:name="Tc_Bh-eK9MDvUyvWqwDFwKrGg_9_5"/>
      <w:bookmarkStart w:id="1253" w:name="Tc_ZQGhIJ4UTUe1VgKupwJ79g_9_2"/>
      <w:bookmarkStart w:id="1254" w:name="Tc_l7sT6q-lY0WqVzhY9BSuuQ_9_0"/>
      <w:bookmarkStart w:id="1255" w:name="Tc_zd5VFcOhh02n8EwuWOlbrA_8_0"/>
      <w:bookmarkStart w:id="1256" w:name="Tc_a5XMjUjZtUuSH-RsDTv1tw_7_0"/>
      <w:bookmarkStart w:id="1257" w:name="Tc_eMmrAQQmcUKYbE1q7flrTQ_6_3"/>
      <w:bookmarkStart w:id="1258" w:name="Tc_7pg-_B6C5EaWECsYslZt7Q_6_0"/>
      <w:bookmarkStart w:id="1259" w:name="Tc_5_FX6x6nrUSIO_bgsBH_GQ_5_0"/>
      <w:bookmarkStart w:id="1260" w:name="Tc_2_OKwFFkUk2tBRjdF5WPLg_4_0"/>
      <w:bookmarkStart w:id="1261" w:name="Tc_ivFeXATzWkSWbkYudZGHag_3_6"/>
      <w:bookmarkStart w:id="1262" w:name="Tc_wjdv04pCxE6sLNMoA7OwkA_3_5"/>
      <w:bookmarkStart w:id="1263" w:name="Tc_jHJFi6D5hEuRMlR3y0lZwQ_3_2"/>
      <w:bookmarkStart w:id="1264" w:name="Tc_P194hNUJH0O51RZworOGkw_3_0"/>
      <w:bookmarkStart w:id="1265" w:name="Tc_6yI0vmXY2UChiyJPLS_a7Q_2_0"/>
      <w:bookmarkStart w:id="1266" w:name="Tc_5P8yJvwPx0qZ1SS42pqGog_1_5"/>
      <w:bookmarkStart w:id="1267" w:name="Tc_veKLKORss0G5iBlioFogrA_1_2"/>
      <w:bookmarkStart w:id="1268" w:name="_21080965_84d8_4292_b682_7df29f1ae308"/>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r>
        <w:rPr>
          <w:rFonts w:ascii="Times New Roman;Times;serif" w:hAnsi="Times New Roman;Times;serif"/>
          <w:b/>
          <w:sz w:val="20"/>
        </w:rPr>
        <w:t>Note 14. Additional Financial Statement Information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Certain amounts on the unaudited condensed consolidated balance sheets are comprised of the following (in thousands):</w:t>
      </w:r>
    </w:p>
    <w:tbl>
      <w:tblPr>
        <w:tblW w:w="7055" w:type="dxa"/>
        <w:jc w:val="left"/>
        <w:tblInd w:w="0" w:type="dxa"/>
        <w:tblLayout w:type="fixed"/>
        <w:tblCellMar>
          <w:top w:w="0" w:type="dxa"/>
          <w:left w:w="0" w:type="dxa"/>
          <w:bottom w:w="0" w:type="dxa"/>
          <w:right w:w="0" w:type="dxa"/>
        </w:tblCellMar>
      </w:tblPr>
      <w:tblGrid>
        <w:gridCol w:w="3871"/>
        <w:gridCol w:w="346"/>
        <w:gridCol w:w="357"/>
        <w:gridCol w:w="934"/>
        <w:gridCol w:w="346"/>
        <w:gridCol w:w="289"/>
        <w:gridCol w:w="912"/>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458085" cy="175260"/>
                      <wp:effectExtent l="0" t="0" r="0" b="0"/>
                      <wp:wrapNone/>
                      <wp:docPr id="276" name="Frame275"/>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26695" cy="175260"/>
                      <wp:effectExtent l="0" t="0" r="0" b="0"/>
                      <wp:wrapNone/>
                      <wp:docPr id="278" name="Frame27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93090" cy="175260"/>
                      <wp:effectExtent l="0" t="0" r="0" b="0"/>
                      <wp:wrapNone/>
                      <wp:docPr id="279" name="Frame278"/>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83515" cy="175260"/>
                      <wp:effectExtent l="0" t="0" r="0" b="0"/>
                      <wp:wrapNone/>
                      <wp:docPr id="281" name="Frame280"/>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579120" cy="175260"/>
                      <wp:effectExtent l="0" t="0" r="0" b="0"/>
                      <wp:wrapNone/>
                      <wp:docPr id="282" name="Frame281"/>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2026</w:t>
            </w:r>
          </w:p>
        </w:tc>
        <w:tc>
          <w:tcPr>
            <w:tcW w:w="346" w:type="dxa"/>
            <w:tcBorders/>
            <w:vAlign w:val="center"/>
          </w:tcPr>
          <w:p>
            <w:pPr>
              <w:pStyle w:val="TableContents"/>
              <w:bidi w:val="0"/>
              <w:spacing w:before="0" w:after="0"/>
              <w:ind w:left="0" w:right="0" w:hanging="0"/>
              <w:jc w:val="left"/>
              <w:rPr/>
            </w:pPr>
            <w:r>
              <w:rPr/>
              <w:t>  ​ ​ ​</w:t>
            </w:r>
          </w:p>
        </w:tc>
        <w:tc>
          <w:tcPr>
            <w:tcW w:w="12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June 30, 2025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State and federal taxes receivable</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868</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insurance</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federal and state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Advances to operators</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other</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1,983</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2,287</w:t>
            </w:r>
          </w:p>
        </w:tc>
      </w:tr>
      <w:tr>
        <w:trPr/>
        <w:tc>
          <w:tcPr>
            <w:tcW w:w="3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assets:</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Deposit</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issuance costs, net</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 of use asset under operating lease</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assets, net</w:t>
            </w:r>
          </w:p>
        </w:tc>
        <w:tc>
          <w:tcPr>
            <w:tcW w:w="346"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w:t>
            </w:r>
          </w:p>
        </w:tc>
      </w:tr>
      <w:tr>
        <w:trPr/>
        <w:tc>
          <w:tcPr>
            <w:tcW w:w="3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Accrued liabilities and other:</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lef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2,818</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2,937</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capital expenditures</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incentive and other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722</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1,472</w:t>
            </w:r>
          </w:p>
        </w:tc>
      </w:tr>
      <w:tr>
        <w:trPr/>
        <w:tc>
          <w:tcPr>
            <w:tcW w:w="3871"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Accrued royalties payable</w:t>
            </w:r>
            <w:r>
              <w:rPr>
                <w:rFonts w:ascii="Times New Roman;Times;serif" w:hAnsi="Times New Roman;Times;serif"/>
                <w:i/>
                <w:sz w:val="14"/>
              </w:rPr>
              <w:t>(1)</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taxes other than federal and state income tax</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546</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settlements on derivative contracts</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812</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93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Asset retirement obligations due within one year</w:t>
            </w:r>
          </w:p>
        </w:tc>
        <w:tc>
          <w:tcPr>
            <w:tcW w:w="34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accrued liabilities and other</w:t>
            </w:r>
          </w:p>
        </w:tc>
        <w:tc>
          <w:tcPr>
            <w:tcW w:w="346"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5,619</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6,909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Accrued royalties payable relate to royalty and owner payments in the Jonah Field as the Company takes its natural gas and NGL working interest production in-kind. See Note 2, </w:t>
            </w:r>
            <w:r>
              <w:rPr/>
              <w:t>“</w:t>
            </w:r>
            <w:r>
              <w:rPr>
                <w:rFonts w:ascii="Times New Roman;Times;serif" w:hAnsi="Times New Roman;Times;serif"/>
                <w:b w:val="false"/>
                <w:i/>
                <w:sz w:val="20"/>
              </w:rPr>
              <w:t>Revenue Recognition”</w:t>
            </w:r>
            <w:r>
              <w:rPr>
                <w:caps w:val="false"/>
                <w:smallCaps w:val="false"/>
              </w:rPr>
              <w:t xml:space="preserve"> </w:t>
            </w:r>
            <w:r>
              <w:rPr>
                <w:rFonts w:ascii="Times New Roman;Times;serif" w:hAnsi="Times New Roman;Times;serif"/>
                <w:b w:val="false"/>
                <w:i w:val="false"/>
                <w:caps w:val="false"/>
                <w:smallCaps w:val="false"/>
                <w:sz w:val="20"/>
              </w:rPr>
              <w:t>for a further discussion.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15. Subsequent Events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11, 2026, the Company declared a quarterly cash dividend of $0.120 per share of common stock to shareholders of record on June 15, 2026 and payable on June 30,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69" w:name="Item_2_MDA"/>
      <w:bookmarkStart w:id="1270" w:name="Item7ManagementsDiscussionandAnalysisofF"/>
      <w:bookmarkStart w:id="1271" w:name="_0ef114ba_75c1_4103_8810_ea952ae57ff3"/>
      <w:bookmarkEnd w:id="1269"/>
      <w:bookmarkEnd w:id="1270"/>
      <w:bookmarkEnd w:id="1271"/>
      <w:r>
        <w:rPr>
          <w:rFonts w:ascii="Times New Roman;Times;serif" w:hAnsi="Times New Roman;Times;serif"/>
          <w:b/>
          <w:sz w:val="20"/>
        </w:rPr>
        <w:t>Item 2. Management’s Discussion and Analysis of Financial Condition and Results of Operations</w:t>
      </w:r>
    </w:p>
    <w:p>
      <w:pPr>
        <w:pStyle w:val="TextBody"/>
        <w:bidi w:val="0"/>
        <w:spacing w:before="0" w:after="120"/>
        <w:ind w:left="720" w:right="0" w:hanging="0"/>
        <w:jc w:val="left"/>
        <w:rPr/>
      </w:pPr>
      <w:hyperlink w:anchor="ExecutiveOverview_460502">
        <w:r>
          <w:rPr>
            <w:rStyle w:val="InternetLink"/>
            <w:rFonts w:ascii="Times New Roman;Times;serif" w:hAnsi="Times New Roman;Times;serif"/>
            <w:b w:val="false"/>
            <w:i w:val="false"/>
            <w:caps w:val="false"/>
            <w:smallCaps w:val="false"/>
            <w:sz w:val="20"/>
          </w:rPr>
          <w:t>Executive Overview</w:t>
        </w:r>
      </w:hyperlink>
    </w:p>
    <w:p>
      <w:pPr>
        <w:pStyle w:val="TextBody"/>
        <w:bidi w:val="0"/>
        <w:spacing w:before="0" w:after="120"/>
        <w:ind w:left="720" w:right="0" w:hanging="0"/>
        <w:jc w:val="left"/>
        <w:rPr/>
      </w:pPr>
      <w:hyperlink w:anchor="LiquidityandCapitalResources">
        <w:r>
          <w:rPr>
            <w:rStyle w:val="InternetLink"/>
            <w:rFonts w:ascii="Times New Roman;Times;serif" w:hAnsi="Times New Roman;Times;serif"/>
            <w:b w:val="false"/>
            <w:i w:val="false"/>
            <w:caps w:val="false"/>
            <w:smallCaps w:val="false"/>
            <w:sz w:val="20"/>
          </w:rPr>
          <w:t>Liquidity and Capital Resources</w:t>
        </w:r>
      </w:hyperlink>
    </w:p>
    <w:p>
      <w:pPr>
        <w:pStyle w:val="TextBody"/>
        <w:bidi w:val="0"/>
        <w:spacing w:before="0" w:after="120"/>
        <w:ind w:left="720" w:right="0" w:hanging="0"/>
        <w:jc w:val="left"/>
        <w:rPr/>
      </w:pPr>
      <w:hyperlink w:anchor="ResultsofOperations_272777">
        <w:bookmarkStart w:id="1272" w:name="_Results_of_Operations"/>
        <w:bookmarkEnd w:id="1272"/>
        <w:r>
          <w:rPr>
            <w:rStyle w:val="InternetLink"/>
            <w:rFonts w:ascii="Times New Roman;Times;serif" w:hAnsi="Times New Roman;Times;serif"/>
            <w:b w:val="false"/>
            <w:i w:val="false"/>
            <w:caps w:val="false"/>
            <w:smallCaps w:val="false"/>
            <w:sz w:val="20"/>
          </w:rPr>
          <w:t>Results of Operations</w:t>
        </w:r>
      </w:hyperlink>
    </w:p>
    <w:p>
      <w:pPr>
        <w:pStyle w:val="TextBody"/>
        <w:bidi w:val="0"/>
        <w:spacing w:before="0" w:after="240"/>
        <w:ind w:left="720" w:right="0" w:hanging="0"/>
        <w:jc w:val="left"/>
        <w:rPr/>
      </w:pPr>
      <w:hyperlink w:anchor="CriticalAccountingPoliciesandEstimates">
        <w:bookmarkStart w:id="1273" w:name="_Critical_Accounting_Policies"/>
        <w:bookmarkEnd w:id="1273"/>
        <w:r>
          <w:rPr>
            <w:rStyle w:val="InternetLink"/>
            <w:rFonts w:ascii="Times New Roman;Times;serif" w:hAnsi="Times New Roman;Times;serif"/>
            <w:b w:val="false"/>
            <w:i w:val="false"/>
            <w:caps w:val="false"/>
            <w:smallCaps w:val="false"/>
            <w:sz w:val="20"/>
          </w:rPr>
          <w:t>Critical Accounting Policies</w:t>
        </w:r>
      </w:hyperlink>
    </w:p>
    <w:p>
      <w:pPr>
        <w:pStyle w:val="TextBody"/>
        <w:bidi w:val="0"/>
        <w:spacing w:before="0" w:after="240"/>
        <w:ind w:left="763" w:right="0" w:hanging="0"/>
        <w:jc w:val="left"/>
        <w:rPr>
          <w:rFonts w:ascii="Times New Roman;Times;serif" w:hAnsi="Times New Roman;Times;serif"/>
          <w:b/>
          <w:sz w:val="20"/>
        </w:rPr>
      </w:pPr>
      <w:r>
        <w:rPr>
          <w:rFonts w:ascii="Times New Roman;Times;serif" w:hAnsi="Times New Roman;Times;serif"/>
          <w:b/>
          <w:sz w:val="20"/>
        </w:rPr>
        <w:t>Commonly Used Terms</w:t>
      </w:r>
    </w:p>
    <w:p>
      <w:pPr>
        <w:pStyle w:val="TextBody"/>
        <w:bidi w:val="0"/>
        <w:spacing w:before="0" w:after="240"/>
        <w:ind w:left="806" w:right="0" w:hanging="0"/>
        <w:jc w:val="left"/>
        <w:rPr/>
      </w:pPr>
      <w:r>
        <w:rPr/>
        <w:t>“</w:t>
      </w:r>
      <w:r>
        <w:rPr>
          <w:rFonts w:ascii="Times New Roman;Times;serif" w:hAnsi="Times New Roman;Times;serif"/>
          <w:i/>
          <w:sz w:val="20"/>
        </w:rPr>
        <w:t>Current quarter” refers to the three months ended March 31, 2026, our third quarter of fiscal year 2026.</w:t>
      </w:r>
    </w:p>
    <w:p>
      <w:pPr>
        <w:pStyle w:val="TextBody"/>
        <w:bidi w:val="0"/>
        <w:spacing w:before="0" w:after="240"/>
        <w:ind w:left="810" w:right="0" w:hanging="0"/>
        <w:jc w:val="left"/>
        <w:rPr/>
      </w:pPr>
      <w:r>
        <w:rPr/>
        <w:t>“</w:t>
      </w:r>
      <w:r>
        <w:rPr>
          <w:rFonts w:ascii="Times New Roman;Times;serif" w:hAnsi="Times New Roman;Times;serif"/>
          <w:i/>
          <w:sz w:val="20"/>
        </w:rPr>
        <w:t>Year-ago quarter” refers to the three months ended March 31, 2025, our third quarter of fiscal year 2025.</w:t>
      </w:r>
    </w:p>
    <w:p>
      <w:pPr>
        <w:pStyle w:val="TextBody"/>
        <w:bidi w:val="0"/>
        <w:spacing w:before="0" w:after="120"/>
        <w:ind w:left="0" w:right="0" w:hanging="0"/>
        <w:jc w:val="center"/>
        <w:rPr>
          <w:rFonts w:ascii="Times New Roman;Times;serif" w:hAnsi="Times New Roman;Times;serif"/>
          <w:b/>
          <w:sz w:val="20"/>
        </w:rPr>
      </w:pPr>
      <w:bookmarkStart w:id="1274" w:name="ExecutiveOverview_460502"/>
      <w:bookmarkEnd w:id="1274"/>
      <w:r>
        <w:rPr>
          <w:rFonts w:ascii="Times New Roman;Times;serif" w:hAnsi="Times New Roman;Times;serif"/>
          <w:b/>
          <w:sz w:val="20"/>
        </w:rPr>
        <w:t>Executive Overview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oil and natural gas properties consist primarily of non-operated working and mineral </w:t>
      </w:r>
      <w:r>
        <w:rPr>
          <w:rFonts w:ascii="Times New Roman;Times;serif" w:hAnsi="Times New Roman;Times;serif"/>
          <w:color w:val="333333"/>
          <w:sz w:val="20"/>
        </w:rPr>
        <w:t xml:space="preserve">interests in the following areas (as well as </w:t>
      </w:r>
      <w:r>
        <w:rPr>
          <w:rFonts w:ascii="Times New Roman;Times;serif" w:hAnsi="Times New Roman;Times;serif"/>
          <w:sz w:val="20"/>
        </w:rPr>
        <w:t>small overriding royalty and mineral interests in Texas and Louisiana):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and mineral interests in the SCOOP and STACK plays consist of oil and natural gas producing properties in the Anadarko basin, where we hold an approximate 2.7% average net working interest with an associated 2.0% average net revenue interest located on approximately 103,700 gross (4,200 net) acres (approximately 97% held by production) and a separate approximate 0.6% average net royalty interests located on approximately 5,500 net royalty acres across Blaine, Canadian, Carter, Custer, Dewey, Garvin, Grady, Kingfisher, McClain, Murray, and Stephens counties in Oklahoma. The oil and natural gas properties are primarily operated by Continental Resources, Inc., Ovintiv USA Inc. and EOG Resources, Inc. with approximately 40% of wells operated by other operators. Production from our SCOOP/STACK properties for the nine months ended March 31, 2026 is comprised of 55% natural gas, 24% crude oil, and 21% NGLs.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Chaveroo Field consist of a 50% net working interest, with an average associated 41% average net revenue interest, in approximately 4,500 gross (2,300 net) acres all held by production, associated with six development blocks, with the right to acquire the same working interest in additional development locations and associated acreage at a fixed price. The field is operated by PEDEVCO Corp. (“PEDEVCO”). Production from our Chaveroo Field properties for the nine months ended March 31, 2026 is comprised of 100%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Jonah Field, a natural gas and NGL property in Sublette County, Wyoming, consist of approximately 20% average net working interest and approximately 15% average net revenue interest located on approximately 5,300 gross (950 net) acres all held by production. The properties are operated by Jonah Energy. Production from our Jonah Field properties for the nine months ended March 31, 2026 is comprised of 89% natural gas, 6% NGLs, and 5%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non-operated interests in the Williston Basin, an oil and natural gas producing property, consist of approximately 39% average net working interest and approximately 33% average net revenue interest located on approximately 138,200 gross (41,300 net) acres (approximately 97% held by production) across Billings, Golden Valley, and McKenzie Counties in North Dakota. The properties are operated by Foundation Energy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Production from our Williston Basin properties for the nine months ended March 31, 2026 is comprised of 72% crude oil, 17% NGL, and 11% natural gas.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and overriding royalty interests in the Barnett Shale, a natural gas and NGL producing shale reservoir, consist of approximately 17% average net working interest and approximately 14% average net revenue interest (inclusive of the overriding royalty interests). The approximately 123,800 gross (21,000 net) acres are held by production across nine North Texas counties. The oil and natural gas properties are primarily operated by Diversified Energy Company with approximately 10% of wells operated by six other operators. Production from our Barnett Shale properties for the nine months ended March 31, 2026 is comprised of 73% natural gas, 26% NGLs, and 1%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5,900 gross acre unitized field, of which we hold approximately 1,400 net acres, is operated by Merit Energy Company, who owns the majority of the remaining working interest in the Hamilton Dome Field. The Hamilton Dome Field is located in the southwest region of the Big Horn Basin in northwest Wyoming. Production from our Hamilton Dome Field properties for the nine months ended March 31, 2026 is comprised of 100% crude oil.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non-operated working interests and overriding royalty interests in the Delhi Field, a CO</w:t>
            </w:r>
            <w:r>
              <w:rPr>
                <w:rFonts w:ascii="Times New Roman;Times;serif" w:hAnsi="Times New Roman;Times;serif"/>
                <w:b w:val="false"/>
                <w:i w:val="false"/>
                <w:caps w:val="false"/>
                <w:smallCaps w:val="false"/>
                <w:sz w:val="15"/>
              </w:rPr>
              <w:t>2</w:t>
            </w:r>
            <w:r>
              <w:rPr>
                <w:rFonts w:ascii="Times New Roman;Times;serif" w:hAnsi="Times New Roman;Times;serif"/>
                <w:b w:val="false"/>
                <w:i w:val="false"/>
                <w:caps w:val="false"/>
                <w:smallCaps w:val="false"/>
                <w:sz w:val="20"/>
              </w:rPr>
              <w:t>-EOR project, consist of approximately 24% average net working interest, with an associated 19% average net revenue interest and separate overriding royalty and mineral interests of approximately 7% yielding a total average net revenue interest of approximately 26%. The field is operated by Denbury Onshore LLC, a subsidiary of Exxon Mobil Corporation. The 13,600 gross acre unitized Delhi Field, of which we hold approximately 3,200 net acres, is located in northeast Louisiana in Franklin, Madison, and Richland Parishes. Production from our Delhi Field properties for the nine months ended March 31, 2026 is comprised of 80% crude oil and 20% NGLs.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non-operated working interests in TexMex consists of oil and natural gas producing properties where we hold an approximate 42% net working interest and 35% average net revenue interest located on approximately 27,800 gross (11,200 net) acres (all held by production) primarily in Lea, Eddy and Chaves Counties, New Mexico and Stephens County, Texas. The oil and natural gas properties are operated by Texian Operating Company. Production from our TexMex properties for the nine months ended March 31, 2026 is comprised of 58% crude oil and 42% natural gas.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 Declaration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11, 2026, Evolution’s Board of Directors approved and declared a quarterly dividend of $0.12 per common share payable June 30,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Purchase of Louisiana Minerals</w:t>
      </w:r>
    </w:p>
    <w:p>
      <w:pPr>
        <w:pStyle w:val="TextBody"/>
        <w:bidi w:val="0"/>
        <w:spacing w:before="0" w:after="240"/>
        <w:ind w:left="0" w:right="0" w:hanging="0"/>
        <w:jc w:val="left"/>
        <w:rPr>
          <w:rFonts w:ascii="TimesNewRomanRegular" w:hAnsi="TimesNewRomanRegular"/>
          <w:sz w:val="20"/>
        </w:rPr>
      </w:pPr>
      <w:r>
        <w:rPr>
          <w:rFonts w:ascii="TimesNewRomanRegular" w:hAnsi="TimesNewRomanRegular"/>
          <w:sz w:val="20"/>
        </w:rPr>
        <w:t>From December 2025 through March 2026, we acquired mineral and royalty interests in multiple parishes across Louisiana from various private sellers for cash consideration totaling $5.0 million, including capitalized direct transaction costs (“Louisiana Minerals”). The mineral acreage in Louisiana primarily consists of proved undeveloped acreage targeting the Bossier/Haynesville Shales and is currently being actively developed by operators in the area. The acquisitions were considered asset acquisitions and funded with cash on hand and sales from our ATM Sales Agreements.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Senior Secured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November 28, 2025, we entered into a letter agreement with MidFirst Bank pursuant to which the Margined Collateral Value, as defined under the Senior Secured Credit Facility, was modified to $65.0 million. In addition, 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granted us additional time to enter into further commodity hedges to meet the hedging requirements under the Senior Secured Credit Facility.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SCOOP/STACK Minerals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August 4, 2025, we </w:t>
      </w:r>
      <w:r>
        <w:rPr>
          <w:rFonts w:ascii="Times New Roman;Times;serif" w:hAnsi="Times New Roman;Times;serif"/>
          <w:sz w:val="20"/>
          <w:shd w:fill="FFFFFF" w:val="clear"/>
        </w:rPr>
        <w:t xml:space="preserve">completed the acquisition of certain mineral and royalty interests in the SCOOP and STACK plays in Oklahoma from a non-affiliated private seller (the “SCOOP/STACK Minerals Acquisition”) in a cash transaction valued at approximately $16.3 million, which includes $17.0 million paid at closing less transaction costs of $0.1 million and interim purchase price adjustments totaling approximately $0.8 million related to net cash flows earned on the properties from the effective date of May 1, 2025 to the closing date. </w:t>
      </w:r>
      <w:r>
        <w:rPr>
          <w:rFonts w:ascii="Times New Roman;Times;serif" w:hAnsi="Times New Roman;Times;serif"/>
          <w:sz w:val="20"/>
        </w:rPr>
        <w:t xml:space="preserve">We accounted for the transaction as an asset acquisition and the allocation of the purchase price was $12.5 million to proved oil and natural gas properties, subject to amortization, and $3.8 million to unproved properties. </w:t>
      </w:r>
      <w:r>
        <w:rPr>
          <w:rFonts w:ascii="Times New Roman;Times;serif" w:hAnsi="Times New Roman;Times;serif"/>
          <w:sz w:val="20"/>
          <w:shd w:fill="FFFFFF" w:val="clear"/>
        </w:rPr>
        <w:t>We funded the purchase price for the SCOOP/STACK Minerals Acquisition with a combination of $15.0 million in borrowings under our Senior Secured Credit Facility and cash on hand. The acquired assets include an average royalty interest of 0.6% across approximately 5,500 net royalty acres located primarily in Grady and Canadian Counties, Oklahoma</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Subsequent to the third fiscal quarter of 2026, we entered into a purchase and sale agreement with a private buyer for the sale of a portion of our non-core, non-producing net royalty acres. The total sale price for the acreage is approximately $3.3 million, subject to customary closing conditions. The divestiture is expected to close in the fourth fiscal quarter of 2026.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and uncertainties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oil and natural gas industry is a global market impacted by many factors, such as government regulations, particularly in the areas of tariffs, trade sanctions, taxation, energy, climate change and the environment, geopolitical instability, (including ongoing conflicts between Russia and Ukraine, in the Middle East and Venezuela), demand in Asian and European markets, and the extent to which members of OPEC and other oil exporting nations manage oil supply through export quotas. More recently, during the third fiscal quarter, WTI oil prices reached their highest levels since 2022 due to crude oil disruptions at key oil shipping routes in the Middle East, including the Strait of Hormuz. Natural gas prices are generally determined by North American supply and demand and are also affected by imports and exports of liquefied natural gas. Weather also has a significant impact on demand for natural gas since it is a primary heating source.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Oil, natural gas, and NGL prices have been, and we expect may continue to be, volatile. During the current fiscal year, crude oil spot prices for WTI dropped below $56 per barrel in December 2025 then rose to more than $100 per barrel in March 2026. Lower oil and natural gas prices not only decrease our revenues, partially offset by applicable hedges, but an extended decline in oil or natural gas prices may affect planned capital expenditures and the oil and natural gas reserves that we can economically produce. Lower oil and natural gas prices may also reduce the amount of our borrowing base under our Senior Secured Credit Facility, which is determined at the discretion of the lenders based on various factors including the collateral value of our proved reserves. Increases in crude oil and natural gas prices are partially offset to the extent that prices exceed applicable derivative contract swap and collar prices.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Given the dynamic nature of these factors and events, we cannot reasonably estimate the period of time that certain market conditions will persist. Continuing volatility in political, trade, regulatory and economic conditions could impact supply and demand fundamentals as well as commodity pricing. Any related significant declines in crude oil, natural gas, and NGL prices could lead to proved property impairments in the future. Any significant increases in commodity prices could lead to further losses on our derivative contacts that partially offset price increases. Impairments and gains and losses on derivative contracts are difficult to predict, especially in a volatile price environment.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 times, we do maintain cash balances in excess of the U.S. Federal Deposit Insurance Corporation (“FDIC”); however, we believe our bank counterparty to be financially sound. We also utilize insured cash sweep deposits to maximize the amount of our cash that is protected by FDIC insurance. We also rely heavily on our third-party operators who manage their own liquidity with various financial institutions. In 2022, the Federal Reserve took actions to raise interest rates in an attempt to constrain inflation and slow the economy. In 2024 and 2025, the Federal Reserve has taken action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slowly drop interest rates as inflationary pressures in the United States economy have begun to subside, but it is uncertain how recent trade policies and tariffs by the United States and foreign governments or other geopolitical events including ongoing conflicts, will impact inflation and the economy.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the management of capital expenditures.</w:t>
      </w:r>
    </w:p>
    <w:p>
      <w:pPr>
        <w:pStyle w:val="TextBody"/>
        <w:bidi w:val="0"/>
        <w:spacing w:before="240" w:after="240"/>
        <w:ind w:left="0" w:right="0" w:hanging="0"/>
        <w:jc w:val="center"/>
        <w:rPr>
          <w:rFonts w:ascii="Times New Roman;Times;serif" w:hAnsi="Times New Roman;Times;serif"/>
          <w:b/>
          <w:sz w:val="20"/>
        </w:rPr>
      </w:pPr>
      <w:bookmarkStart w:id="1275" w:name="LiquidityandCapitalResources"/>
      <w:bookmarkEnd w:id="1275"/>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March 31, 2026, we had $2.6 million in cash and cash equivalents and $56.5 million outstanding borrowings on our Senior Secured Credit Facility compared to $2.5 million in cash and cash equivalents and $37.5 million outstanding borrowings on our Senior Secured Credit Facility at June 30, 2025. Our primary sources of liquidity and capital resources during the nine months ended March 31, 2026 were cash provided by operations, net borrowings under our Senior Secured Credit Facility, and net proceeds from the ATM Sales Agreements. Our primary uses of liquidity and capital resources for the nine months ended March 31, 2026 were cash used to fund our SCOOP/STACK Minerals Acquisition and Louisiana Minerals, cash dividend payments to our common stockholders, and development capital expenditures. As of March 31, 2026, working capital was a deficit of $10.6 million primarily due to our current derivative contracts, which vary quarter-to-quarter based on forecasted commodity prices at the end of each quarter. As of June 30, 2025, working capital was a deficit of $4.0 million.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syndicated Senior Secured Credit Facility has a maximum capacity of $200.0 million subject to a borrowing base determined by the lenders based on a percentage of the value of our oil and natural gas properties. The Senior Secured Credit Facility has a current borrowing base of $65.0 million. As of March 31, 2026, we had $56.5 million of indebtedness, $0.8 million of letters of credit outstanding, and available capacity of $7.7 million. The Senior Secured Credit Facility is secured by substantially all of our oil and natural gas properties and matures on June 30, 2028.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shd w:fill="FFFFFF" w:val="clear"/>
        </w:rPr>
        <w:t>For the nine months ended March 31, 2026 and 2025, the weighted average interest on our borrowings was 6.78% and 7.59%, respectively.</w:t>
      </w:r>
      <w:r>
        <w:rPr>
          <w:rFonts w:ascii="Times New Roman;Times;serif" w:hAnsi="Times New Roman;Times;serif"/>
          <w:sz w:val="20"/>
        </w:rPr>
        <w:t xml:space="preserve"> Borrowings bear interest, at our option, at either (i) the SOFR, subject to a minimum SOFR of 3.25%, plus a credit spread adjustment of 0.05%, or (ii) the Prime Rate, as defined under the Senior Secured Credit Facility, plus 1.0%, plus, in either case of (i) or (ii), an applicable margin of 2.75%.  The Senior Secured Credit Facility contains covenants requiring the maintenance of (i) a total leverage ratio of not more than 3.00 to 1.00, (ii) a current ratio of not less than 1.00 to 1.00, and (iii) a consolidated tangible net worth of not less than $40.0 million, each as defined in the Senior Secured Credit Facility. In addition, the Senior Secured Credit Facility contains hedging requirements that apply when utilization is greater than 25% of (x) the Margined Collateral Value, as defined under the Senior Secured Credit Facility, at any time when the leverage ratio is less than 2.25 to 1.00, or (y) the borrowing base, at any time when the leverage ratio is greater than or equal to 2.25 to 1.00. It also contains other customary affirmative and negative covenants, including a hedging covenant discussed below, and events of default. As of March 31, 2026, we were in compliance with all covenants under the Senior Secured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Senior Secured Credit Facility requires redeterminations of the borrowing base to occur semi-annually. At each redetermination, the Margined Collateral Value is updated based on the estimated value of our oil and natural gas properties, which includes our proved developed reserves, proved undeveloped reserves, and other relevant factors consistent with customary oil and natural gas lending criteria. On November 28, 2025, we entered into a letter agreement with MidFirst Bank pursuant to which the Margined Collateral Value, as defined under the Senior Secured Credit Facility, was modified to $65.0 million. In addition, it granted us additional time to enter into further commodity hedges to meet the hedging requirements under the Senior Secured Credit Facility. On August 29, 2025, we entered into the first amendment to our Senior Secured Credit Facility with MidFirst Bank, whereas it was determined for purposes of the hedge covenant that total crude oil and natural gas production volumes from proved developed producing reserves will be combined on a barrels of oil equivalent (“BOE”) basis to determine compliance with the hedging covenant.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have historically funded operations through cash from operations and working capital. Our primary source of cash is the sale of produced crude oil, natural gas, and NGLs. A portion of these cash flows is used to fund capital expenditures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pay cash dividends to shareholders. We expect to fund near-future capital development activities for our properties with cash flows from operating activities, and, as needed, borrowings under our Senior Secured Credit Facility and proceeds from the ATM Sales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pursuing new growth opportunities through acquisitions and other transactions. In addition to cash on hand, we have access to the undrawn portion of the borrowing base available under our Senior Secured Credit Facility, totaling $7.7 million as of March 31, 2026. We also have an effective shelf registration statement with the SEC under which we may issue up to $500.0 million of new debt or equity securities.</w:t>
      </w:r>
    </w:p>
    <w:p>
      <w:pPr>
        <w:pStyle w:val="TextBody"/>
        <w:bidi w:val="0"/>
        <w:spacing w:before="0" w:after="240"/>
        <w:ind w:left="0" w:right="0" w:hanging="0"/>
        <w:jc w:val="left"/>
        <w:rPr>
          <w:rFonts w:ascii="Times New Roman;Times;serif" w:hAnsi="Times New Roman;Times;serif"/>
          <w:color w:val="212529"/>
          <w:sz w:val="20"/>
          <w:shd w:fill="FFFFFF" w:val="clear"/>
        </w:rPr>
      </w:pPr>
      <w:r>
        <w:rPr>
          <w:rFonts w:ascii="Times New Roman;Times;serif" w:hAnsi="Times New Roman;Times;serif"/>
          <w:color w:val="212529"/>
          <w:sz w:val="20"/>
          <w:shd w:fill="FFFFFF" w:val="clear"/>
        </w:rPr>
        <w:t xml:space="preserve">On October 21, 2024, we entered into an ATM equity Sales Agreement with Roth Capital Partners, LLC as our Lead Agent, Northland Securities Inc., and A.G.P./Alliance Global Partners pursuant to which we may issue and sell, from time to time, up to $30.0 million of shares of common stock through or to the Lead Agent, acting as agent or principal to facilitate acquisitions and other general corporate purposes. On February 11, 2026, we executed a new ATM equity Sales Agreement, substantially consistent with the original October agreement restoring the $30.0 million common stock sales capacity. During the nine months ended March 31, 2026, we sold a total of approximately 1.1 million shares of our common stock under the ATM Sales Agreements for net proceeds of approximately $4.7 million, net of $0.2 million of offering costs incurred.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Board of Directors instituted a cash dividend on common stock in December 2013. We have since paid 50 consecutive quarterly dividends. Distribution of a substantial portion of free cash flow in excess of operating and capital requirements through cash dividends remains a priority of our financial strategy, and it is our long-term goal to increase dividends over time, subject to adjustments as appropriate in the Board of Directors’ discretion depending on factors such as commodity prices, other opportunities for uses of capital, and any other factors the Board of Directors deems relevant. On May 11, 2026, the Board of Directors declared a quarterly cash dividend of $0.12 per share of common stock to shareholders of record on June 15, 2026 and payable on June 30,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nine months ending March 31, 2026, we incurred $4.0 million on development capital expenditures. A majority of our spending occurred at SCOOP/STACK, Chaveroo Field and Hamilton Dome Field. At SCOOP/STACK eight gross wells were brought online during the nine months ended March 31, 2016, three gross wells are currently in progress, and we have elected to participate in two gross wells. At Chaveroo Field and Hamilton Dome capital spending projects were for facility upgrades and consolidations. Remaining capital spending related to capital workover projects across our portfolio of assets. Based on discussions with our operators, we expect capital workover projects to continue in most of our fields throughout the remainder of the year as well as further drilling at SCOOP/STACK.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Overall, for fiscal year 2026, we expect budgeted capital expenditures to be in the range of $4.0 million to $6.0 million, which excludes the purchase of Louisiana Minerals described above, as well as any other potential acquisitions. Our expected capital expenditures for fiscal year 2026 include bringing approximately eleven gross wells online, including the eight gross wells described above, at our SCOOP/STACK properties. Additionally, as our third-party operators continue to be active around our acreage, we would expect additional wells to be drilled and/or completed. At Chaveroo Field, we anticipate securing permits for the next six wells before the end of the fiscal year 2026. The final decision, made jointly with our partner, on when to spud these wells will depend on prevailing oil prices and completed well costs at that time.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Full Cost Pool Ceiling Test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ceiling test as of March 31, 2026 were $63.80 per barrel of oil, $3.72 per MMBtu of natural gas and $22.50 per barrel of NGLs. As of March 31, 2026, our capitalized costs of oil and natural gas properties, subject to amortization, were below the full cost valuation ceiling. If commodity price levels were to substantially decline from the 12-month average first day of the month pricing levels as of March 31, 2026 and remain down for a prolonged period of time, our valuation ceiling over our capitalized costs may be reduced and adversely impact our ceiling test results in future quarters and the effect could be material to our net earnings. Using first day of the month prices for April and May 2026, which are more reflective of recent prices trends, to calculate a trailing 12-month average price of $70.06 per barrel of oil and $3.58 per MMBtu of natural gas, and keeping all other factors constant, the ceiling test calculation as of the fourth quarter of fiscal year 2026 would not have generated a ceiling test impairment. We cannot give assurance that a write-down of capitalized oil and natural gas properties will not be required at some point in the future as commodity prices are volatile and unpredictable.</w:t>
      </w:r>
      <w:r>
        <w:rPr>
          <w:rFonts w:ascii="Times New Roman;Times;serif" w:hAnsi="Times New Roman;Times;serif"/>
          <w:sz w:val="20"/>
          <w:shd w:fill="FFFFFF" w:val="clear"/>
        </w:rPr>
        <w:t> </w:t>
      </w:r>
      <w:r>
        <w:rPr>
          <w:rFonts w:ascii="Times New Roman;Times;serif" w:hAnsi="Times New Roman;Times;serif"/>
          <w:sz w:val="20"/>
        </w:rPr>
        <w:t>In addition to commodity prices, our production rates, levels of proved reserves, future development costs, transfers of unevaluated properties to our full cost pool, capital spending and other factors will determine our actual ceiling test calculation and impairment analyses in future periods.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Overview of Cash Flow Activities</w:t>
      </w:r>
    </w:p>
    <w:tbl>
      <w:tblPr>
        <w:tblW w:w="8059" w:type="dxa"/>
        <w:jc w:val="left"/>
        <w:tblInd w:w="0" w:type="dxa"/>
        <w:tblLayout w:type="fixed"/>
        <w:tblCellMar>
          <w:top w:w="0" w:type="dxa"/>
          <w:left w:w="0" w:type="dxa"/>
          <w:bottom w:w="0" w:type="dxa"/>
          <w:right w:w="0" w:type="dxa"/>
        </w:tblCellMar>
      </w:tblPr>
      <w:tblGrid>
        <w:gridCol w:w="3871"/>
        <w:gridCol w:w="346"/>
        <w:gridCol w:w="228"/>
        <w:gridCol w:w="838"/>
        <w:gridCol w:w="402"/>
        <w:gridCol w:w="228"/>
        <w:gridCol w:w="838"/>
        <w:gridCol w:w="346"/>
        <w:gridCol w:w="196"/>
        <w:gridCol w:w="766"/>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458085" cy="175260"/>
                      <wp:effectExtent l="0" t="0" r="0" b="0"/>
                      <wp:wrapNone/>
                      <wp:docPr id="283" name="Frame282"/>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44780" cy="175260"/>
                      <wp:effectExtent l="0" t="0" r="0" b="0"/>
                      <wp:wrapNone/>
                      <wp:docPr id="285" name="Frame28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32130" cy="175260"/>
                      <wp:effectExtent l="0" t="0" r="0" b="0"/>
                      <wp:wrapNone/>
                      <wp:docPr id="286" name="Frame285"/>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55270" cy="175260"/>
                      <wp:effectExtent l="0" t="0" r="0" b="0"/>
                      <wp:wrapNone/>
                      <wp:docPr id="287" name="Frame286"/>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4780" cy="175260"/>
                      <wp:effectExtent l="0" t="0" r="0" b="0"/>
                      <wp:wrapNone/>
                      <wp:docPr id="288" name="Frame287"/>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32130" cy="175260"/>
                      <wp:effectExtent l="0" t="0" r="0" b="0"/>
                      <wp:wrapNone/>
                      <wp:docPr id="289" name="Frame288"/>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24460" cy="175260"/>
                      <wp:effectExtent l="0" t="0" r="0" b="0"/>
                      <wp:wrapNone/>
                      <wp:docPr id="291" name="Frame2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86410" cy="175260"/>
                      <wp:effectExtent l="0" t="0" r="0" b="0"/>
                      <wp:wrapNone/>
                      <wp:docPr id="292" name="Frame29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 March 31,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402" w:type="dxa"/>
            <w:tcBorders/>
            <w:vAlign w:val="center"/>
          </w:tcPr>
          <w:p>
            <w:pPr>
              <w:pStyle w:val="TableContents"/>
              <w:bidi w:val="0"/>
              <w:spacing w:before="0" w:after="1"/>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16,719</w:t>
            </w:r>
          </w:p>
        </w:tc>
        <w:tc>
          <w:tcPr>
            <w:tcW w:w="402"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(5,877)</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used in investing activities</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(27,228)</w:t>
            </w:r>
          </w:p>
        </w:tc>
        <w:tc>
          <w:tcPr>
            <w:tcW w:w="402"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83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(10,053)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(17,175)</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flows provided by (used in)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10,618</w:t>
            </w:r>
          </w:p>
        </w:tc>
        <w:tc>
          <w:tcPr>
            <w:tcW w:w="402"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(13,388)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24,006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increase (decrease)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w:t>
            </w:r>
          </w:p>
        </w:tc>
        <w:tc>
          <w:tcPr>
            <w:tcW w:w="402" w:type="dxa"/>
            <w:tcBorders/>
            <w:vAlign w:val="center"/>
          </w:tcPr>
          <w:p>
            <w:pPr>
              <w:pStyle w:val="TableContents"/>
              <w:bidi w:val="0"/>
              <w:spacing w:before="0" w:after="1"/>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954</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Cash provided by operating activities for the nine months ended March 31, 2026 decreased $5.9 million compared to the nine months ended March 31, 2025 primarily d</w:t>
      </w:r>
      <w:r>
        <w:rPr>
          <w:rFonts w:ascii="Times New Roman;Times;serif" w:hAnsi="Times New Roman;Times;serif"/>
          <w:sz w:val="20"/>
          <w:shd w:fill="FFFFFF" w:val="clear"/>
        </w:rPr>
        <w:t>ue a decrease in revenues of $2.6 million from the prior period and increases in our interest expense and realized losses on derivative contracts. Interest expense increased $0.6 million and in the current period we had net derivative realized losses of $0.6 million compared to realized gains $0.2 million in the prior period. The remaining decrease in cash flow from operations is due to timing of working capital. Refer to “</w:t>
      </w:r>
      <w:r>
        <w:rPr>
          <w:rFonts w:ascii="Times New Roman;Times;serif" w:hAnsi="Times New Roman;Times;serif"/>
          <w:i/>
          <w:sz w:val="20"/>
          <w:shd w:fill="FFFFFF" w:val="clear"/>
        </w:rPr>
        <w:t>Results of Operations”</w:t>
      </w:r>
      <w:r>
        <w:rPr>
          <w:rFonts w:ascii="Times New Roman;Times;serif" w:hAnsi="Times New Roman;Times;serif"/>
          <w:sz w:val="20"/>
          <w:shd w:fill="FFFFFF" w:val="clear"/>
        </w:rPr>
        <w:t xml:space="preserve"> below for further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used in investing activities for the nine months ended March 31, 2026 increased $17.2 million compared to the nine months ended March 31, 2025 primarily due to the closing of the SCOOP/STACK Minerals Acquisition in August 2025 and Louisiana Minerals from December 2025 through March 2026.</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flows provided by financing activities for the nine months ended March 31, 2026 were $10.6 million compared to net cash flows used in financing activities of $13.4 million for the nine months ended March 31, 2025. For the nine months ended March 31, 2026, we received net borrowings of $19.0 million under our Senior Secured Credit Facility primarily to finance our SCOOP/STACK Minerals Acquisition, received net proceeds from the sale of common stock under the ATM Sales Agreements of approximately $4.8 million, after deducting $0.1 million of issuance fees paid,</w:t>
      </w:r>
      <w:r>
        <w:rPr>
          <w:rFonts w:ascii="Times New Roman;Times;serif" w:hAnsi="Times New Roman;Times;serif"/>
          <w:color w:val="212529"/>
          <w:sz w:val="20"/>
          <w:shd w:fill="FFFFFF" w:val="clear"/>
        </w:rPr>
        <w:t xml:space="preserve"> and </w:t>
      </w:r>
      <w:r>
        <w:rPr>
          <w:rFonts w:ascii="Times New Roman;Times;serif" w:hAnsi="Times New Roman;Times;serif"/>
          <w:sz w:val="20"/>
        </w:rPr>
        <w:t>paid $12.6 million in cash dividends to our common stockholders. For the nine months ended March 31, 2025, we paid $12.2 million in cash dividends to our common stockholders, repaid $4.0 million of borrowings under our Senior Secured Credit Facility, and r</w:t>
      </w:r>
      <w:r>
        <w:rPr>
          <w:rFonts w:ascii="Times New Roman;Times;serif" w:hAnsi="Times New Roman;Times;serif"/>
          <w:sz w:val="20"/>
          <w:shd w:fill="FFFFFF" w:val="clear"/>
        </w:rPr>
        <w:t>eceived </w:t>
      </w:r>
      <w:r>
        <w:rPr>
          <w:rFonts w:ascii="Times New Roman;Times;serif" w:hAnsi="Times New Roman;Times;serif"/>
          <w:color w:val="212529"/>
          <w:sz w:val="20"/>
          <w:shd w:fill="FFFFFF" w:val="clear"/>
        </w:rPr>
        <w:t>net proceeds from the sale of common stock under the ATM Sales Agreements of approximately $3.1 million, after deducting $0.3 million of fees for due diligence incurred with the offering</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276" w:name="ResultsofOperations_272777"/>
      <w:bookmarkEnd w:id="1276"/>
      <w:r>
        <w:rPr>
          <w:rFonts w:ascii="Times New Roman;Times;serif" w:hAnsi="Times New Roman;Times;serif"/>
          <w:b/>
          <w:sz w:val="20"/>
        </w:rPr>
        <w:t>Results of Operations</w:t>
      </w:r>
    </w:p>
    <w:p>
      <w:pPr>
        <w:pStyle w:val="TextBody"/>
        <w:bidi w:val="0"/>
        <w:spacing w:before="240" w:after="24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2026 and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net losses of $8.9 million and $2.2 million for the three months ended March 31, 2026 and 2025,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8871" w:type="dxa"/>
        <w:jc w:val="left"/>
        <w:tblInd w:w="0" w:type="dxa"/>
        <w:tblLayout w:type="fixed"/>
        <w:tblCellMar>
          <w:top w:w="0" w:type="dxa"/>
          <w:left w:w="0" w:type="dxa"/>
          <w:bottom w:w="0" w:type="dxa"/>
          <w:right w:w="0" w:type="dxa"/>
        </w:tblCellMar>
      </w:tblPr>
      <w:tblGrid>
        <w:gridCol w:w="4186"/>
        <w:gridCol w:w="346"/>
        <w:gridCol w:w="200"/>
        <w:gridCol w:w="644"/>
        <w:gridCol w:w="111"/>
        <w:gridCol w:w="200"/>
        <w:gridCol w:w="644"/>
        <w:gridCol w:w="346"/>
        <w:gridCol w:w="196"/>
        <w:gridCol w:w="631"/>
        <w:gridCol w:w="346"/>
        <w:gridCol w:w="654"/>
        <w:gridCol w:w="367"/>
      </w:tblGrid>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19710" cy="175260"/>
                      <wp:effectExtent l="0" t="0" r="0" b="0"/>
                      <wp:wrapNone/>
                      <wp:docPr id="293"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27000" cy="175260"/>
                      <wp:effectExtent l="0" t="0" r="0" b="0"/>
                      <wp:wrapNone/>
                      <wp:docPr id="294" name="Frame293"/>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08940" cy="175260"/>
                      <wp:effectExtent l="0" t="0" r="0" b="0"/>
                      <wp:wrapNone/>
                      <wp:docPr id="295" name="Frame294"/>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0485" cy="175260"/>
                      <wp:effectExtent l="0" t="0" r="0" b="0"/>
                      <wp:wrapNone/>
                      <wp:docPr id="296" name="Frame295"/>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7000" cy="175260"/>
                      <wp:effectExtent l="0" t="0" r="0" b="0"/>
                      <wp:wrapNone/>
                      <wp:docPr id="297" name="Frame29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08940" cy="175260"/>
                      <wp:effectExtent l="0" t="0" r="0" b="0"/>
                      <wp:wrapNone/>
                      <wp:docPr id="298" name="Frame297"/>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4460" cy="175260"/>
                      <wp:effectExtent l="0" t="0" r="0" b="0"/>
                      <wp:wrapNone/>
                      <wp:docPr id="300" name="Frame29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00685" cy="175260"/>
                      <wp:effectExtent l="0" t="0" r="0" b="0"/>
                      <wp:wrapNone/>
                      <wp:docPr id="301" name="Frame30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3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15290" cy="175260"/>
                      <wp:effectExtent l="0" t="0" r="0" b="0"/>
                      <wp:wrapNone/>
                      <wp:docPr id="303" name="Frame302"/>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33045" cy="175260"/>
                      <wp:effectExtent l="0" t="0" r="0" b="0"/>
                      <wp:wrapNone/>
                      <wp:docPr id="304" name="Frame303"/>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w:t>
            </w:r>
          </w:p>
        </w:tc>
        <w:tc>
          <w:tcPr>
            <w:tcW w:w="1799" w:type="dxa"/>
            <w:gridSpan w:val="5"/>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46" w:type="dxa"/>
            <w:tcBorders/>
            <w:vAlign w:val="center"/>
          </w:tcPr>
          <w:p>
            <w:pPr>
              <w:pStyle w:val="TableContents"/>
              <w:bidi w:val="0"/>
              <w:spacing w:before="0" w:after="0"/>
              <w:ind w:left="0" w:right="0" w:hanging="0"/>
              <w:jc w:val="left"/>
              <w:rPr/>
            </w:pPr>
            <w:r>
              <w:rPr/>
              <w:t>  ​ ​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111" w:type="dxa"/>
            <w:tcBorders/>
            <w:vAlign w:val="center"/>
          </w:tcPr>
          <w:p>
            <w:pPr>
              <w:pStyle w:val="TableContents"/>
              <w:bidi w:val="0"/>
              <w:spacing w:before="0" w:after="0"/>
              <w:ind w:left="0" w:right="0" w:hanging="0"/>
              <w:jc w:val="left"/>
              <w:rPr/>
            </w:pPr>
            <w:r>
              <w:rPr/>
              <w:t>​</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(8,932)</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(6,753)</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309.9</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Revenues: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10,474</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11,769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(1,295)</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7,284</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7,790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2,410</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(592)</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20,168</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22,561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(2,393)</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1,317</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1,473</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2,834</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8,808</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9,002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4,900</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4,607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1,878</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(9,869)</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(6,067)</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159.6</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(960)</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2,431</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1,744</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253.9</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46"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46"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1,968</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603</w:t>
            </w:r>
          </w:p>
        </w:tc>
        <w:tc>
          <w:tcPr>
            <w:tcW w:w="111"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6,700</w:t>
            </w:r>
          </w:p>
        </w:tc>
        <w:tc>
          <w:tcPr>
            <w:tcW w:w="111" w:type="dxa"/>
            <w:tcBorders/>
            <w:shd w:fill="CCEEFF" w:val="clear"/>
            <w:vAlign w:val="center"/>
          </w:tcPr>
          <w:p>
            <w:pPr>
              <w:pStyle w:val="TableContents"/>
              <w:bidi w:val="0"/>
              <w:spacing w:before="0" w:after="0"/>
              <w:ind w:left="0" w:right="0" w:hanging="0"/>
              <w:jc w:val="righ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59.18</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(0.17)</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24.59</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(7.69)</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33.45</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center"/>
              <w:rPr/>
            </w:pPr>
            <w:r>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(0.28)</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4.70</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(0.16)</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14.61</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(0.39)</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8.13</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0.45</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center"/>
              <w:rPr/>
            </w:pPr>
            <w:r>
              <w:rPr/>
              <w:t>​</w:t>
            </w:r>
          </w:p>
        </w:tc>
      </w:tr>
      <w:tr>
        <w:trPr/>
        <w:tc>
          <w:tcPr>
            <w:tcW w:w="41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w:t>
            </w:r>
          </w:p>
        </w:tc>
        <w:tc>
          <w:tcPr>
            <w:tcW w:w="111"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(0.11)</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367"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0.99</w:t>
            </w:r>
          </w:p>
        </w:tc>
        <w:tc>
          <w:tcPr>
            <w:tcW w:w="111"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(0.08)</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c>
          <w:tcPr>
            <w:tcW w:w="36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$20.2 million and $22.6 million for the three months ended March 31, 2026 and 2025, respectively, with the decrease in revenues due to a decrease in our average realized price per BOE partially offset by a 0.5% increase in production volumes. </w:t>
      </w:r>
      <w:r>
        <w:rPr>
          <w:rFonts w:ascii="Times" w:hAnsi="Times"/>
          <w:sz w:val="20"/>
        </w:rPr>
        <w:t>Our average realized commodity price (excluding the impact of derivative contracts) for the three months ended March 31, 2026 decreased approximately $4.15 per BOE, or 11.0%, over</w:t>
      </w:r>
      <w:r>
        <w:rPr>
          <w:rFonts w:ascii="Times New Roman;Times;serif" w:hAnsi="Times New Roman;Times;serif"/>
          <w:sz w:val="20"/>
        </w:rPr>
        <w:t xml:space="preserve"> the prior year period. Average daily equivalent production was primarily flat quarter over quarter. Increased production from our SCOOP/STACK Minerals Acquisition and TexMex Acquisition was predominately offset by downtime at our other fields. In January 2026, multiple fields were impacted by heavy ice storms and power outages which shut-in production multiple days. The current quarter oil revenue at Delhi Field was also impacted by $1.2 million of prior period adjustments for transportation charges due to a new marketing contract entered into by the operator dating back to December 2024. During the current quarter, decreases in natural gas revenues at Jonah Field and Barnett Shale were driven by their declines in field differentials, which declined on average by $1.96 per Mcf and $0.90 per Mcf, respectively, when compared to Henry Hub in the prior year period.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 valorem and production taxes were $1.3 million and $1.5 million, respectively, for the three months ended March 31, 2026 and 2025. The decrease is primarily due to lower commodity prices received. On a per unit basis, ad valorem and production taxes were $2.18 per BOE and $2.46 per BOE for the three months ended March 31, 2026 and 2025,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Gathering, transportation and other costs were $2.8 million for the three months ended March 31, 2026 compared to $2.9 million for the three months ended March 31, 2025. These costs are gathering, transportation and processing fees we incur primarily for our natural gas producing properties. The decrease is primarily due to decreased natural gas sales at Jonah Field and Barnett Shale. On a per unit basis, gathering, transportation and other costs were $4.70 per BOE and $4.86 per BOE for the three months ended March 31, 2026 and 2025, respectively. </w:t>
      </w:r>
    </w:p>
    <w:p>
      <w:pPr>
        <w:pStyle w:val="TextBody"/>
        <w:bidi w:val="0"/>
        <w:spacing w:before="0" w:after="240"/>
        <w:ind w:left="0" w:right="0" w:hanging="0"/>
        <w:jc w:val="left"/>
        <w:rPr>
          <w:rFonts w:ascii="Times New Roman;Times;serif" w:hAnsi="Times New Roman;Times;serif"/>
          <w:sz w:val="14"/>
        </w:rPr>
      </w:pPr>
      <w:r>
        <w:rPr>
          <w:rFonts w:ascii="Times New Roman;Times;serif" w:hAnsi="Times New Roman;Times;serif"/>
          <w:sz w:val="20"/>
        </w:rPr>
        <w:t>Other lease operating costs were $8.8 million for the three months ended March 31, 2026 compared to $9.0 million for the three months ended March 31, 2025. Other lease operating costs decreased primarily due to the cessation of CO</w:t>
      </w:r>
      <w:r>
        <w:rPr>
          <w:rFonts w:ascii="Times New Roman;Times;serif" w:hAnsi="Times New Roman;Times;serif"/>
          <w:sz w:val="11"/>
        </w:rPr>
        <w:t>2 </w:t>
      </w:r>
      <w:r>
        <w:rPr>
          <w:rFonts w:ascii="Times New Roman;Times;serif" w:hAnsi="Times New Roman;Times;serif"/>
          <w:sz w:val="14"/>
        </w:rPr>
        <w:t xml:space="preserve"> </w:t>
      </w:r>
      <w:r>
        <w:rPr>
          <w:rFonts w:ascii="Times New Roman;Times;serif" w:hAnsi="Times New Roman;Times;serif"/>
          <w:sz w:val="20"/>
        </w:rPr>
        <w:t>purchases at Delhi late during the third quarter of fiscal 2025. For the three months ended March 31, 2025, we had net CO</w:t>
      </w:r>
      <w:r>
        <w:rPr>
          <w:rFonts w:ascii="Times New Roman;Times;serif" w:hAnsi="Times New Roman;Times;serif"/>
          <w:sz w:val="11"/>
        </w:rPr>
        <w:t>2</w:t>
      </w:r>
      <w:r>
        <w:rPr>
          <w:rFonts w:ascii="Times New Roman;Times;serif" w:hAnsi="Times New Roman;Times;serif"/>
          <w:sz w:val="14"/>
        </w:rPr>
        <w:t xml:space="preserve"> </w:t>
      </w:r>
      <w:r>
        <w:rPr>
          <w:rFonts w:ascii="Times New Roman;Times;serif" w:hAnsi="Times New Roman;Times;serif"/>
          <w:sz w:val="20"/>
        </w:rPr>
        <w:t xml:space="preserve">purchases of $1.5 million. Partially offsetting the overall decrease in other lease operating costs were increases due to </w:t>
      </w:r>
      <w:r>
        <w:rPr>
          <w:rFonts w:ascii="Times New Roman;Times;serif" w:hAnsi="Times New Roman;Times;serif"/>
          <w:sz w:val="20"/>
          <w:shd w:fill="FFFFFF" w:val="clear"/>
        </w:rPr>
        <w:t>the TexMex Acquisition in April 2025. During the current quarter, the operator at TexMex focused on workover projects and facilities upgrades in the field.</w:t>
      </w:r>
      <w:r>
        <w:rPr>
          <w:rFonts w:ascii="Times New Roman;Times;serif" w:hAnsi="Times New Roman;Times;serif"/>
          <w:sz w:val="14"/>
        </w:rPr>
        <w:t xml:space="preserve"> </w:t>
      </w:r>
      <w:r>
        <w:rPr>
          <w:rFonts w:ascii="Times New Roman;Times;serif" w:hAnsi="Times New Roman;Times;serif"/>
          <w:sz w:val="20"/>
        </w:rPr>
        <w:t xml:space="preserve">On a per unit basis, other lease operating costs decreased to $14.61 per BOE for the three months ended March 31, 2026 from $15.00 per BOE in the three months ended March 31, 2025.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from $4.6 million for the three months ended March 31, 2025 to $4.9 million for the three months ended March 31, 2026 primarily due to an increase in the depletion rate and decrease in reserves volumes. </w:t>
      </w:r>
      <w:r>
        <w:rPr>
          <w:rFonts w:ascii="Times New Roman;Times;serif" w:hAnsi="Times New Roman;Times;serif"/>
          <w:sz w:val="20"/>
          <w:shd w:fill="FFFFFF" w:val="clear"/>
        </w:rPr>
        <w:t xml:space="preserve">On a per unit basis, depletion expense was $8.13 per BOE and $7.68 per BOE for the three months ended March 31, 2026 and 2025,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were $1.9 million for each of the three months ended March 31, 2026 and 2025. On a per unit basis, general and administrative expenses were $3.11 per BOE and $3.22 per BOE for the three months ended March 31, 2026 and 2025,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utilize commodity derivative financial instruments to reduce our exposure to fluctuations in oil and natural gas prices. Financial hedges are a requirement under our Senior Secured Credit Facility and help establish commodity price floors, contributing to stable cash flows when derivative contracts are settled.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w:t>
      </w:r>
      <w:r>
        <w:rPr>
          <w:rFonts w:ascii="Times New Roman;Times;serif" w:hAnsi="Times New Roman;Times;serif"/>
          <w:sz w:val="20"/>
          <w:shd w:fill="FFFFFF" w:val="clear"/>
        </w:rPr>
        <w:t xml:space="preserve">As a result of our recent acquisitions and the corresponding borrowings on our Senior Secured Credit Facility, we were required by terms in our Senior Secured Credit Facility to hedge a portion of our production. </w:t>
      </w:r>
      <w:r>
        <w:rPr>
          <w:rFonts w:ascii="Times New Roman;Times;serif" w:hAnsi="Times New Roman;Times;serif"/>
          <w:sz w:val="20"/>
        </w:rPr>
        <w:t xml:space="preserve">During the quarter, WTI oil prices reached their highest levels since 2022 due to crude oil disruptions at key oil shipping routes in the Middle East, contributing to commodity price volatility. The significant increase in forward commodity prices as of March 31, 2026, resulted in an unrealized loss on the mark-to-market of our hedges. </w:t>
      </w:r>
      <w:r>
        <w:rPr>
          <w:rFonts w:ascii="Times New Roman;Times;serif" w:hAnsi="Times New Roman;Times;serif"/>
          <w:sz w:val="20"/>
          <w:shd w:fill="FFFFFF" w:val="clear"/>
        </w:rPr>
        <w:t>As of March 31, 2026, we had $3.1 million derivative assets, $2.4 million of which was classified as current, and $9.3 million derivative liabilities, $8.5 million of which was classified as current. We expect to see continued volatility in the fair value of our derivative contracts as commodity prices fluctuate.</w:t>
      </w:r>
    </w:p>
    <w:p>
      <w:pPr>
        <w:pStyle w:val="TextBody"/>
        <w:bidi w:val="0"/>
        <w:spacing w:before="0" w:after="240"/>
        <w:ind w:left="0" w:right="0" w:hanging="0"/>
        <w:jc w:val="left"/>
        <w:rPr/>
      </w:pPr>
      <w:r>
        <w:rPr/>
        <w:t>​</w:t>
      </w:r>
    </w:p>
    <w:tbl>
      <w:tblPr>
        <w:tblW w:w="9778" w:type="dxa"/>
        <w:jc w:val="left"/>
        <w:tblInd w:w="0" w:type="dxa"/>
        <w:tblLayout w:type="fixed"/>
        <w:tblCellMar>
          <w:top w:w="0" w:type="dxa"/>
          <w:left w:w="0" w:type="dxa"/>
          <w:bottom w:w="0" w:type="dxa"/>
          <w:right w:w="0" w:type="dxa"/>
        </w:tblCellMar>
      </w:tblPr>
      <w:tblGrid>
        <w:gridCol w:w="4861"/>
        <w:gridCol w:w="346"/>
        <w:gridCol w:w="196"/>
        <w:gridCol w:w="631"/>
        <w:gridCol w:w="346"/>
        <w:gridCol w:w="196"/>
        <w:gridCol w:w="631"/>
        <w:gridCol w:w="346"/>
        <w:gridCol w:w="196"/>
        <w:gridCol w:w="631"/>
        <w:gridCol w:w="346"/>
        <w:gridCol w:w="766"/>
        <w:gridCol w:w="286"/>
      </w:tblGrid>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6" name="Frame3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00685" cy="175260"/>
                      <wp:effectExtent l="0" t="0" r="0" b="0"/>
                      <wp:wrapNone/>
                      <wp:docPr id="307" name="Frame30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4460" cy="175260"/>
                      <wp:effectExtent l="0" t="0" r="0" b="0"/>
                      <wp:wrapNone/>
                      <wp:docPr id="309" name="Frame3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00685" cy="175260"/>
                      <wp:effectExtent l="0" t="0" r="0" b="0"/>
                      <wp:wrapNone/>
                      <wp:docPr id="310" name="Frame30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24460" cy="175260"/>
                      <wp:effectExtent l="0" t="0" r="0" b="0"/>
                      <wp:wrapNone/>
                      <wp:docPr id="312" name="Frame3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00685" cy="175260"/>
                      <wp:effectExtent l="0" t="0" r="0" b="0"/>
                      <wp:wrapNone/>
                      <wp:docPr id="313" name="Frame31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86410" cy="175260"/>
                      <wp:effectExtent l="0" t="0" r="0" b="0"/>
                      <wp:wrapNone/>
                      <wp:docPr id="315" name="Frame31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81610" cy="175260"/>
                      <wp:effectExtent l="0" t="0" r="0" b="0"/>
                      <wp:wrapNone/>
                      <wp:docPr id="316" name="Frame31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r>
      <w:tr>
        <w:trPr/>
        <w:tc>
          <w:tcPr>
            <w:tcW w:w="48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1"/>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(2,248)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(2,372)</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(1,912.9)</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(7,621)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(3,926)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(3,695)</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94.1</w:t>
            </w:r>
          </w:p>
        </w:tc>
        <w:tc>
          <w:tcPr>
            <w:tcW w:w="2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(6,067)</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159.6</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(9.24)</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0.34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(1,917.6)</w:t>
            </w:r>
          </w:p>
        </w:tc>
        <w:tc>
          <w:tcPr>
            <w:tcW w:w="2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(15.76)</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(0.17)</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(0.62)</w:t>
            </w:r>
          </w:p>
        </w:tc>
        <w:tc>
          <w:tcPr>
            <w:tcW w:w="3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(2,067)</w:t>
            </w:r>
          </w:p>
        </w:tc>
        <w:tc>
          <w:tcPr>
            <w:tcW w:w="28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(0.79)</w:t>
            </w:r>
          </w:p>
        </w:tc>
        <w:tc>
          <w:tcPr>
            <w:tcW w:w="3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w:t>
            </w:r>
          </w:p>
        </w:tc>
        <w:tc>
          <w:tcPr>
            <w:tcW w:w="286"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Interest expense increased $0.3 million for the three months ended March 31, 2026 compared to the prior year period primarily due to additional borrowings drawn on our Senior Secured Credit Facility to finance our SCOOP/STACK Minerals Acquisition in August 2025.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three months ended March 31, 2026, we recognized an income tax benefit of $2.4 million on net losses before income taxes of $11.4 million compared to income tax benefit of $0.7 million on net losses before income taxes of $2.9 million for the three months ended March 31, 2025. The effective tax rates were 21.4% and 24.0% for three months ended March 31, 2026 and 2025, respectively. </w:t>
      </w:r>
      <w:r>
        <w:rPr>
          <w:rFonts w:ascii="Times New Roman;Times;serif" w:hAnsi="Times New Roman;Times;serif"/>
          <w:color w:val="232323"/>
          <w:sz w:val="20"/>
          <w:shd w:fill="FFFFFF" w:val="clear"/>
        </w:rPr>
        <w:t>We continue to evaluate our tax provision on a quarterly basis and adjust our effective tax rate for any given changes in facts and circumstances that are expected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Nine Months Ended March 31, 2026 and 2025</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reported net losses of $7.0 million and $1.9 million for the nine months ended March 31, 2026 and 2025, respectively. The following table summarizes the comparison of financial information for the periods presented:</w:t>
      </w:r>
    </w:p>
    <w:p>
      <w:pPr>
        <w:pStyle w:val="TextBody"/>
        <w:bidi w:val="0"/>
        <w:spacing w:before="0" w:after="240"/>
        <w:ind w:left="0" w:right="0" w:hanging="0"/>
        <w:jc w:val="left"/>
        <w:rPr/>
      </w:pPr>
      <w:r>
        <w:rPr/>
        <w:t>​</w:t>
      </w:r>
    </w:p>
    <w:tbl>
      <w:tblPr>
        <w:tblW w:w="9072" w:type="dxa"/>
        <w:jc w:val="left"/>
        <w:tblInd w:w="0" w:type="dxa"/>
        <w:tblLayout w:type="fixed"/>
        <w:tblCellMar>
          <w:top w:w="0" w:type="dxa"/>
          <w:left w:w="0" w:type="dxa"/>
          <w:bottom w:w="0" w:type="dxa"/>
          <w:right w:w="0" w:type="dxa"/>
        </w:tblCellMar>
      </w:tblPr>
      <w:tblGrid>
        <w:gridCol w:w="4186"/>
        <w:gridCol w:w="346"/>
        <w:gridCol w:w="196"/>
        <w:gridCol w:w="631"/>
        <w:gridCol w:w="346"/>
        <w:gridCol w:w="196"/>
        <w:gridCol w:w="631"/>
        <w:gridCol w:w="346"/>
        <w:gridCol w:w="196"/>
        <w:gridCol w:w="631"/>
        <w:gridCol w:w="346"/>
        <w:gridCol w:w="654"/>
        <w:gridCol w:w="367"/>
      </w:tblGrid>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4460" cy="175260"/>
                      <wp:effectExtent l="0" t="0" r="0" b="0"/>
                      <wp:wrapNone/>
                      <wp:docPr id="318" name="Frame3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00685" cy="175260"/>
                      <wp:effectExtent l="0" t="0" r="0" b="0"/>
                      <wp:wrapNone/>
                      <wp:docPr id="319" name="Frame31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4460" cy="175260"/>
                      <wp:effectExtent l="0" t="0" r="0" b="0"/>
                      <wp:wrapNone/>
                      <wp:docPr id="321"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00685" cy="175260"/>
                      <wp:effectExtent l="0" t="0" r="0" b="0"/>
                      <wp:wrapNone/>
                      <wp:docPr id="322" name="Frame321"/>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24460" cy="175260"/>
                      <wp:effectExtent l="0" t="0" r="0" b="0"/>
                      <wp:wrapNone/>
                      <wp:docPr id="324" name="Frame3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00685" cy="175260"/>
                      <wp:effectExtent l="0" t="0" r="0" b="0"/>
                      <wp:wrapNone/>
                      <wp:docPr id="325" name="Frame32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15290" cy="175260"/>
                      <wp:effectExtent l="0" t="0" r="0" b="0"/>
                      <wp:wrapNone/>
                      <wp:docPr id="327" name="Frame326"/>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33045" cy="175260"/>
                      <wp:effectExtent l="0" t="0" r="0" b="0"/>
                      <wp:wrapNone/>
                      <wp:docPr id="328" name="Frame327"/>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86"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income (loss)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(7,043)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(5,104)</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263.2</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34,042</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(4,227)</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20,625</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17,868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2,757</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7,468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(1,127)</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revenues</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62,135</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64,732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(2,597)</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3,325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(1,003)</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8,393</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8,592</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25,838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25,051</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787</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depreciation, and accretion:</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15,992</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asset retirement obligations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5,645</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5,894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gain (loss) on derivative contracts</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(5,453)</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(2,230)</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and other income</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(72.0)</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(2,880)</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(expense) benefit</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1,229</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113.0</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Production: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(MBBL)</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577</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(MMCF)</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6,359</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(MBBL)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(MBOE)</w:t>
            </w:r>
            <w:r>
              <w:rPr>
                <w:rFonts w:ascii="Times New Roman;Times;serif" w:hAnsi="Times New Roman;Times;serif"/>
                <w:i/>
                <w:sz w:val="12"/>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1,955</w:t>
            </w:r>
          </w:p>
        </w:tc>
        <w:tc>
          <w:tcPr>
            <w:tcW w:w="346"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Average daily production (BOEPD)</w:t>
            </w:r>
            <w:r>
              <w:rPr>
                <w:rFonts w:ascii="Times New Roman;Times;serif" w:hAnsi="Times New Roman;Times;serif"/>
                <w:i/>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7,135</w:t>
            </w:r>
          </w:p>
        </w:tc>
        <w:tc>
          <w:tcPr>
            <w:tcW w:w="346"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b/>
                <w:sz w:val="16"/>
              </w:rPr>
              <w:t>Average price per unit</w:t>
            </w:r>
            <w:r>
              <w:rPr>
                <w:rFonts w:ascii="Times New Roman;Times;serif" w:hAnsi="Times New Roman;Times;serif"/>
                <w:i/>
                <w:sz w:val="12"/>
              </w:rPr>
              <w:t>(2)</w:t>
            </w:r>
            <w:r>
              <w:rPr>
                <w:rFonts w:ascii="Times New Roman;Times;serif" w:hAnsi="Times New Roman;Times;serif"/>
                <w:b/>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(BBL)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68.95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(MCF)</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0.43</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Liquids (BBL)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Equivalent (BOE)</w:t>
            </w:r>
            <w:r>
              <w:rPr>
                <w:rFonts w:ascii="Times New Roman;Times;serif" w:hAnsi="Times New Roman;Times;serif"/>
                <w:i/>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Average cost per unit: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operating costs: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center"/>
              <w:rPr/>
            </w:pPr>
            <w:r>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 valorem and production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(0.55)</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Gathering, transportation, and other costs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(0.17)</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lease operating costs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0.22</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Depletion of full cost proved oil and natural gas properties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0.42</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General and administrative expenses: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center"/>
              <w:rPr/>
            </w:pPr>
            <w:r>
              <w:rPr/>
              <w:t>​</w:t>
            </w:r>
          </w:p>
        </w:tc>
      </w:tr>
      <w:tr>
        <w:trPr/>
        <w:tc>
          <w:tcPr>
            <w:tcW w:w="41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(0.17)</w:t>
            </w:r>
          </w:p>
        </w:tc>
        <w:tc>
          <w:tcPr>
            <w:tcW w:w="346"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w:t>
            </w:r>
          </w:p>
        </w:tc>
        <w:tc>
          <w:tcPr>
            <w:tcW w:w="36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1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(0.08)</w:t>
            </w:r>
          </w:p>
        </w:tc>
        <w:tc>
          <w:tcPr>
            <w:tcW w:w="346"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w:t>
            </w:r>
          </w:p>
        </w:tc>
        <w:tc>
          <w:tcPr>
            <w:tcW w:w="36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(1)</w:t>
            </w:r>
          </w:p>
        </w:tc>
        <w:tc>
          <w:tcPr>
            <w:tcW w:w="99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i/>
                <w:sz w:val="15"/>
              </w:rPr>
            </w:pPr>
            <w:r>
              <w:rPr>
                <w:rFonts w:ascii="Times New Roman;Times;serif" w:hAnsi="Times New Roman;Times;serif"/>
                <w:b/>
                <w:i/>
                <w:sz w:val="15"/>
              </w:rPr>
              <w:t>(2)</w:t>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Amounts exclude the impact of cash paid or received on the settlement of derivative contracts since we did not elect to apply hedge accounting.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Crude oil, natural gas and NGL revenues were $62.1 million and $64.7 million for the nine months ended March 31, 2026 and 2025, respectively, with the decrease in revenues due to decreases in our average realized price per BOE partially offset by increases in production volumes. Average daily equivalent production increased 1.5% from 7,033 BOEPD in the prior year period to 7,135 BOEPD in the current period </w:t>
      </w:r>
      <w:r>
        <w:rPr>
          <w:rFonts w:ascii="Times" w:hAnsi="Times"/>
          <w:sz w:val="20"/>
        </w:rPr>
        <w:t xml:space="preserve">primarily as a result of </w:t>
      </w:r>
      <w:r>
        <w:rPr>
          <w:rFonts w:ascii="Times New Roman;Times;serif" w:hAnsi="Times New Roman;Times;serif"/>
          <w:sz w:val="20"/>
        </w:rPr>
        <w:t xml:space="preserve">production from our SCOOP/STACK Minerals Acquisition in August 2025 and TexMex Acquisition in April 2025 partially offset by downtime at our other fields. In January 2026, multiple fields were impacted by heavy ice storms and power outages which shut-in production multiple days. </w:t>
      </w:r>
      <w:r>
        <w:rPr>
          <w:rFonts w:ascii="Times" w:hAnsi="Times"/>
          <w:sz w:val="20"/>
        </w:rPr>
        <w:t>Our average realized commodity price (excluding the impact of derivative contracts) for the nine months ended March 31, 2026 decreased approximately $1.81 per BOE, or 5.4%, over</w:t>
      </w:r>
      <w:r>
        <w:rPr>
          <w:rFonts w:ascii="Times New Roman;Times;serif" w:hAnsi="Times New Roman;Times;serif"/>
          <w:sz w:val="20"/>
        </w:rPr>
        <w:t xml:space="preserve"> the prior year period as our r</w:t>
      </w:r>
      <w:r>
        <w:rPr>
          <w:rFonts w:ascii="Times" w:hAnsi="Times"/>
          <w:sz w:val="20"/>
        </w:rPr>
        <w:t xml:space="preserve">ealized crude oil decreased 14.4% and realized NGL prices decreased 15.1% from the nine months ended March 31, 2025. </w:t>
      </w:r>
      <w:r>
        <w:rPr>
          <w:rFonts w:ascii="Times New Roman;Times;serif" w:hAnsi="Times New Roman;Times;serif"/>
          <w:sz w:val="20"/>
        </w:rPr>
        <w:t xml:space="preserve">The current period oil revenue at Delhi Field was also impacted by $1.2 million of prior period adjustments for transportation charges due to a new marketing contract entered into by the operator dating back to December 2024. </w:t>
      </w:r>
      <w:r>
        <w:rPr>
          <w:rFonts w:ascii="Times" w:hAnsi="Times"/>
          <w:sz w:val="20"/>
        </w:rPr>
        <w:t>The overall decrease in our crude oil and NGL realized prices was partially offset by a 15.3% increase in our realized natural gas prices over the prior period.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Lease Operating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Ad valorem and production taxes were $3.3 million and $4.3 million for the nine months ended March 31, 2026 and 2025, respectively. The decrease is primarily related to a $0.8 million reduction of calendar years 2024 and 2025 ad valorem taxes which were passed along from the operator of our Barnett Shale natural gas properties. On a per unit basis, ad valorem and production taxes were $1.70 per BOE and $2.25 per BOE for the nine months ended March 31, 2026 and 2025,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Gathering, transportation and other costs were $8.4 million for the nine months ended March 31, 2026 compared to $8.6 million for the nine months ended March 31, 2025. These costs are gathering, transportation and processing fees we incur primarily for our natural gas producing properties. The decrease is primarily due to decreased natural gas sales at Jonah Field partially offset by increased natural gas sales at Barnett Shale. On a per unit basis, gathering, transportation and other costs were $4.29 per BOE and $4.46 per BOE for the nine months ended March 31, 2026 and 2025, respectively. </w:t>
      </w:r>
    </w:p>
    <w:p>
      <w:pPr>
        <w:pStyle w:val="TextBody"/>
        <w:bidi w:val="0"/>
        <w:spacing w:before="0" w:after="240"/>
        <w:ind w:left="0" w:right="0" w:hanging="0"/>
        <w:jc w:val="left"/>
        <w:rPr>
          <w:rFonts w:ascii="Times New Roman;Times;serif" w:hAnsi="Times New Roman;Times;serif"/>
          <w:sz w:val="14"/>
        </w:rPr>
      </w:pPr>
      <w:r>
        <w:rPr>
          <w:rFonts w:ascii="Times New Roman;Times;serif" w:hAnsi="Times New Roman;Times;serif"/>
          <w:sz w:val="20"/>
        </w:rPr>
        <w:t xml:space="preserve">Other lease operating costs were $25.8 million for the nine months ended March 31, 2026 compared to $25.1 million for the nine months ended March 31, 2025. Other lease operating costs increased primarily due to </w:t>
      </w:r>
      <w:r>
        <w:rPr>
          <w:rFonts w:ascii="Times New Roman;Times;serif" w:hAnsi="Times New Roman;Times;serif"/>
          <w:sz w:val="20"/>
          <w:shd w:fill="FFFFFF" w:val="clear"/>
        </w:rPr>
        <w:t>the TexMex Acquisition in April 2025, which increased other lease operating costs by $3.8 million over the prior year period.</w:t>
      </w:r>
      <w:r>
        <w:rPr>
          <w:rFonts w:ascii="Times New Roman;Times;serif" w:hAnsi="Times New Roman;Times;serif"/>
          <w:sz w:val="14"/>
        </w:rPr>
        <w:t xml:space="preserve"> </w:t>
      </w:r>
      <w:r>
        <w:rPr>
          <w:rFonts w:ascii="Times New Roman;Times;serif" w:hAnsi="Times New Roman;Times;serif"/>
          <w:sz w:val="20"/>
        </w:rPr>
        <w:t>Partially offsetting the overall increase in other lease operating costs is the cessation of CO</w:t>
      </w:r>
      <w:r>
        <w:rPr>
          <w:rFonts w:ascii="Times New Roman;Times;serif" w:hAnsi="Times New Roman;Times;serif"/>
          <w:sz w:val="11"/>
        </w:rPr>
        <w:t>2 </w:t>
      </w:r>
      <w:r>
        <w:rPr>
          <w:rFonts w:ascii="Times New Roman;Times;serif" w:hAnsi="Times New Roman;Times;serif"/>
          <w:sz w:val="14"/>
        </w:rPr>
        <w:t xml:space="preserve"> </w:t>
      </w:r>
      <w:r>
        <w:rPr>
          <w:rFonts w:ascii="Times New Roman;Times;serif" w:hAnsi="Times New Roman;Times;serif"/>
          <w:sz w:val="20"/>
        </w:rPr>
        <w:t>purchases at Delhi late during the third quarter of fiscal 2025. For the nine months ended March 31, 2025, we had net CO</w:t>
      </w:r>
      <w:r>
        <w:rPr>
          <w:rFonts w:ascii="Times New Roman;Times;serif" w:hAnsi="Times New Roman;Times;serif"/>
          <w:sz w:val="11"/>
        </w:rPr>
        <w:t>2</w:t>
      </w:r>
      <w:r>
        <w:rPr>
          <w:rFonts w:ascii="Times New Roman;Times;serif" w:hAnsi="Times New Roman;Times;serif"/>
          <w:sz w:val="14"/>
        </w:rPr>
        <w:t xml:space="preserve"> </w:t>
      </w:r>
      <w:r>
        <w:rPr>
          <w:rFonts w:ascii="Times New Roman;Times;serif" w:hAnsi="Times New Roman;Times;serif"/>
          <w:sz w:val="20"/>
        </w:rPr>
        <w:t xml:space="preserve">purchases of $2.6 million. On a per unit basis, other lease operating costs increased to $13.22 per BOE for the nine months ended March 31, 2026 from $13.00 per BOE in the nine months ended March 31, 2025.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Depletion of Full Cost Proved Oil and Natural Gas Properties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Depletion expense increased from $15.0 million for the nine months ended March 31, 2025 to $16.0 million for the nine months ended March 31, 2026 primarily due to an increase in the depletion rate and decrease in reserves volumes. </w:t>
      </w:r>
      <w:r>
        <w:rPr>
          <w:rFonts w:ascii="Times New Roman;Times;serif" w:hAnsi="Times New Roman;Times;serif"/>
          <w:sz w:val="20"/>
          <w:shd w:fill="FFFFFF" w:val="clear"/>
        </w:rPr>
        <w:t xml:space="preserve">On a per unit basis, depletion expense was $8.18 per BOE and $7.76 per BOE for the nine months ended March 31, 2026 and 2025, respectively.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expenses for the nine months ended March 31, 2026 and 2025 were $5.6 million and $5.9 million, respectively. The decrease in the current period is primarily due to a decrease in professional fees. On a per unit basis, general and administrative expenses were $2.89 per BOE and $3.06 per BOE for the nine months ended March 31, 2026 and 2025,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expense for the nine months ended March 31, 2026 was $1.7 million compared to $1.9 million for the </w:t>
      </w:r>
      <w:r>
        <w:rPr>
          <w:rFonts w:ascii="Times" w:hAnsi="Times"/>
          <w:sz w:val="20"/>
        </w:rPr>
        <w:t>year-ago period</w:t>
      </w:r>
      <w:r>
        <w:rPr>
          <w:rFonts w:ascii="Times New Roman;Times;serif" w:hAnsi="Times New Roman;Times;serif"/>
          <w:sz w:val="20"/>
        </w:rPr>
        <w:t>. The decrease is due to the vesting of sign-on awards granted in prior years.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Gain (Loss) on Derivative Contracts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utilize commodity derivative financial instruments to reduce our exposure to fluctuations in oil and natural gas prices. Financial hedges are a requirement under our Senior Secured Credit Facility and help establish commodity price floors, contributing to stable cash flows when derivative contracts are settled.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w:t>
      </w:r>
      <w:r>
        <w:rPr>
          <w:rFonts w:ascii="Times New Roman;Times;serif" w:hAnsi="Times New Roman;Times;serif"/>
          <w:sz w:val="20"/>
          <w:shd w:fill="FFFFFF" w:val="clear"/>
        </w:rPr>
        <w:t xml:space="preserve">As a result of our recent acquisitions and the corresponding borrowings on our Senior Secured Credit Facility, we were required by terms in our Senior Secured Credit Facility to hedge a portion of our production. During the fiscal third quarter, </w:t>
      </w:r>
      <w:r>
        <w:rPr>
          <w:rFonts w:ascii="Times New Roman;Times;serif" w:hAnsi="Times New Roman;Times;serif"/>
          <w:sz w:val="20"/>
        </w:rPr>
        <w:t>WTI oil prices reached their highest levels since 2022 due to crude oil disruptions at key oil shipping routes in the Middle East, contributing to commodity price volatility</w:t>
      </w:r>
      <w:r>
        <w:rPr>
          <w:rFonts w:ascii="Times New Roman;Times;serif" w:hAnsi="Times New Roman;Times;serif"/>
          <w:sz w:val="20"/>
          <w:shd w:fill="FFFFFF" w:val="clear"/>
        </w:rPr>
        <w:t>. The significant increase in forward commodity prices as of March 31, 2026, resulted in an unrealized loss on the mark-to-market of our hedges. As of March 31, 2026, we had $3.1 million derivative assets, $2.4 million of which was classified as current, and $9.3 million derivative liabilities, $8.5 million of which was classified as current. We expect to see continued volatility in the fair value of our derivative contracts as commodity prices fluctuate.</w:t>
      </w:r>
    </w:p>
    <w:p>
      <w:pPr>
        <w:pStyle w:val="TextBody"/>
        <w:bidi w:val="0"/>
        <w:spacing w:before="0" w:after="240"/>
        <w:ind w:left="0" w:right="0" w:hanging="0"/>
        <w:jc w:val="left"/>
        <w:rPr/>
      </w:pPr>
      <w:r>
        <w:rPr/>
        <w:t>​</w:t>
      </w:r>
    </w:p>
    <w:tbl>
      <w:tblPr>
        <w:tblW w:w="9747" w:type="dxa"/>
        <w:jc w:val="left"/>
        <w:tblInd w:w="0" w:type="dxa"/>
        <w:tblLayout w:type="fixed"/>
        <w:tblCellMar>
          <w:top w:w="0" w:type="dxa"/>
          <w:left w:w="0" w:type="dxa"/>
          <w:bottom w:w="0" w:type="dxa"/>
          <w:right w:w="0" w:type="dxa"/>
        </w:tblCellMar>
      </w:tblPr>
      <w:tblGrid>
        <w:gridCol w:w="4861"/>
        <w:gridCol w:w="346"/>
        <w:gridCol w:w="196"/>
        <w:gridCol w:w="631"/>
        <w:gridCol w:w="346"/>
        <w:gridCol w:w="196"/>
        <w:gridCol w:w="631"/>
        <w:gridCol w:w="346"/>
        <w:gridCol w:w="196"/>
        <w:gridCol w:w="631"/>
        <w:gridCol w:w="346"/>
        <w:gridCol w:w="680"/>
        <w:gridCol w:w="341"/>
      </w:tblGrid>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24460" cy="175260"/>
                      <wp:effectExtent l="0" t="0" r="0" b="0"/>
                      <wp:wrapNone/>
                      <wp:docPr id="330" name="Frame3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00685" cy="175260"/>
                      <wp:effectExtent l="0" t="0" r="0" b="0"/>
                      <wp:wrapNone/>
                      <wp:docPr id="331" name="Frame33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24460" cy="175260"/>
                      <wp:effectExtent l="0" t="0" r="0" b="0"/>
                      <wp:wrapNone/>
                      <wp:docPr id="333" name="Frame3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00685" cy="175260"/>
                      <wp:effectExtent l="0" t="0" r="0" b="0"/>
                      <wp:wrapNone/>
                      <wp:docPr id="334" name="Frame33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4460" cy="175260"/>
                      <wp:effectExtent l="0" t="0" r="0" b="0"/>
                      <wp:wrapNone/>
                      <wp:docPr id="336" name="Frame3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00685" cy="175260"/>
                      <wp:effectExtent l="0" t="0" r="0" b="0"/>
                      <wp:wrapNone/>
                      <wp:docPr id="337" name="Frame33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31800" cy="175260"/>
                      <wp:effectExtent l="0" t="0" r="0" b="0"/>
                      <wp:wrapNone/>
                      <wp:docPr id="339" name="Frame338"/>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6535" cy="175260"/>
                      <wp:effectExtent l="0" t="0" r="0" b="0"/>
                      <wp:wrapNone/>
                      <wp:docPr id="340" name="Frame339"/>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Nine Months Ended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March 31,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 unit and per BOE amounts)</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6" w:type="dxa"/>
            <w:tcBorders/>
            <w:vAlign w:val="center"/>
          </w:tcPr>
          <w:p>
            <w:pPr>
              <w:pStyle w:val="TableContents"/>
              <w:bidi w:val="0"/>
              <w:spacing w:before="0" w:after="1"/>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Variance %</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Realized gain (loss)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(781)</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(384.7)</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gain (loss) on derivative contracts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(4,875)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(3,426)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(1,449)</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42.3</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net gain (loss) on derivative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(5,453)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(2,230)</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crude oil price per BBL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68.95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(9.95)</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oil derivative contracts per BBL</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(0.94)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0.25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Crude oil price per BBL (including impact of realized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58.06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(11.14)</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(16.1)</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center"/>
              <w:rPr/>
            </w:pPr>
            <w:r>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Average realized natural gas price per MCF</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0.43</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effect of natural gas derivative contracts per MCF</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(0.02)</w:t>
            </w:r>
          </w:p>
        </w:tc>
        <w:tc>
          <w:tcPr>
            <w:tcW w:w="346"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c>
          <w:tcPr>
            <w:tcW w:w="34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Natural gas price per MCF (including impact of realized derivatives)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0.41</w:t>
            </w:r>
          </w:p>
        </w:tc>
        <w:tc>
          <w:tcPr>
            <w:tcW w:w="346"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w:t>
            </w:r>
          </w:p>
        </w:tc>
        <w:tc>
          <w:tcPr>
            <w:tcW w:w="34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bl>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increased $0.6 million for the nine months ended March 31, 2026 compared to the prior year period primarily due to additional borrowings drawn on our Senior Secured Credit Facility to finance our SCOOP/STACK Minerals Acquisition in August 2025. The weighted average interest rate on our borrowings was 6.78% for the nine months ended March 31, 2026 compared to 7.59% for the nine months ended March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nine months ended March 31, 2026, we recognized income tax benefit of $1.2 million on net losses before income taxes of $8.3 million compared to income tax benefit of $0.6 million on net losses before income taxes of $2.5 million for the nine months ended March 31, 2025. The effective tax rates were 14.9% and 22.9% for nine months ended March 31, 2026 and 2025, respectively. </w:t>
      </w:r>
      <w:r>
        <w:rPr>
          <w:rFonts w:ascii="Times New Roman;Times;serif" w:hAnsi="Times New Roman;Times;serif"/>
          <w:color w:val="232323"/>
          <w:sz w:val="20"/>
          <w:shd w:fill="FFFFFF" w:val="clear"/>
        </w:rPr>
        <w:t>We continue to evaluate our tax provision on a quarterly basis and adjust our effective tax rate for any given changes in facts and circumstances that are expected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77" w:name="CriticalAccountingPoliciesandEstimates"/>
      <w:bookmarkStart w:id="1278" w:name="CriticalAccountingPoliciesandEstimates_6"/>
      <w:bookmarkEnd w:id="1277"/>
      <w:bookmarkEnd w:id="1278"/>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 consolidated financial statements. There have been no material changes to our critical accounting policies from those described in our Annual Report on Form 10-K for the fiscal year ended June 30, 2025.</w:t>
      </w:r>
    </w:p>
    <w:p>
      <w:pPr>
        <w:pStyle w:val="TextBody"/>
        <w:bidi w:val="0"/>
        <w:spacing w:before="0" w:after="240"/>
        <w:ind w:left="0" w:right="0" w:hanging="0"/>
        <w:jc w:val="left"/>
        <w:rPr>
          <w:rFonts w:ascii="Times New Roman;Times;serif" w:hAnsi="Times New Roman;Times;serif"/>
          <w:b/>
          <w:sz w:val="20"/>
        </w:rPr>
      </w:pPr>
      <w:bookmarkStart w:id="1279" w:name="Item_3_Quantitative"/>
      <w:bookmarkStart w:id="1280" w:name="Item7AQuantitativeandQualitativeDisclosu"/>
      <w:bookmarkStart w:id="1281" w:name="_04af2fab_f883_4d27_beee_febac3408f71"/>
      <w:bookmarkEnd w:id="1279"/>
      <w:bookmarkEnd w:id="1280"/>
      <w:bookmarkEnd w:id="1281"/>
      <w:r>
        <w:rPr>
          <w:rFonts w:ascii="Times New Roman;Times;serif" w:hAnsi="Times New Roman;Times;serif"/>
          <w:b/>
          <w:sz w:val="20"/>
        </w:rPr>
        <w:t>Item 3.   Quantitative and Qualitative Disclosures About Market Risks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Derivative Instruments and Hedging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various risks, including energy commodity price risk, such as price differentials between the NYMEX commodity price and the index price at the location where our production is sold. When oil, natural gas, and NGL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In accordance with our Senior Secured Credit Facility, we have been and may be required in the future to enter into hedges if we meet certain utilization levels of the borrowing base under the credit facility. We intend to remain in compliance with these covenants and will enter into derivative contracts from time to time to meet the requirements. </w:t>
      </w:r>
      <w:r>
        <w:rPr>
          <w:rFonts w:ascii="Times New Roman;Times;serif" w:hAnsi="Times New Roman;Times;serif"/>
          <w:sz w:val="20"/>
          <w:shd w:fill="FFFFFF" w:val="clear"/>
        </w:rPr>
        <w:t xml:space="preserve">As a result of our recent acquisitions and the corresponding borrowings on our Senior Secured Credit Facility, we were required by terms in our Senior Secured Credit Facility to hedge a portion of our production. </w:t>
      </w:r>
      <w:r>
        <w:rPr>
          <w:rFonts w:ascii="Times New Roman;Times;serif" w:hAnsi="Times New Roman;Times;serif"/>
          <w:sz w:val="20"/>
        </w:rPr>
        <w:t>Additionally, depending on market conditions, financial and other considerations we may enter into additional hedges to meet our objectives of increasing value to shareholders. We may also, from time to time, restructure existing derivative contracts or enter into new transactions to effectively modify the terms of current contracts in order to improve the pricing parameters in existing contracts.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2026 and 2025, we did not post collateral. We account for our derivative activities under the provisions of ASC 815, </w:t>
      </w:r>
      <w:r>
        <w:rPr>
          <w:rFonts w:ascii="Times New Roman;Times;serif" w:hAnsi="Times New Roman;Times;serif"/>
          <w:i/>
          <w:sz w:val="20"/>
        </w:rPr>
        <w:t>Derivatives and Hedging</w:t>
      </w:r>
      <w:r>
        <w:rPr>
          <w:rFonts w:ascii="Times New Roman;Times;serif" w:hAnsi="Times New Roman;Times;serif"/>
          <w:sz w:val="20"/>
        </w:rPr>
        <w:t>, (“ASC 815”). ASC 815 establishes accounting and reporting that every derivative instrument be recorded on the balance sheet as either an asset or liability measured at fair value. See Note 7, “</w:t>
      </w:r>
      <w:r>
        <w:rPr>
          <w:rFonts w:ascii="Times New Roman;Times;serif" w:hAnsi="Times New Roman;Times;serif"/>
          <w:i/>
          <w:sz w:val="20"/>
        </w:rPr>
        <w:t xml:space="preserve">Derivatives” </w:t>
      </w:r>
      <w:r>
        <w:rPr>
          <w:rFonts w:ascii="Times New Roman;Times;serif" w:hAnsi="Times New Roman;Times;serif"/>
          <w:sz w:val="20"/>
        </w:rPr>
        <w:t>to our unaudited condensed consolidated financial statements for more details.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changes in interest rates. Changes in interest rates affect the interest earned on our cash and cash equivalents. Additionally, any borrowings under the Senior Secured Credit Facility will bear interest, at our option, at either (i) SOFR, subject to a minimum SOFR of 3.25%, plus a credit spread adjustment of 0.05%, or (ii) the Prime Rate, as defined under the Senior Secured Credit Facility, plus 1.00%, plus, in either case of (i) or (ii), an applicable margin of 2.75%. SOFR rates are sensitive to the period of contract and market volatility, as well as changes in forward interest rate yields. Under our current practices, we do not use interest rate derivative instruments to manage exposure to interest rate changes.</w:t>
      </w:r>
    </w:p>
    <w:p>
      <w:pPr>
        <w:pStyle w:val="TextBody"/>
        <w:bidi w:val="0"/>
        <w:spacing w:before="0" w:after="240"/>
        <w:ind w:left="0" w:right="0" w:hanging="0"/>
        <w:jc w:val="left"/>
        <w:rPr>
          <w:rFonts w:ascii="Times New Roman;Times;serif" w:hAnsi="Times New Roman;Times;serif"/>
          <w:b/>
          <w:sz w:val="20"/>
        </w:rPr>
      </w:pPr>
      <w:bookmarkStart w:id="1282" w:name="Item4ControlsandProcedures"/>
      <w:bookmarkStart w:id="1283" w:name="_b12fd833_4eb9_4e0f_abbd_151a12876b9d"/>
      <w:bookmarkEnd w:id="1282"/>
      <w:bookmarkEnd w:id="1283"/>
      <w:r>
        <w:rPr>
          <w:rFonts w:ascii="Times New Roman;Times;serif" w:hAnsi="Times New Roman;Times;serif"/>
          <w:b/>
          <w:sz w:val="20"/>
        </w:rPr>
        <w:t>Item 4. Controls and Procedures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This information is accumulated and communicated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management, including our Principal Executive Officer and Principal Financial Officer, as appropriate, to allow for timely decisions regarding required disclosure.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March 31, 2026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Principal Executive Officer and Principal Financial Officer, during the quarter ended March 31, 2026, we have determined that there have been no changes in our internal control over financial reporting that have materially affected, or are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1284" w:name="Part_II_OTHER_INFORMATION"/>
      <w:bookmarkEnd w:id="1284"/>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285" w:name="Item1LegalProceedings"/>
      <w:bookmarkStart w:id="1286" w:name="_4829f7fb_63a3_4620_893d_908e3377e534"/>
      <w:bookmarkEnd w:id="1285"/>
      <w:bookmarkEnd w:id="1286"/>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10, “</w:t>
      </w:r>
      <w:r>
        <w:rPr>
          <w:rFonts w:ascii="Times New Roman;Times;serif" w:hAnsi="Times New Roman;Times;serif"/>
          <w:i/>
          <w:sz w:val="20"/>
        </w:rPr>
        <w:t>Commitments and Contingencies”</w:t>
      </w:r>
      <w:r>
        <w:rPr>
          <w:rFonts w:ascii="Times New Roman;Times;serif" w:hAnsi="Times New Roman;Times;serif"/>
          <w:sz w:val="20"/>
        </w:rPr>
        <w:t xml:space="preserve"> to our unaudited condensed consolidated financial statements in Item 1. </w:t>
      </w:r>
      <w:r>
        <w:rPr>
          <w:rFonts w:ascii="Times New Roman;Times;serif" w:hAnsi="Times New Roman;Times;serif"/>
          <w:i/>
          <w:sz w:val="20"/>
        </w:rPr>
        <w:t xml:space="preserve">Condensed Consolidated Financial Statements (Unaudited) </w:t>
      </w:r>
      <w:r>
        <w:rPr>
          <w:rFonts w:ascii="Times New Roman;Times;serif" w:hAnsi="Times New Roman;Times;serif"/>
          <w:sz w:val="20"/>
        </w:rPr>
        <w:t>for a description of any legal proceedings, which is incorporated herein by reference.</w:t>
      </w:r>
    </w:p>
    <w:p>
      <w:pPr>
        <w:pStyle w:val="TextBody"/>
        <w:bidi w:val="0"/>
        <w:spacing w:before="0" w:after="240"/>
        <w:ind w:left="0" w:right="0" w:hanging="0"/>
        <w:jc w:val="left"/>
        <w:rPr>
          <w:rFonts w:ascii="Times New Roman;Times;serif" w:hAnsi="Times New Roman;Times;serif"/>
          <w:b/>
          <w:sz w:val="20"/>
        </w:rPr>
      </w:pPr>
      <w:bookmarkStart w:id="1287" w:name="Item1ARiskFactors_401633"/>
      <w:bookmarkStart w:id="1288" w:name="_e18a35bc_e239_490c_8ddf_3e5c27862d2b"/>
      <w:bookmarkStart w:id="1289" w:name="_Supplemental_Disclosure_about"/>
      <w:bookmarkEnd w:id="1287"/>
      <w:bookmarkEnd w:id="1288"/>
      <w:bookmarkEnd w:id="1289"/>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 xml:space="preserve">Our Annual Report on Form 10-K for the year ended June 30, 2025 includes a detailed description of our risk factors.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90" w:name="Item2UnregisteredSalesofEquitySecurities"/>
      <w:bookmarkStart w:id="1291" w:name="_738a85f0_3675_4ca1_b9b1_af7f898f20f7"/>
      <w:bookmarkEnd w:id="1290"/>
      <w:bookmarkEnd w:id="1291"/>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table below summarizes information about the Company's purchases of its equity securities during the three months ended March 31, 2026.</w:t>
      </w:r>
    </w:p>
    <w:tbl>
      <w:tblPr>
        <w:tblW w:w="8299" w:type="dxa"/>
        <w:jc w:val="left"/>
        <w:tblInd w:w="0" w:type="dxa"/>
        <w:tblLayout w:type="fixed"/>
        <w:tblCellMar>
          <w:top w:w="0" w:type="dxa"/>
          <w:left w:w="0" w:type="dxa"/>
          <w:bottom w:w="0" w:type="dxa"/>
          <w:right w:w="0" w:type="dxa"/>
        </w:tblCellMar>
      </w:tblPr>
      <w:tblGrid>
        <w:gridCol w:w="1171"/>
        <w:gridCol w:w="109"/>
        <w:gridCol w:w="1426"/>
        <w:gridCol w:w="109"/>
        <w:gridCol w:w="452"/>
        <w:gridCol w:w="973"/>
        <w:gridCol w:w="109"/>
        <w:gridCol w:w="1681"/>
        <w:gridCol w:w="109"/>
        <w:gridCol w:w="654"/>
        <w:gridCol w:w="1506"/>
      </w:tblGrid>
      <w:tr>
        <w:trPr/>
        <w:tc>
          <w:tcPr>
            <w:tcW w:w="11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905510" cy="175260"/>
                      <wp:effectExtent l="0" t="0" r="0" b="0"/>
                      <wp:wrapNone/>
                      <wp:docPr id="341" name="Frame34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17855" cy="175260"/>
                      <wp:effectExtent l="0" t="0" r="0" b="0"/>
                      <wp:wrapNone/>
                      <wp:docPr id="342" name="Frame341"/>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067435" cy="175260"/>
                      <wp:effectExtent l="0" t="0" r="0" b="0"/>
                      <wp:wrapNone/>
                      <wp:docPr id="343" name="Frame34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956310" cy="175260"/>
                      <wp:effectExtent l="0" t="0" r="0" b="0"/>
                      <wp:wrapNone/>
                      <wp:docPr id="344" name="Frame343"/>
                      <a:graphic xmlns:a="http://schemas.openxmlformats.org/drawingml/2006/main">
                        <a:graphicData uri="http://schemas.microsoft.com/office/word/2010/wordprocessingShape">
                          <wps:wsp>
                            <wps:cNvSpPr txBox="1"/>
                            <wps:spPr>
                              <a:xfrm>
                                <a:off x="0" y="0"/>
                                <a:ext cx="956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 Total number </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 Maximum dollar value</w:t>
            </w:r>
          </w:p>
        </w:tc>
      </w:tr>
      <w:tr>
        <w:trPr/>
        <w:tc>
          <w:tcPr>
            <w:tcW w:w="11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 Total number</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 that may yet be</w:t>
            </w:r>
          </w:p>
        </w:tc>
      </w:tr>
      <w:tr>
        <w:trPr/>
        <w:tc>
          <w:tcPr>
            <w:tcW w:w="11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shares</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as part</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purchased under the </w:t>
            </w:r>
          </w:p>
        </w:tc>
      </w:tr>
      <w:tr>
        <w:trPr/>
        <w:tc>
          <w:tcPr>
            <w:tcW w:w="11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purchased and</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 Average price</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of public announced</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r>
      <w:tr>
        <w:trPr/>
        <w:tc>
          <w:tcPr>
            <w:tcW w:w="11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Period</w:t>
            </w:r>
          </w:p>
        </w:tc>
        <w:tc>
          <w:tcPr>
            <w:tcW w:w="109" w:type="dxa"/>
            <w:tcBorders/>
            <w:vAlign w:val="center"/>
          </w:tcPr>
          <w:p>
            <w:pPr>
              <w:pStyle w:val="TableContents"/>
              <w:bidi w:val="0"/>
              <w:spacing w:before="0" w:after="1"/>
              <w:ind w:left="0" w:right="0" w:hanging="0"/>
              <w:jc w:val="left"/>
              <w:rPr/>
            </w:pPr>
            <w:r>
              <w:rPr/>
              <w:t>​</w:t>
            </w:r>
          </w:p>
        </w:tc>
        <w:tc>
          <w:tcPr>
            <w:tcW w:w="1426"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received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42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8"/>
              </w:rPr>
            </w:pPr>
            <w:r>
              <w:rPr>
                <w:rFonts w:ascii="Times New Roman;Times;serif" w:hAnsi="Times New Roman;Times;serif"/>
                <w:b/>
                <w:sz w:val="18"/>
              </w:rPr>
              <w:t xml:space="preserve">paid per share </w:t>
            </w:r>
            <w:r>
              <w:rPr>
                <w:rFonts w:ascii="Times New Roman;Times;serif" w:hAnsi="Times New Roman;Times;serif"/>
                <w:b/>
                <w:sz w:val="14"/>
              </w:rPr>
              <w:t>(1)</w:t>
            </w:r>
          </w:p>
        </w:tc>
        <w:tc>
          <w:tcPr>
            <w:tcW w:w="109" w:type="dxa"/>
            <w:tcBorders/>
            <w:vAlign w:val="center"/>
          </w:tcPr>
          <w:p>
            <w:pPr>
              <w:pStyle w:val="TableContents"/>
              <w:bidi w:val="0"/>
              <w:spacing w:before="0" w:after="1"/>
              <w:ind w:left="0" w:right="0" w:hanging="0"/>
              <w:jc w:val="left"/>
              <w:rPr/>
            </w:pPr>
            <w:r>
              <w:rPr/>
              <w:t>​</w:t>
            </w:r>
          </w:p>
        </w:tc>
        <w:tc>
          <w:tcPr>
            <w:tcW w:w="16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plans or programs</w:t>
            </w:r>
          </w:p>
        </w:tc>
        <w:tc>
          <w:tcPr>
            <w:tcW w:w="109" w:type="dxa"/>
            <w:tcBorders/>
            <w:vAlign w:val="center"/>
          </w:tcPr>
          <w:p>
            <w:pPr>
              <w:pStyle w:val="TableContents"/>
              <w:bidi w:val="0"/>
              <w:spacing w:before="0" w:after="1"/>
              <w:ind w:left="0" w:right="0" w:hanging="0"/>
              <w:jc w:val="left"/>
              <w:rPr/>
            </w:pPr>
            <w:r>
              <w:rPr/>
              <w:t>​</w:t>
            </w:r>
          </w:p>
        </w:tc>
        <w:tc>
          <w:tcPr>
            <w:tcW w:w="21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 thousands)</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January 2026</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506" w:type="dxa"/>
            <w:tcBorders/>
            <w:shd w:fill="CCEEFF" w:val="clear"/>
            <w:vAlign w:val="center"/>
          </w:tcPr>
          <w:p>
            <w:pPr>
              <w:pStyle w:val="TableContents"/>
              <w:bidi w:val="0"/>
              <w:spacing w:before="0" w:after="1"/>
              <w:ind w:left="0" w:right="0" w:hanging="0"/>
              <w:jc w:val="right"/>
              <w:rPr/>
            </w:pPr>
            <w:r>
              <w:rPr/>
              <w:t>—</w:t>
            </w:r>
          </w:p>
        </w:tc>
      </w:tr>
      <w:tr>
        <w:trPr/>
        <w:tc>
          <w:tcPr>
            <w:tcW w:w="11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February 2026</w:t>
            </w:r>
          </w:p>
        </w:tc>
        <w:tc>
          <w:tcPr>
            <w:tcW w:w="109" w:type="dxa"/>
            <w:tcBorders/>
            <w:vAlign w:val="center"/>
          </w:tcPr>
          <w:p>
            <w:pPr>
              <w:pStyle w:val="TableContents"/>
              <w:bidi w:val="0"/>
              <w:spacing w:before="0" w:after="1"/>
              <w:ind w:left="0" w:right="0" w:hanging="0"/>
              <w:jc w:val="left"/>
              <w:rPr/>
            </w:pPr>
            <w:r>
              <w:rPr/>
              <w:t>​</w:t>
            </w:r>
          </w:p>
        </w:tc>
        <w:tc>
          <w:tcPr>
            <w:tcW w:w="14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9,651</w:t>
            </w:r>
          </w:p>
        </w:tc>
        <w:tc>
          <w:tcPr>
            <w:tcW w:w="109" w:type="dxa"/>
            <w:tcBorders/>
            <w:vAlign w:val="center"/>
          </w:tcPr>
          <w:p>
            <w:pPr>
              <w:pStyle w:val="TableContents"/>
              <w:bidi w:val="0"/>
              <w:spacing w:before="0" w:after="1"/>
              <w:ind w:left="0" w:right="0" w:hanging="0"/>
              <w:jc w:val="left"/>
              <w:rPr/>
            </w:pPr>
            <w:r>
              <w:rPr/>
              <w:t>​</w:t>
            </w:r>
          </w:p>
        </w:tc>
        <w:tc>
          <w:tcPr>
            <w:tcW w:w="452"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w:t>
            </w:r>
          </w:p>
        </w:tc>
        <w:tc>
          <w:tcPr>
            <w:tcW w:w="109" w:type="dxa"/>
            <w:tcBorders/>
            <w:vAlign w:val="center"/>
          </w:tcPr>
          <w:p>
            <w:pPr>
              <w:pStyle w:val="TableContents"/>
              <w:bidi w:val="0"/>
              <w:spacing w:before="0" w:after="1"/>
              <w:ind w:left="0" w:right="0" w:hanging="0"/>
              <w:jc w:val="left"/>
              <w:rPr/>
            </w:pPr>
            <w:r>
              <w:rPr/>
              <w:t>​</w:t>
            </w:r>
          </w:p>
        </w:tc>
        <w:tc>
          <w:tcPr>
            <w:tcW w:w="16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1"/>
              <w:ind w:left="0" w:right="0" w:hanging="0"/>
              <w:jc w:val="right"/>
              <w:rPr/>
            </w:pPr>
            <w:r>
              <w:rPr/>
              <w:t>—</w:t>
            </w:r>
          </w:p>
        </w:tc>
      </w:tr>
      <w:tr>
        <w:trPr/>
        <w:tc>
          <w:tcPr>
            <w:tcW w:w="11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March 2026</w:t>
            </w:r>
          </w:p>
        </w:tc>
        <w:tc>
          <w:tcPr>
            <w:tcW w:w="109" w:type="dxa"/>
            <w:tcBorders/>
            <w:shd w:fill="CCEEFF" w:val="clear"/>
            <w:vAlign w:val="center"/>
          </w:tcPr>
          <w:p>
            <w:pPr>
              <w:pStyle w:val="TableContents"/>
              <w:bidi w:val="0"/>
              <w:spacing w:before="0" w:after="1"/>
              <w:ind w:left="0" w:right="0" w:hanging="0"/>
              <w:jc w:val="left"/>
              <w:rPr/>
            </w:pPr>
            <w:r>
              <w:rPr/>
              <w:t>​</w:t>
            </w:r>
          </w:p>
        </w:tc>
        <w:tc>
          <w:tcPr>
            <w:tcW w:w="14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52"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54" w:type="dxa"/>
            <w:tcBorders/>
            <w:shd w:fill="CCEEFF" w:val="clear"/>
            <w:vAlign w:val="center"/>
          </w:tcPr>
          <w:p>
            <w:pPr>
              <w:pStyle w:val="TableContents"/>
              <w:bidi w:val="0"/>
              <w:spacing w:before="0" w:after="1"/>
              <w:ind w:left="0" w:right="0" w:hanging="0"/>
              <w:jc w:val="left"/>
              <w:rPr/>
            </w:pPr>
            <w:r>
              <w:rPr/>
              <w:t>​</w:t>
            </w:r>
          </w:p>
        </w:tc>
        <w:tc>
          <w:tcPr>
            <w:tcW w:w="1506" w:type="dxa"/>
            <w:tcBorders/>
            <w:shd w:fill="CCEEFF" w:val="clear"/>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i/>
                <w:sz w:val="15"/>
              </w:rPr>
            </w:pPr>
            <w:r>
              <w:rPr>
                <w:rFonts w:ascii="Times New Roman;Times;serif" w:hAnsi="Times New Roman;Times;serif"/>
                <w:i/>
                <w:sz w:val="15"/>
              </w:rPr>
              <w:t>(1)</w:t>
            </w:r>
          </w:p>
        </w:tc>
        <w:tc>
          <w:tcPr>
            <w:tcW w:w="993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During the three months ended March 31, 2026, </w:t>
            </w:r>
            <w:r>
              <w:rPr>
                <w:rFonts w:ascii="Times New Roman;Times;serif" w:hAnsi="Times New Roman;Times;serif"/>
                <w:b w:val="false"/>
                <w:i w:val="false"/>
                <w:caps w:val="false"/>
                <w:smallCaps w:val="false"/>
                <w:sz w:val="20"/>
                <w:shd w:fill="FFFFFF" w:val="clear"/>
              </w:rPr>
              <w:t>all of the shares received were surrendered by employees in exchange for the payment of tax withholding upon the vesting of restricted stock awards.</w:t>
            </w:r>
          </w:p>
        </w:tc>
      </w:tr>
    </w:tbl>
    <w:p>
      <w:pPr>
        <w:pStyle w:val="TextBody"/>
        <w:bidi w:val="0"/>
        <w:spacing w:before="0" w:after="240"/>
        <w:ind w:left="360" w:right="0" w:hanging="0"/>
        <w:jc w:val="left"/>
        <w:rPr/>
      </w:pPr>
      <w:r>
        <w:rPr/>
        <w:t>​</w:t>
      </w:r>
    </w:p>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92" w:name="Item3DefaultsUponSeniorSecurities"/>
      <w:bookmarkStart w:id="1293" w:name="_206f4c1a_0050_401e_817e_b44faf3f8d90"/>
      <w:bookmarkEnd w:id="1292"/>
      <w:bookmarkEnd w:id="1293"/>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294" w:name="Item4MineSafetyDisclosures_798178"/>
      <w:bookmarkStart w:id="1295" w:name="MineSaftty"/>
      <w:bookmarkStart w:id="1296" w:name="_9754c673_87f2_4bef_938a_05436c74bf71"/>
      <w:bookmarkEnd w:id="1294"/>
      <w:bookmarkEnd w:id="1295"/>
      <w:bookmarkEnd w:id="1296"/>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97" w:name="Item5OtherInformation"/>
      <w:bookmarkStart w:id="1298" w:name="_e3ed401f_0a65_4f42_8434_73a375a23fac"/>
      <w:bookmarkEnd w:id="1297"/>
      <w:bookmarkEnd w:id="1298"/>
      <w:r>
        <w:rPr>
          <w:rFonts w:ascii="Times New Roman;Times;serif" w:hAnsi="Times New Roman;Times;serif"/>
          <w:b/>
          <w:sz w:val="20"/>
        </w:rPr>
        <w:t>Item 5. Other Information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299" w:name="Item6Exhibits"/>
      <w:bookmarkStart w:id="1300" w:name="_415857ad_b74a_4d40_bf1d_3d9d96c9b3f1"/>
      <w:bookmarkEnd w:id="1299"/>
      <w:bookmarkEnd w:id="1300"/>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tbl>
      <w:tblPr>
        <w:tblW w:w="10205" w:type="dxa"/>
        <w:jc w:val="left"/>
        <w:tblInd w:w="0" w:type="dxa"/>
        <w:tblLayout w:type="fixed"/>
        <w:tblCellMar>
          <w:top w:w="0" w:type="dxa"/>
          <w:left w:w="0" w:type="dxa"/>
          <w:bottom w:w="0" w:type="dxa"/>
          <w:right w:w="0" w:type="dxa"/>
        </w:tblCellMar>
      </w:tblPr>
      <w:tblGrid>
        <w:gridCol w:w="706"/>
        <w:gridCol w:w="109"/>
        <w:gridCol w:w="9390"/>
      </w:tblGrid>
      <w:tr>
        <w:trPr/>
        <w:tc>
          <w:tcPr>
            <w:tcW w:w="70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0"/>
              <w:ind w:left="0" w:right="0" w:hanging="0"/>
              <w:jc w:val="left"/>
              <w:rPr/>
            </w:pPr>
            <w:r>
              <w:rPr/>
              <w:t>​</w:t>
            </w:r>
          </w:p>
        </w:tc>
      </w:tr>
      <w:tr>
        <w:trPr/>
        <w:tc>
          <w:tcPr>
            <w:tcW w:w="70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0"/>
              <w:ind w:left="0" w:right="0" w:hanging="0"/>
              <w:jc w:val="left"/>
              <w:rPr/>
            </w:pPr>
            <w:r>
              <w:rPr/>
              <w:t>​</w:t>
            </w:r>
          </w:p>
        </w:tc>
      </w:tr>
      <w:tr>
        <w:trPr/>
        <w:tc>
          <w:tcPr>
            <w:tcW w:w="70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0"/>
              <w:ind w:left="0" w:right="0" w:hanging="0"/>
              <w:jc w:val="left"/>
              <w:rPr/>
            </w:pPr>
            <w:r>
              <w:rPr/>
              <w:t>​</w:t>
            </w:r>
          </w:p>
        </w:tc>
      </w:tr>
      <w:tr>
        <w:trPr/>
        <w:tc>
          <w:tcPr>
            <w:tcW w:w="70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0"/>
              <w:ind w:left="0" w:right="0" w:hanging="0"/>
              <w:jc w:val="left"/>
              <w:rPr/>
            </w:pPr>
            <w:r>
              <w:rPr/>
              <w:t>​</w:t>
            </w:r>
          </w:p>
        </w:tc>
      </w:tr>
      <w:tr>
        <w:trPr/>
        <w:tc>
          <w:tcPr>
            <w:tcW w:w="70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0"/>
              <w:ind w:left="0" w:right="0" w:hanging="0"/>
              <w:jc w:val="left"/>
              <w:rPr/>
            </w:pPr>
            <w:r>
              <w:rPr/>
              <w:t>​</w:t>
            </w:r>
          </w:p>
        </w:tc>
      </w:tr>
      <w:tr>
        <w:trPr/>
        <w:tc>
          <w:tcPr>
            <w:tcW w:w="70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0"/>
              <w:ind w:left="0" w:right="0" w:hanging="0"/>
              <w:jc w:val="left"/>
              <w:rPr/>
            </w:pPr>
            <w:r>
              <w:rPr/>
              <w:t>​</w:t>
            </w:r>
          </w:p>
        </w:tc>
      </w:tr>
      <w:tr>
        <w:trPr/>
        <w:tc>
          <w:tcPr>
            <w:tcW w:w="70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0"/>
              <w:ind w:left="0" w:right="0" w:hanging="0"/>
              <w:jc w:val="left"/>
              <w:rPr/>
            </w:pPr>
            <w:r>
              <w:rPr/>
              <w:t>​</w:t>
            </w:r>
          </w:p>
        </w:tc>
      </w:tr>
      <w:tr>
        <w:trPr/>
        <w:tc>
          <w:tcPr>
            <w:tcW w:w="706" w:type="dxa"/>
            <w:tcBorders/>
            <w:vAlign w:val="center"/>
          </w:tcPr>
          <w:p>
            <w:pPr>
              <w:pStyle w:val="TableHeading"/>
              <w:bidi w:val="0"/>
              <w:spacing w:before="0" w:after="30"/>
              <w:ind w:left="0" w:right="0" w:hanging="0"/>
              <w:jc w:val="center"/>
              <w:rPr/>
            </w:pPr>
            <w:r>
              <w:rPr/>
              <w:t>​</w:t>
            </w:r>
          </w:p>
        </w:tc>
        <w:tc>
          <w:tcPr>
            <w:tcW w:w="109" w:type="dxa"/>
            <w:tcBorders/>
            <w:vAlign w:val="center"/>
          </w:tcPr>
          <w:p>
            <w:pPr>
              <w:pStyle w:val="TableHeading"/>
              <w:bidi w:val="0"/>
              <w:spacing w:before="0" w:after="0"/>
              <w:ind w:left="0" w:right="0" w:hanging="0"/>
              <w:jc w:val="left"/>
              <w:rPr/>
            </w:pPr>
            <w:r>
              <w:rPr/>
              <w:t>​</w:t>
            </w:r>
          </w:p>
        </w:tc>
        <w:tc>
          <w:tcPr>
            <w:tcW w:w="9390" w:type="dxa"/>
            <w:tcBorders/>
            <w:vAlign w:val="center"/>
          </w:tcPr>
          <w:p>
            <w:pPr>
              <w:pStyle w:val="TableHeading"/>
              <w:bidi w:val="0"/>
              <w:spacing w:before="0" w:after="0"/>
              <w:ind w:left="0" w:right="0" w:hanging="0"/>
              <w:jc w:val="left"/>
              <w:rPr/>
            </w:pPr>
            <w:r>
              <w:rPr/>
              <w:t>​</w:t>
            </w:r>
          </w:p>
        </w:tc>
      </w:tr>
      <w:tr>
        <w:trPr/>
        <w:tc>
          <w:tcPr>
            <w:tcW w:w="70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w:t>
            </w:r>
          </w:p>
        </w:tc>
        <w:tc>
          <w:tcPr>
            <w:tcW w:w="109" w:type="dxa"/>
            <w:tcBorders/>
            <w:shd w:fill="CCEEFF" w:val="clear"/>
            <w:vAlign w:val="center"/>
          </w:tcPr>
          <w:p>
            <w:pPr>
              <w:pStyle w:val="TableContents"/>
              <w:bidi w:val="0"/>
              <w:spacing w:before="0" w:after="0"/>
              <w:ind w:left="0" w:right="0" w:hanging="0"/>
              <w:jc w:val="left"/>
              <w:rPr/>
            </w:pPr>
            <w:r>
              <w:rPr/>
              <w:t>​</w:t>
            </w:r>
          </w:p>
        </w:tc>
        <w:tc>
          <w:tcPr>
            <w:tcW w:w="9390" w:type="dxa"/>
            <w:tcBorders/>
            <w:shd w:fill="CCEEFF" w:val="clear"/>
            <w:vAlign w:val="center"/>
          </w:tcPr>
          <w:p>
            <w:pPr>
              <w:pStyle w:val="TableContents"/>
              <w:bidi w:val="0"/>
              <w:spacing w:before="0" w:after="30"/>
              <w:ind w:left="0" w:right="0" w:hanging="0"/>
              <w:jc w:val="left"/>
              <w:rPr/>
            </w:pPr>
            <w:hyperlink r:id="rId3">
              <w:r>
                <w:rPr>
                  <w:rStyle w:val="InternetLink"/>
                  <w:rFonts w:ascii="Times New Roman;Times;serif" w:hAnsi="Times New Roman;Times;serif"/>
                  <w:b w:val="false"/>
                  <w:i w:val="false"/>
                  <w:caps w:val="false"/>
                  <w:smallCaps w:val="false"/>
                  <w:sz w:val="20"/>
                </w:rPr>
                <w:t xml:space="preserve">Restated Articles of Incorporation (incorporated by reference to Exhibit 3.1 of our Quarterly Report on Form 10-Q filed February 8, 2023) </w:t>
              </w:r>
            </w:hyperlink>
          </w:p>
        </w:tc>
      </w:tr>
      <w:tr>
        <w:trPr/>
        <w:tc>
          <w:tcPr>
            <w:tcW w:w="70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3.3</w:t>
            </w:r>
          </w:p>
        </w:tc>
        <w:tc>
          <w:tcPr>
            <w:tcW w:w="109" w:type="dxa"/>
            <w:tcBorders/>
            <w:vAlign w:val="center"/>
          </w:tcPr>
          <w:p>
            <w:pPr>
              <w:pStyle w:val="TableContents"/>
              <w:bidi w:val="0"/>
              <w:spacing w:before="0" w:after="30"/>
              <w:ind w:left="0" w:right="0" w:hanging="0"/>
              <w:jc w:val="left"/>
              <w:rPr/>
            </w:pPr>
            <w:r>
              <w:rPr/>
              <w:t>​</w:t>
            </w:r>
          </w:p>
        </w:tc>
        <w:tc>
          <w:tcPr>
            <w:tcW w:w="9390" w:type="dxa"/>
            <w:tcBorders/>
            <w:vAlign w:val="center"/>
          </w:tcPr>
          <w:p>
            <w:pPr>
              <w:pStyle w:val="TableContents"/>
              <w:bidi w:val="0"/>
              <w:spacing w:before="0" w:after="3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(incorporated by reference to Exhibit 3.3 of our Annual Report on Form 10- filed September 13, 2023)</w:t>
              </w:r>
            </w:hyperlink>
          </w:p>
        </w:tc>
      </w:tr>
      <w:tr>
        <w:trPr/>
        <w:tc>
          <w:tcPr>
            <w:tcW w:w="70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w:t>
            </w:r>
          </w:p>
        </w:tc>
        <w:tc>
          <w:tcPr>
            <w:tcW w:w="109" w:type="dxa"/>
            <w:tcBorders/>
            <w:shd w:fill="CCEEFF" w:val="clear"/>
            <w:vAlign w:val="center"/>
          </w:tcPr>
          <w:p>
            <w:pPr>
              <w:pStyle w:val="TableContents"/>
              <w:bidi w:val="0"/>
              <w:spacing w:before="0" w:after="0"/>
              <w:ind w:left="0" w:right="0" w:hanging="0"/>
              <w:jc w:val="left"/>
              <w:rPr/>
            </w:pPr>
            <w:r>
              <w:rPr/>
              <w:t>​</w:t>
            </w:r>
          </w:p>
        </w:tc>
        <w:tc>
          <w:tcPr>
            <w:tcW w:w="9390" w:type="dxa"/>
            <w:tcBorders/>
            <w:shd w:fill="CCEEFF" w:val="clear"/>
            <w:vAlign w:val="center"/>
          </w:tcPr>
          <w:p>
            <w:pPr>
              <w:pStyle w:val="TableContents"/>
              <w:bidi w:val="0"/>
              <w:spacing w:before="0" w:after="30"/>
              <w:ind w:left="0" w:right="0" w:hanging="0"/>
              <w:jc w:val="left"/>
              <w:rPr/>
            </w:pPr>
            <w:hyperlink r:id="rId5">
              <w:r>
                <w:rPr>
                  <w:rStyle w:val="InternetLink"/>
                  <w:rFonts w:ascii="Times New Roman;Times;serif" w:hAnsi="Times New Roman;Times;serif"/>
                  <w:b w:val="false"/>
                  <w:i w:val="false"/>
                  <w:caps w:val="false"/>
                  <w:smallCaps w:val="false"/>
                  <w:sz w:val="20"/>
                </w:rPr>
                <w:t>Sales Agreement, dated as of February 11, 2026 by and among the Company, Roth Capital Partners, LLC, Northland Securities Inc. and A.G.P./Alliance Global Partners (incorporated by reference to Exhibit 1.1 of our Form 8-K filed February 11, 2026)</w:t>
              </w:r>
            </w:hyperlink>
          </w:p>
        </w:tc>
      </w:tr>
      <w:tr>
        <w:trPr/>
        <w:tc>
          <w:tcPr>
            <w:tcW w:w="70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390" w:type="dxa"/>
            <w:tcBorders/>
            <w:vAlign w:val="center"/>
          </w:tcPr>
          <w:p>
            <w:pPr>
              <w:pStyle w:val="TableContents"/>
              <w:bidi w:val="0"/>
              <w:spacing w:before="0" w:after="30"/>
              <w:ind w:left="0" w:right="0" w:hanging="0"/>
              <w:jc w:val="left"/>
              <w:rPr/>
            </w:pPr>
            <w:hyperlink w:anchor="epm-20260331xex31d1.htm">
              <w:r>
                <w:rPr>
                  <w:rStyle w:val="InternetLink"/>
                  <w:rFonts w:ascii="Times New Roman;Times;serif" w:hAnsi="Times New Roman;Times;serif"/>
                  <w:b w:val="false"/>
                  <w:i w:val="false"/>
                  <w:caps w:val="false"/>
                  <w:smallCaps w:val="false"/>
                  <w:sz w:val="20"/>
                </w:rPr>
                <w:t>Certification of Principal Executive Officer Pursuant to Rule 15D-14 of the Securities Exchange Act of 1934, as Amended as Adopted Pursuant to Section 302 of the Sarbanes-Oxley Act of 2002</w:t>
              </w:r>
            </w:hyperlink>
          </w:p>
        </w:tc>
      </w:tr>
      <w:tr>
        <w:trPr/>
        <w:tc>
          <w:tcPr>
            <w:tcW w:w="70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31.2**</w:t>
            </w:r>
          </w:p>
        </w:tc>
        <w:tc>
          <w:tcPr>
            <w:tcW w:w="109" w:type="dxa"/>
            <w:tcBorders/>
            <w:shd w:fill="CCEEFF" w:val="clear"/>
            <w:vAlign w:val="center"/>
          </w:tcPr>
          <w:p>
            <w:pPr>
              <w:pStyle w:val="TableContents"/>
              <w:bidi w:val="0"/>
              <w:spacing w:before="0" w:after="0"/>
              <w:ind w:left="0" w:right="0" w:hanging="0"/>
              <w:jc w:val="left"/>
              <w:rPr/>
            </w:pPr>
            <w:r>
              <w:rPr/>
              <w:t>​</w:t>
            </w:r>
          </w:p>
        </w:tc>
        <w:tc>
          <w:tcPr>
            <w:tcW w:w="9390" w:type="dxa"/>
            <w:tcBorders/>
            <w:shd w:fill="CCEEFF" w:val="clear"/>
            <w:vAlign w:val="center"/>
          </w:tcPr>
          <w:p>
            <w:pPr>
              <w:pStyle w:val="TableContents"/>
              <w:bidi w:val="0"/>
              <w:spacing w:before="0" w:after="30"/>
              <w:ind w:left="0" w:right="0" w:hanging="0"/>
              <w:jc w:val="left"/>
              <w:rPr/>
            </w:pPr>
            <w:hyperlink w:anchor="epm-20260331xex31d2.htm">
              <w:r>
                <w:rPr>
                  <w:rStyle w:val="InternetLink"/>
                  <w:rFonts w:ascii="Times New Roman;Times;serif" w:hAnsi="Times New Roman;Times;serif"/>
                  <w:b w:val="false"/>
                  <w:i w:val="false"/>
                  <w:caps w:val="false"/>
                  <w:smallCaps w:val="false"/>
                  <w:sz w:val="20"/>
                </w:rPr>
                <w:t>Certification of Principal Financial Officer Pursuant to Rule 15D-14 of the Securities Exchange Act of 1934, as Amended as Adopted Pursuant to Section 302 of the Sarbanes-Oxley Act of 2002</w:t>
              </w:r>
            </w:hyperlink>
          </w:p>
        </w:tc>
      </w:tr>
      <w:tr>
        <w:trPr/>
        <w:tc>
          <w:tcPr>
            <w:tcW w:w="70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390" w:type="dxa"/>
            <w:tcBorders/>
            <w:vAlign w:val="center"/>
          </w:tcPr>
          <w:p>
            <w:pPr>
              <w:pStyle w:val="TableContents"/>
              <w:bidi w:val="0"/>
              <w:spacing w:before="0" w:after="30"/>
              <w:ind w:left="0" w:right="0" w:hanging="0"/>
              <w:jc w:val="left"/>
              <w:rPr/>
            </w:pPr>
            <w:hyperlink w:anchor="epm-20260331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0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32.2**</w:t>
            </w:r>
          </w:p>
        </w:tc>
        <w:tc>
          <w:tcPr>
            <w:tcW w:w="109" w:type="dxa"/>
            <w:tcBorders/>
            <w:shd w:fill="CCEEFF" w:val="clear"/>
            <w:vAlign w:val="center"/>
          </w:tcPr>
          <w:p>
            <w:pPr>
              <w:pStyle w:val="TableContents"/>
              <w:bidi w:val="0"/>
              <w:spacing w:before="0" w:after="0"/>
              <w:ind w:left="0" w:right="0" w:hanging="0"/>
              <w:jc w:val="left"/>
              <w:rPr/>
            </w:pPr>
            <w:r>
              <w:rPr/>
              <w:t>​</w:t>
            </w:r>
          </w:p>
        </w:tc>
        <w:tc>
          <w:tcPr>
            <w:tcW w:w="9390" w:type="dxa"/>
            <w:tcBorders/>
            <w:shd w:fill="CCEEFF" w:val="clear"/>
            <w:vAlign w:val="center"/>
          </w:tcPr>
          <w:p>
            <w:pPr>
              <w:pStyle w:val="TableContents"/>
              <w:bidi w:val="0"/>
              <w:spacing w:before="0" w:after="30"/>
              <w:ind w:left="0" w:right="0" w:hanging="0"/>
              <w:jc w:val="left"/>
              <w:rPr/>
            </w:pPr>
            <w:hyperlink w:anchor="epm-20260331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0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390"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0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101.SCH*</w:t>
            </w:r>
          </w:p>
        </w:tc>
        <w:tc>
          <w:tcPr>
            <w:tcW w:w="109" w:type="dxa"/>
            <w:tcBorders/>
            <w:shd w:fill="CCEEFF" w:val="clear"/>
            <w:vAlign w:val="center"/>
          </w:tcPr>
          <w:p>
            <w:pPr>
              <w:pStyle w:val="TableContents"/>
              <w:bidi w:val="0"/>
              <w:spacing w:before="0" w:after="0"/>
              <w:ind w:left="0" w:right="0" w:hanging="0"/>
              <w:jc w:val="left"/>
              <w:rPr/>
            </w:pPr>
            <w:r>
              <w:rPr/>
              <w:t>​</w:t>
            </w:r>
          </w:p>
        </w:tc>
        <w:tc>
          <w:tcPr>
            <w:tcW w:w="9390"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0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390"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0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101.DEF*</w:t>
            </w:r>
          </w:p>
        </w:tc>
        <w:tc>
          <w:tcPr>
            <w:tcW w:w="109" w:type="dxa"/>
            <w:tcBorders/>
            <w:shd w:fill="CCEEFF" w:val="clear"/>
            <w:vAlign w:val="center"/>
          </w:tcPr>
          <w:p>
            <w:pPr>
              <w:pStyle w:val="TableContents"/>
              <w:bidi w:val="0"/>
              <w:spacing w:before="0" w:after="0"/>
              <w:ind w:left="0" w:right="0" w:hanging="0"/>
              <w:jc w:val="left"/>
              <w:rPr/>
            </w:pPr>
            <w:r>
              <w:rPr/>
              <w:t>​</w:t>
            </w:r>
          </w:p>
        </w:tc>
        <w:tc>
          <w:tcPr>
            <w:tcW w:w="9390"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0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390"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06" w:type="dxa"/>
            <w:tcBorders/>
            <w:shd w:fill="CCEEFF" w:val="clear"/>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101.PRE*</w:t>
            </w:r>
          </w:p>
        </w:tc>
        <w:tc>
          <w:tcPr>
            <w:tcW w:w="109" w:type="dxa"/>
            <w:tcBorders/>
            <w:shd w:fill="CCEEFF" w:val="clear"/>
            <w:vAlign w:val="center"/>
          </w:tcPr>
          <w:p>
            <w:pPr>
              <w:pStyle w:val="TableContents"/>
              <w:bidi w:val="0"/>
              <w:spacing w:before="0" w:after="0"/>
              <w:ind w:left="0" w:right="0" w:hanging="0"/>
              <w:jc w:val="left"/>
              <w:rPr/>
            </w:pPr>
            <w:r>
              <w:rPr/>
              <w:t>​</w:t>
            </w:r>
          </w:p>
        </w:tc>
        <w:tc>
          <w:tcPr>
            <w:tcW w:w="9390" w:type="dxa"/>
            <w:tcBorders/>
            <w:shd w:fill="CCEEFF" w:val="clear"/>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06" w:type="dxa"/>
            <w:tcBorders/>
            <w:vAlign w:val="center"/>
          </w:tcPr>
          <w:p>
            <w:pPr>
              <w:pStyle w:val="TableContents"/>
              <w:bidi w:val="0"/>
              <w:spacing w:before="0" w:after="30"/>
              <w:ind w:left="0" w:right="0" w:hanging="0"/>
              <w:jc w:val="righ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390" w:type="dxa"/>
            <w:tcBorders/>
            <w:vAlign w:val="center"/>
          </w:tcPr>
          <w:p>
            <w:pPr>
              <w:pStyle w:val="TableContents"/>
              <w:bidi w:val="0"/>
              <w:spacing w:before="0" w:after="3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Attached hereto.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Furnished herewith.</w:t>
      </w:r>
    </w:p>
    <w:p>
      <w:pPr>
        <w:pStyle w:val="TextBody"/>
        <w:bidi w:val="0"/>
        <w:spacing w:before="0" w:after="240"/>
        <w:ind w:left="0" w:right="0" w:hanging="0"/>
        <w:jc w:val="left"/>
        <w:rPr/>
      </w:pPr>
      <w:r>
        <w:rPr/>
        <w:t>​</w:t>
      </w:r>
    </w:p>
    <w:p>
      <w:pPr>
        <w:pStyle w:val="TextBody"/>
        <w:bidi w:val="0"/>
        <w:spacing w:before="0" w:after="240"/>
        <w:ind w:left="0" w:right="0" w:hanging="0"/>
        <w:jc w:val="center"/>
        <w:rPr/>
      </w:pPr>
      <w:bookmarkStart w:id="1301" w:name="_856a6d26_b135_4baf_a583_cee936972a52"/>
      <w:bookmarkEnd w:id="1301"/>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02" w:name="SIGNATURES_679961"/>
      <w:bookmarkEnd w:id="1302"/>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0" w:type="dxa"/>
          <w:left w:w="0" w:type="dxa"/>
          <w:bottom w:w="0" w:type="dxa"/>
          <w:right w:w="0" w:type="dxa"/>
        </w:tblCellMar>
      </w:tblPr>
      <w:tblGrid>
        <w:gridCol w:w="1719"/>
        <w:gridCol w:w="346"/>
        <w:gridCol w:w="404"/>
        <w:gridCol w:w="7736"/>
      </w:tblGrid>
      <w:tr>
        <w:trPr/>
        <w:tc>
          <w:tcPr>
            <w:tcW w:w="1719" w:type="dxa"/>
            <w:tcBorders/>
            <w:vAlign w:val="center"/>
          </w:tcPr>
          <w:p>
            <w:pPr>
              <w:pStyle w:val="TableContents"/>
              <w:bidi w:val="0"/>
              <w:spacing w:before="0" w:after="3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 ​ ​</w:t>
            </w:r>
          </w:p>
        </w:tc>
        <w:tc>
          <w:tcPr>
            <w:tcW w:w="8140" w:type="dxa"/>
            <w:gridSpan w:val="2"/>
            <w:tcBorders/>
            <w:vAlign w:val="center"/>
          </w:tcPr>
          <w:p>
            <w:pPr>
              <w:pStyle w:val="TableContents"/>
              <w:bidi w:val="0"/>
              <w:spacing w:before="0" w:after="30"/>
              <w:ind w:left="0" w:right="0" w:hanging="0"/>
              <w:jc w:val="left"/>
              <w:rPr>
                <w:rFonts w:ascii="Times New Roman;Times;serif" w:hAnsi="Times New Roman;Times;serif"/>
                <w:b/>
                <w:sz w:val="20"/>
              </w:rPr>
            </w:pPr>
            <w:r>
              <w:rPr>
                <w:rFonts w:ascii="Times New Roman;Times;serif" w:hAnsi="Times New Roman;Times;serif"/>
                <w:b/>
                <w:sz w:val="20"/>
              </w:rPr>
              <w:t>Evolution Petroleum Corporation</w:t>
            </w:r>
          </w:p>
        </w:tc>
      </w:tr>
      <w:tr>
        <w:trPr/>
        <w:tc>
          <w:tcPr>
            <w:tcW w:w="17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2026</w:t>
            </w:r>
          </w:p>
        </w:tc>
        <w:tc>
          <w:tcPr>
            <w:tcW w:w="346" w:type="dxa"/>
            <w:tcBorders/>
            <w:vAlign w:val="center"/>
          </w:tcPr>
          <w:p>
            <w:pPr>
              <w:pStyle w:val="TableContents"/>
              <w:bidi w:val="0"/>
              <w:spacing w:before="0" w:after="0"/>
              <w:ind w:left="0" w:right="0" w:hanging="0"/>
              <w:jc w:val="center"/>
              <w:rPr/>
            </w:pPr>
            <w:r>
              <w:rPr/>
              <w:t>​</w:t>
            </w:r>
          </w:p>
        </w:tc>
        <w:tc>
          <w:tcPr>
            <w:tcW w:w="4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3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7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4" w:type="dxa"/>
            <w:tcBorders/>
            <w:vAlign w:val="center"/>
          </w:tcPr>
          <w:p>
            <w:pPr>
              <w:pStyle w:val="TableContents"/>
              <w:bidi w:val="0"/>
              <w:spacing w:before="0" w:after="0"/>
              <w:ind w:left="0" w:right="0" w:hanging="0"/>
              <w:jc w:val="left"/>
              <w:rPr/>
            </w:pPr>
            <w:r>
              <w:rPr/>
              <w:t>​</w:t>
            </w:r>
          </w:p>
        </w:tc>
        <w:tc>
          <w:tcPr>
            <w:tcW w:w="773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Kelly W. Loyd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President and Chief Executive Officer (Principal Executive Officer) and Director</w:t>
            </w:r>
            <w:r>
              <w:rPr>
                <w:rFonts w:ascii="Times New Roman;Times;serif" w:hAnsi="Times New Roman;Times;serif"/>
                <w:sz w:val="20"/>
              </w:rPr>
              <w:br/>
              <w:t>​</w:t>
            </w:r>
          </w:p>
          <w:p>
            <w:pPr>
              <w:pStyle w:val="TableContents"/>
              <w:bidi w:val="0"/>
              <w:spacing w:before="0" w:after="0"/>
              <w:ind w:left="0" w:right="0" w:hanging="0"/>
              <w:jc w:val="center"/>
              <w:rPr/>
            </w:pPr>
            <w:r>
              <w:rPr/>
              <w:t>​</w:t>
            </w:r>
          </w:p>
        </w:tc>
      </w:tr>
      <w:tr>
        <w:trPr/>
        <w:tc>
          <w:tcPr>
            <w:tcW w:w="17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7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7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4" w:type="dxa"/>
            <w:tcBorders/>
            <w:vAlign w:val="center"/>
          </w:tcPr>
          <w:p>
            <w:pPr>
              <w:pStyle w:val="TableContents"/>
              <w:bidi w:val="0"/>
              <w:spacing w:before="0" w:after="0"/>
              <w:ind w:left="0" w:right="0" w:hanging="0"/>
              <w:jc w:val="left"/>
              <w:rPr/>
            </w:pPr>
            <w:r>
              <w:rPr/>
              <w:t>​</w:t>
            </w:r>
          </w:p>
        </w:tc>
        <w:tc>
          <w:tcPr>
            <w:tcW w:w="7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Ryan Stash</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and Chief Financial Officer (Principal Financial Officer) and Treasurer</w:t>
            </w:r>
          </w:p>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240"/>
        <w:ind w:left="0" w:right="0" w:hanging="0"/>
        <w:jc w:val="right"/>
        <w:rPr>
          <w:rFonts w:ascii="Times New Roman;Times;serif" w:hAnsi="Times New Roman;Times;serif"/>
          <w:b/>
          <w:sz w:val="20"/>
        </w:rPr>
      </w:pPr>
      <w:bookmarkStart w:id="1303" w:name="epm-20260331xex31d1.htm"/>
      <w:bookmarkStart w:id="1304" w:name="ksepm20260331xex31d1"/>
      <w:bookmarkEnd w:id="1303"/>
      <w:bookmarkEnd w:id="1304"/>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Kelly W. Loyd, President and Chief Executive Officer (Principal Executive Officer) and Director,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0"/>
        <w:jc w:val="left"/>
        <w:rPr/>
      </w:pPr>
      <w:r>
        <w:rPr/>
        <w:t>​</w:t>
      </w:r>
    </w:p>
    <w:tbl>
      <w:tblPr>
        <w:tblW w:w="8582" w:type="dxa"/>
        <w:jc w:val="center"/>
        <w:tblInd w:w="0" w:type="dxa"/>
        <w:tblLayout w:type="fixed"/>
        <w:tblCellMar>
          <w:top w:w="0" w:type="dxa"/>
          <w:left w:w="0" w:type="dxa"/>
          <w:bottom w:w="0" w:type="dxa"/>
          <w:right w:w="0" w:type="dxa"/>
        </w:tblCellMar>
      </w:tblPr>
      <w:tblGrid>
        <w:gridCol w:w="1846"/>
        <w:gridCol w:w="673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172210" cy="175260"/>
                      <wp:effectExtent l="0" t="0" r="0" b="0"/>
                      <wp:wrapNone/>
                      <wp:docPr id="345" name="Frame344"/>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277995" cy="175260"/>
                      <wp:effectExtent l="0" t="0" r="0" b="0"/>
                      <wp:wrapNone/>
                      <wp:docPr id="346" name="Frame345"/>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13, 2026</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KELLY W. LOYD </w:t>
            </w:r>
          </w:p>
        </w:tc>
      </w:tr>
      <w:tr>
        <w:trPr/>
        <w:tc>
          <w:tcPr>
            <w:tcW w:w="1846"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Kelly W. Loyd</w:t>
            </w:r>
          </w:p>
        </w:tc>
      </w:tr>
      <w:tr>
        <w:trPr/>
        <w:tc>
          <w:tcPr>
            <w:tcW w:w="1846"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05" w:name="epm-20260331xex31d2.htm"/>
      <w:bookmarkStart w:id="1306" w:name="ksepm20260331xex31d2"/>
      <w:bookmarkEnd w:id="1305"/>
      <w:bookmarkEnd w:id="1306"/>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Ryan Stash, Senior Vice President, Chief Financial Officer (Principal Financial Officer) and Treasurer of Evolution Petroleum Corporation, certify that:</w:t>
      </w:r>
    </w:p>
    <w:tbl>
      <w:tblPr>
        <w:tblW w:w="7353" w:type="dxa"/>
        <w:jc w:val="left"/>
        <w:tblInd w:w="0" w:type="dxa"/>
        <w:tblLayout w:type="fixed"/>
        <w:tblCellMar>
          <w:top w:w="0" w:type="dxa"/>
          <w:left w:w="0" w:type="dxa"/>
          <w:bottom w:w="0" w:type="dxa"/>
          <w:right w:w="0" w:type="dxa"/>
        </w:tblCellMar>
      </w:tblPr>
      <w:tblGrid>
        <w:gridCol w:w="23"/>
        <w:gridCol w:w="170"/>
        <w:gridCol w:w="71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Evolution Petroleum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
        <w:ind w:left="0" w:right="0" w:hanging="0"/>
        <w:jc w:val="left"/>
        <w:rPr/>
      </w:pPr>
      <w:r>
        <w:rPr/>
        <w:t>​</w:t>
      </w:r>
    </w:p>
    <w:tbl>
      <w:tblPr>
        <w:tblW w:w="9392" w:type="dxa"/>
        <w:jc w:val="center"/>
        <w:tblInd w:w="0" w:type="dxa"/>
        <w:tblLayout w:type="fixed"/>
        <w:tblCellMar>
          <w:top w:w="0" w:type="dxa"/>
          <w:left w:w="0" w:type="dxa"/>
          <w:bottom w:w="0" w:type="dxa"/>
          <w:right w:w="0" w:type="dxa"/>
        </w:tblCellMar>
      </w:tblPr>
      <w:tblGrid>
        <w:gridCol w:w="1846"/>
        <w:gridCol w:w="754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172210" cy="175260"/>
                      <wp:effectExtent l="0" t="0" r="0" b="0"/>
                      <wp:wrapNone/>
                      <wp:docPr id="347" name="Frame346"/>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792345" cy="175260"/>
                      <wp:effectExtent l="0" t="0" r="0" b="0"/>
                      <wp:wrapNone/>
                      <wp:docPr id="348" name="Frame347"/>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13, 2026</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RYAN STASH </w:t>
            </w:r>
          </w:p>
        </w:tc>
      </w:tr>
      <w:tr>
        <w:trPr/>
        <w:tc>
          <w:tcPr>
            <w:tcW w:w="1846"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Stash</w:t>
            </w:r>
          </w:p>
        </w:tc>
      </w:tr>
      <w:tr>
        <w:trPr/>
        <w:tc>
          <w:tcPr>
            <w:tcW w:w="1846"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07" w:name="epm-20260331xex32d1.htm"/>
      <w:bookmarkStart w:id="1308" w:name="ksepm20260331xex32d1"/>
      <w:bookmarkEnd w:id="1307"/>
      <w:bookmarkEnd w:id="1308"/>
      <w:r>
        <w:rPr>
          <w:rFonts w:ascii="Times New Roman;Times;serif" w:hAnsi="Times New Roman;Times;serif"/>
          <w:b/>
          <w:sz w:val="20"/>
        </w:rPr>
        <w:t>EXHIBIT 32.1</w:t>
      </w:r>
      <w:r>
        <w:br w:type="page"/>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 xml:space="preserve">CERTIFICATION PURSUANT TO </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3"/>
        <w:ind w:left="0" w:right="0" w:hanging="23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240"/>
        <w:ind w:left="0" w:right="0" w:hanging="23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March 31, 2026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May 13, 2026.</w:t>
      </w:r>
    </w:p>
    <w:p>
      <w:pPr>
        <w:pStyle w:val="TextBody"/>
        <w:pBdr/>
        <w:bidi w:val="0"/>
        <w:spacing w:before="0" w:after="0"/>
        <w:ind w:left="0" w:right="0" w:hanging="720"/>
        <w:jc w:val="left"/>
        <w:rPr/>
      </w:pPr>
      <w:r>
        <w:rPr/>
        <w:t>​</w:t>
      </w:r>
    </w:p>
    <w:tbl>
      <w:tblPr>
        <w:tblW w:w="6860" w:type="dxa"/>
        <w:jc w:val="center"/>
        <w:tblInd w:w="0" w:type="dxa"/>
        <w:tblLayout w:type="fixed"/>
        <w:tblCellMar>
          <w:top w:w="0" w:type="dxa"/>
          <w:left w:w="0" w:type="dxa"/>
          <w:bottom w:w="0" w:type="dxa"/>
          <w:right w:w="0" w:type="dxa"/>
        </w:tblCellMar>
      </w:tblPr>
      <w:tblGrid>
        <w:gridCol w:w="124"/>
        <w:gridCol w:w="67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78740" cy="175260"/>
                      <wp:effectExtent l="0" t="0" r="0" b="0"/>
                      <wp:wrapNone/>
                      <wp:docPr id="349" name="Frame34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277995" cy="175260"/>
                      <wp:effectExtent l="0" t="0" r="0" b="0"/>
                      <wp:wrapNone/>
                      <wp:docPr id="350" name="Frame349"/>
                      <a:graphic xmlns:a="http://schemas.openxmlformats.org/drawingml/2006/main">
                        <a:graphicData uri="http://schemas.microsoft.com/office/word/2010/wordprocessingShape">
                          <wps:wsp>
                            <wps:cNvSpPr txBox="1"/>
                            <wps:spPr>
                              <a:xfrm>
                                <a:off x="0" y="0"/>
                                <a:ext cx="427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Kelly W. Loyd</w:t>
            </w:r>
          </w:p>
        </w:tc>
      </w:tr>
      <w:tr>
        <w:trPr/>
        <w:tc>
          <w:tcPr>
            <w:tcW w:w="124" w:type="dxa"/>
            <w:tcBorders/>
            <w:vAlign w:val="center"/>
          </w:tcPr>
          <w:p>
            <w:pPr>
              <w:pStyle w:val="TableContents"/>
              <w:bidi w:val="0"/>
              <w:spacing w:before="0" w:after="0"/>
              <w:ind w:left="0" w:right="0" w:hanging="0"/>
              <w:jc w:val="left"/>
              <w:rPr/>
            </w:pPr>
            <w:r>
              <w:rPr/>
              <w:t>​</w:t>
            </w:r>
          </w:p>
        </w:tc>
        <w:tc>
          <w:tcPr>
            <w:tcW w:w="673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 (Principal Executive Officer) and Director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09" w:name="epm-20260331xex32d2.htm"/>
      <w:bookmarkStart w:id="1310" w:name="ksepm20260331xex32d2"/>
      <w:bookmarkEnd w:id="1309"/>
      <w:bookmarkEnd w:id="131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undersigned, Ryan Stash, Senior Vice President, Chief Financial Officer (Principal Financial Officer) and Treasurer of Evolution Petroleum Corporation (the “Company”), certifies in connection with the filing with the Securities and Exchange Commission of the Company’s Quarterly Report on Form 10-Q for the quarter ended March 31, 2026 (the “Report”) pursuant to 18 U.S.C. Section 1350, as adopted pursuant to Section 906 of the Sarbanes-Oxley Act of 2002, to his knowledge, that: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pBdr/>
        <w:bidi w:val="0"/>
        <w:spacing w:before="0" w:after="240"/>
        <w:ind w:left="720" w:right="0" w:hanging="720"/>
        <w:jc w:val="left"/>
        <w:rPr>
          <w:rFonts w:ascii="Times New Roman;Times;serif" w:hAnsi="Times New Roman;Times;serif"/>
          <w:sz w:val="20"/>
        </w:rPr>
      </w:pPr>
      <w:r>
        <w:rPr>
          <w:rFonts w:ascii="Times New Roman;Times;serif" w:hAnsi="Times New Roman;Times;serif"/>
          <w:sz w:val="20"/>
        </w:rPr>
        <w:t>IN WITNESS WHEREOF, the undersigned has executed this certification as of May 13, 2026.</w:t>
      </w:r>
    </w:p>
    <w:tbl>
      <w:tblPr>
        <w:tblW w:w="7670" w:type="dxa"/>
        <w:jc w:val="center"/>
        <w:tblInd w:w="0" w:type="dxa"/>
        <w:tblLayout w:type="fixed"/>
        <w:tblCellMar>
          <w:top w:w="0" w:type="dxa"/>
          <w:left w:w="0" w:type="dxa"/>
          <w:bottom w:w="0" w:type="dxa"/>
          <w:right w:w="0" w:type="dxa"/>
        </w:tblCellMar>
      </w:tblPr>
      <w:tblGrid>
        <w:gridCol w:w="124"/>
        <w:gridCol w:w="754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78740" cy="175260"/>
                      <wp:effectExtent l="0" t="0" r="0" b="0"/>
                      <wp:wrapNone/>
                      <wp:docPr id="351" name="Frame35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792345" cy="175260"/>
                      <wp:effectExtent l="0" t="0" r="0" b="0"/>
                      <wp:wrapNone/>
                      <wp:docPr id="352" name="Frame351"/>
                      <a:graphic xmlns:a="http://schemas.openxmlformats.org/drawingml/2006/main">
                        <a:graphicData uri="http://schemas.microsoft.com/office/word/2010/wordprocessingShape">
                          <wps:wsp>
                            <wps:cNvSpPr txBox="1"/>
                            <wps:spPr>
                              <a:xfrm>
                                <a:off x="0" y="0"/>
                                <a:ext cx="479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Ryan Stash</w:t>
            </w:r>
          </w:p>
        </w:tc>
      </w:tr>
      <w:tr>
        <w:trPr/>
        <w:tc>
          <w:tcPr>
            <w:tcW w:w="124" w:type="dxa"/>
            <w:tcBorders/>
            <w:vAlign w:val="center"/>
          </w:tcPr>
          <w:p>
            <w:pPr>
              <w:pStyle w:val="TableContents"/>
              <w:bidi w:val="0"/>
              <w:spacing w:before="0" w:after="0"/>
              <w:ind w:left="0" w:right="0" w:hanging="0"/>
              <w:jc w:val="left"/>
              <w:rPr/>
            </w:pPr>
            <w:r>
              <w:rPr/>
              <w:t>​</w:t>
            </w:r>
          </w:p>
        </w:tc>
        <w:tc>
          <w:tcPr>
            <w:tcW w:w="754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Senior Vice President, Chief Financial Officer (Principal Financial Officer) and Treasurer</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200"/>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Regular">
    <w:charset w:val="01"/>
    <w:family w:val="auto"/>
    <w:pitch w:val="default"/>
  </w:font>
  <w:font w:name="'Times New Roman'">
    <w:altName w:val="'Times'"/>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06655/000155837023001024/epm-20221231xex3d1.htm" TargetMode="External"/><Relationship Id="rId4" Type="http://schemas.openxmlformats.org/officeDocument/2006/relationships/hyperlink" Target="https://www.sec.gov/Archives/edgar/data/1006655/000155837023015706/epm-20230630xex3d3.htm" TargetMode="External"/><Relationship Id="rId5" Type="http://schemas.openxmlformats.org/officeDocument/2006/relationships/hyperlink" Target="https://www.sec.gov/Archives/edgar/data/1006655/000110465926013485/tm262831d5_ex1-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23615</Words>
  <Characters>130296</Characters>
  <CharactersWithSpaces>155856</CharactersWithSpaces>
  <Paragraphs>6496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