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lineRule="atLeast" w:line="142" w:before="0" w:after="240"/>
        <w:ind w:left="0" w:right="0" w:hanging="0"/>
        <w:jc w:val="center"/>
        <w:rPr/>
      </w:pPr>
      <w:bookmarkStart w:id="0" w:name="epm-20260910x8k.htm"/>
      <w:bookmarkStart w:id="1" w:name="ksepm20260910x8k"/>
      <w:bookmarkEnd w:id="0"/>
      <w:bookmarkEnd w:id="1"/>
      <w:r>
        <w:rPr/>
        <w:t>​</w:t>
      </w:r>
    </w:p>
    <w:p>
      <w:pPr>
        <w:pStyle w:val="TextBody"/>
        <w:bidi w:val="0"/>
        <w:spacing w:before="0" w:after="240"/>
        <w:ind w:left="0" w:right="0" w:hanging="0"/>
        <w:jc w:val="center"/>
        <w:rPr>
          <w:rFonts w:ascii="Times New Roman;Times;serif" w:hAnsi="Times New Roman;Times;serif"/>
          <w:b/>
          <w:sz w:val="20"/>
        </w:rPr>
      </w:pPr>
      <w:bookmarkStart w:id="2" w:name="_7475405f_69a4_4d77_9e21_f78a052edb03"/>
      <w:bookmarkEnd w:id="2"/>
      <w:r>
        <w:rPr>
          <w:rFonts w:ascii="Times New Roman;Times;serif" w:hAnsi="Times New Roman;Times;serif"/>
          <w:b/>
          <w:sz w:val="20"/>
        </w:rPr>
        <w:t>UNITED STATES</w:t>
        <w:br/>
        <w:t>SECURITIES AND EXCHANGE COMMISSION</w:t>
        <w:br/>
        <w:t>Washington, D.C. 20549</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CURRENT REPORT PURSUANT TO SECTION 13 OR 15(D) OF THE</w:t>
        <w:br/>
        <w:t>SECURITIES EXCHANGE ACT OF 1934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September 10,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001-32942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(Commission File Number)</w:t>
      </w:r>
    </w:p>
    <w:p>
      <w:pPr>
        <w:pStyle w:val="Normal"/>
        <w:bidi w:val="0"/>
        <w:spacing w:before="0" w:after="0"/>
        <w:jc w:val="left"/>
        <w:rPr>
          <w:sz w:val="4"/>
          <w:szCs w:val="4"/>
        </w:rPr>
      </w:pPr>
      <w:r>
        <w:rPr>
          <w:sz w:val="4"/>
          <w:szCs w:val="4"/>
        </w:rPr>
      </w:r>
      <w:bookmarkStart w:id="3" w:name="Tc_nM0xNDuA_0aiLmVE1vbNgw_4_1"/>
      <w:bookmarkStart w:id="4" w:name="Tc_w3M4TvIICkuzy_xMYGw0Vw_4_0"/>
      <w:bookmarkStart w:id="5" w:name="Tc_LttWOYrYH0SlKyl1e8Lt2Q_3_0"/>
      <w:bookmarkStart w:id="6" w:name="Tc_lwZm0GLd3ECfYIqhXh1L1Q_2_1"/>
      <w:bookmarkStart w:id="7" w:name="Tc_96S4eJRrKEGBrVytEIHbwg_2_0"/>
      <w:bookmarkStart w:id="8" w:name="_834e7315_f58b_43b1_8445_1c16876b0616"/>
      <w:bookmarkStart w:id="9" w:name="Tc_nM0xNDuA_0aiLmVE1vbNgw_4_1"/>
      <w:bookmarkStart w:id="10" w:name="Tc_w3M4TvIICkuzy_xMYGw0Vw_4_0"/>
      <w:bookmarkStart w:id="11" w:name="Tc_LttWOYrYH0SlKyl1e8Lt2Q_3_0"/>
      <w:bookmarkStart w:id="12" w:name="Tc_lwZm0GLd3ECfYIqhXh1L1Q_2_1"/>
      <w:bookmarkStart w:id="13" w:name="Tc_96S4eJRrKEGBrVytEIHbwg_2_0"/>
      <w:bookmarkStart w:id="14" w:name="_834e7315_f58b_43b1_8445_1c16876b0616"/>
      <w:bookmarkEnd w:id="9"/>
      <w:bookmarkEnd w:id="10"/>
      <w:bookmarkEnd w:id="11"/>
      <w:bookmarkEnd w:id="12"/>
      <w:bookmarkEnd w:id="13"/>
      <w:bookmarkEnd w:id="14"/>
    </w:p>
    <w:tbl>
      <w:tblPr>
        <w:tblW w:w="7592" w:type="dxa"/>
        <w:jc w:val="left"/>
        <w:tblInd w:w="0" w:type="dxa"/>
        <w:tblLayout w:type="fixed"/>
        <w:tblCellMar>
          <w:top w:w="0" w:type="dxa"/>
          <w:left w:w="0" w:type="dxa"/>
          <w:bottom w:w="0" w:type="dxa"/>
          <w:right w:w="0" w:type="dxa"/>
        </w:tblCellMar>
      </w:tblPr>
      <w:tblGrid>
        <w:gridCol w:w="4561"/>
        <w:gridCol w:w="3031"/>
      </w:tblGrid>
      <w:tr>
        <w:trPr/>
        <w:tc>
          <w:tcPr>
            <w:tcW w:w="4561"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Nevada</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41-1781991</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1155 Dairy Ashford Road, Suite 425, Houston, Texas</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77079</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(713) 935-0122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 xml:space="preserve">see </w:t>
      </w:r>
      <w:r>
        <w:rPr>
          <w:rFonts w:ascii="Times New Roman;Times;serif" w:hAnsi="Times New Roman;Times;serif"/>
          <w:sz w:val="20"/>
        </w:rPr>
        <w:t>General Instruction A.2. below):</w:t>
      </w:r>
    </w:p>
    <w:p>
      <w:pPr>
        <w:pStyle w:val="TextBody"/>
        <w:pBdr/>
        <w:bidi w:val="0"/>
        <w:spacing w:before="0" w:after="120"/>
        <w:ind w:left="0" w:right="0" w:hanging="312"/>
        <w:jc w:val="left"/>
        <w:rPr/>
      </w:pPr>
      <w:r>
        <w:rPr/>
        <w:t>☐    </w:t>
      </w:r>
      <w:r>
        <w:rPr>
          <w:rFonts w:ascii="Times New Roman;Times;serif" w:hAnsi="Times New Roman;Times;serif"/>
          <w:sz w:val="20"/>
        </w:rPr>
        <w:t>Written communications pursuant to Rule 425 under the Securities Act (17 CFR 230.425)</w:t>
      </w:r>
    </w:p>
    <w:p>
      <w:pPr>
        <w:pStyle w:val="TextBody"/>
        <w:pBdr/>
        <w:bidi w:val="0"/>
        <w:spacing w:before="0" w:after="120"/>
        <w:ind w:left="0" w:right="0" w:hanging="312"/>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before="0" w:after="120"/>
        <w:ind w:left="0" w:right="0" w:hanging="312"/>
        <w:jc w:val="left"/>
        <w:rPr/>
      </w:pPr>
      <w:r>
        <w:rPr/>
        <w:t>☐    </w:t>
      </w:r>
      <w:r>
        <w:rPr>
          <w:rFonts w:ascii="Times New Roman;Times;serif" w:hAnsi="Times New Roman;Times;serif"/>
          <w:sz w:val="20"/>
        </w:rPr>
        <w:t>Pre-commencement communications pursuant to Rule 14d-2(b) under the Exchange Act (17 CFR 240.14d-2(b))</w:t>
      </w:r>
    </w:p>
    <w:p>
      <w:pPr>
        <w:pStyle w:val="TextBody"/>
        <w:pBdr/>
        <w:bidi w:val="0"/>
        <w:spacing w:before="0" w:after="240"/>
        <w:ind w:left="0" w:right="0" w:hanging="312"/>
        <w:jc w:val="left"/>
        <w:rPr/>
      </w:pPr>
      <w:r>
        <w:rPr/>
        <w:t>☐    </w:t>
      </w:r>
      <w:r>
        <w:rPr>
          <w:rFonts w:ascii="Times New Roman;Times;serif" w:hAnsi="Times New Roman;Times;serif"/>
          <w:sz w:val="20"/>
        </w:rPr>
        <w:t>Pre-commencement communications pursuant to Rule 13e-4(c) under the Exchange Act (17 CFR 240.13e-4(c))</w:t>
      </w:r>
    </w:p>
    <w:p>
      <w:pPr>
        <w:pStyle w:val="TextBody"/>
        <w:pBdr/>
        <w:bidi w:val="0"/>
        <w:spacing w:before="0" w:after="240"/>
        <w:ind w:left="0" w:right="0" w:hanging="312"/>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5" w:name="Tc_ETHBPctXT02cWvgkzdxttg_1_4"/>
      <w:bookmarkStart w:id="16" w:name="Tc_8jBCS27vD06UQuh53sZJ6w_1_2"/>
      <w:bookmarkStart w:id="17" w:name="Tc_-zqjOyGqXEynQsR291vPwA_1_0"/>
      <w:bookmarkStart w:id="18" w:name="_fe026e04_ba26_42ea_96f0_cc5b49a2cf88"/>
      <w:bookmarkStart w:id="19" w:name="Tc_ETHBPctXT02cWvgkzdxttg_1_4"/>
      <w:bookmarkStart w:id="20" w:name="Tc_8jBCS27vD06UQuh53sZJ6w_1_2"/>
      <w:bookmarkStart w:id="21" w:name="Tc_-zqjOyGqXEynQsR291vPwA_1_0"/>
      <w:bookmarkStart w:id="22" w:name="_fe026e04_ba26_42ea_96f0_cc5b49a2cf88"/>
      <w:bookmarkEnd w:id="19"/>
      <w:bookmarkEnd w:id="20"/>
      <w:bookmarkEnd w:id="21"/>
      <w:bookmarkEnd w:id="22"/>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635760"/>
                      <wp:effectExtent l="0" t="0" r="0" b="0"/>
                      <wp:wrapNone/>
                      <wp:docPr id="1" name="Frame1"/>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350520"/>
                      <wp:effectExtent l="0" t="0" r="0" b="0"/>
                      <wp:wrapNone/>
                      <wp:docPr id="2" name="Frame2"/>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0"/>
                      <wp:effectExtent l="0" t="0" r="0" b="0"/>
                      <wp:wrapNone/>
                      <wp:docPr id="3" name="Frame3"/>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350520"/>
                      <wp:effectExtent l="0" t="0" r="0" b="0"/>
                      <wp:wrapNone/>
                      <wp:docPr id="4"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7790" cy="3037840"/>
                      <wp:effectExtent l="0" t="0" r="0" b="0"/>
                      <wp:wrapNone/>
                      <wp:docPr id="5" name="Frame5"/>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8740" cy="2687320"/>
                      <wp:effectExtent l="0" t="0" r="0" b="0"/>
                      <wp:wrapNone/>
                      <wp:docPr id="6" name="Frame6"/>
                      <a:graphic xmlns:a="http://schemas.openxmlformats.org/drawingml/2006/main">
                        <a:graphicData uri="http://schemas.microsoft.com/office/word/2010/wordprocessingShape">
                          <wps:wsp>
                            <wps:cNvSpPr txBox="1"/>
                            <wps:spPr>
                              <a:xfrm>
                                <a:off x="0" y="0"/>
                                <a:ext cx="78740" cy="26873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350520"/>
                      <wp:effectExtent l="0" t="0" r="0" b="0"/>
                      <wp:wrapNone/>
                      <wp:docPr id="8" name="Frame8"/>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051560"/>
                      <wp:effectExtent l="0" t="0" r="0" b="0"/>
                      <wp:wrapNone/>
                      <wp:docPr id="10" name="Frame10"/>
                      <a:graphic xmlns:a="http://schemas.openxmlformats.org/drawingml/2006/main">
                        <a:graphicData uri="http://schemas.microsoft.com/office/word/2010/wordprocessingShape">
                          <wps:wsp>
                            <wps:cNvSpPr txBox="1"/>
                            <wps:spPr>
                              <a:xfrm>
                                <a:off x="0" y="0"/>
                                <a:ext cx="9779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 w:name="_37e86a7a_6d43_4c14_a06e_e4fe1d0c519c"/>
      <w:bookmarkEnd w:id="23"/>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On September 15, 2026, Evolution Petroleum Corporation (the “Company”) issued a press release reporting its financial and operating results for the fiscal year and quarter ended June 30, 2026. A copy of the press release, dated September 15, 2026, regarding the Company’s financial and operating results, is furnished herewith as Exhibit 99.1 and is incorporated herein by reference.</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Occasionally our management discloses net income (loss) and net earnings (loss) per common share excluding selected items as well as Adjusted EBITDA. These measures are presented by our management as supplemental financial measures to allow external users of our financial statements, such as investors, commercial banks, and others, to assess our operating performance as compared to that of other companies in our industry, without regard to financing methods, capital structure, or historical costs basis. We use these measures to assess our ability to incur and service debt and fund capital expenditures. These measures are not measures of financial performance performed under GAAP and should not be considered alternatives to net income (loss), operating income (loss), cash flows provided by (used in) operating activities, or any other measure of financial performance or liquidity presented in accordance with GAAP. These measures may not be comparable to similarly titled non-GAAP measures of another company and may not be useful in comparing our performance to the performance of other companies.</w:t>
      </w:r>
    </w:p>
    <w:p>
      <w:pPr>
        <w:pStyle w:val="TextBody"/>
        <w:bidi w:val="0"/>
        <w:spacing w:before="0" w:after="240"/>
        <w:ind w:left="0" w:right="0" w:hanging="0"/>
        <w:jc w:val="left"/>
        <w:rPr>
          <w:rFonts w:ascii="Times New Roman;Times;serif" w:hAnsi="Times New Roman;Times;serif"/>
          <w:b/>
          <w:sz w:val="20"/>
        </w:rPr>
      </w:pPr>
      <w:bookmarkStart w:id="24" w:name="_Hlk118802476"/>
      <w:bookmarkEnd w:id="24"/>
      <w:r>
        <w:rPr>
          <w:rFonts w:ascii="Times New Roman;Times;serif" w:hAnsi="Times New Roman;Times;serif"/>
          <w:b/>
          <w:i w:val="false"/>
          <w:caps w:val="false"/>
          <w:smallCaps w:val="false"/>
          <w:sz w:val="20"/>
        </w:rPr>
        <w:t>Item 8.01</w:t>
      </w:r>
      <w:r>
        <w:rPr>
          <w:rFonts w:ascii="Times New Roman;Times;serif" w:hAnsi="Times New Roman;Times;serif"/>
          <w:b/>
          <w:sz w:val="20"/>
        </w:rPr>
        <w:t>Other Events.</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On September 10, 2026, the Company approved the declaration of a $0.12 per common share dividend for the first quarter of 2027 to shareholders of record on September 21, 2026 and payable on September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rFonts w:ascii="Times New Roman;Times;serif" w:hAnsi="Times New Roman;Times;serif"/>
          <w:sz w:val="17"/>
        </w:rPr>
      </w:pPr>
      <w:r>
        <w:rPr>
          <w:rFonts w:ascii="Times New Roman;Times;serif" w:hAnsi="Times New Roman;Times;serif"/>
          <w:sz w:val="17"/>
        </w:rPr>
        <w:t>(d)   Exhibits</w:t>
      </w:r>
    </w:p>
    <w:tbl>
      <w:tblPr>
        <w:tblW w:w="10205" w:type="dxa"/>
        <w:jc w:val="left"/>
        <w:tblInd w:w="0" w:type="dxa"/>
        <w:tblLayout w:type="fixed"/>
        <w:tblCellMar>
          <w:top w:w="0" w:type="dxa"/>
          <w:left w:w="0" w:type="dxa"/>
          <w:bottom w:w="0" w:type="dxa"/>
          <w:right w:w="0" w:type="dxa"/>
        </w:tblCellMar>
      </w:tblPr>
      <w:tblGrid>
        <w:gridCol w:w="1026"/>
        <w:gridCol w:w="9179"/>
      </w:tblGrid>
      <w:tr>
        <w:trPr/>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1510" cy="175260"/>
                      <wp:effectExtent l="0" t="0" r="0" b="0"/>
                      <wp:wrapNone/>
                      <wp:docPr id="11" name="Frame11"/>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28665" cy="175260"/>
                      <wp:effectExtent l="0" t="0" r="0" b="0"/>
                      <wp:wrapNone/>
                      <wp:docPr id="12" name="Frame12"/>
                      <a:graphic xmlns:a="http://schemas.openxmlformats.org/drawingml/2006/main">
                        <a:graphicData uri="http://schemas.microsoft.com/office/word/2010/wordprocessingShape">
                          <wps:wsp>
                            <wps:cNvSpPr txBox="1"/>
                            <wps:spPr>
                              <a:xfrm>
                                <a:off x="0" y="0"/>
                                <a:ext cx="582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91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1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9179" w:type="dxa"/>
            <w:tcBorders/>
            <w:vAlign w:val="center"/>
          </w:tcPr>
          <w:p>
            <w:pPr>
              <w:pStyle w:val="TableContents"/>
              <w:bidi w:val="0"/>
              <w:spacing w:before="0" w:after="0"/>
              <w:ind w:left="0" w:right="0" w:hanging="0"/>
              <w:jc w:val="left"/>
              <w:rPr/>
            </w:pPr>
            <w:hyperlink w:anchor="epm-20260910xex99d1.htm">
              <w:r>
                <w:rPr>
                  <w:rStyle w:val="InternetLink"/>
                  <w:rFonts w:ascii="Times New Roman;Times;serif" w:hAnsi="Times New Roman;Times;serif"/>
                  <w:b w:val="false"/>
                  <w:i w:val="false"/>
                  <w:caps w:val="false"/>
                  <w:smallCaps w:val="false"/>
                  <w:sz w:val="20"/>
                </w:rPr>
                <w:t>Evolution Petroleum Corporation Press Release regarding its financial and operating results, dated September 15, 2026</w:t>
              </w:r>
            </w:hyperlink>
          </w:p>
        </w:tc>
      </w:tr>
      <w:tr>
        <w:trPr/>
        <w:tc>
          <w:tcPr>
            <w:tcW w:w="1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9179" w:type="dxa"/>
            <w:tcBorders/>
            <w:vAlign w:val="center"/>
          </w:tcPr>
          <w:p>
            <w:pPr>
              <w:pStyle w:val="TableContents"/>
              <w:bidi w:val="0"/>
              <w:spacing w:before="0" w:after="0"/>
              <w:ind w:left="0" w:right="0" w:hanging="0"/>
              <w:jc w:val="left"/>
              <w:rPr/>
            </w:pPr>
            <w:hyperlink w:anchor="epm-20260910xex99d2.htm">
              <w:r>
                <w:rPr>
                  <w:rStyle w:val="InternetLink"/>
                  <w:rFonts w:ascii="Times New Roman;Times;serif" w:hAnsi="Times New Roman;Times;serif"/>
                  <w:b w:val="false"/>
                  <w:i w:val="false"/>
                  <w:caps w:val="false"/>
                  <w:smallCaps w:val="false"/>
                  <w:sz w:val="20"/>
                </w:rPr>
                <w:t>Evolution Petroleum Corporation Press Release announcing the fiscal first quarter 2027 dividend, dated September 10, 2026.</w:t>
              </w:r>
            </w:hyperlink>
          </w:p>
        </w:tc>
      </w:tr>
      <w:tr>
        <w:trPr/>
        <w:tc>
          <w:tcPr>
            <w:tcW w:w="1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Normal"/>
        <w:bidi w:val="0"/>
        <w:spacing w:before="0" w:after="0"/>
        <w:jc w:val="left"/>
        <w:rPr>
          <w:sz w:val="4"/>
          <w:szCs w:val="4"/>
        </w:rPr>
      </w:pPr>
      <w:r>
        <w:rPr>
          <w:sz w:val="4"/>
          <w:szCs w:val="4"/>
        </w:rPr>
      </w:r>
      <w:bookmarkStart w:id="25" w:name="_Hlk79440931"/>
      <w:bookmarkStart w:id="26" w:name="_Hlk79440931"/>
      <w:bookmarkEnd w:id="26"/>
    </w:p>
    <w:tbl>
      <w:tblPr>
        <w:tblW w:w="6992" w:type="dxa"/>
        <w:jc w:val="left"/>
        <w:tblInd w:w="0" w:type="dxa"/>
        <w:tblLayout w:type="fixed"/>
        <w:tblCellMar>
          <w:top w:w="0" w:type="dxa"/>
          <w:left w:w="0" w:type="dxa"/>
          <w:bottom w:w="0" w:type="dxa"/>
          <w:right w:w="0" w:type="dxa"/>
        </w:tblCellMar>
      </w:tblPr>
      <w:tblGrid>
        <w:gridCol w:w="2221"/>
        <w:gridCol w:w="591"/>
        <w:gridCol w:w="39"/>
        <w:gridCol w:w="414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591" w:type="dxa"/>
            <w:tcBorders/>
            <w:vAlign w:val="center"/>
          </w:tcPr>
          <w:p>
            <w:pPr>
              <w:pStyle w:val="TableContents"/>
              <w:bidi w:val="0"/>
              <w:spacing w:before="0" w:after="283"/>
              <w:ind w:left="0" w:right="0" w:hanging="0"/>
              <w:jc w:val="left"/>
              <w:rPr>
                <w:sz w:val="4"/>
                <w:szCs w:val="4"/>
              </w:rPr>
            </w:pPr>
            <w:r>
              <w:rPr>
                <w:sz w:val="4"/>
                <w:szCs w:val="4"/>
              </w:rPr>
            </w:r>
          </w:p>
        </w:tc>
        <w:tc>
          <w:tcPr>
            <w:tcW w:w="418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w:t>
            </w:r>
          </w:p>
        </w:tc>
        <w:tc>
          <w:tcPr>
            <w:tcW w:w="477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Corporation (Registrant)</w:t>
            </w:r>
          </w:p>
        </w:tc>
      </w:tr>
      <w:tr>
        <w:trPr/>
        <w:tc>
          <w:tcPr>
            <w:tcW w:w="2221" w:type="dxa"/>
            <w:tcBorders/>
            <w:vAlign w:val="center"/>
          </w:tcPr>
          <w:p>
            <w:pPr>
              <w:pStyle w:val="TableContents"/>
              <w:bidi w:val="0"/>
              <w:spacing w:before="0" w:after="0"/>
              <w:ind w:left="0" w:right="0" w:hanging="0"/>
              <w:jc w:val="left"/>
              <w:rPr/>
            </w:pPr>
            <w:r>
              <w:rPr/>
              <w:t>​</w:t>
            </w:r>
          </w:p>
        </w:tc>
        <w:tc>
          <w:tcPr>
            <w:tcW w:w="4771" w:type="dxa"/>
            <w:gridSpan w:val="3"/>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477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15, 2026</w:t>
            </w:r>
          </w:p>
        </w:tc>
        <w:tc>
          <w:tcPr>
            <w:tcW w:w="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8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STASH</w:t>
            </w:r>
          </w:p>
        </w:tc>
      </w:tr>
      <w:tr>
        <w:trPr/>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Segoe UI" w:hAnsi="Segoe UI"/>
          <w:b/>
          <w:sz w:val="22"/>
        </w:rPr>
      </w:pPr>
      <w:bookmarkStart w:id="27" w:name="epm-20260910xex99d1.htm"/>
      <w:bookmarkStart w:id="28" w:name="ksepm20260910xex99d1"/>
      <w:bookmarkEnd w:id="27"/>
      <w:bookmarkEnd w:id="28"/>
      <w:r>
        <w:rPr>
          <w:rFonts w:ascii="Segoe UI" w:hAnsi="Segoe UI"/>
          <w:b/>
          <w:sz w:val="22"/>
        </w:rPr>
        <w:t>EXHIBIT 99.1</w:t>
      </w:r>
      <w:r>
        <w:br w:type="page"/>
      </w:r>
    </w:p>
    <w:p>
      <w:pPr>
        <w:pStyle w:val="TextBody"/>
        <w:bidi w:val="0"/>
        <w:spacing w:lineRule="auto" w:line="285" w:before="0" w:after="100"/>
        <w:ind w:left="0" w:right="0" w:hanging="0"/>
        <w:jc w:val="center"/>
        <w:rPr/>
      </w:pPr>
      <w:r>
        <w:rPr/>
        <w:drawing>
          <wp:inline distT="0" distB="0" distL="0" distR="0">
            <wp:extent cx="1755775" cy="46609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1755775" cy="466090"/>
                    </a:xfrm>
                    <a:prstGeom prst="rect">
                      <a:avLst/>
                    </a:prstGeom>
                  </pic:spPr>
                </pic:pic>
              </a:graphicData>
            </a:graphic>
          </wp:inline>
        </w:drawing>
      </w:r>
    </w:p>
    <w:p>
      <w:pPr>
        <w:pStyle w:val="TextBody"/>
        <w:bidi w:val="0"/>
        <w:spacing w:lineRule="auto" w:line="285" w:before="0" w:after="240"/>
        <w:ind w:left="0" w:right="0" w:hanging="0"/>
        <w:jc w:val="center"/>
        <w:rPr>
          <w:rFonts w:ascii="Segoe UI" w:hAnsi="Segoe UI"/>
          <w:b/>
          <w:sz w:val="26"/>
        </w:rPr>
      </w:pPr>
      <w:bookmarkStart w:id="29" w:name="_Hlk176770607"/>
      <w:bookmarkEnd w:id="29"/>
      <w:r>
        <w:rPr>
          <w:rFonts w:ascii="Segoe UI" w:hAnsi="Segoe UI"/>
          <w:b/>
          <w:sz w:val="26"/>
        </w:rPr>
        <w:t>Evolution Petroleum Reports Fiscal Fourth Quarter and Full Year Fiscal 2026 Results</w:t>
      </w:r>
    </w:p>
    <w:p>
      <w:pPr>
        <w:pStyle w:val="TextBody"/>
        <w:bidi w:val="0"/>
        <w:spacing w:lineRule="auto" w:line="321" w:before="0" w:after="0"/>
        <w:ind w:left="720" w:right="0" w:hanging="0"/>
        <w:jc w:val="center"/>
        <w:rPr/>
      </w:pPr>
      <w:r>
        <w:rPr/>
        <w:t xml:space="preserve">– </w:t>
      </w:r>
      <w:r>
        <w:rPr>
          <w:rFonts w:ascii="Segoe UI" w:hAnsi="Segoe UI"/>
          <w:i/>
          <w:sz w:val="22"/>
        </w:rPr>
        <w:t>Fiscal Q4 Net Income Rebounds from Q3 to $4.6 Million –</w:t>
      </w:r>
    </w:p>
    <w:p>
      <w:pPr>
        <w:pStyle w:val="TextBody"/>
        <w:bidi w:val="0"/>
        <w:spacing w:lineRule="auto" w:line="321" w:before="0" w:after="100"/>
        <w:ind w:left="720" w:right="0" w:hanging="0"/>
        <w:jc w:val="center"/>
        <w:rPr/>
      </w:pPr>
      <w:r>
        <w:rPr/>
        <w:t xml:space="preserve">– </w:t>
      </w:r>
      <w:r>
        <w:rPr>
          <w:rFonts w:ascii="Segoe UI" w:hAnsi="Segoe UI"/>
          <w:i/>
          <w:sz w:val="22"/>
        </w:rPr>
        <w:t>Adjusted EBITDA More Than Doubles Sequentially to $6.5 Million –</w:t>
      </w:r>
    </w:p>
    <w:p>
      <w:pPr>
        <w:pStyle w:val="TextBody"/>
        <w:bidi w:val="0"/>
        <w:spacing w:lineRule="auto" w:line="321" w:before="100" w:after="100"/>
        <w:ind w:left="0" w:right="0" w:hanging="0"/>
        <w:jc w:val="both"/>
        <w:rPr>
          <w:rFonts w:ascii="Segoe UI" w:hAnsi="Segoe UI"/>
          <w:sz w:val="20"/>
        </w:rPr>
      </w:pPr>
      <w:r>
        <w:rPr>
          <w:rFonts w:ascii="Segoe UI" w:hAnsi="Segoe UI"/>
          <w:b/>
          <w:sz w:val="21"/>
        </w:rPr>
        <w:t>HOUSTON, TX — September 15, 2026 (GLOBE NEWSWIRE) —</w:t>
      </w:r>
      <w:r>
        <w:rPr>
          <w:rFonts w:ascii="Segoe UI" w:hAnsi="Segoe UI"/>
          <w:sz w:val="20"/>
        </w:rPr>
        <w:t xml:space="preserve"> </w:t>
      </w:r>
      <w:r>
        <w:rPr>
          <w:rFonts w:ascii="Segoe UI" w:hAnsi="Segoe UI"/>
          <w:sz w:val="21"/>
        </w:rPr>
        <w:t>Evolution Petroleum Corporation (NYSE American: EPM) ("Evolution" or the "Company") today announced its financial and operating results for its fiscal fourth quarter and full year ended June 30, 2026. On September 10, 2026, Evolution also declared its 17</w:t>
      </w:r>
      <w:r>
        <w:rPr>
          <w:rFonts w:ascii="Segoe UI" w:hAnsi="Segoe UI"/>
          <w:sz w:val="16"/>
        </w:rPr>
        <w:t>th</w:t>
      </w:r>
      <w:r>
        <w:rPr>
          <w:rFonts w:ascii="Segoe UI" w:hAnsi="Segoe UI"/>
          <w:sz w:val="20"/>
        </w:rPr>
        <w:t xml:space="preserve"> </w:t>
      </w:r>
      <w:r>
        <w:rPr>
          <w:rFonts w:ascii="Segoe UI" w:hAnsi="Segoe UI"/>
          <w:sz w:val="21"/>
        </w:rPr>
        <w:t>consecutive $0.12 cash dividend per common share, payable on September 30, 2026, marking its 52</w:t>
      </w:r>
      <w:r>
        <w:rPr>
          <w:rFonts w:ascii="Segoe UI" w:hAnsi="Segoe UI"/>
          <w:sz w:val="16"/>
        </w:rPr>
        <w:t>nd</w:t>
      </w:r>
      <w:r>
        <w:rPr>
          <w:rFonts w:ascii="Segoe UI" w:hAnsi="Segoe UI"/>
          <w:sz w:val="20"/>
        </w:rPr>
        <w:t xml:space="preserve"> </w:t>
      </w:r>
      <w:r>
        <w:rPr>
          <w:rFonts w:ascii="Segoe UI" w:hAnsi="Segoe UI"/>
          <w:sz w:val="21"/>
        </w:rPr>
        <w:t>consecutive quarterly cash dividend payment.</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Financial &amp; Operational Highlights</w:t>
      </w:r>
    </w:p>
    <w:tbl>
      <w:tblPr>
        <w:tblW w:w="9143" w:type="dxa"/>
        <w:jc w:val="left"/>
        <w:tblInd w:w="0" w:type="dxa"/>
        <w:tblLayout w:type="fixed"/>
        <w:tblCellMar>
          <w:top w:w="0" w:type="dxa"/>
          <w:left w:w="0" w:type="dxa"/>
          <w:bottom w:w="0" w:type="dxa"/>
          <w:right w:w="0" w:type="dxa"/>
        </w:tblCellMar>
      </w:tblPr>
      <w:tblGrid>
        <w:gridCol w:w="2551"/>
        <w:gridCol w:w="109"/>
        <w:gridCol w:w="214"/>
        <w:gridCol w:w="686"/>
        <w:gridCol w:w="109"/>
        <w:gridCol w:w="214"/>
        <w:gridCol w:w="686"/>
        <w:gridCol w:w="109"/>
        <w:gridCol w:w="211"/>
        <w:gridCol w:w="691"/>
        <w:gridCol w:w="109"/>
        <w:gridCol w:w="981"/>
        <w:gridCol w:w="669"/>
        <w:gridCol w:w="109"/>
        <w:gridCol w:w="988"/>
        <w:gridCol w:w="707"/>
      </w:tblGrid>
      <w:tr>
        <w:trPr/>
        <w:tc>
          <w:tcPr>
            <w:tcW w:w="2551" w:type="dxa"/>
            <w:tcBorders/>
            <w:vAlign w:val="center"/>
          </w:tcPr>
          <w:p>
            <w:pPr>
              <w:pStyle w:val="TableContents"/>
              <w:bidi w:val="0"/>
              <w:spacing w:lineRule="auto" w:line="321" w:before="0" w:after="1"/>
              <w:ind w:left="0" w:right="0" w:hanging="0"/>
              <w:jc w:val="left"/>
              <w:rPr/>
            </w:pPr>
            <w:bookmarkStart w:id="30" w:name="_Hlk112945857"/>
            <w:bookmarkEnd w:id="30"/>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4" w:type="dxa"/>
            <w:tcBorders/>
            <w:vAlign w:val="center"/>
          </w:tcPr>
          <w:p>
            <w:pPr>
              <w:pStyle w:val="TableContents"/>
              <w:bidi w:val="0"/>
              <w:spacing w:lineRule="auto" w:line="321" w:before="0" w:after="1"/>
              <w:ind w:left="0" w:right="0" w:hanging="0"/>
              <w:jc w:val="left"/>
              <w:rPr/>
            </w:pPr>
            <w:r>
              <w:rPr/>
              <w:t>​</w:t>
            </w:r>
          </w:p>
        </w:tc>
        <w:tc>
          <w:tcPr>
            <w:tcW w:w="68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4" w:type="dxa"/>
            <w:tcBorders/>
            <w:vAlign w:val="center"/>
          </w:tcPr>
          <w:p>
            <w:pPr>
              <w:pStyle w:val="TableContents"/>
              <w:bidi w:val="0"/>
              <w:spacing w:lineRule="auto" w:line="321" w:before="0" w:after="1"/>
              <w:ind w:left="0" w:right="0" w:hanging="0"/>
              <w:jc w:val="left"/>
              <w:rPr/>
            </w:pPr>
            <w:r>
              <w:rPr/>
              <w:t>​</w:t>
            </w:r>
          </w:p>
        </w:tc>
        <w:tc>
          <w:tcPr>
            <w:tcW w:w="68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22935" cy="175260"/>
                      <wp:effectExtent l="0" t="0" r="0" b="0"/>
                      <wp:wrapNone/>
                      <wp:docPr id="14" name="Frame1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27380" cy="175260"/>
                      <wp:effectExtent l="0" t="0" r="0" b="0"/>
                      <wp:wrapNone/>
                      <wp:docPr id="15" name="Frame14"/>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lineRule="auto" w:line="321" w:before="0" w:after="1"/>
              <w:ind w:left="0" w:right="0" w:hanging="0"/>
              <w:jc w:val="left"/>
              <w:rPr/>
            </w:pPr>
            <w:r>
              <w:rPr/>
              <w:t>​</w:t>
            </w:r>
          </w:p>
        </w:tc>
      </w:tr>
      <w:tr>
        <w:trPr/>
        <w:tc>
          <w:tcPr>
            <w:tcW w:w="255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 in thousands)</w:t>
            </w:r>
          </w:p>
        </w:tc>
        <w:tc>
          <w:tcPr>
            <w:tcW w:w="109" w:type="dxa"/>
            <w:tcBorders/>
            <w:vAlign w:val="center"/>
          </w:tcPr>
          <w:p>
            <w:pPr>
              <w:pStyle w:val="TableContents"/>
              <w:bidi w:val="0"/>
              <w:spacing w:lineRule="auto" w:line="321"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Q4 2026</w:t>
            </w:r>
          </w:p>
        </w:tc>
        <w:tc>
          <w:tcPr>
            <w:tcW w:w="109" w:type="dxa"/>
            <w:tcBorders/>
            <w:vAlign w:val="center"/>
          </w:tcPr>
          <w:p>
            <w:pPr>
              <w:pStyle w:val="TableContents"/>
              <w:bidi w:val="0"/>
              <w:spacing w:lineRule="auto" w:line="321" w:before="0" w:after="1"/>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Q4 2025</w:t>
            </w:r>
          </w:p>
        </w:tc>
        <w:tc>
          <w:tcPr>
            <w:tcW w:w="109" w:type="dxa"/>
            <w:tcBorders/>
            <w:vAlign w:val="center"/>
          </w:tcPr>
          <w:p>
            <w:pPr>
              <w:pStyle w:val="TableContents"/>
              <w:bidi w:val="0"/>
              <w:spacing w:lineRule="auto" w:line="321"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Q3 2026</w:t>
            </w:r>
          </w:p>
        </w:tc>
        <w:tc>
          <w:tcPr>
            <w:tcW w:w="109" w:type="dxa"/>
            <w:tcBorders/>
            <w:vAlign w:val="center"/>
          </w:tcPr>
          <w:p>
            <w:pPr>
              <w:pStyle w:val="TableContents"/>
              <w:bidi w:val="0"/>
              <w:spacing w:lineRule="auto" w:line="321" w:before="0" w:after="1"/>
              <w:ind w:left="0" w:right="0" w:hanging="0"/>
              <w:jc w:val="center"/>
              <w:rPr/>
            </w:pPr>
            <w:r>
              <w:rPr/>
              <w:t>​</w:t>
            </w:r>
          </w:p>
        </w:tc>
        <w:tc>
          <w:tcPr>
            <w:tcW w:w="165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Change Q4/Q4</w:t>
            </w:r>
          </w:p>
        </w:tc>
        <w:tc>
          <w:tcPr>
            <w:tcW w:w="109" w:type="dxa"/>
            <w:tcBorders/>
            <w:vAlign w:val="center"/>
          </w:tcPr>
          <w:p>
            <w:pPr>
              <w:pStyle w:val="TableContents"/>
              <w:bidi w:val="0"/>
              <w:spacing w:lineRule="auto" w:line="321" w:before="0" w:after="1"/>
              <w:ind w:left="0" w:right="0" w:hanging="0"/>
              <w:jc w:val="center"/>
              <w:rPr/>
            </w:pPr>
            <w:r>
              <w:rPr/>
              <w:t>​</w:t>
            </w:r>
          </w:p>
        </w:tc>
        <w:tc>
          <w:tcPr>
            <w:tcW w:w="1695"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Change Q4/Q3</w:t>
            </w:r>
          </w:p>
        </w:tc>
      </w:tr>
      <w:tr>
        <w:trPr/>
        <w:tc>
          <w:tcPr>
            <w:tcW w:w="255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Average BOEPD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4" w:type="dxa"/>
            <w:tcBorders/>
            <w:shd w:fill="CCEEFF" w:val="clear"/>
            <w:vAlign w:val="center"/>
          </w:tcPr>
          <w:p>
            <w:pPr>
              <w:pStyle w:val="TableContents"/>
              <w:bidi w:val="0"/>
              <w:spacing w:lineRule="auto" w:line="321" w:before="0" w:after="1"/>
              <w:ind w:left="0" w:right="0" w:hanging="0"/>
              <w:jc w:val="left"/>
              <w:rPr/>
            </w:pPr>
            <w:r>
              <w:rPr/>
              <w:t>​</w:t>
            </w:r>
          </w:p>
        </w:tc>
        <w:tc>
          <w:tcPr>
            <w:tcW w:w="68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6,901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4" w:type="dxa"/>
            <w:tcBorders/>
            <w:shd w:fill="CCEEFF" w:val="clear"/>
            <w:vAlign w:val="center"/>
          </w:tcPr>
          <w:p>
            <w:pPr>
              <w:pStyle w:val="TableContents"/>
              <w:bidi w:val="0"/>
              <w:spacing w:lineRule="auto" w:line="321" w:before="0" w:after="1"/>
              <w:ind w:left="0" w:right="0" w:hanging="0"/>
              <w:jc w:val="left"/>
              <w:rPr/>
            </w:pPr>
            <w:r>
              <w:rPr/>
              <w:t>​</w:t>
            </w:r>
          </w:p>
        </w:tc>
        <w:tc>
          <w:tcPr>
            <w:tcW w:w="68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7,198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6,700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98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w:t>
            </w:r>
          </w:p>
        </w:tc>
        <w:tc>
          <w:tcPr>
            <w:tcW w:w="66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9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w:t>
            </w:r>
          </w:p>
        </w:tc>
        <w:tc>
          <w:tcPr>
            <w:tcW w:w="70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255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Revenues</w:t>
            </w:r>
          </w:p>
        </w:tc>
        <w:tc>
          <w:tcPr>
            <w:tcW w:w="109" w:type="dxa"/>
            <w:tcBorders/>
            <w:vAlign w:val="center"/>
          </w:tcPr>
          <w:p>
            <w:pPr>
              <w:pStyle w:val="TableContents"/>
              <w:bidi w:val="0"/>
              <w:spacing w:lineRule="auto" w:line="321" w:before="0" w:after="1"/>
              <w:ind w:left="0" w:right="0" w:hanging="0"/>
              <w:jc w:val="left"/>
              <w:rPr/>
            </w:pPr>
            <w:r>
              <w:rPr/>
              <w:t>​</w:t>
            </w:r>
          </w:p>
        </w:tc>
        <w:tc>
          <w:tcPr>
            <w:tcW w:w="21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24,208</w:t>
            </w:r>
          </w:p>
        </w:tc>
        <w:tc>
          <w:tcPr>
            <w:tcW w:w="109" w:type="dxa"/>
            <w:tcBorders/>
            <w:vAlign w:val="center"/>
          </w:tcPr>
          <w:p>
            <w:pPr>
              <w:pStyle w:val="TableContents"/>
              <w:bidi w:val="0"/>
              <w:spacing w:lineRule="auto" w:line="321" w:before="0" w:after="1"/>
              <w:ind w:left="0" w:right="0" w:hanging="0"/>
              <w:jc w:val="left"/>
              <w:rPr/>
            </w:pPr>
            <w:r>
              <w:rPr/>
              <w:t>​</w:t>
            </w:r>
          </w:p>
        </w:tc>
        <w:tc>
          <w:tcPr>
            <w:tcW w:w="21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21,108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20,168</w:t>
            </w:r>
          </w:p>
        </w:tc>
        <w:tc>
          <w:tcPr>
            <w:tcW w:w="109" w:type="dxa"/>
            <w:tcBorders/>
            <w:vAlign w:val="center"/>
          </w:tcPr>
          <w:p>
            <w:pPr>
              <w:pStyle w:val="TableContents"/>
              <w:bidi w:val="0"/>
              <w:spacing w:lineRule="auto" w:line="321" w:before="0" w:after="1"/>
              <w:ind w:left="0" w:right="0" w:hanging="0"/>
              <w:jc w:val="left"/>
              <w:rPr/>
            </w:pPr>
            <w:r>
              <w:rPr/>
              <w:t>​</w:t>
            </w:r>
          </w:p>
        </w:tc>
        <w:tc>
          <w:tcPr>
            <w:tcW w:w="98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w:t>
            </w:r>
          </w:p>
        </w:tc>
        <w:tc>
          <w:tcPr>
            <w:tcW w:w="66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vAlign w:val="center"/>
          </w:tcPr>
          <w:p>
            <w:pPr>
              <w:pStyle w:val="TableContents"/>
              <w:bidi w:val="0"/>
              <w:spacing w:lineRule="auto" w:line="321" w:before="0" w:after="1"/>
              <w:ind w:left="0" w:right="0" w:hanging="0"/>
              <w:jc w:val="left"/>
              <w:rPr/>
            </w:pPr>
            <w:r>
              <w:rPr/>
              <w:t>​</w:t>
            </w:r>
          </w:p>
        </w:tc>
        <w:tc>
          <w:tcPr>
            <w:tcW w:w="9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w:t>
            </w:r>
          </w:p>
        </w:tc>
        <w:tc>
          <w:tcPr>
            <w:tcW w:w="70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2551"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 xml:space="preserve">Net Income (Loss) </w:t>
            </w:r>
            <w:r>
              <w:rPr>
                <w:rFonts w:ascii="Segoe UI" w:hAnsi="Segoe UI"/>
                <w:sz w:val="12"/>
              </w:rPr>
              <w:t>(1)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4,614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3,412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98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w:t>
            </w:r>
          </w:p>
        </w:tc>
        <w:tc>
          <w:tcPr>
            <w:tcW w:w="66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9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NM</w:t>
            </w:r>
          </w:p>
        </w:tc>
        <w:tc>
          <w:tcPr>
            <w:tcW w:w="707" w:type="dxa"/>
            <w:tcBorders/>
            <w:shd w:fill="CCEEFF" w:val="clear"/>
            <w:vAlign w:val="center"/>
          </w:tcPr>
          <w:p>
            <w:pPr>
              <w:pStyle w:val="TableContents"/>
              <w:bidi w:val="0"/>
              <w:spacing w:lineRule="auto" w:line="321"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Adjusted Net Income (Loss)</w:t>
            </w:r>
            <w:r>
              <w:rPr>
                <w:rFonts w:ascii="Segoe UI" w:hAnsi="Segoe UI"/>
                <w:sz w:val="12"/>
              </w:rPr>
              <w:t>(2)</w:t>
            </w:r>
          </w:p>
        </w:tc>
        <w:tc>
          <w:tcPr>
            <w:tcW w:w="109" w:type="dxa"/>
            <w:tcBorders/>
            <w:vAlign w:val="center"/>
          </w:tcPr>
          <w:p>
            <w:pPr>
              <w:pStyle w:val="TableContents"/>
              <w:bidi w:val="0"/>
              <w:spacing w:lineRule="auto" w:line="321" w:before="0" w:after="1"/>
              <w:ind w:left="0" w:right="0" w:hanging="0"/>
              <w:jc w:val="left"/>
              <w:rPr/>
            </w:pPr>
            <w:r>
              <w:rPr/>
              <w:t>​</w:t>
            </w:r>
          </w:p>
        </w:tc>
        <w:tc>
          <w:tcPr>
            <w:tcW w:w="21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(587)</w:t>
            </w:r>
          </w:p>
        </w:tc>
        <w:tc>
          <w:tcPr>
            <w:tcW w:w="109" w:type="dxa"/>
            <w:tcBorders/>
            <w:vAlign w:val="center"/>
          </w:tcPr>
          <w:p>
            <w:pPr>
              <w:pStyle w:val="TableContents"/>
              <w:bidi w:val="0"/>
              <w:spacing w:lineRule="auto" w:line="321" w:before="0" w:after="1"/>
              <w:ind w:left="0" w:right="0" w:hanging="0"/>
              <w:jc w:val="left"/>
              <w:rPr/>
            </w:pPr>
            <w:r>
              <w:rPr/>
              <w:t>​</w:t>
            </w:r>
          </w:p>
        </w:tc>
        <w:tc>
          <w:tcPr>
            <w:tcW w:w="21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(2,941)</w:t>
            </w:r>
          </w:p>
        </w:tc>
        <w:tc>
          <w:tcPr>
            <w:tcW w:w="109" w:type="dxa"/>
            <w:tcBorders/>
            <w:vAlign w:val="center"/>
          </w:tcPr>
          <w:p>
            <w:pPr>
              <w:pStyle w:val="TableContents"/>
              <w:bidi w:val="0"/>
              <w:spacing w:lineRule="auto" w:line="321" w:before="0" w:after="1"/>
              <w:ind w:left="0" w:right="0" w:hanging="0"/>
              <w:jc w:val="left"/>
              <w:rPr/>
            </w:pPr>
            <w:r>
              <w:rPr/>
              <w:t>​</w:t>
            </w:r>
          </w:p>
        </w:tc>
        <w:tc>
          <w:tcPr>
            <w:tcW w:w="98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NM</w:t>
            </w:r>
          </w:p>
        </w:tc>
        <w:tc>
          <w:tcPr>
            <w:tcW w:w="66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9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(80)</w:t>
            </w:r>
          </w:p>
        </w:tc>
        <w:tc>
          <w:tcPr>
            <w:tcW w:w="70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2551"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Adjusted EBITDA</w:t>
            </w:r>
            <w:r>
              <w:rPr>
                <w:rFonts w:ascii="Segoe UI" w:hAnsi="Segoe UI"/>
                <w:sz w:val="12"/>
              </w:rPr>
              <w:t>(3)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6,522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8,572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3,107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98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w:t>
            </w:r>
          </w:p>
        </w:tc>
        <w:tc>
          <w:tcPr>
            <w:tcW w:w="66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9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110</w:t>
            </w:r>
          </w:p>
        </w:tc>
        <w:tc>
          <w:tcPr>
            <w:tcW w:w="70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bl>
    <w:p>
      <w:pPr>
        <w:pStyle w:val="HorizontalLine"/>
        <w:pBdr>
          <w:bottom w:val="single" w:sz="12" w:space="0" w:color="000000"/>
        </w:pBdr>
        <w:bidi w:val="0"/>
        <w:spacing w:before="0" w:after="0"/>
        <w:ind w:left="0" w:right="7654" w:hanging="0"/>
        <w:jc w:val="left"/>
        <w:rPr/>
      </w:pPr>
      <w:r>
        <w:rPr/>
      </w:r>
    </w:p>
    <w:tbl>
      <w:tblPr>
        <w:tblW w:w="2793" w:type="dxa"/>
        <w:jc w:val="left"/>
        <w:tblInd w:w="0" w:type="dxa"/>
        <w:tblLayout w:type="fixed"/>
        <w:tblCellMar>
          <w:top w:w="0" w:type="dxa"/>
          <w:left w:w="0" w:type="dxa"/>
          <w:bottom w:w="0" w:type="dxa"/>
          <w:right w:w="0" w:type="dxa"/>
        </w:tblCellMar>
      </w:tblPr>
      <w:tblGrid>
        <w:gridCol w:w="245"/>
        <w:gridCol w:w="2525"/>
        <w:gridCol w:w="23"/>
      </w:tblGrid>
      <w:tr>
        <w:trPr/>
        <w:tc>
          <w:tcPr>
            <w:tcW w:w="245"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2525" w:type="dxa"/>
            <w:tcBorders/>
            <w:vAlign w:val="center"/>
          </w:tcPr>
          <w:p>
            <w:pPr>
              <w:pStyle w:val="TableContents"/>
              <w:bidi w:val="0"/>
              <w:spacing w:before="0" w:after="283"/>
              <w:jc w:val="left"/>
              <w:rPr>
                <w:rFonts w:ascii="Segoe UI" w:hAnsi="Segoe UI"/>
                <w:b w:val="false"/>
                <w:i w:val="false"/>
                <w:caps w:val="false"/>
                <w:smallCaps w:val="false"/>
                <w:sz w:val="16"/>
              </w:rPr>
            </w:pPr>
            <w:bookmarkStart w:id="31" w:name="_Hlk220508315"/>
            <w:bookmarkEnd w:id="31"/>
            <w:r>
              <w:rPr>
                <w:rFonts w:ascii="Segoe UI" w:hAnsi="Segoe UI"/>
                <w:b w:val="false"/>
                <w:i w:val="false"/>
                <w:caps w:val="false"/>
                <w:smallCaps w:val="false"/>
                <w:sz w:val="16"/>
              </w:rPr>
              <w:t>"NM" means "Not Meaningful."</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21"/>
        <w:gridCol w:w="9960"/>
        <w:gridCol w:w="24"/>
      </w:tblGrid>
      <w:tr>
        <w:trPr/>
        <w:tc>
          <w:tcPr>
            <w:tcW w:w="221" w:type="dxa"/>
            <w:tcBorders/>
            <w:vAlign w:val="center"/>
          </w:tcPr>
          <w:p>
            <w:pPr>
              <w:pStyle w:val="TableContents"/>
              <w:bidi w:val="0"/>
              <w:spacing w:before="0" w:after="283"/>
              <w:jc w:val="left"/>
              <w:rPr>
                <w:rFonts w:ascii="Segoe UI" w:hAnsi="Segoe UI"/>
                <w:sz w:val="16"/>
              </w:rPr>
            </w:pPr>
            <w:r>
              <w:rPr>
                <w:rFonts w:ascii="Segoe UI" w:hAnsi="Segoe UI"/>
                <w:sz w:val="16"/>
              </w:rPr>
              <w:t>(2)</w:t>
            </w:r>
          </w:p>
        </w:tc>
        <w:tc>
          <w:tcPr>
            <w:tcW w:w="9960"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 xml:space="preserve">Adjusted Net Income is a non-GAAP financial measure; see the non-GAAP reconciliation schedules to the most comparable GAAP measures at the end of this release for more information. </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10"/>
        <w:gridCol w:w="9971"/>
        <w:gridCol w:w="24"/>
      </w:tblGrid>
      <w:tr>
        <w:trPr/>
        <w:tc>
          <w:tcPr>
            <w:tcW w:w="210" w:type="dxa"/>
            <w:tcBorders/>
            <w:vAlign w:val="center"/>
          </w:tcPr>
          <w:p>
            <w:pPr>
              <w:pStyle w:val="TableContents"/>
              <w:bidi w:val="0"/>
              <w:spacing w:before="0" w:after="283"/>
              <w:jc w:val="left"/>
              <w:rPr>
                <w:rFonts w:ascii="Segoe UI" w:hAnsi="Segoe UI"/>
                <w:sz w:val="16"/>
              </w:rPr>
            </w:pPr>
            <w:r>
              <w:rPr>
                <w:rFonts w:ascii="Segoe UI" w:hAnsi="Segoe UI"/>
                <w:sz w:val="16"/>
              </w:rPr>
              <w:t>(3)</w:t>
            </w:r>
          </w:p>
        </w:tc>
        <w:tc>
          <w:tcPr>
            <w:tcW w:w="9971"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Adjusted EBITDA is Adjusted Earnings Before Interest, Taxes, Depreciation, and Amortization and is a non-GAAP financial measure; see the non-GAAP reconciliation schedules to the most comparable GAAP measures at the end of this release for more information.</w:t>
            </w:r>
            <w:bookmarkStart w:id="32" w:name="_Hlk182262332"/>
            <w:bookmarkEnd w:id="32"/>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Fiscal Q4 production was 6,901 average barrels of oil equivalent per day ("BOEPD"), up 3% quarter-over-quarter, with oil accounting for 68% of revenue, natural gas accounting for 18%, and natural gas liquids ("NGLs") accounting for 14% of revenue during the quarter.</w:t>
            </w:r>
          </w:p>
        </w:tc>
      </w:tr>
    </w:tbl>
    <w:tbl>
      <w:tblPr>
        <w:tblW w:w="8853" w:type="dxa"/>
        <w:jc w:val="left"/>
        <w:tblInd w:w="0" w:type="dxa"/>
        <w:tblLayout w:type="fixed"/>
        <w:tblCellMar>
          <w:top w:w="0" w:type="dxa"/>
          <w:left w:w="0" w:type="dxa"/>
          <w:bottom w:w="0" w:type="dxa"/>
          <w:right w:w="0" w:type="dxa"/>
        </w:tblCellMar>
      </w:tblPr>
      <w:tblGrid>
        <w:gridCol w:w="23"/>
        <w:gridCol w:w="170"/>
        <w:gridCol w:w="8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Fiscal year 2026 production was 7,077 BOEPD, above 7,074 BOEPD in fiscal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Higher realized oil and NGL prices, together with increased production, drove a 20% increase in revenue to $24.2 million from fiscal Q3 to Q4.</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Adjusted EBITDA more than doubled sequentially to $6.5 million from $3.1 million, while LOE per BOE improved approximately 5% to $20.35 from $21.49.</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Returned $4.3 million to shareholders in the form of cash dividends during fiscal Q4 and $16.9 million for fiscal year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1"/>
              </w:rPr>
            </w:pPr>
            <w:r>
              <w:rPr>
                <w:rFonts w:ascii="Segoe UI" w:hAnsi="Segoe UI"/>
                <w:b w:val="false"/>
                <w:i w:val="false"/>
                <w:caps w:val="false"/>
                <w:smallCaps w:val="false"/>
                <w:sz w:val="21"/>
              </w:rPr>
              <w:t>Ended the current year with total proved reserves of 27.2 MMBOE, compared with 27.1 MMBOE at June 30, 2025, replacing more than 100% of fiscal 2026 production of 2.6 MMBOE.</w:t>
            </w:r>
          </w:p>
        </w:tc>
      </w:tr>
    </w:tbl>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Permian/Midland Basin Mineral and Royalty Acquisition</w:t>
      </w:r>
    </w:p>
    <w:p>
      <w:pPr>
        <w:pStyle w:val="TextBody"/>
        <w:bidi w:val="0"/>
        <w:spacing w:lineRule="auto" w:line="300" w:before="0" w:after="0"/>
        <w:ind w:left="0" w:right="0" w:hanging="0"/>
        <w:jc w:val="both"/>
        <w:rPr>
          <w:rFonts w:ascii="Segoe UI" w:hAnsi="Segoe UI"/>
          <w:sz w:val="21"/>
        </w:rPr>
      </w:pPr>
      <w:r>
        <w:rPr>
          <w:rFonts w:ascii="Segoe UI" w:hAnsi="Segoe UI"/>
          <w:sz w:val="21"/>
        </w:rPr>
        <w:t>Subsequent to quarter-end, on August 20, 2026, Evolution completed the acquisition of mineral and royalty interests (“M&amp;R”) in the core Midland Basin ("Permian Minerals") for approximately $16.0 million. The acquired assets include approximately 3,420 net royalty acres across Reagan, Upton, Glasscock, Midland, and Martin Counties, Texas, and included 832 producing wells, 7 completed wells, 34 drilled but uncompleted wells ("DUCs"), 27 permitted wells, and approximately 1,257 upside locations increasing our exposure to high-</w:t>
      </w:r>
    </w:p>
    <w:p>
      <w:pPr>
        <w:pStyle w:val="TextBody"/>
        <w:bidi w:val="0"/>
        <w:spacing w:lineRule="auto" w:line="285" w:before="0" w:after="0"/>
        <w:ind w:left="0" w:right="0" w:hanging="0"/>
        <w:jc w:val="center"/>
        <w:rPr>
          <w:rFonts w:ascii="Segoe UI" w:hAnsi="Segoe UI"/>
          <w:sz w:val="22"/>
        </w:rPr>
      </w:pPr>
      <w:r>
        <w:rPr>
          <w:rFonts w:ascii="Segoe UI" w:hAnsi="Segoe UI"/>
          <w:sz w:val="22"/>
        </w:rPr>
        <w:t>1</w:t>
      </w:r>
    </w:p>
    <w:p>
      <w:pPr>
        <w:pStyle w:val="HorizontalLine"/>
        <w:pBdr>
          <w:bottom w:val="double" w:sz="2" w:space="0" w:color="808080"/>
        </w:pBdr>
        <w:bidi w:val="0"/>
        <w:spacing w:before="0" w:after="283"/>
        <w:jc w:val="left"/>
        <w:rPr/>
      </w:pPr>
      <w:r>
        <w:rPr/>
      </w:r>
    </w:p>
    <w:p>
      <w:pPr>
        <w:pStyle w:val="TextBody"/>
        <w:bidi w:val="0"/>
        <w:spacing w:lineRule="auto" w:line="300" w:before="0" w:after="100"/>
        <w:ind w:left="0" w:right="0" w:hanging="0"/>
        <w:jc w:val="both"/>
        <w:rPr>
          <w:rFonts w:ascii="Segoe UI" w:hAnsi="Segoe UI"/>
          <w:sz w:val="21"/>
        </w:rPr>
      </w:pPr>
      <w:r>
        <w:rPr>
          <w:rFonts w:ascii="Segoe UI" w:hAnsi="Segoe UI"/>
          <w:sz w:val="21"/>
        </w:rPr>
        <w:t>margin current production and future operator-led activity, with no development capital required net to Evolution. The acquisition was funded with $12.8 million of net proceeds from the Company’s concurrent public offering of 4.3 million common shares and $3.2 million of borrowings under its Senior Secured Credit Facility.</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Management Comments</w:t>
      </w:r>
    </w:p>
    <w:p>
      <w:pPr>
        <w:pStyle w:val="TextBody"/>
        <w:bidi w:val="0"/>
        <w:spacing w:lineRule="auto" w:line="300" w:before="0" w:after="100"/>
        <w:ind w:left="0" w:right="0" w:hanging="0"/>
        <w:jc w:val="both"/>
        <w:rPr>
          <w:rFonts w:ascii="Segoe UI" w:hAnsi="Segoe UI"/>
          <w:sz w:val="21"/>
        </w:rPr>
      </w:pPr>
      <w:r>
        <w:rPr>
          <w:rFonts w:ascii="Segoe UI" w:hAnsi="Segoe UI"/>
          <w:sz w:val="21"/>
        </w:rPr>
        <w:t>Kelly Loyd, President and Chief Executive Officer, commented: “Fiscal 2026 was another important year for Evolution as we broadened the portfolio with strategic acquisitions, maintained $0.48 per share in dividends, and increased proved reserves over and above the roughly 2.6 MMBOE we produced during the year. Underpinning our shareholder return strategy is the durability and continued renewal of our asset base. During the year, acquisitions and drilling activity from our non-operated and royalty assets added fresh sources of production and cash flow alongside our mature, long-life properties. Just as important, we finished the year with momentum. Many of the temporary items that weighed on fiscal Q3 rolled off as expected, and fiscal Q4 revenues rose 20% and Adjusted EBITDA more than doubled quarter over quarter.</w:t>
      </w:r>
    </w:p>
    <w:p>
      <w:pPr>
        <w:pStyle w:val="TextBody"/>
        <w:bidi w:val="0"/>
        <w:spacing w:lineRule="auto" w:line="300" w:before="100" w:after="100"/>
        <w:ind w:left="0" w:right="0" w:hanging="0"/>
        <w:jc w:val="both"/>
        <w:rPr>
          <w:rFonts w:ascii="Segoe UI" w:hAnsi="Segoe UI"/>
          <w:sz w:val="21"/>
        </w:rPr>
      </w:pPr>
      <w:r>
        <w:rPr>
          <w:rFonts w:ascii="Segoe UI" w:hAnsi="Segoe UI"/>
          <w:sz w:val="21"/>
        </w:rPr>
        <w:t>"Continuing with the year-end momentum, we begin fiscal 2027 on a high note. We added another highly accretive acquisition, with the purchase of our Permian Minerals position, adding over 1,000 near- and long-term undeveloped drilling locations. This, combined with new operations at our recently added Louisiana minerals and royalty positions and ongoing activity across our existing portfolio of non-op working and mineral and royalty interests, fiscal 2027 is poised to benefit from fresh production adds from multiple, complementary sources.</w:t>
      </w:r>
    </w:p>
    <w:p>
      <w:pPr>
        <w:pStyle w:val="TextBody"/>
        <w:bidi w:val="0"/>
        <w:spacing w:lineRule="auto" w:line="300" w:before="100" w:after="100"/>
        <w:ind w:left="0" w:right="0" w:hanging="0"/>
        <w:jc w:val="both"/>
        <w:rPr/>
      </w:pPr>
      <w:r>
        <w:rPr/>
        <w:t>“</w:t>
      </w:r>
      <w:r>
        <w:rPr>
          <w:rFonts w:ascii="Segoe UI" w:hAnsi="Segoe UI"/>
          <w:sz w:val="21"/>
        </w:rPr>
        <w:t>We continue to build Evolution into a more robust energy company with long-life producing properties and significant upside development from both our non-operated working interest assets and our recently added minerals and royalty positions. We now have meaningful mineral and royalty interests with a significant number of cost-free future drilling locations as well as attractive non-operated development locations in four of the top five most active basins in the U.S., by rig count (Permian, SCOOP/STACK, Williston, and Haynesville). This strategy of adding mineral and royalty interests creates more ways to add value and provides greater flexibility for capital allocation. We believe this combination presents a stronger model for Evolution and one we intend to keep advancing that will support our dividend and compound value for shareholders over time.”</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Fiscal Fourth Quarter 2026 Financial Results</w:t>
      </w:r>
    </w:p>
    <w:p>
      <w:pPr>
        <w:pStyle w:val="TextBody"/>
        <w:bidi w:val="0"/>
        <w:spacing w:lineRule="auto" w:line="321" w:before="0" w:after="100"/>
        <w:ind w:left="0" w:right="0" w:hanging="0"/>
        <w:jc w:val="both"/>
        <w:rPr>
          <w:rFonts w:ascii="Segoe UI" w:hAnsi="Segoe UI"/>
          <w:sz w:val="21"/>
        </w:rPr>
      </w:pPr>
      <w:r>
        <w:rPr>
          <w:rFonts w:ascii="Segoe UI" w:hAnsi="Segoe UI"/>
          <w:sz w:val="21"/>
        </w:rPr>
        <w:t xml:space="preserve">Total revenues increased 15% to $24.2 million compared to $21.1 million in the year-ago quarter. The change was driven primarily by a 20% increase in average realized equivalent prices, partially offset by a 4% decrease in average daily production. </w:t>
      </w:r>
    </w:p>
    <w:p>
      <w:pPr>
        <w:pStyle w:val="TextBody"/>
        <w:bidi w:val="0"/>
        <w:spacing w:lineRule="auto" w:line="321" w:before="100" w:after="100"/>
        <w:ind w:left="0" w:right="0" w:hanging="0"/>
        <w:jc w:val="both"/>
        <w:rPr>
          <w:rFonts w:ascii="Segoe UI" w:hAnsi="Segoe UI"/>
          <w:sz w:val="20"/>
        </w:rPr>
      </w:pPr>
      <w:r>
        <w:rPr>
          <w:rFonts w:ascii="Segoe UI" w:hAnsi="Segoe UI"/>
          <w:sz w:val="21"/>
        </w:rPr>
        <w:t>Lease operating costs (“LOE”) increased to $12.8 million compared to $11.4 million in the year-ago quarter. The</w:t>
      </w:r>
      <w:r>
        <w:rPr>
          <w:rFonts w:ascii="Segoe UI" w:hAnsi="Segoe UI"/>
          <w:sz w:val="20"/>
        </w:rPr>
        <w:t xml:space="preserve"> </w:t>
      </w:r>
      <w:r>
        <w:rPr>
          <w:rFonts w:ascii="Segoe UI" w:hAnsi="Segoe UI"/>
          <w:sz w:val="21"/>
        </w:rPr>
        <w:t>prior-year period included a $1.9 million credit from the operator of one of our Barnett Shale properties due to a joint venture audit.</w:t>
      </w:r>
      <w:r>
        <w:rPr>
          <w:rFonts w:ascii="Segoe UI" w:hAnsi="Segoe UI"/>
          <w:sz w:val="20"/>
        </w:rPr>
        <w:t xml:space="preserve"> </w:t>
      </w:r>
      <w:r>
        <w:rPr>
          <w:rFonts w:ascii="Segoe UI" w:hAnsi="Segoe UI"/>
          <w:sz w:val="21"/>
        </w:rPr>
        <w:t>On a per-unit basis, as adjusted for the prior-year credit, LOE was $20.35 per BOE compared to $20.25 per BOE in the year-ago quarter.</w:t>
      </w:r>
    </w:p>
    <w:p>
      <w:pPr>
        <w:pStyle w:val="TextBody"/>
        <w:bidi w:val="0"/>
        <w:spacing w:lineRule="auto" w:line="302" w:before="100" w:after="100"/>
        <w:ind w:left="0" w:right="0" w:hanging="0"/>
        <w:jc w:val="both"/>
        <w:rPr>
          <w:rFonts w:ascii="Segoe UI" w:hAnsi="Segoe UI"/>
          <w:sz w:val="20"/>
        </w:rPr>
      </w:pPr>
      <w:r>
        <w:rPr>
          <w:rFonts w:ascii="Segoe UI" w:hAnsi="Segoe UI"/>
          <w:sz w:val="21"/>
        </w:rPr>
        <w:t xml:space="preserve">Depletion, depreciation, and accretion expense </w:t>
      </w:r>
      <w:bookmarkStart w:id="33" w:name="_Int_tdCw1n2b"/>
      <w:bookmarkEnd w:id="33"/>
      <w:r>
        <w:rPr>
          <w:rFonts w:ascii="Segoe UI" w:hAnsi="Segoe UI"/>
          <w:sz w:val="21"/>
        </w:rPr>
        <w:t>was</w:t>
      </w:r>
      <w:r>
        <w:rPr>
          <w:rFonts w:ascii="Segoe UI" w:hAnsi="Segoe UI"/>
          <w:sz w:val="20"/>
        </w:rPr>
        <w:t xml:space="preserve"> </w:t>
      </w:r>
      <w:r>
        <w:rPr>
          <w:rFonts w:ascii="Segoe UI" w:hAnsi="Segoe UI"/>
          <w:sz w:val="21"/>
        </w:rPr>
        <w:t>$5.6 million compared to $5.8 million in the year-ago period. On a per-BOE basis, the Company’s current quarter depletion rate was $8.29 per BOE, compared to $8.27 per BOE in the year-ago period.</w:t>
      </w:r>
    </w:p>
    <w:p>
      <w:pPr>
        <w:pStyle w:val="TextBody"/>
        <w:bidi w:val="0"/>
        <w:spacing w:lineRule="auto" w:line="285" w:before="0" w:after="0"/>
        <w:ind w:left="0" w:right="0" w:hanging="0"/>
        <w:jc w:val="center"/>
        <w:rPr>
          <w:rFonts w:ascii="Segoe UI" w:hAnsi="Segoe UI"/>
          <w:sz w:val="22"/>
        </w:rPr>
      </w:pPr>
      <w:r>
        <w:rPr>
          <w:rFonts w:ascii="Segoe UI" w:hAnsi="Segoe UI"/>
          <w:sz w:val="22"/>
        </w:rPr>
        <w:t>2</w:t>
      </w:r>
    </w:p>
    <w:p>
      <w:pPr>
        <w:pStyle w:val="HorizontalLine"/>
        <w:pBdr>
          <w:bottom w:val="double" w:sz="2" w:space="0" w:color="808080"/>
        </w:pBdr>
        <w:bidi w:val="0"/>
        <w:spacing w:before="0" w:after="283"/>
        <w:jc w:val="left"/>
        <w:rPr/>
      </w:pPr>
      <w:r>
        <w:rPr/>
      </w:r>
    </w:p>
    <w:p>
      <w:pPr>
        <w:pStyle w:val="TextBody"/>
        <w:bidi w:val="0"/>
        <w:spacing w:lineRule="auto" w:line="321" w:before="0" w:after="100"/>
        <w:ind w:left="0" w:right="0" w:hanging="0"/>
        <w:jc w:val="both"/>
        <w:rPr>
          <w:rFonts w:ascii="Segoe UI" w:hAnsi="Segoe UI"/>
          <w:sz w:val="21"/>
        </w:rPr>
      </w:pPr>
      <w:r>
        <w:rPr>
          <w:rFonts w:ascii="Segoe UI" w:hAnsi="Segoe UI"/>
          <w:sz w:val="21"/>
        </w:rPr>
        <w:t>General and administrative (“G&amp;A”) expenses (excluding stock-based compensation) decreased to $1.8 million compared to $2.0 million in the year-ago quarter. On a per-BOE basis, G&amp;A (excluding stock-based compensation) was $2.80 compared to $2.99 in the year-ago period.</w:t>
      </w:r>
    </w:p>
    <w:p>
      <w:pPr>
        <w:pStyle w:val="TextBody"/>
        <w:bidi w:val="0"/>
        <w:spacing w:lineRule="auto" w:line="321" w:before="100" w:after="100"/>
        <w:ind w:left="0" w:right="0" w:hanging="0"/>
        <w:jc w:val="both"/>
        <w:rPr/>
      </w:pPr>
      <w:r>
        <w:rPr>
          <w:rFonts w:ascii="Segoe UI" w:hAnsi="Segoe UI"/>
          <w:sz w:val="21"/>
        </w:rPr>
        <w:t>The Company reported net income of $4.6 million, or $0.13 per diluted share, compared to $3.4 million, or $0.10 per diluted share, in the year-ago period. Higher revenues are primarily driven by increased realized pricing. Excluding the impact of selected items, which include net gains (losses) on the unrealized portion of hedges, the Company reported an adjusted net loss of $0.6 million, compared to adjusted net income of $1.1 million in the year-ago period.</w:t>
      </w:r>
      <w:r>
        <w:rPr>
          <w:rFonts w:ascii="Segoe UI" w:hAnsi="Segoe UI"/>
          <w:sz w:val="16"/>
        </w:rPr>
        <w:t>(</w:t>
      </w:r>
      <w:hyperlink w:anchor="footnote-3">
        <w:r>
          <w:rPr>
            <w:rStyle w:val="InternetLink"/>
            <w:rFonts w:ascii="Segoe UI" w:hAnsi="Segoe UI"/>
            <w:sz w:val="16"/>
          </w:rPr>
          <w:t>1</w:t>
        </w:r>
      </w:hyperlink>
      <w:r>
        <w:rPr>
          <w:rFonts w:ascii="Segoe UI" w:hAnsi="Segoe UI"/>
          <w:sz w:val="16"/>
        </w:rPr>
        <w:t>)</w:t>
      </w:r>
    </w:p>
    <w:p>
      <w:pPr>
        <w:pStyle w:val="TextBody"/>
        <w:bidi w:val="0"/>
        <w:spacing w:lineRule="auto" w:line="321" w:before="100" w:after="100"/>
        <w:ind w:left="0" w:right="0" w:hanging="0"/>
        <w:jc w:val="both"/>
        <w:rPr/>
      </w:pPr>
      <w:r>
        <w:rPr>
          <w:rFonts w:ascii="Segoe UI" w:hAnsi="Segoe UI"/>
          <w:sz w:val="21"/>
        </w:rPr>
        <w:t>Adjusted EBITDA was $6.5 million compared to $8.6 million in the year-ago quarter. The decrease was primarily due to realized losses on derivative contracts in the current-year period compared to realized gains on derivative contracts in the prior-year period.</w:t>
      </w:r>
      <w:r>
        <w:rPr>
          <w:rFonts w:ascii="Segoe UI" w:hAnsi="Segoe UI"/>
          <w:sz w:val="16"/>
        </w:rPr>
        <w:t>(</w:t>
      </w:r>
      <w:hyperlink w:anchor="footnote-4">
        <w:r>
          <w:rPr>
            <w:rStyle w:val="InternetLink"/>
            <w:rFonts w:ascii="Segoe UI" w:hAnsi="Segoe UI"/>
            <w:sz w:val="16"/>
          </w:rPr>
          <w:t>2</w:t>
        </w:r>
      </w:hyperlink>
      <w:r>
        <w:rPr>
          <w:rFonts w:ascii="Segoe UI" w:hAnsi="Segoe UI"/>
          <w:sz w:val="16"/>
        </w:rPr>
        <w:t>)</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Production &amp; Pricing</w:t>
      </w:r>
    </w:p>
    <w:tbl>
      <w:tblPr>
        <w:tblW w:w="5788" w:type="dxa"/>
        <w:jc w:val="left"/>
        <w:tblInd w:w="0" w:type="dxa"/>
        <w:tblLayout w:type="fixed"/>
        <w:tblCellMar>
          <w:top w:w="0" w:type="dxa"/>
          <w:left w:w="0" w:type="dxa"/>
          <w:bottom w:w="0" w:type="dxa"/>
          <w:right w:w="0" w:type="dxa"/>
        </w:tblCellMar>
      </w:tblPr>
      <w:tblGrid>
        <w:gridCol w:w="2236"/>
        <w:gridCol w:w="109"/>
        <w:gridCol w:w="243"/>
        <w:gridCol w:w="657"/>
        <w:gridCol w:w="109"/>
        <w:gridCol w:w="243"/>
        <w:gridCol w:w="657"/>
        <w:gridCol w:w="109"/>
        <w:gridCol w:w="791"/>
        <w:gridCol w:w="634"/>
      </w:tblGrid>
      <w:tr>
        <w:trPr/>
        <w:tc>
          <w:tcPr>
            <w:tcW w:w="2236" w:type="dxa"/>
            <w:tcBorders/>
            <w:vAlign w:val="center"/>
          </w:tcPr>
          <w:p>
            <w:pPr>
              <w:pStyle w:val="TableContents"/>
              <w:bidi w:val="0"/>
              <w:spacing w:lineRule="auto" w:line="321" w:before="1" w:after="1"/>
              <w:ind w:left="0" w:right="0" w:hanging="0"/>
              <w:jc w:val="left"/>
              <w:rPr/>
            </w:pPr>
            <w:r>
              <w:rPr/>
              <w:t>​</w:t>
            </w:r>
          </w:p>
        </w:tc>
        <w:tc>
          <w:tcPr>
            <w:tcW w:w="109" w:type="dxa"/>
            <w:tcBorders/>
            <w:vAlign w:val="center"/>
          </w:tcPr>
          <w:p>
            <w:pPr>
              <w:pStyle w:val="TableContents"/>
              <w:bidi w:val="0"/>
              <w:spacing w:lineRule="auto" w:line="321" w:before="1" w:after="1"/>
              <w:ind w:left="0" w:right="0" w:hanging="0"/>
              <w:jc w:val="left"/>
              <w:rPr/>
            </w:pPr>
            <w:r>
              <w:rPr/>
              <w:t>​</w:t>
            </w:r>
          </w:p>
        </w:tc>
        <w:tc>
          <w:tcPr>
            <w:tcW w:w="243" w:type="dxa"/>
            <w:tcBorders/>
            <w:vAlign w:val="center"/>
          </w:tcPr>
          <w:p>
            <w:pPr>
              <w:pStyle w:val="TableContents"/>
              <w:bidi w:val="0"/>
              <w:spacing w:lineRule="auto" w:line="321" w:before="1" w:after="1"/>
              <w:ind w:left="0" w:right="0" w:hanging="0"/>
              <w:jc w:val="left"/>
              <w:rPr/>
            </w:pPr>
            <w:r>
              <w:rPr/>
              <w:t>​</w:t>
            </w:r>
          </w:p>
        </w:tc>
        <w:tc>
          <w:tcPr>
            <w:tcW w:w="657" w:type="dxa"/>
            <w:tcBorders/>
            <w:vAlign w:val="center"/>
          </w:tcPr>
          <w:p>
            <w:pPr>
              <w:pStyle w:val="TableContents"/>
              <w:bidi w:val="0"/>
              <w:spacing w:lineRule="auto" w:line="321" w:before="1" w:after="1"/>
              <w:ind w:left="0" w:right="0" w:hanging="0"/>
              <w:jc w:val="left"/>
              <w:rPr/>
            </w:pPr>
            <w:r>
              <w:rPr/>
              <w:t>​</w:t>
            </w:r>
          </w:p>
        </w:tc>
        <w:tc>
          <w:tcPr>
            <w:tcW w:w="109" w:type="dxa"/>
            <w:tcBorders/>
            <w:vAlign w:val="center"/>
          </w:tcPr>
          <w:p>
            <w:pPr>
              <w:pStyle w:val="TableContents"/>
              <w:bidi w:val="0"/>
              <w:spacing w:lineRule="auto" w:line="321" w:before="1" w:after="1"/>
              <w:ind w:left="0" w:right="0" w:hanging="0"/>
              <w:jc w:val="left"/>
              <w:rPr/>
            </w:pPr>
            <w:r>
              <w:rPr/>
              <w:t>​</w:t>
            </w:r>
          </w:p>
        </w:tc>
        <w:tc>
          <w:tcPr>
            <w:tcW w:w="243" w:type="dxa"/>
            <w:tcBorders/>
            <w:vAlign w:val="center"/>
          </w:tcPr>
          <w:p>
            <w:pPr>
              <w:pStyle w:val="TableContents"/>
              <w:bidi w:val="0"/>
              <w:spacing w:lineRule="auto" w:line="321" w:before="1" w:after="1"/>
              <w:ind w:left="0" w:right="0" w:hanging="0"/>
              <w:jc w:val="left"/>
              <w:rPr/>
            </w:pPr>
            <w:r>
              <w:rPr/>
              <w:t>​</w:t>
            </w:r>
          </w:p>
        </w:tc>
        <w:tc>
          <w:tcPr>
            <w:tcW w:w="657" w:type="dxa"/>
            <w:tcBorders/>
            <w:vAlign w:val="center"/>
          </w:tcPr>
          <w:p>
            <w:pPr>
              <w:pStyle w:val="TableContents"/>
              <w:bidi w:val="0"/>
              <w:spacing w:lineRule="auto" w:line="321" w:before="1" w:after="1"/>
              <w:ind w:left="0" w:right="0" w:hanging="0"/>
              <w:jc w:val="left"/>
              <w:rPr/>
            </w:pPr>
            <w:r>
              <w:rPr/>
              <w:t>​</w:t>
            </w:r>
          </w:p>
        </w:tc>
        <w:tc>
          <w:tcPr>
            <w:tcW w:w="109" w:type="dxa"/>
            <w:tcBorders/>
            <w:vAlign w:val="center"/>
          </w:tcPr>
          <w:p>
            <w:pPr>
              <w:pStyle w:val="TableContents"/>
              <w:bidi w:val="0"/>
              <w:spacing w:lineRule="auto" w:line="321" w:before="1" w:after="1"/>
              <w:ind w:left="0" w:right="0" w:hanging="0"/>
              <w:jc w:val="left"/>
              <w:rPr/>
            </w:pPr>
            <w:r>
              <w:rPr/>
              <w:t>​</w: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2285" cy="175895"/>
                      <wp:effectExtent l="0" t="0" r="0" b="0"/>
                      <wp:wrapNone/>
                      <wp:docPr id="16" name="Frame15"/>
                      <a:graphic xmlns:a="http://schemas.openxmlformats.org/drawingml/2006/main">
                        <a:graphicData uri="http://schemas.microsoft.com/office/word/2010/wordprocessingShape">
                          <wps:wsp>
                            <wps:cNvSpPr txBox="1"/>
                            <wps:spPr>
                              <a:xfrm>
                                <a:off x="0" y="0"/>
                                <a:ext cx="502285"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lineRule="auto" w:line="321" w:before="1" w:after="1"/>
              <w:ind w:left="0" w:right="0" w:hanging="0"/>
              <w:jc w:val="left"/>
              <w:rPr/>
            </w:pPr>
            <w:r>
              <w:rPr/>
              <w:t>​</w:t>
            </w:r>
          </w:p>
        </w:tc>
      </w:tr>
      <w:tr>
        <w:trPr/>
        <w:tc>
          <w:tcPr>
            <w:tcW w:w="2345" w:type="dxa"/>
            <w:gridSpan w:val="2"/>
            <w:tcBorders/>
            <w:vAlign w:val="center"/>
          </w:tcPr>
          <w:p>
            <w:pPr>
              <w:pStyle w:val="TableContents"/>
              <w:bidi w:val="0"/>
              <w:spacing w:lineRule="auto" w:line="321" w:before="1" w:after="1"/>
              <w:ind w:left="0" w:right="0" w:hanging="0"/>
              <w:jc w:val="left"/>
              <w:rPr>
                <w:rFonts w:ascii="Segoe UI" w:hAnsi="Segoe UI"/>
                <w:b/>
                <w:sz w:val="16"/>
              </w:rPr>
            </w:pPr>
            <w:r>
              <w:rPr>
                <w:rFonts w:ascii="Segoe UI" w:hAnsi="Segoe UI"/>
                <w:b/>
                <w:sz w:val="16"/>
              </w:rPr>
              <w:t>Average price per unit:</w:t>
            </w:r>
          </w:p>
        </w:tc>
        <w:tc>
          <w:tcPr>
            <w:tcW w:w="900" w:type="dxa"/>
            <w:gridSpan w:val="2"/>
            <w:tcBorders>
              <w:bottom w:val="single" w:sz="2" w:space="0" w:color="000000"/>
            </w:tcBorders>
            <w:tcMar>
              <w:bottom w:w="28" w:type="dxa"/>
            </w:tcM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Q4 2026</w:t>
            </w:r>
          </w:p>
        </w:tc>
        <w:tc>
          <w:tcPr>
            <w:tcW w:w="109" w:type="dxa"/>
            <w:tcBorders/>
            <w:vAlign w:val="center"/>
          </w:tcPr>
          <w:p>
            <w:pPr>
              <w:pStyle w:val="TableContents"/>
              <w:bidi w:val="0"/>
              <w:spacing w:lineRule="auto" w:line="321" w:before="1" w:after="1"/>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Q4 2025</w:t>
            </w:r>
          </w:p>
        </w:tc>
        <w:tc>
          <w:tcPr>
            <w:tcW w:w="109" w:type="dxa"/>
            <w:tcBorders/>
            <w:vAlign w:val="center"/>
          </w:tcPr>
          <w:p>
            <w:pPr>
              <w:pStyle w:val="TableContents"/>
              <w:bidi w:val="0"/>
              <w:spacing w:lineRule="auto" w:line="321" w:before="1" w:after="1"/>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 Change Y/Y</w:t>
            </w:r>
          </w:p>
        </w:tc>
      </w:tr>
      <w:tr>
        <w:trPr/>
        <w:tc>
          <w:tcPr>
            <w:tcW w:w="2236"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Crude oil (BBL)</w:t>
            </w:r>
          </w:p>
        </w:tc>
        <w:tc>
          <w:tcPr>
            <w:tcW w:w="109" w:type="dxa"/>
            <w:tcBorders/>
            <w:shd w:fill="CCEEFF" w:val="clear"/>
            <w:vAlign w:val="center"/>
          </w:tcPr>
          <w:p>
            <w:pPr>
              <w:pStyle w:val="TableContents"/>
              <w:bidi w:val="0"/>
              <w:spacing w:lineRule="auto" w:line="321" w:before="1" w:after="1"/>
              <w:ind w:left="0" w:right="0" w:hanging="0"/>
              <w:jc w:val="left"/>
              <w:rPr/>
            </w:pPr>
            <w:r>
              <w:rPr/>
              <w:t>​</w:t>
            </w:r>
          </w:p>
        </w:tc>
        <w:tc>
          <w:tcPr>
            <w:tcW w:w="243"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w:t>
            </w:r>
          </w:p>
        </w:tc>
        <w:tc>
          <w:tcPr>
            <w:tcW w:w="657"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90.74</w:t>
            </w:r>
          </w:p>
        </w:tc>
        <w:tc>
          <w:tcPr>
            <w:tcW w:w="109" w:type="dxa"/>
            <w:tcBorders/>
            <w:shd w:fill="CCEEFF" w:val="clear"/>
            <w:vAlign w:val="center"/>
          </w:tcPr>
          <w:p>
            <w:pPr>
              <w:pStyle w:val="TableContents"/>
              <w:bidi w:val="0"/>
              <w:spacing w:lineRule="auto" w:line="321" w:before="1" w:after="1"/>
              <w:ind w:left="0" w:right="0" w:hanging="0"/>
              <w:jc w:val="left"/>
              <w:rPr/>
            </w:pPr>
            <w:r>
              <w:rPr/>
              <w:t>​</w:t>
            </w:r>
          </w:p>
        </w:tc>
        <w:tc>
          <w:tcPr>
            <w:tcW w:w="243"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w:t>
            </w:r>
          </w:p>
        </w:tc>
        <w:tc>
          <w:tcPr>
            <w:tcW w:w="657"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60.82</w:t>
            </w:r>
          </w:p>
        </w:tc>
        <w:tc>
          <w:tcPr>
            <w:tcW w:w="109" w:type="dxa"/>
            <w:tcBorders/>
            <w:shd w:fill="CCEEFF" w:val="clear"/>
            <w:vAlign w:val="center"/>
          </w:tcPr>
          <w:p>
            <w:pPr>
              <w:pStyle w:val="TableContents"/>
              <w:bidi w:val="0"/>
              <w:spacing w:lineRule="auto" w:line="321" w:before="1" w:after="1"/>
              <w:ind w:left="0" w:right="0" w:hanging="0"/>
              <w:jc w:val="left"/>
              <w:rPr/>
            </w:pPr>
            <w:r>
              <w:rPr/>
              <w:t>​</w:t>
            </w:r>
          </w:p>
        </w:tc>
        <w:tc>
          <w:tcPr>
            <w:tcW w:w="791"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49</w:t>
            </w:r>
          </w:p>
        </w:tc>
        <w:tc>
          <w:tcPr>
            <w:tcW w:w="634"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w:t>
            </w:r>
          </w:p>
        </w:tc>
      </w:tr>
      <w:tr>
        <w:trPr/>
        <w:tc>
          <w:tcPr>
            <w:tcW w:w="2236"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Natural gas (MCF)</w:t>
            </w:r>
          </w:p>
        </w:tc>
        <w:tc>
          <w:tcPr>
            <w:tcW w:w="109" w:type="dxa"/>
            <w:tcBorders/>
            <w:vAlign w:val="center"/>
          </w:tcPr>
          <w:p>
            <w:pPr>
              <w:pStyle w:val="TableContents"/>
              <w:bidi w:val="0"/>
              <w:spacing w:lineRule="auto" w:line="321" w:before="1" w:after="1"/>
              <w:ind w:left="0" w:right="0" w:hanging="0"/>
              <w:jc w:val="left"/>
              <w:rPr/>
            </w:pPr>
            <w:r>
              <w:rPr/>
              <w:t>​</w:t>
            </w:r>
          </w:p>
        </w:tc>
        <w:tc>
          <w:tcPr>
            <w:tcW w:w="243" w:type="dxa"/>
            <w:tcBorders/>
            <w:vAlign w:val="center"/>
          </w:tcPr>
          <w:p>
            <w:pPr>
              <w:pStyle w:val="TableContents"/>
              <w:bidi w:val="0"/>
              <w:spacing w:lineRule="auto" w:line="321" w:before="1" w:after="1"/>
              <w:ind w:left="0" w:right="0" w:hanging="0"/>
              <w:jc w:val="left"/>
              <w:rPr/>
            </w:pPr>
            <w:r>
              <w:rPr/>
              <w:t>​</w:t>
            </w:r>
          </w:p>
        </w:tc>
        <w:tc>
          <w:tcPr>
            <w:tcW w:w="657"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2.13</w:t>
            </w:r>
          </w:p>
        </w:tc>
        <w:tc>
          <w:tcPr>
            <w:tcW w:w="109" w:type="dxa"/>
            <w:tcBorders/>
            <w:vAlign w:val="center"/>
          </w:tcPr>
          <w:p>
            <w:pPr>
              <w:pStyle w:val="TableContents"/>
              <w:bidi w:val="0"/>
              <w:spacing w:lineRule="auto" w:line="321" w:before="1" w:after="1"/>
              <w:ind w:left="0" w:right="0" w:hanging="0"/>
              <w:jc w:val="left"/>
              <w:rPr/>
            </w:pPr>
            <w:r>
              <w:rPr/>
              <w:t>​</w:t>
            </w:r>
          </w:p>
        </w:tc>
        <w:tc>
          <w:tcPr>
            <w:tcW w:w="243" w:type="dxa"/>
            <w:tcBorders/>
            <w:vAlign w:val="center"/>
          </w:tcPr>
          <w:p>
            <w:pPr>
              <w:pStyle w:val="TableContents"/>
              <w:bidi w:val="0"/>
              <w:spacing w:lineRule="auto" w:line="321" w:before="1" w:after="1"/>
              <w:ind w:left="0" w:right="0" w:hanging="0"/>
              <w:jc w:val="left"/>
              <w:rPr/>
            </w:pPr>
            <w:r>
              <w:rPr/>
              <w:t>​</w:t>
            </w:r>
          </w:p>
        </w:tc>
        <w:tc>
          <w:tcPr>
            <w:tcW w:w="657"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2.76</w:t>
            </w:r>
          </w:p>
        </w:tc>
        <w:tc>
          <w:tcPr>
            <w:tcW w:w="109" w:type="dxa"/>
            <w:tcBorders/>
            <w:vAlign w:val="center"/>
          </w:tcPr>
          <w:p>
            <w:pPr>
              <w:pStyle w:val="TableContents"/>
              <w:bidi w:val="0"/>
              <w:spacing w:lineRule="auto" w:line="321" w:before="1" w:after="1"/>
              <w:ind w:left="0" w:right="0" w:hanging="0"/>
              <w:jc w:val="left"/>
              <w:rPr/>
            </w:pPr>
            <w:r>
              <w:rPr/>
              <w:t>​</w:t>
            </w:r>
          </w:p>
        </w:tc>
        <w:tc>
          <w:tcPr>
            <w:tcW w:w="791"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(23)</w:t>
            </w:r>
          </w:p>
        </w:tc>
        <w:tc>
          <w:tcPr>
            <w:tcW w:w="634"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w:t>
            </w:r>
          </w:p>
        </w:tc>
      </w:tr>
      <w:tr>
        <w:trPr/>
        <w:tc>
          <w:tcPr>
            <w:tcW w:w="2236"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Natural Gas Liquids (BBL)</w:t>
            </w:r>
          </w:p>
        </w:tc>
        <w:tc>
          <w:tcPr>
            <w:tcW w:w="109" w:type="dxa"/>
            <w:tcBorders/>
            <w:shd w:fill="CCEEFF" w:val="clear"/>
            <w:vAlign w:val="center"/>
          </w:tcPr>
          <w:p>
            <w:pPr>
              <w:pStyle w:val="TableContents"/>
              <w:bidi w:val="0"/>
              <w:spacing w:lineRule="auto" w:line="321" w:before="1" w:after="1"/>
              <w:ind w:left="0" w:right="0" w:hanging="0"/>
              <w:jc w:val="left"/>
              <w:rPr/>
            </w:pPr>
            <w:r>
              <w:rPr/>
              <w:t>​</w:t>
            </w:r>
          </w:p>
        </w:tc>
        <w:tc>
          <w:tcPr>
            <w:tcW w:w="243" w:type="dxa"/>
            <w:tcBorders/>
            <w:shd w:fill="CCEEFF" w:val="clear"/>
            <w:vAlign w:val="center"/>
          </w:tcPr>
          <w:p>
            <w:pPr>
              <w:pStyle w:val="TableContents"/>
              <w:bidi w:val="0"/>
              <w:spacing w:lineRule="auto" w:line="321" w:before="1" w:after="1"/>
              <w:ind w:left="0" w:right="0" w:hanging="0"/>
              <w:jc w:val="left"/>
              <w:rPr/>
            </w:pPr>
            <w:r>
              <w:rPr/>
              <w:t>​</w:t>
            </w:r>
          </w:p>
        </w:tc>
        <w:tc>
          <w:tcPr>
            <w:tcW w:w="657"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32.49</w:t>
            </w:r>
          </w:p>
        </w:tc>
        <w:tc>
          <w:tcPr>
            <w:tcW w:w="109" w:type="dxa"/>
            <w:tcBorders/>
            <w:shd w:fill="CCEEFF" w:val="clear"/>
            <w:vAlign w:val="center"/>
          </w:tcPr>
          <w:p>
            <w:pPr>
              <w:pStyle w:val="TableContents"/>
              <w:bidi w:val="0"/>
              <w:spacing w:lineRule="auto" w:line="321" w:before="1" w:after="1"/>
              <w:ind w:left="0" w:right="0" w:hanging="0"/>
              <w:jc w:val="left"/>
              <w:rPr/>
            </w:pPr>
            <w:r>
              <w:rPr/>
              <w:t>​</w:t>
            </w:r>
          </w:p>
        </w:tc>
        <w:tc>
          <w:tcPr>
            <w:tcW w:w="243" w:type="dxa"/>
            <w:tcBorders/>
            <w:shd w:fill="CCEEFF" w:val="clear"/>
            <w:vAlign w:val="center"/>
          </w:tcPr>
          <w:p>
            <w:pPr>
              <w:pStyle w:val="TableContents"/>
              <w:bidi w:val="0"/>
              <w:spacing w:lineRule="auto" w:line="321" w:before="1" w:after="1"/>
              <w:ind w:left="0" w:right="0" w:hanging="0"/>
              <w:jc w:val="left"/>
              <w:rPr/>
            </w:pPr>
            <w:r>
              <w:rPr/>
              <w:t>​</w:t>
            </w:r>
          </w:p>
        </w:tc>
        <w:tc>
          <w:tcPr>
            <w:tcW w:w="657"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25.50</w:t>
            </w:r>
          </w:p>
        </w:tc>
        <w:tc>
          <w:tcPr>
            <w:tcW w:w="109" w:type="dxa"/>
            <w:tcBorders/>
            <w:shd w:fill="CCEEFF" w:val="clear"/>
            <w:vAlign w:val="center"/>
          </w:tcPr>
          <w:p>
            <w:pPr>
              <w:pStyle w:val="TableContents"/>
              <w:bidi w:val="0"/>
              <w:spacing w:lineRule="auto" w:line="321" w:before="1" w:after="1"/>
              <w:ind w:left="0" w:right="0" w:hanging="0"/>
              <w:jc w:val="left"/>
              <w:rPr/>
            </w:pPr>
            <w:r>
              <w:rPr/>
              <w:t>​</w:t>
            </w:r>
          </w:p>
        </w:tc>
        <w:tc>
          <w:tcPr>
            <w:tcW w:w="791"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27</w:t>
            </w:r>
          </w:p>
        </w:tc>
        <w:tc>
          <w:tcPr>
            <w:tcW w:w="634"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w:t>
            </w:r>
          </w:p>
        </w:tc>
      </w:tr>
      <w:tr>
        <w:trPr/>
        <w:tc>
          <w:tcPr>
            <w:tcW w:w="2236"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Equivalent (BOE)</w:t>
            </w:r>
          </w:p>
        </w:tc>
        <w:tc>
          <w:tcPr>
            <w:tcW w:w="109" w:type="dxa"/>
            <w:tcBorders/>
            <w:vAlign w:val="center"/>
          </w:tcPr>
          <w:p>
            <w:pPr>
              <w:pStyle w:val="TableContents"/>
              <w:bidi w:val="0"/>
              <w:spacing w:lineRule="auto" w:line="321" w:before="1" w:after="1"/>
              <w:ind w:left="0" w:right="0" w:hanging="0"/>
              <w:jc w:val="left"/>
              <w:rPr/>
            </w:pPr>
            <w:r>
              <w:rPr/>
              <w:t>​</w:t>
            </w:r>
          </w:p>
        </w:tc>
        <w:tc>
          <w:tcPr>
            <w:tcW w:w="243" w:type="dxa"/>
            <w:tcBorders/>
            <w:vAlign w:val="center"/>
          </w:tcPr>
          <w:p>
            <w:pPr>
              <w:pStyle w:val="TableContents"/>
              <w:bidi w:val="0"/>
              <w:spacing w:lineRule="auto" w:line="321" w:before="1" w:after="1"/>
              <w:ind w:left="0" w:right="0" w:hanging="0"/>
              <w:jc w:val="left"/>
              <w:rPr/>
            </w:pPr>
            <w:r>
              <w:rPr/>
              <w:t>​</w:t>
            </w:r>
          </w:p>
        </w:tc>
        <w:tc>
          <w:tcPr>
            <w:tcW w:w="657"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38.55</w:t>
            </w:r>
          </w:p>
        </w:tc>
        <w:tc>
          <w:tcPr>
            <w:tcW w:w="109" w:type="dxa"/>
            <w:tcBorders/>
            <w:vAlign w:val="center"/>
          </w:tcPr>
          <w:p>
            <w:pPr>
              <w:pStyle w:val="TableContents"/>
              <w:bidi w:val="0"/>
              <w:spacing w:lineRule="auto" w:line="321" w:before="1" w:after="1"/>
              <w:ind w:left="0" w:right="0" w:hanging="0"/>
              <w:jc w:val="left"/>
              <w:rPr/>
            </w:pPr>
            <w:r>
              <w:rPr/>
              <w:t>​</w:t>
            </w:r>
          </w:p>
        </w:tc>
        <w:tc>
          <w:tcPr>
            <w:tcW w:w="243" w:type="dxa"/>
            <w:tcBorders/>
            <w:vAlign w:val="center"/>
          </w:tcPr>
          <w:p>
            <w:pPr>
              <w:pStyle w:val="TableContents"/>
              <w:bidi w:val="0"/>
              <w:spacing w:lineRule="auto" w:line="321" w:before="1" w:after="1"/>
              <w:ind w:left="0" w:right="0" w:hanging="0"/>
              <w:jc w:val="left"/>
              <w:rPr/>
            </w:pPr>
            <w:r>
              <w:rPr/>
              <w:t>​</w:t>
            </w:r>
          </w:p>
        </w:tc>
        <w:tc>
          <w:tcPr>
            <w:tcW w:w="657"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32.23</w:t>
            </w:r>
          </w:p>
        </w:tc>
        <w:tc>
          <w:tcPr>
            <w:tcW w:w="109" w:type="dxa"/>
            <w:tcBorders/>
            <w:vAlign w:val="center"/>
          </w:tcPr>
          <w:p>
            <w:pPr>
              <w:pStyle w:val="TableContents"/>
              <w:bidi w:val="0"/>
              <w:spacing w:lineRule="auto" w:line="321" w:before="1" w:after="1"/>
              <w:ind w:left="0" w:right="0" w:hanging="0"/>
              <w:jc w:val="left"/>
              <w:rPr/>
            </w:pPr>
            <w:r>
              <w:rPr/>
              <w:t>​</w:t>
            </w:r>
          </w:p>
        </w:tc>
        <w:tc>
          <w:tcPr>
            <w:tcW w:w="791"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20</w:t>
            </w:r>
          </w:p>
        </w:tc>
        <w:tc>
          <w:tcPr>
            <w:tcW w:w="634"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w:t>
            </w:r>
          </w:p>
        </w:tc>
      </w:tr>
    </w:tbl>
    <w:p>
      <w:pPr>
        <w:pStyle w:val="TextBody"/>
        <w:bidi w:val="0"/>
        <w:spacing w:lineRule="auto" w:line="321" w:before="200" w:after="100"/>
        <w:ind w:left="0" w:right="0" w:hanging="0"/>
        <w:jc w:val="both"/>
        <w:rPr>
          <w:rFonts w:ascii="Segoe UI" w:hAnsi="Segoe UI"/>
          <w:sz w:val="20"/>
        </w:rPr>
      </w:pPr>
      <w:r>
        <w:rPr>
          <w:rFonts w:ascii="Segoe UI" w:hAnsi="Segoe UI"/>
          <w:sz w:val="21"/>
        </w:rPr>
        <w:t>Total production for the fourth quarter of fiscal 2026 decreased to 6,901 net BOEPD compared to 7,198 net BOEPD in the year-ago period. Total production for the fourth quarter of fiscal 2026 included approximately 2,000 barrels per day (“BOPD”) of crude oil, 3,791 BOEPD of natural gas, and 1,110 BOEPD</w:t>
      </w:r>
      <w:r>
        <w:rPr>
          <w:rFonts w:ascii="Segoe UI" w:hAnsi="Segoe UI"/>
          <w:sz w:val="20"/>
        </w:rPr>
        <w:t xml:space="preserve"> </w:t>
      </w:r>
      <w:r>
        <w:rPr>
          <w:rFonts w:ascii="Segoe UI" w:hAnsi="Segoe UI"/>
          <w:sz w:val="21"/>
        </w:rPr>
        <w:t>of NGLs. Fiscal 2025 fourth quarter benefited from flush production from new wells brought online during that quarter. The year-over-year change in production largely reflects these wells following their expected declines over fiscal 2026. Fiscal 2026 did benefit from higher production from SCOOP/STACK, driven by the August 2025 Minerals Acquisition and new-well activity, along with a contribution from M&amp;R interests acquired in the Haynesville and Bossier shale in Louisiana.</w:t>
      </w:r>
    </w:p>
    <w:p>
      <w:pPr>
        <w:pStyle w:val="TextBody"/>
        <w:bidi w:val="0"/>
        <w:spacing w:lineRule="auto" w:line="304" w:before="100" w:after="100"/>
        <w:ind w:left="0" w:right="0" w:hanging="0"/>
        <w:jc w:val="both"/>
        <w:rPr>
          <w:rFonts w:ascii="Segoe UI" w:hAnsi="Segoe UI"/>
          <w:sz w:val="21"/>
        </w:rPr>
      </w:pPr>
      <w:r>
        <w:rPr>
          <w:rFonts w:ascii="Segoe UI" w:hAnsi="Segoe UI"/>
          <w:sz w:val="21"/>
        </w:rPr>
        <w:t xml:space="preserve">The Company’s average realized commodity price (excluding the impact of derivative contracts) increased 20% to $38.55 per BOE in fiscal Q4, compared to $32.23 per BOE in the year-ago period. </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Operations Update</w:t>
      </w:r>
    </w:p>
    <w:p>
      <w:pPr>
        <w:pStyle w:val="TextBody"/>
        <w:bidi w:val="0"/>
        <w:spacing w:lineRule="auto" w:line="321" w:before="0" w:after="0"/>
        <w:ind w:left="0" w:right="0" w:hanging="0"/>
        <w:jc w:val="both"/>
        <w:rPr>
          <w:rFonts w:ascii="Segoe UI" w:hAnsi="Segoe UI"/>
          <w:sz w:val="20"/>
        </w:rPr>
      </w:pPr>
      <w:r>
        <w:rPr>
          <w:rFonts w:ascii="Segoe UI" w:hAnsi="Segoe UI"/>
          <w:sz w:val="21"/>
        </w:rPr>
        <w:t>At SCOOP/STACK, Evolution continued to benefit from its combination of working interests and M&amp;R interests. Production remained strong while operating costs improved, reflecting the growing contribution from the minerals and royalty portfolio. Fiscal Q4 production averaged 1,275 BOEPD, up about 14% from the prior-year quarter, while LOE declined to $10.33 per BOE from $11.05 in the prior-year quarter. Third-party operators remain active around the Company’s acreage, providing continued development visibility, with ten gross working-interest wells brought online in fiscal 2026, and approximately ten already expected to be brought online in fiscal 2027 so far. During the year, across our combined SCOOP/STACK portfolio (working interests and M&amp;R interests), our operators brought online 31 gross wells. As of July 31</w:t>
      </w:r>
      <w:r>
        <w:rPr>
          <w:rFonts w:ascii="Segoe UI" w:hAnsi="Segoe UI"/>
          <w:sz w:val="16"/>
        </w:rPr>
        <w:t>st</w:t>
      </w:r>
      <w:r>
        <w:rPr>
          <w:rFonts w:ascii="Segoe UI" w:hAnsi="Segoe UI"/>
          <w:sz w:val="21"/>
        </w:rPr>
        <w:t xml:space="preserve">, we have an interest in 725 </w:t>
      </w:r>
    </w:p>
    <w:p>
      <w:pPr>
        <w:pStyle w:val="Normal"/>
        <w:bidi w:val="0"/>
        <w:spacing w:before="0" w:after="0"/>
        <w:jc w:val="left"/>
        <w:rPr>
          <w:sz w:val="4"/>
          <w:szCs w:val="4"/>
        </w:rPr>
      </w:pPr>
      <w:r>
        <w:rPr>
          <w:sz w:val="4"/>
          <w:szCs w:val="4"/>
        </w:rPr>
      </w:r>
      <w:bookmarkStart w:id="34" w:name="footnote-3"/>
      <w:bookmarkStart w:id="35" w:name="footnote-3"/>
      <w:bookmarkEnd w:id="35"/>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(1)</w:t>
            </w:r>
          </w:p>
        </w:tc>
        <w:tc>
          <w:tcPr>
            <w:tcW w:w="9985"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Adjusted net income (loss) is a non-GAAP financial measure; see the non-GAAP reconciliation schedules to the most comparable GAAP measures at the end of this release for more information.</w:t>
            </w:r>
          </w:p>
        </w:tc>
      </w:tr>
    </w:tbl>
    <w:p>
      <w:pPr>
        <w:pStyle w:val="Normal"/>
        <w:bidi w:val="0"/>
        <w:spacing w:before="0" w:after="0"/>
        <w:jc w:val="left"/>
        <w:rPr>
          <w:sz w:val="4"/>
          <w:szCs w:val="4"/>
        </w:rPr>
      </w:pPr>
      <w:r>
        <w:rPr>
          <w:sz w:val="4"/>
          <w:szCs w:val="4"/>
        </w:rPr>
      </w:r>
      <w:bookmarkStart w:id="36" w:name="footnote-4"/>
      <w:bookmarkStart w:id="37" w:name="footnote-4"/>
      <w:bookmarkEnd w:id="37"/>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(2)</w:t>
            </w:r>
          </w:p>
        </w:tc>
        <w:tc>
          <w:tcPr>
            <w:tcW w:w="9995"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Adjusted EBITDA is Adjusted Earnings Before Interest, Taxes, Depreciation, and Amortization and is a non-GAAP financial measure; see the non-GAAP reconciliation schedules to the most comparable GAAP measures at the end of this release for more information.</w:t>
            </w:r>
          </w:p>
        </w:tc>
      </w:tr>
    </w:tbl>
    <w:p>
      <w:pPr>
        <w:pStyle w:val="TextBody"/>
        <w:bidi w:val="0"/>
        <w:spacing w:lineRule="auto" w:line="285" w:before="0" w:after="0"/>
        <w:ind w:left="0" w:right="0" w:hanging="0"/>
        <w:jc w:val="center"/>
        <w:rPr>
          <w:rFonts w:ascii="Segoe UI" w:hAnsi="Segoe UI"/>
          <w:sz w:val="22"/>
        </w:rPr>
      </w:pPr>
      <w:r>
        <w:rPr>
          <w:rFonts w:ascii="Segoe UI" w:hAnsi="Segoe UI"/>
          <w:sz w:val="22"/>
        </w:rPr>
        <w:t>3</w:t>
      </w:r>
    </w:p>
    <w:p>
      <w:pPr>
        <w:pStyle w:val="HorizontalLine"/>
        <w:pBdr>
          <w:bottom w:val="double" w:sz="2" w:space="0" w:color="808080"/>
        </w:pBdr>
        <w:bidi w:val="0"/>
        <w:spacing w:before="0" w:after="283"/>
        <w:jc w:val="left"/>
        <w:rPr/>
      </w:pPr>
      <w:r>
        <w:rPr/>
      </w:r>
    </w:p>
    <w:p>
      <w:pPr>
        <w:pStyle w:val="TextBody"/>
        <w:bidi w:val="0"/>
        <w:spacing w:lineRule="auto" w:line="321" w:before="0" w:after="100"/>
        <w:ind w:left="0" w:right="0" w:hanging="0"/>
        <w:jc w:val="both"/>
        <w:rPr>
          <w:rFonts w:ascii="Segoe UI" w:hAnsi="Segoe UI"/>
          <w:sz w:val="21"/>
        </w:rPr>
      </w:pPr>
      <w:r>
        <w:rPr>
          <w:rFonts w:ascii="Segoe UI" w:hAnsi="Segoe UI"/>
          <w:sz w:val="21"/>
        </w:rPr>
        <w:t>gross producing wells, 36 gross wells that have either been identified as Proved Undeveloped ("PUDs") or are already in various stages of drilling and completion, and over 360 additional gross locations.</w:t>
      </w:r>
    </w:p>
    <w:p>
      <w:pPr>
        <w:pStyle w:val="TextBody"/>
        <w:bidi w:val="0"/>
        <w:spacing w:lineRule="auto" w:line="321" w:before="100" w:after="100"/>
        <w:ind w:left="0" w:right="0" w:hanging="0"/>
        <w:jc w:val="both"/>
        <w:rPr>
          <w:rFonts w:ascii="Segoe UI" w:hAnsi="Segoe UI"/>
          <w:sz w:val="20"/>
        </w:rPr>
      </w:pPr>
      <w:r>
        <w:rPr>
          <w:rFonts w:ascii="Segoe UI" w:hAnsi="Segoe UI"/>
          <w:sz w:val="21"/>
        </w:rPr>
        <w:t>In Louisiana, operator activity across the Haynesville and Bossier positions continues to progress, with wells moving through various stages of development and into production. As of July 31</w:t>
      </w:r>
      <w:r>
        <w:rPr>
          <w:rFonts w:ascii="Segoe UI" w:hAnsi="Segoe UI"/>
          <w:sz w:val="16"/>
        </w:rPr>
        <w:t>st</w:t>
      </w:r>
      <w:r>
        <w:rPr>
          <w:rFonts w:ascii="Segoe UI" w:hAnsi="Segoe UI"/>
          <w:sz w:val="21"/>
        </w:rPr>
        <w:t>, the portfolio included approximately 90 producing gross wells, 16 wells in various stages of drilling or completion, 35 pre-permitted wells, and over 60 additional identified gross locations.</w:t>
      </w:r>
    </w:p>
    <w:p>
      <w:pPr>
        <w:pStyle w:val="TextBody"/>
        <w:bidi w:val="0"/>
        <w:spacing w:lineRule="auto" w:line="321" w:before="100" w:after="100"/>
        <w:ind w:left="0" w:right="0" w:hanging="0"/>
        <w:jc w:val="both"/>
        <w:rPr>
          <w:rFonts w:ascii="Segoe UI" w:hAnsi="Segoe UI"/>
          <w:sz w:val="21"/>
        </w:rPr>
      </w:pPr>
      <w:r>
        <w:rPr>
          <w:rFonts w:ascii="Segoe UI" w:hAnsi="Segoe UI"/>
          <w:sz w:val="21"/>
        </w:rPr>
        <w:t>Operating performance at our TexMex assets in Louisiana, Texas and New Mexico continued to improve during the fiscal fourth quarter as workover and optimization activity progressed. The operator continues to identify opportunities to restore and enhance production from the existing well base, and the Company expects the TexMex assets to be an important contributor to the overall cash flow as those efforts continue.</w:t>
      </w:r>
    </w:p>
    <w:p>
      <w:pPr>
        <w:pStyle w:val="TextBody"/>
        <w:bidi w:val="0"/>
        <w:spacing w:lineRule="auto" w:line="321" w:before="100" w:after="100"/>
        <w:ind w:left="0" w:right="0" w:hanging="0"/>
        <w:jc w:val="both"/>
        <w:rPr>
          <w:rFonts w:ascii="Segoe UI" w:hAnsi="Segoe UI"/>
          <w:sz w:val="21"/>
        </w:rPr>
      </w:pPr>
      <w:r>
        <w:rPr>
          <w:rFonts w:ascii="Segoe UI" w:hAnsi="Segoe UI"/>
          <w:sz w:val="21"/>
        </w:rPr>
        <w:t>At Chaveroo, production increased meaningfully during fiscal 2026, benefiting from a full year of production from the wells brought online during the fourth quarter of fiscal 2025. Average production increased to approximately 260 BOEPD from 175 BOEPD in fiscal 2025. The Company has secured six drilling permits and is in discussions with its partner regarding the timing of future drilling.</w:t>
      </w:r>
    </w:p>
    <w:p>
      <w:pPr>
        <w:pStyle w:val="TextBody"/>
        <w:bidi w:val="0"/>
        <w:spacing w:lineRule="auto" w:line="314" w:before="100" w:after="100"/>
        <w:ind w:left="0" w:right="0" w:hanging="0"/>
        <w:jc w:val="both"/>
        <w:rPr>
          <w:rFonts w:ascii="Segoe UI" w:hAnsi="Segoe UI"/>
          <w:sz w:val="20"/>
        </w:rPr>
      </w:pPr>
      <w:r>
        <w:rPr>
          <w:rFonts w:ascii="Segoe UI" w:hAnsi="Segoe UI"/>
          <w:sz w:val="21"/>
        </w:rPr>
        <w:t>Across the Company’s legacy assets, the focus remains on maintaining base production, improving operating reliability, and pursuing selective drilling and workover opportunities. Operational issues that affected several properties earlier in fiscal 2026 improved as the year progressed.</w:t>
      </w:r>
      <w:r>
        <w:rPr>
          <w:rFonts w:ascii="Segoe UI" w:hAnsi="Segoe UI"/>
          <w:sz w:val="20"/>
        </w:rPr>
        <w:t xml:space="preserve"> </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Balance Sheet, Liquidity, and Capital Spending</w:t>
      </w:r>
    </w:p>
    <w:p>
      <w:pPr>
        <w:pStyle w:val="TextBody"/>
        <w:bidi w:val="0"/>
        <w:spacing w:lineRule="auto" w:line="314" w:before="0" w:after="100"/>
        <w:ind w:left="0" w:right="0" w:hanging="0"/>
        <w:jc w:val="both"/>
        <w:rPr>
          <w:rFonts w:ascii="Segoe UI" w:hAnsi="Segoe UI"/>
          <w:sz w:val="21"/>
        </w:rPr>
      </w:pPr>
      <w:r>
        <w:rPr>
          <w:rFonts w:ascii="Segoe UI" w:hAnsi="Segoe UI"/>
          <w:sz w:val="21"/>
        </w:rPr>
        <w:t>On June 30, 2026, the Company had cash and cash equivalents of $6.1 million, outstanding borrowings of $56.5 million, and $0.8 million in letters of credit outstanding under its Senior Secured Credit Facility, and a weighted average interest rate of 6.69%. Availability under the facility was $7.7 million, bringing total liquidity to $13.9 million. In the fourth quarter of fiscal 2026, Evolution paid $4.3 million in common stock dividends, $1.7 million for minerals acquisitions, and incurred $1.5 million in capital expenditures. These cash outlays were partially offset by cash received of $3.1 million from its SCOOP/STACK non-core, non-producing mineral acreage divestiture. Evolution also received net proceeds of $1.0 million, net of $0.1 million of offering costs paid, from the sale of shares of common stock under its At-The-Market equity sales agreement. The Company had total net cash provided by operating activities of $6.8 million for the quarter.</w:t>
      </w:r>
    </w:p>
    <w:p>
      <w:pPr>
        <w:pStyle w:val="TextBody"/>
        <w:bidi w:val="0"/>
        <w:spacing w:lineRule="auto" w:line="314" w:before="100" w:after="100"/>
        <w:ind w:left="0" w:right="0" w:hanging="0"/>
        <w:jc w:val="both"/>
        <w:rPr>
          <w:rFonts w:ascii="Segoe UI" w:hAnsi="Segoe UI"/>
          <w:sz w:val="21"/>
        </w:rPr>
      </w:pPr>
      <w:r>
        <w:rPr>
          <w:rFonts w:ascii="Segoe UI" w:hAnsi="Segoe UI"/>
          <w:sz w:val="21"/>
        </w:rPr>
        <w:t>On August 20, 2026, Evolution entered into a letter agreement with MidFirst Bank pursuant to which the borrowing base on the Company’s Senior Secured Credit Facility was temporarily increased from $65.0 million to $73.0 million from August 20, 2026 until October 20, 2026, unless redetermined earlier in accordance with the credit agreement. Pro forma for the Permian Minerals acquisition, after taking into account the common stock offering in August 2026, additional net borrowings of $3.2 million under our Senior Secured Credit Facility, and the temporary increase in the Company’s revolving borrowing base, Evolution had 40.2 million shares of common stock outstanding and total liquidity of approximately $19 million.</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Cash Dividend on Common Stock</w:t>
      </w:r>
    </w:p>
    <w:p>
      <w:pPr>
        <w:pStyle w:val="TextBody"/>
        <w:bidi w:val="0"/>
        <w:spacing w:lineRule="auto" w:line="321" w:before="0" w:after="0"/>
        <w:ind w:left="0" w:right="0" w:hanging="0"/>
        <w:jc w:val="both"/>
        <w:rPr>
          <w:rFonts w:ascii="Segoe UI" w:hAnsi="Segoe UI"/>
          <w:sz w:val="20"/>
        </w:rPr>
      </w:pPr>
      <w:r>
        <w:rPr>
          <w:rFonts w:ascii="Segoe UI" w:hAnsi="Segoe UI"/>
          <w:sz w:val="21"/>
        </w:rPr>
        <w:t>On September 10, 2026, Evolution's Board of Directors declared a cash dividend of $0.12 per share of common stock, payable on September 30, 2026, to common stockholders of record on September 21, 2026. This will be the 52</w:t>
      </w:r>
      <w:r>
        <w:rPr>
          <w:rFonts w:ascii="Segoe UI" w:hAnsi="Segoe UI"/>
          <w:sz w:val="16"/>
        </w:rPr>
        <w:t>nd</w:t>
      </w:r>
      <w:r>
        <w:rPr>
          <w:rFonts w:ascii="Segoe UI" w:hAnsi="Segoe UI"/>
          <w:sz w:val="20"/>
        </w:rPr>
        <w:t xml:space="preserve"> </w:t>
      </w:r>
      <w:r>
        <w:rPr>
          <w:rFonts w:ascii="Segoe UI" w:hAnsi="Segoe UI"/>
          <w:sz w:val="21"/>
        </w:rPr>
        <w:t xml:space="preserve">consecutive quarterly cash dividend on the Company's common stock since December 31, 2013. To </w:t>
      </w:r>
    </w:p>
    <w:p>
      <w:pPr>
        <w:pStyle w:val="TextBody"/>
        <w:bidi w:val="0"/>
        <w:spacing w:lineRule="auto" w:line="285" w:before="0" w:after="0"/>
        <w:ind w:left="0" w:right="0" w:hanging="0"/>
        <w:jc w:val="center"/>
        <w:rPr>
          <w:rFonts w:ascii="Segoe UI" w:hAnsi="Segoe UI"/>
          <w:sz w:val="22"/>
        </w:rPr>
      </w:pPr>
      <w:r>
        <w:rPr>
          <w:rFonts w:ascii="Segoe UI" w:hAnsi="Segoe UI"/>
          <w:sz w:val="22"/>
        </w:rPr>
        <w:t>4</w:t>
      </w:r>
    </w:p>
    <w:p>
      <w:pPr>
        <w:pStyle w:val="HorizontalLine"/>
        <w:pBdr>
          <w:bottom w:val="double" w:sz="2" w:space="0" w:color="808080"/>
        </w:pBdr>
        <w:bidi w:val="0"/>
        <w:spacing w:before="0" w:after="283"/>
        <w:jc w:val="left"/>
        <w:rPr/>
      </w:pPr>
      <w:r>
        <w:rPr/>
      </w:r>
    </w:p>
    <w:p>
      <w:pPr>
        <w:pStyle w:val="TextBody"/>
        <w:bidi w:val="0"/>
        <w:spacing w:lineRule="auto" w:line="321" w:before="0" w:after="100"/>
        <w:ind w:left="0" w:right="0" w:hanging="0"/>
        <w:jc w:val="both"/>
        <w:rPr>
          <w:rFonts w:ascii="Segoe UI" w:hAnsi="Segoe UI"/>
          <w:sz w:val="21"/>
        </w:rPr>
      </w:pPr>
      <w:r>
        <w:rPr>
          <w:rFonts w:ascii="Segoe UI" w:hAnsi="Segoe UI"/>
          <w:sz w:val="21"/>
        </w:rPr>
        <w:t>date, Evolution has returned approximately $151.7 million, or $4.53 per share, back to stockholders in common stock dividends.</w:t>
      </w:r>
    </w:p>
    <w:p>
      <w:pPr>
        <w:pStyle w:val="TextBody"/>
        <w:bidi w:val="0"/>
        <w:spacing w:lineRule="auto" w:line="307" w:before="100" w:after="60"/>
        <w:ind w:left="0" w:right="0" w:hanging="0"/>
        <w:jc w:val="both"/>
        <w:rPr>
          <w:rFonts w:ascii="Segoe UI Semibold" w:hAnsi="Segoe UI Semibold"/>
          <w:b w:val="false"/>
          <w:sz w:val="21"/>
        </w:rPr>
      </w:pPr>
      <w:r>
        <w:rPr>
          <w:rFonts w:ascii="Segoe UI Semibold" w:hAnsi="Segoe UI Semibold"/>
          <w:b w:val="false"/>
          <w:sz w:val="21"/>
        </w:rPr>
        <w:t>Conference Call</w:t>
      </w:r>
    </w:p>
    <w:p>
      <w:pPr>
        <w:pStyle w:val="TextBody"/>
        <w:bidi w:val="0"/>
        <w:spacing w:lineRule="auto" w:line="321" w:before="0" w:after="100"/>
        <w:ind w:left="0" w:right="0" w:hanging="0"/>
        <w:jc w:val="both"/>
        <w:rPr>
          <w:rFonts w:ascii="Segoe UI" w:hAnsi="Segoe UI"/>
          <w:sz w:val="20"/>
        </w:rPr>
      </w:pPr>
      <w:r>
        <w:rPr>
          <w:rFonts w:ascii="Segoe UI" w:hAnsi="Segoe UI"/>
          <w:sz w:val="21"/>
        </w:rPr>
        <w:t>As previously announced, Evolution Petroleum will host a conference call on Wednesday, September 16, 2026, at 10:00 a.m. CT to review its fiscal fourth quarter 2026 financial and operating results. Participants can join online at https://event.choruscall.com/mediaframe/webcast.html?webcastid=ai980iXu</w:t>
      </w:r>
      <w:r>
        <w:rPr>
          <w:rFonts w:ascii="Segoe UI" w:hAnsi="Segoe UI"/>
          <w:sz w:val="20"/>
        </w:rPr>
        <w:t xml:space="preserve"> </w:t>
      </w:r>
      <w:r>
        <w:rPr>
          <w:rFonts w:ascii="Segoe UI" w:hAnsi="Segoe UI"/>
          <w:sz w:val="21"/>
        </w:rPr>
        <w:t>or by dialing (844) 481-2813. Dial-in participants should ask to join the Evolution Petroleum Corporation call. A replay will be available through September 15, 2027, via the provided webcast link and on Evolution's Investor Relations website at www.ir.evolutionpetroleum.com</w:t>
      </w:r>
      <w:r>
        <w:rPr>
          <w:rFonts w:ascii="Segoe UI" w:hAnsi="Segoe UI"/>
          <w:color w:val="0563C1"/>
          <w:sz w:val="21"/>
          <w:u w:val="single"/>
        </w:rPr>
        <w:t>.</w:t>
      </w:r>
    </w:p>
    <w:p>
      <w:pPr>
        <w:pStyle w:val="TextBody"/>
        <w:bidi w:val="0"/>
        <w:spacing w:lineRule="auto" w:line="285" w:before="120" w:after="60"/>
        <w:ind w:left="0" w:right="0" w:hanging="0"/>
        <w:jc w:val="both"/>
        <w:rPr>
          <w:rFonts w:ascii="Segoe UI Semibold" w:hAnsi="Segoe UI Semibold"/>
          <w:b w:val="false"/>
          <w:sz w:val="21"/>
        </w:rPr>
      </w:pPr>
      <w:r>
        <w:rPr>
          <w:rFonts w:ascii="Segoe UI Semibold" w:hAnsi="Segoe UI Semibold"/>
          <w:b w:val="false"/>
          <w:sz w:val="21"/>
        </w:rPr>
        <w:t>About Evolution Petroleum</w:t>
      </w:r>
    </w:p>
    <w:p>
      <w:pPr>
        <w:pStyle w:val="TextBody"/>
        <w:bidi w:val="0"/>
        <w:spacing w:lineRule="auto" w:line="285" w:before="0" w:after="100"/>
        <w:ind w:left="0" w:right="0" w:hanging="0"/>
        <w:jc w:val="both"/>
        <w:rPr>
          <w:rFonts w:ascii="Segoe UI" w:hAnsi="Segoe UI"/>
          <w:sz w:val="20"/>
        </w:rPr>
      </w:pPr>
      <w:r>
        <w:rPr>
          <w:rFonts w:ascii="Segoe UI" w:hAnsi="Segoe UI"/>
          <w:sz w:val="21"/>
        </w:rPr>
        <w:t>Evolution Petroleum Corporation is an independent energy company focused on maximizing total shareholder returns through the ownership of and investment in working and royalty interests in onshore oil and natural gas properties in the U.S. The Company aims to build and maintain a diversified portfolio of long-life oil and natural gas properties through acquisitions, selective development opportunities, production enhancements, and other exploitation efforts. Visit www.evolutionpetroleum.com</w:t>
      </w:r>
      <w:r>
        <w:rPr>
          <w:rFonts w:ascii="Segoe UI" w:hAnsi="Segoe UI"/>
          <w:sz w:val="20"/>
        </w:rPr>
        <w:t xml:space="preserve"> </w:t>
      </w:r>
      <w:r>
        <w:rPr>
          <w:rFonts w:ascii="Segoe UI" w:hAnsi="Segoe UI"/>
          <w:sz w:val="21"/>
        </w:rPr>
        <w:t>for more information.</w:t>
      </w:r>
    </w:p>
    <w:p>
      <w:pPr>
        <w:pStyle w:val="TextBody"/>
        <w:bidi w:val="0"/>
        <w:spacing w:lineRule="auto" w:line="285" w:before="120" w:after="60"/>
        <w:ind w:left="0" w:right="0" w:hanging="0"/>
        <w:jc w:val="both"/>
        <w:rPr>
          <w:rFonts w:ascii="Segoe UI Semibold" w:hAnsi="Segoe UI Semibold"/>
          <w:b w:val="false"/>
          <w:sz w:val="21"/>
        </w:rPr>
      </w:pPr>
      <w:r>
        <w:rPr>
          <w:rFonts w:ascii="Segoe UI Semibold" w:hAnsi="Segoe UI Semibold"/>
          <w:b w:val="false"/>
          <w:sz w:val="21"/>
        </w:rPr>
        <w:t>Cautionary Statement</w:t>
      </w:r>
    </w:p>
    <w:p>
      <w:pPr>
        <w:pStyle w:val="TextBody"/>
        <w:bidi w:val="0"/>
        <w:spacing w:lineRule="auto" w:line="285" w:before="0" w:after="100"/>
        <w:ind w:left="0" w:right="0" w:hanging="0"/>
        <w:jc w:val="both"/>
        <w:rPr>
          <w:rFonts w:ascii="Segoe UI" w:hAnsi="Segoe UI"/>
          <w:sz w:val="21"/>
        </w:rPr>
      </w:pPr>
      <w:r>
        <w:rPr>
          <w:rFonts w:ascii="Segoe UI" w:hAnsi="Segoe UI"/>
          <w:sz w:val="21"/>
        </w:rPr>
        <w:t>All forward-looking statements contained in this press release regarding the Company's current and future expectations, potential results, and plans and objectives involve a wide range of risks and uncertainties. Statements herein using words such as "anticipate," "believe," "expect," "may," "plans," "outlook," "should," "will," and words of similar meaning are forward-looking statements. Although the Company's expectations are based on business, engineering, geological, financial, and operating assumptions that it believes to be reasonable, many factors could cause actual results to differ materially from its expectations. The Company gives no assurance that its goals will be achieved. These factors and others are detailed under the heading "Risk Factors" and elsewhere in our periodic reports filed with the Securities and Exchange Commission ("SEC"). The Company undertakes no obligation to update any forward-looking statement.</w:t>
      </w:r>
    </w:p>
    <w:p>
      <w:pPr>
        <w:pStyle w:val="TextBody"/>
        <w:bidi w:val="0"/>
        <w:spacing w:lineRule="auto" w:line="285" w:before="120" w:after="60"/>
        <w:ind w:left="0" w:right="0" w:hanging="0"/>
        <w:jc w:val="both"/>
        <w:rPr>
          <w:rFonts w:ascii="Segoe UI Semibold" w:hAnsi="Segoe UI Semibold"/>
          <w:b w:val="false"/>
          <w:sz w:val="21"/>
        </w:rPr>
      </w:pPr>
      <w:r>
        <w:rPr>
          <w:rFonts w:ascii="Segoe UI Semibold" w:hAnsi="Segoe UI Semibold"/>
          <w:b w:val="false"/>
          <w:sz w:val="21"/>
        </w:rPr>
        <w:t>Contact</w:t>
      </w:r>
    </w:p>
    <w:p>
      <w:pPr>
        <w:pStyle w:val="TextBody"/>
        <w:bidi w:val="0"/>
        <w:spacing w:lineRule="auto" w:line="285" w:before="0" w:after="0"/>
        <w:ind w:left="0" w:right="0" w:hanging="0"/>
        <w:jc w:val="left"/>
        <w:rPr>
          <w:rFonts w:ascii="Segoe UI" w:hAnsi="Segoe UI"/>
          <w:sz w:val="21"/>
        </w:rPr>
      </w:pPr>
      <w:r>
        <w:rPr>
          <w:rFonts w:ascii="Segoe UI" w:hAnsi="Segoe UI"/>
          <w:sz w:val="21"/>
        </w:rPr>
        <w:t>Investor Relations</w:t>
      </w:r>
    </w:p>
    <w:p>
      <w:pPr>
        <w:pStyle w:val="TextBody"/>
        <w:bidi w:val="0"/>
        <w:spacing w:lineRule="auto" w:line="285" w:before="0" w:after="0"/>
        <w:ind w:left="0" w:right="0" w:hanging="0"/>
        <w:jc w:val="left"/>
        <w:rPr>
          <w:rFonts w:ascii="Segoe UI" w:hAnsi="Segoe UI"/>
          <w:sz w:val="21"/>
        </w:rPr>
      </w:pPr>
      <w:r>
        <w:rPr>
          <w:rFonts w:ascii="Segoe UI" w:hAnsi="Segoe UI"/>
          <w:sz w:val="21"/>
        </w:rPr>
        <w:t>(713) 935-0122</w:t>
      </w:r>
    </w:p>
    <w:p>
      <w:pPr>
        <w:pStyle w:val="TextBody"/>
        <w:bidi w:val="0"/>
        <w:spacing w:lineRule="auto" w:line="321" w:before="0" w:after="0"/>
        <w:ind w:left="0" w:right="0" w:hanging="0"/>
        <w:jc w:val="left"/>
        <w:rPr>
          <w:rFonts w:ascii="Segoe UI" w:hAnsi="Segoe UI"/>
          <w:sz w:val="22"/>
        </w:rPr>
      </w:pPr>
      <w:r>
        <w:rPr>
          <w:rFonts w:ascii="Times New Roman;Times;serif" w:hAnsi="Times New Roman;Times;serif"/>
          <w:sz w:val="22"/>
        </w:rPr>
        <w:t>ir@evolutionpetroleum.com</w:t>
      </w:r>
      <w:r>
        <w:rPr>
          <w:rFonts w:ascii="Segoe UI" w:hAnsi="Segoe UI"/>
          <w:color w:val="0563C1"/>
          <w:sz w:val="22"/>
          <w:u w:val="single"/>
        </w:rPr>
        <w:t xml:space="preserve"> </w:t>
      </w:r>
    </w:p>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5</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Proved Reserves as of June 30, 2026</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left"/>
        <w:rPr>
          <w:rFonts w:ascii="Segoe UI" w:hAnsi="Segoe UI"/>
          <w:sz w:val="22"/>
        </w:rPr>
      </w:pPr>
      <w:r>
        <w:rPr>
          <w:rFonts w:ascii="Segoe UI" w:hAnsi="Segoe UI"/>
          <w:sz w:val="22"/>
        </w:rPr>
        <w:t>Our proved reserves as of June 30, 2026, were estimated by our independent reservoir engineers, Cawley, Gillespie and Associates, Inc. and DeGolyer and MacNaughton, both worldwide petroleum consultants.</w:t>
      </w:r>
    </w:p>
    <w:p>
      <w:pPr>
        <w:pStyle w:val="TextBody"/>
        <w:bidi w:val="0"/>
        <w:spacing w:lineRule="auto" w:line="285" w:before="0" w:after="360"/>
        <w:ind w:left="0" w:right="0" w:hanging="0"/>
        <w:jc w:val="left"/>
        <w:rPr>
          <w:rFonts w:ascii="Segoe UI" w:hAnsi="Segoe UI"/>
          <w:sz w:val="22"/>
        </w:rPr>
      </w:pPr>
      <w:r>
        <w:rPr>
          <w:rFonts w:ascii="Segoe UI" w:hAnsi="Segoe UI"/>
          <w:sz w:val="22"/>
        </w:rPr>
        <w:t>The SEC sets rules related to reserve estimation and disclosure requirements for oil and natural gas companies. These rules require disclosure of oil and natural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pStyle w:val="TextBody"/>
        <w:bidi w:val="0"/>
        <w:spacing w:lineRule="auto" w:line="285" w:before="0" w:after="360"/>
        <w:ind w:left="0" w:right="0" w:hanging="0"/>
        <w:jc w:val="left"/>
        <w:rPr>
          <w:rFonts w:ascii="Segoe UI" w:hAnsi="Segoe UI"/>
          <w:sz w:val="22"/>
        </w:rPr>
      </w:pPr>
      <w:r>
        <w:rPr>
          <w:rFonts w:ascii="Segoe UI" w:hAnsi="Segoe UI"/>
          <w:sz w:val="22"/>
        </w:rPr>
        <w:t>For more information on the Company's reserves, see our Supplemental Disclosure about Oil and Natural Gas Properties included on Form 10-K filed with the SEC for the year ended June 30, 2026.</w:t>
      </w:r>
    </w:p>
    <w:tbl>
      <w:tblPr>
        <w:tblW w:w="8994" w:type="dxa"/>
        <w:jc w:val="left"/>
        <w:tblInd w:w="0" w:type="dxa"/>
        <w:tblLayout w:type="fixed"/>
        <w:tblCellMar>
          <w:top w:w="0" w:type="dxa"/>
          <w:left w:w="0" w:type="dxa"/>
          <w:bottom w:w="0" w:type="dxa"/>
          <w:right w:w="0" w:type="dxa"/>
        </w:tblCellMar>
      </w:tblPr>
      <w:tblGrid>
        <w:gridCol w:w="2551"/>
        <w:gridCol w:w="346"/>
        <w:gridCol w:w="826"/>
        <w:gridCol w:w="346"/>
        <w:gridCol w:w="1186"/>
        <w:gridCol w:w="346"/>
        <w:gridCol w:w="826"/>
        <w:gridCol w:w="346"/>
        <w:gridCol w:w="222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619885" cy="175260"/>
                      <wp:effectExtent l="0" t="0" r="0" b="0"/>
                      <wp:wrapNone/>
                      <wp:docPr id="17" name="Frame16"/>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19" name="Frame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53110" cy="175260"/>
                      <wp:effectExtent l="0" t="0" r="0" b="0"/>
                      <wp:wrapNone/>
                      <wp:docPr id="21" name="Frame2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24510" cy="175260"/>
                      <wp:effectExtent l="0" t="0" r="0" b="0"/>
                      <wp:wrapNone/>
                      <wp:docPr id="23" name="Frame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10335" cy="175260"/>
                      <wp:effectExtent l="0" t="0" r="0" b="0"/>
                      <wp:wrapNone/>
                      <wp:docPr id="25" name="Frame24"/>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2551" w:type="dxa"/>
            <w:tcBorders/>
            <w:shd w:fill="FFFFFF" w:val="clear"/>
            <w:vAlign w:val="center"/>
          </w:tcPr>
          <w:p>
            <w:pPr>
              <w:pStyle w:val="TableContents"/>
              <w:bidi w:val="0"/>
              <w:spacing w:lineRule="auto" w:line="321" w:before="0" w:after="1"/>
              <w:ind w:left="0" w:right="0" w:hanging="0"/>
              <w:jc w:val="left"/>
              <w:rPr/>
            </w:pPr>
            <w:r>
              <w:rPr/>
              <w:t>​</w:t>
            </w:r>
          </w:p>
        </w:tc>
        <w:tc>
          <w:tcPr>
            <w:tcW w:w="346" w:type="dxa"/>
            <w:tcBorders/>
            <w:shd w:fill="FFFFFF" w:val="clear"/>
            <w:vAlign w:val="center"/>
          </w:tcPr>
          <w:p>
            <w:pPr>
              <w:pStyle w:val="TableContents"/>
              <w:bidi w:val="0"/>
              <w:spacing w:lineRule="auto" w:line="321" w:before="0" w:after="1"/>
              <w:ind w:left="0" w:right="0" w:hanging="0"/>
              <w:jc w:val="left"/>
              <w:rPr/>
            </w:pPr>
            <w:r>
              <w:rPr/>
              <w:t>​</w:t>
            </w:r>
          </w:p>
        </w:tc>
        <w:tc>
          <w:tcPr>
            <w:tcW w:w="826" w:type="dxa"/>
            <w:tcBorders/>
            <w:shd w:fill="FFFFFF" w:val="cle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Oil</w:t>
            </w:r>
          </w:p>
        </w:tc>
        <w:tc>
          <w:tcPr>
            <w:tcW w:w="346" w:type="dxa"/>
            <w:tcBorders/>
            <w:shd w:fill="FFFFFF" w:val="clear"/>
            <w:vAlign w:val="center"/>
          </w:tcPr>
          <w:p>
            <w:pPr>
              <w:pStyle w:val="TableContents"/>
              <w:bidi w:val="0"/>
              <w:spacing w:lineRule="auto" w:line="321" w:before="0" w:after="1"/>
              <w:ind w:left="0" w:right="0" w:hanging="0"/>
              <w:jc w:val="left"/>
              <w:rPr/>
            </w:pPr>
            <w:r>
              <w:rPr/>
              <w:t>​</w:t>
            </w:r>
          </w:p>
        </w:tc>
        <w:tc>
          <w:tcPr>
            <w:tcW w:w="1186" w:type="dxa"/>
            <w:tcBorders/>
            <w:shd w:fill="FFFFFF" w:val="cle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Natural Gas</w:t>
            </w:r>
          </w:p>
        </w:tc>
        <w:tc>
          <w:tcPr>
            <w:tcW w:w="346" w:type="dxa"/>
            <w:tcBorders/>
            <w:shd w:fill="FFFFFF" w:val="clear"/>
            <w:vAlign w:val="center"/>
          </w:tcPr>
          <w:p>
            <w:pPr>
              <w:pStyle w:val="TableContents"/>
              <w:bidi w:val="0"/>
              <w:spacing w:lineRule="auto" w:line="321" w:before="0" w:after="1"/>
              <w:ind w:left="0" w:right="0" w:hanging="0"/>
              <w:jc w:val="left"/>
              <w:rPr/>
            </w:pPr>
            <w:r>
              <w:rPr/>
              <w:t>​</w:t>
            </w:r>
          </w:p>
        </w:tc>
        <w:tc>
          <w:tcPr>
            <w:tcW w:w="826" w:type="dxa"/>
            <w:tcBorders/>
            <w:shd w:fill="FFFFFF" w:val="cle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NGLs</w:t>
            </w:r>
          </w:p>
        </w:tc>
        <w:tc>
          <w:tcPr>
            <w:tcW w:w="346" w:type="dxa"/>
            <w:tcBorders/>
            <w:shd w:fill="FFFFFF" w:val="clear"/>
            <w:vAlign w:val="center"/>
          </w:tcPr>
          <w:p>
            <w:pPr>
              <w:pStyle w:val="TableContents"/>
              <w:bidi w:val="0"/>
              <w:spacing w:lineRule="auto" w:line="321" w:before="0" w:after="1"/>
              <w:ind w:left="0" w:right="0" w:hanging="0"/>
              <w:jc w:val="left"/>
              <w:rPr/>
            </w:pPr>
            <w:r>
              <w:rPr/>
              <w:t>​</w:t>
            </w:r>
          </w:p>
        </w:tc>
        <w:tc>
          <w:tcPr>
            <w:tcW w:w="2221" w:type="dxa"/>
            <w:tcBorders/>
            <w:shd w:fill="FFFFFF" w:val="cle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Total Proved Reserves</w:t>
            </w:r>
          </w:p>
        </w:tc>
      </w:tr>
      <w:tr>
        <w:trPr/>
        <w:tc>
          <w:tcPr>
            <w:tcW w:w="2551" w:type="dxa"/>
            <w:tcBorders>
              <w:bottom w:val="single" w:sz="2" w:space="0" w:color="000000"/>
            </w:tcBorders>
            <w:shd w:fill="FFFFFF" w:val="clear"/>
            <w:tcMar>
              <w:bottom w:w="28" w:type="dxa"/>
            </w:tcM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Reserve Category</w:t>
            </w:r>
          </w:p>
        </w:tc>
        <w:tc>
          <w:tcPr>
            <w:tcW w:w="346" w:type="dxa"/>
            <w:tcBorders/>
            <w:shd w:fill="FFFFFF" w:val="clear"/>
            <w:vAlign w:val="center"/>
          </w:tcPr>
          <w:p>
            <w:pPr>
              <w:pStyle w:val="TableContents"/>
              <w:bidi w:val="0"/>
              <w:spacing w:lineRule="auto" w:line="321" w:before="0" w:after="1"/>
              <w:ind w:left="0" w:right="0" w:hanging="0"/>
              <w:jc w:val="left"/>
              <w:rPr/>
            </w:pPr>
            <w:r>
              <w:rPr/>
              <w:t>  ​ ​ ​</w:t>
            </w:r>
          </w:p>
        </w:tc>
        <w:tc>
          <w:tcPr>
            <w:tcW w:w="826" w:type="dxa"/>
            <w:tcBorders>
              <w:bottom w:val="single" w:sz="2" w:space="0" w:color="000000"/>
            </w:tcBorders>
            <w:shd w:fill="FFFFFF" w:val="clear"/>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(MBbls)</w:t>
            </w:r>
          </w:p>
        </w:tc>
        <w:tc>
          <w:tcPr>
            <w:tcW w:w="346" w:type="dxa"/>
            <w:tcBorders/>
            <w:shd w:fill="FFFFFF" w:val="clear"/>
            <w:vAlign w:val="center"/>
          </w:tcPr>
          <w:p>
            <w:pPr>
              <w:pStyle w:val="TableContents"/>
              <w:bidi w:val="0"/>
              <w:spacing w:lineRule="auto" w:line="321" w:before="0" w:after="1"/>
              <w:ind w:left="0" w:right="0" w:hanging="0"/>
              <w:jc w:val="left"/>
              <w:rPr/>
            </w:pPr>
            <w:r>
              <w:rPr/>
              <w:t>  ​ ​ ​</w:t>
            </w:r>
          </w:p>
        </w:tc>
        <w:tc>
          <w:tcPr>
            <w:tcW w:w="1186" w:type="dxa"/>
            <w:tcBorders>
              <w:bottom w:val="single" w:sz="2" w:space="0" w:color="000000"/>
            </w:tcBorders>
            <w:shd w:fill="FFFFFF" w:val="clear"/>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(MMcf)</w:t>
            </w:r>
          </w:p>
        </w:tc>
        <w:tc>
          <w:tcPr>
            <w:tcW w:w="346" w:type="dxa"/>
            <w:tcBorders/>
            <w:shd w:fill="FFFFFF" w:val="clear"/>
            <w:vAlign w:val="center"/>
          </w:tcPr>
          <w:p>
            <w:pPr>
              <w:pStyle w:val="TableContents"/>
              <w:bidi w:val="0"/>
              <w:spacing w:lineRule="auto" w:line="321" w:before="0" w:after="1"/>
              <w:ind w:left="0" w:right="0" w:hanging="0"/>
              <w:jc w:val="left"/>
              <w:rPr/>
            </w:pPr>
            <w:r>
              <w:rPr/>
              <w:t>  ​ ​ ​</w:t>
            </w:r>
          </w:p>
        </w:tc>
        <w:tc>
          <w:tcPr>
            <w:tcW w:w="826" w:type="dxa"/>
            <w:tcBorders>
              <w:bottom w:val="single" w:sz="2" w:space="0" w:color="000000"/>
            </w:tcBorders>
            <w:shd w:fill="FFFFFF" w:val="clear"/>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(MBbls)</w:t>
            </w:r>
          </w:p>
        </w:tc>
        <w:tc>
          <w:tcPr>
            <w:tcW w:w="346" w:type="dxa"/>
            <w:tcBorders/>
            <w:shd w:fill="FFFFFF" w:val="clear"/>
            <w:vAlign w:val="center"/>
          </w:tcPr>
          <w:p>
            <w:pPr>
              <w:pStyle w:val="TableContents"/>
              <w:bidi w:val="0"/>
              <w:spacing w:lineRule="auto" w:line="321" w:before="0" w:after="1"/>
              <w:ind w:left="0" w:right="0" w:hanging="0"/>
              <w:jc w:val="left"/>
              <w:rPr/>
            </w:pPr>
            <w:r>
              <w:rPr/>
              <w:t>  ​ ​ ​</w:t>
            </w:r>
          </w:p>
        </w:tc>
        <w:tc>
          <w:tcPr>
            <w:tcW w:w="2221" w:type="dxa"/>
            <w:tcBorders>
              <w:bottom w:val="single" w:sz="2" w:space="0" w:color="000000"/>
            </w:tcBorders>
            <w:shd w:fill="FFFFFF" w:val="clear"/>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(MBOE)</w:t>
            </w:r>
          </w:p>
        </w:tc>
      </w:tr>
      <w:tr>
        <w:trPr/>
        <w:tc>
          <w:tcPr>
            <w:tcW w:w="255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Proved Developed Producing</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82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7,049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8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67,400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82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3,750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2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22,032</w:t>
            </w:r>
          </w:p>
        </w:tc>
      </w:tr>
      <w:tr>
        <w:trPr/>
        <w:tc>
          <w:tcPr>
            <w:tcW w:w="255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Proved Non-Producing</w:t>
            </w:r>
          </w:p>
        </w:tc>
        <w:tc>
          <w:tcPr>
            <w:tcW w:w="346" w:type="dxa"/>
            <w:tcBorders/>
            <w:vAlign w:val="center"/>
          </w:tcPr>
          <w:p>
            <w:pPr>
              <w:pStyle w:val="TableContents"/>
              <w:bidi w:val="0"/>
              <w:spacing w:lineRule="auto" w:line="321" w:before="0" w:after="1"/>
              <w:ind w:left="0" w:right="0" w:hanging="0"/>
              <w:jc w:val="left"/>
              <w:rPr/>
            </w:pPr>
            <w:r>
              <w:rPr/>
              <w:t>​</w:t>
            </w:r>
          </w:p>
        </w:tc>
        <w:tc>
          <w:tcPr>
            <w:tcW w:w="82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301</w:t>
            </w:r>
          </w:p>
        </w:tc>
        <w:tc>
          <w:tcPr>
            <w:tcW w:w="346" w:type="dxa"/>
            <w:tcBorders/>
            <w:vAlign w:val="center"/>
          </w:tcPr>
          <w:p>
            <w:pPr>
              <w:pStyle w:val="TableContents"/>
              <w:bidi w:val="0"/>
              <w:spacing w:lineRule="auto" w:line="321" w:before="0" w:after="1"/>
              <w:ind w:left="0" w:right="0" w:hanging="0"/>
              <w:jc w:val="left"/>
              <w:rPr/>
            </w:pPr>
            <w:r>
              <w:rPr/>
              <w:t>​</w:t>
            </w:r>
          </w:p>
        </w:tc>
        <w:tc>
          <w:tcPr>
            <w:tcW w:w="118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259</w:t>
            </w:r>
          </w:p>
        </w:tc>
        <w:tc>
          <w:tcPr>
            <w:tcW w:w="346" w:type="dxa"/>
            <w:tcBorders/>
            <w:vAlign w:val="center"/>
          </w:tcPr>
          <w:p>
            <w:pPr>
              <w:pStyle w:val="TableContents"/>
              <w:bidi w:val="0"/>
              <w:spacing w:lineRule="auto" w:line="321" w:before="0" w:after="1"/>
              <w:ind w:left="0" w:right="0" w:hanging="0"/>
              <w:jc w:val="left"/>
              <w:rPr/>
            </w:pPr>
            <w:r>
              <w:rPr/>
              <w:t>​</w:t>
            </w:r>
          </w:p>
        </w:tc>
        <w:tc>
          <w:tcPr>
            <w:tcW w:w="82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w:t>
            </w:r>
          </w:p>
        </w:tc>
        <w:tc>
          <w:tcPr>
            <w:tcW w:w="346" w:type="dxa"/>
            <w:tcBorders/>
            <w:vAlign w:val="center"/>
          </w:tcPr>
          <w:p>
            <w:pPr>
              <w:pStyle w:val="TableContents"/>
              <w:bidi w:val="0"/>
              <w:spacing w:lineRule="auto" w:line="321" w:before="0" w:after="1"/>
              <w:ind w:left="0" w:right="0" w:hanging="0"/>
              <w:jc w:val="left"/>
              <w:rPr/>
            </w:pPr>
            <w:r>
              <w:rPr/>
              <w:t>​</w:t>
            </w:r>
          </w:p>
        </w:tc>
        <w:tc>
          <w:tcPr>
            <w:tcW w:w="222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349</w:t>
            </w:r>
          </w:p>
        </w:tc>
      </w:tr>
      <w:tr>
        <w:trPr/>
        <w:tc>
          <w:tcPr>
            <w:tcW w:w="255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Proved Undeveloped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3,275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6,533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2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4,836</w:t>
            </w:r>
          </w:p>
        </w:tc>
      </w:tr>
      <w:tr>
        <w:trPr/>
        <w:tc>
          <w:tcPr>
            <w:tcW w:w="2551"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Total Proved</w:t>
            </w:r>
          </w:p>
        </w:tc>
        <w:tc>
          <w:tcPr>
            <w:tcW w:w="346" w:type="dxa"/>
            <w:tcBorders/>
            <w:vAlign w:val="center"/>
          </w:tcPr>
          <w:p>
            <w:pPr>
              <w:pStyle w:val="TableContents"/>
              <w:bidi w:val="0"/>
              <w:spacing w:lineRule="auto" w:line="321"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10,625</w:t>
            </w:r>
          </w:p>
        </w:tc>
        <w:tc>
          <w:tcPr>
            <w:tcW w:w="346" w:type="dxa"/>
            <w:tcBorders/>
            <w:vAlign w:val="center"/>
          </w:tcPr>
          <w:p>
            <w:pPr>
              <w:pStyle w:val="TableContents"/>
              <w:bidi w:val="0"/>
              <w:spacing w:lineRule="auto" w:line="321"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74,192</w:t>
            </w:r>
          </w:p>
        </w:tc>
        <w:tc>
          <w:tcPr>
            <w:tcW w:w="346" w:type="dxa"/>
            <w:tcBorders/>
            <w:vAlign w:val="center"/>
          </w:tcPr>
          <w:p>
            <w:pPr>
              <w:pStyle w:val="TableContents"/>
              <w:bidi w:val="0"/>
              <w:spacing w:lineRule="auto" w:line="321"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4,227</w:t>
            </w:r>
          </w:p>
        </w:tc>
        <w:tc>
          <w:tcPr>
            <w:tcW w:w="346" w:type="dxa"/>
            <w:tcBorders/>
            <w:vAlign w:val="center"/>
          </w:tcPr>
          <w:p>
            <w:pPr>
              <w:pStyle w:val="TableContents"/>
              <w:bidi w:val="0"/>
              <w:spacing w:lineRule="auto" w:line="321" w:before="0" w:after="1"/>
              <w:ind w:left="0" w:right="0" w:hanging="0"/>
              <w:jc w:val="left"/>
              <w:rPr/>
            </w:pPr>
            <w:r>
              <w:rPr/>
              <w:t>​</w:t>
            </w:r>
          </w:p>
        </w:tc>
        <w:tc>
          <w:tcPr>
            <w:tcW w:w="2221"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27,217</w:t>
            </w:r>
          </w:p>
        </w:tc>
      </w:tr>
    </w:tbl>
    <w:p>
      <w:pPr>
        <w:pStyle w:val="TextBody"/>
        <w:bidi w:val="0"/>
        <w:spacing w:lineRule="auto" w:line="321" w:before="0" w:after="0"/>
        <w:ind w:left="0" w:right="0" w:hanging="0"/>
        <w:jc w:val="left"/>
        <w:rPr/>
      </w:pPr>
      <w:r>
        <w:rPr/>
        <w:t>​</w:t>
      </w:r>
    </w:p>
    <w:tbl>
      <w:tblPr>
        <w:tblW w:w="8289" w:type="dxa"/>
        <w:jc w:val="left"/>
        <w:tblInd w:w="0" w:type="dxa"/>
        <w:tblLayout w:type="fixed"/>
        <w:tblCellMar>
          <w:top w:w="0" w:type="dxa"/>
          <w:left w:w="0" w:type="dxa"/>
          <w:bottom w:w="0" w:type="dxa"/>
          <w:right w:w="0" w:type="dxa"/>
        </w:tblCellMar>
      </w:tblPr>
      <w:tblGrid>
        <w:gridCol w:w="1846"/>
        <w:gridCol w:w="346"/>
        <w:gridCol w:w="826"/>
        <w:gridCol w:w="346"/>
        <w:gridCol w:w="1186"/>
        <w:gridCol w:w="346"/>
        <w:gridCol w:w="826"/>
        <w:gridCol w:w="346"/>
        <w:gridCol w:w="222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172210" cy="175895"/>
                      <wp:effectExtent l="0" t="0" r="0" b="0"/>
                      <wp:wrapNone/>
                      <wp:docPr id="26" name="Frame25"/>
                      <a:graphic xmlns:a="http://schemas.openxmlformats.org/drawingml/2006/main">
                        <a:graphicData uri="http://schemas.microsoft.com/office/word/2010/wordprocessingShape">
                          <wps:wsp>
                            <wps:cNvSpPr txBox="1"/>
                            <wps:spPr>
                              <a:xfrm>
                                <a:off x="0" y="0"/>
                                <a:ext cx="11722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895"/>
                      <wp:effectExtent l="0" t="0" r="0" b="0"/>
                      <wp:wrapNone/>
                      <wp:docPr id="27" name="Frame2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24510" cy="175895"/>
                      <wp:effectExtent l="0" t="0" r="0" b="0"/>
                      <wp:wrapNone/>
                      <wp:docPr id="28" name="Frame27"/>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895"/>
                      <wp:effectExtent l="0" t="0" r="0" b="0"/>
                      <wp:wrapNone/>
                      <wp:docPr id="29" name="Frame2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53110" cy="175895"/>
                      <wp:effectExtent l="0" t="0" r="0" b="0"/>
                      <wp:wrapNone/>
                      <wp:docPr id="30" name="Frame29"/>
                      <a:graphic xmlns:a="http://schemas.openxmlformats.org/drawingml/2006/main">
                        <a:graphicData uri="http://schemas.microsoft.com/office/word/2010/wordprocessingShape">
                          <wps:wsp>
                            <wps:cNvSpPr txBox="1"/>
                            <wps:spPr>
                              <a:xfrm>
                                <a:off x="0" y="0"/>
                                <a:ext cx="7531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895"/>
                      <wp:effectExtent l="0" t="0" r="0" b="0"/>
                      <wp:wrapNone/>
                      <wp:docPr id="31" name="Frame3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24510" cy="175895"/>
                      <wp:effectExtent l="0" t="0" r="0" b="0"/>
                      <wp:wrapNone/>
                      <wp:docPr id="32" name="Frame31"/>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895"/>
                      <wp:effectExtent l="0" t="0" r="0" b="0"/>
                      <wp:wrapNone/>
                      <wp:docPr id="33" name="Frame3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10335" cy="175895"/>
                      <wp:effectExtent l="0" t="0" r="0" b="0"/>
                      <wp:wrapNone/>
                      <wp:docPr id="34" name="Frame33"/>
                      <a:graphic xmlns:a="http://schemas.openxmlformats.org/drawingml/2006/main">
                        <a:graphicData uri="http://schemas.microsoft.com/office/word/2010/wordprocessingShape">
                          <wps:wsp>
                            <wps:cNvSpPr txBox="1"/>
                            <wps:spPr>
                              <a:xfrm>
                                <a:off x="0" y="0"/>
                                <a:ext cx="1410335" cy="175895"/>
                              </a:xfrm>
                              <a:prstGeom prst="rect"/>
                              <a:solidFill>
                                <a:srgbClr val="FFFFFF"/>
                              </a:solidFill>
                            </wps:spPr>
                            <wps:txbx>
                              <w:txbxContent>
                                <w:p>
                                  <w:pPr>
                                    <w:pStyle w:val="TableContents"/>
                                    <w:bidi w:val="0"/>
                                    <w:spacing w:lineRule="auto" w:line="321"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1" w:after="1"/>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321" w:before="1" w:after="1"/>
              <w:ind w:left="0" w:right="0" w:hanging="0"/>
              <w:jc w:val="left"/>
              <w:rPr/>
            </w:pPr>
            <w:r>
              <w:rPr/>
              <w:t>​</w:t>
            </w:r>
          </w:p>
        </w:tc>
        <w:tc>
          <w:tcPr>
            <w:tcW w:w="346" w:type="dxa"/>
            <w:tcBorders/>
            <w:shd w:fill="FFFFFF" w:val="clear"/>
            <w:vAlign w:val="center"/>
          </w:tcPr>
          <w:p>
            <w:pPr>
              <w:pStyle w:val="TableContents"/>
              <w:bidi w:val="0"/>
              <w:spacing w:lineRule="auto" w:line="321" w:before="1" w:after="1"/>
              <w:ind w:left="0" w:right="0" w:hanging="0"/>
              <w:jc w:val="left"/>
              <w:rPr/>
            </w:pPr>
            <w:r>
              <w:rPr/>
              <w:t>​</w:t>
            </w:r>
          </w:p>
        </w:tc>
        <w:tc>
          <w:tcPr>
            <w:tcW w:w="826" w:type="dxa"/>
            <w:tcBorders/>
            <w:shd w:fill="FFFFFF" w:val="cle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Oil</w:t>
            </w:r>
          </w:p>
        </w:tc>
        <w:tc>
          <w:tcPr>
            <w:tcW w:w="346" w:type="dxa"/>
            <w:tcBorders/>
            <w:shd w:fill="FFFFFF" w:val="clear"/>
            <w:vAlign w:val="center"/>
          </w:tcPr>
          <w:p>
            <w:pPr>
              <w:pStyle w:val="TableContents"/>
              <w:bidi w:val="0"/>
              <w:spacing w:lineRule="auto" w:line="321" w:before="1" w:after="1"/>
              <w:ind w:left="0" w:right="0" w:hanging="0"/>
              <w:jc w:val="left"/>
              <w:rPr/>
            </w:pPr>
            <w:r>
              <w:rPr/>
              <w:t>​</w:t>
            </w:r>
          </w:p>
        </w:tc>
        <w:tc>
          <w:tcPr>
            <w:tcW w:w="1186" w:type="dxa"/>
            <w:tcBorders/>
            <w:shd w:fill="FFFFFF" w:val="cle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Natural Gas</w:t>
            </w:r>
          </w:p>
        </w:tc>
        <w:tc>
          <w:tcPr>
            <w:tcW w:w="346" w:type="dxa"/>
            <w:tcBorders/>
            <w:shd w:fill="FFFFFF" w:val="clear"/>
            <w:vAlign w:val="center"/>
          </w:tcPr>
          <w:p>
            <w:pPr>
              <w:pStyle w:val="TableContents"/>
              <w:bidi w:val="0"/>
              <w:spacing w:lineRule="auto" w:line="321" w:before="1" w:after="1"/>
              <w:ind w:left="0" w:right="0" w:hanging="0"/>
              <w:jc w:val="left"/>
              <w:rPr/>
            </w:pPr>
            <w:r>
              <w:rPr/>
              <w:t>​</w:t>
            </w:r>
          </w:p>
        </w:tc>
        <w:tc>
          <w:tcPr>
            <w:tcW w:w="826" w:type="dxa"/>
            <w:tcBorders/>
            <w:shd w:fill="FFFFFF" w:val="cle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NGLs</w:t>
            </w:r>
          </w:p>
        </w:tc>
        <w:tc>
          <w:tcPr>
            <w:tcW w:w="346" w:type="dxa"/>
            <w:tcBorders/>
            <w:shd w:fill="FFFFFF" w:val="clear"/>
            <w:vAlign w:val="center"/>
          </w:tcPr>
          <w:p>
            <w:pPr>
              <w:pStyle w:val="TableContents"/>
              <w:bidi w:val="0"/>
              <w:spacing w:lineRule="auto" w:line="321" w:before="1" w:after="1"/>
              <w:ind w:left="0" w:right="0" w:hanging="0"/>
              <w:jc w:val="left"/>
              <w:rPr/>
            </w:pPr>
            <w:r>
              <w:rPr/>
              <w:t>​</w:t>
            </w:r>
          </w:p>
        </w:tc>
        <w:tc>
          <w:tcPr>
            <w:tcW w:w="2221" w:type="dxa"/>
            <w:tcBorders/>
            <w:shd w:fill="FFFFFF" w:val="cle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Total Proved Reserves</w:t>
            </w:r>
          </w:p>
        </w:tc>
      </w:tr>
      <w:tr>
        <w:trPr/>
        <w:tc>
          <w:tcPr>
            <w:tcW w:w="1846" w:type="dxa"/>
            <w:tcBorders>
              <w:bottom w:val="single" w:sz="2" w:space="0" w:color="000000"/>
            </w:tcBorders>
            <w:shd w:fill="FFFFFF" w:val="clear"/>
            <w:tcMar>
              <w:bottom w:w="28" w:type="dxa"/>
            </w:tcMar>
            <w:vAlign w:val="center"/>
          </w:tcPr>
          <w:p>
            <w:pPr>
              <w:pStyle w:val="TableContents"/>
              <w:bidi w:val="0"/>
              <w:spacing w:lineRule="auto" w:line="321" w:before="1" w:after="1"/>
              <w:ind w:left="0" w:right="0" w:hanging="0"/>
              <w:jc w:val="left"/>
              <w:rPr>
                <w:rFonts w:ascii="Segoe UI" w:hAnsi="Segoe UI"/>
                <w:b/>
                <w:sz w:val="16"/>
              </w:rPr>
            </w:pPr>
            <w:r>
              <w:rPr>
                <w:rFonts w:ascii="Segoe UI" w:hAnsi="Segoe UI"/>
                <w:b/>
                <w:sz w:val="16"/>
              </w:rPr>
              <w:t>Asset</w:t>
            </w:r>
          </w:p>
        </w:tc>
        <w:tc>
          <w:tcPr>
            <w:tcW w:w="346" w:type="dxa"/>
            <w:tcBorders/>
            <w:shd w:fill="FFFFFF" w:val="clear"/>
            <w:vAlign w:val="center"/>
          </w:tcPr>
          <w:p>
            <w:pPr>
              <w:pStyle w:val="TableContents"/>
              <w:bidi w:val="0"/>
              <w:spacing w:lineRule="auto" w:line="321" w:before="1" w:after="1"/>
              <w:ind w:left="0" w:right="0" w:hanging="0"/>
              <w:jc w:val="left"/>
              <w:rPr/>
            </w:pPr>
            <w:r>
              <w:rPr/>
              <w:t>  ​ ​ ​</w:t>
            </w:r>
          </w:p>
        </w:tc>
        <w:tc>
          <w:tcPr>
            <w:tcW w:w="826" w:type="dxa"/>
            <w:tcBorders>
              <w:bottom w:val="single" w:sz="2" w:space="0" w:color="000000"/>
            </w:tcBorders>
            <w:shd w:fill="FFFFFF" w:val="clear"/>
            <w:tcMar>
              <w:bottom w:w="28" w:type="dxa"/>
            </w:tcM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(MBbls)</w:t>
            </w:r>
          </w:p>
        </w:tc>
        <w:tc>
          <w:tcPr>
            <w:tcW w:w="346" w:type="dxa"/>
            <w:tcBorders/>
            <w:shd w:fill="FFFFFF" w:val="clear"/>
            <w:vAlign w:val="center"/>
          </w:tcPr>
          <w:p>
            <w:pPr>
              <w:pStyle w:val="TableContents"/>
              <w:bidi w:val="0"/>
              <w:spacing w:lineRule="auto" w:line="321" w:before="1" w:after="1"/>
              <w:ind w:left="0" w:right="0" w:hanging="0"/>
              <w:jc w:val="left"/>
              <w:rPr/>
            </w:pPr>
            <w:r>
              <w:rPr/>
              <w:t>  ​ ​ ​</w:t>
            </w:r>
          </w:p>
        </w:tc>
        <w:tc>
          <w:tcPr>
            <w:tcW w:w="1186" w:type="dxa"/>
            <w:tcBorders>
              <w:bottom w:val="single" w:sz="2" w:space="0" w:color="000000"/>
            </w:tcBorders>
            <w:shd w:fill="FFFFFF" w:val="clear"/>
            <w:tcMar>
              <w:bottom w:w="28" w:type="dxa"/>
            </w:tcM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(MMcf)</w:t>
            </w:r>
          </w:p>
        </w:tc>
        <w:tc>
          <w:tcPr>
            <w:tcW w:w="346" w:type="dxa"/>
            <w:tcBorders/>
            <w:shd w:fill="FFFFFF" w:val="clear"/>
            <w:vAlign w:val="center"/>
          </w:tcPr>
          <w:p>
            <w:pPr>
              <w:pStyle w:val="TableContents"/>
              <w:bidi w:val="0"/>
              <w:spacing w:lineRule="auto" w:line="321" w:before="1" w:after="1"/>
              <w:ind w:left="0" w:right="0" w:hanging="0"/>
              <w:jc w:val="left"/>
              <w:rPr/>
            </w:pPr>
            <w:r>
              <w:rPr/>
              <w:t>  ​ ​ ​</w:t>
            </w:r>
          </w:p>
        </w:tc>
        <w:tc>
          <w:tcPr>
            <w:tcW w:w="826" w:type="dxa"/>
            <w:tcBorders>
              <w:bottom w:val="single" w:sz="2" w:space="0" w:color="000000"/>
            </w:tcBorders>
            <w:shd w:fill="FFFFFF" w:val="clear"/>
            <w:tcMar>
              <w:bottom w:w="28" w:type="dxa"/>
            </w:tcM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(MBbls)</w:t>
            </w:r>
          </w:p>
        </w:tc>
        <w:tc>
          <w:tcPr>
            <w:tcW w:w="346" w:type="dxa"/>
            <w:tcBorders/>
            <w:shd w:fill="FFFFFF" w:val="clear"/>
            <w:vAlign w:val="center"/>
          </w:tcPr>
          <w:p>
            <w:pPr>
              <w:pStyle w:val="TableContents"/>
              <w:bidi w:val="0"/>
              <w:spacing w:lineRule="auto" w:line="321" w:before="1" w:after="1"/>
              <w:ind w:left="0" w:right="0" w:hanging="0"/>
              <w:jc w:val="left"/>
              <w:rPr/>
            </w:pPr>
            <w:r>
              <w:rPr/>
              <w:t>  ​ ​ ​</w:t>
            </w:r>
          </w:p>
        </w:tc>
        <w:tc>
          <w:tcPr>
            <w:tcW w:w="2221" w:type="dxa"/>
            <w:tcBorders>
              <w:bottom w:val="single" w:sz="2" w:space="0" w:color="000000"/>
            </w:tcBorders>
            <w:shd w:fill="FFFFFF" w:val="clear"/>
            <w:tcMar>
              <w:bottom w:w="28" w:type="dxa"/>
            </w:tcMar>
            <w:vAlign w:val="center"/>
          </w:tcPr>
          <w:p>
            <w:pPr>
              <w:pStyle w:val="TableContents"/>
              <w:bidi w:val="0"/>
              <w:spacing w:lineRule="auto" w:line="321" w:before="1" w:after="1"/>
              <w:ind w:left="0" w:right="0" w:hanging="0"/>
              <w:jc w:val="center"/>
              <w:rPr>
                <w:rFonts w:ascii="Segoe UI" w:hAnsi="Segoe UI"/>
                <w:b/>
                <w:sz w:val="16"/>
              </w:rPr>
            </w:pPr>
            <w:r>
              <w:rPr>
                <w:rFonts w:ascii="Segoe UI" w:hAnsi="Segoe UI"/>
                <w:b/>
                <w:sz w:val="16"/>
              </w:rPr>
              <w:t>(MBOE)</w:t>
            </w:r>
          </w:p>
        </w:tc>
      </w:tr>
      <w:tr>
        <w:trPr/>
        <w:tc>
          <w:tcPr>
            <w:tcW w:w="1846"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SCOOP/STACK</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1,325</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118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15,080</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1,112</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2221"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4,950</w:t>
            </w:r>
          </w:p>
        </w:tc>
      </w:tr>
      <w:tr>
        <w:trPr/>
        <w:tc>
          <w:tcPr>
            <w:tcW w:w="1846"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Chaveroo Field</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2,714</w:t>
            </w:r>
          </w:p>
        </w:tc>
        <w:tc>
          <w:tcPr>
            <w:tcW w:w="346" w:type="dxa"/>
            <w:tcBorders/>
            <w:vAlign w:val="center"/>
          </w:tcPr>
          <w:p>
            <w:pPr>
              <w:pStyle w:val="TableContents"/>
              <w:bidi w:val="0"/>
              <w:spacing w:lineRule="auto" w:line="321" w:before="1" w:after="1"/>
              <w:ind w:left="0" w:right="0" w:hanging="0"/>
              <w:jc w:val="left"/>
              <w:rPr/>
            </w:pPr>
            <w:r>
              <w:rPr/>
              <w:t>​</w:t>
            </w:r>
          </w:p>
        </w:tc>
        <w:tc>
          <w:tcPr>
            <w:tcW w:w="1186"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877</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187</w:t>
            </w:r>
          </w:p>
        </w:tc>
        <w:tc>
          <w:tcPr>
            <w:tcW w:w="346" w:type="dxa"/>
            <w:tcBorders/>
            <w:vAlign w:val="center"/>
          </w:tcPr>
          <w:p>
            <w:pPr>
              <w:pStyle w:val="TableContents"/>
              <w:bidi w:val="0"/>
              <w:spacing w:lineRule="auto" w:line="321" w:before="1" w:after="1"/>
              <w:ind w:left="0" w:right="0" w:hanging="0"/>
              <w:jc w:val="left"/>
              <w:rPr/>
            </w:pPr>
            <w:r>
              <w:rPr/>
              <w:t>​</w:t>
            </w:r>
          </w:p>
        </w:tc>
        <w:tc>
          <w:tcPr>
            <w:tcW w:w="2221"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3,047</w:t>
            </w:r>
          </w:p>
        </w:tc>
      </w:tr>
      <w:tr>
        <w:trPr/>
        <w:tc>
          <w:tcPr>
            <w:tcW w:w="1846"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Jonah Field</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181</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118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18,484</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238</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2221"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3,500</w:t>
            </w:r>
          </w:p>
        </w:tc>
      </w:tr>
      <w:tr>
        <w:trPr/>
        <w:tc>
          <w:tcPr>
            <w:tcW w:w="1846"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Williston Basin</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1,674</w:t>
            </w:r>
          </w:p>
        </w:tc>
        <w:tc>
          <w:tcPr>
            <w:tcW w:w="346" w:type="dxa"/>
            <w:tcBorders/>
            <w:vAlign w:val="center"/>
          </w:tcPr>
          <w:p>
            <w:pPr>
              <w:pStyle w:val="TableContents"/>
              <w:bidi w:val="0"/>
              <w:spacing w:lineRule="auto" w:line="321" w:before="1" w:after="1"/>
              <w:ind w:left="0" w:right="0" w:hanging="0"/>
              <w:jc w:val="left"/>
              <w:rPr/>
            </w:pPr>
            <w:r>
              <w:rPr/>
              <w:t>​</w:t>
            </w:r>
          </w:p>
        </w:tc>
        <w:tc>
          <w:tcPr>
            <w:tcW w:w="1186"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1,337</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332</w:t>
            </w:r>
          </w:p>
        </w:tc>
        <w:tc>
          <w:tcPr>
            <w:tcW w:w="346" w:type="dxa"/>
            <w:tcBorders/>
            <w:vAlign w:val="center"/>
          </w:tcPr>
          <w:p>
            <w:pPr>
              <w:pStyle w:val="TableContents"/>
              <w:bidi w:val="0"/>
              <w:spacing w:lineRule="auto" w:line="321" w:before="1" w:after="1"/>
              <w:ind w:left="0" w:right="0" w:hanging="0"/>
              <w:jc w:val="left"/>
              <w:rPr/>
            </w:pPr>
            <w:r>
              <w:rPr/>
              <w:t>​</w:t>
            </w:r>
          </w:p>
        </w:tc>
        <w:tc>
          <w:tcPr>
            <w:tcW w:w="2221"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2,229</w:t>
            </w:r>
          </w:p>
        </w:tc>
      </w:tr>
      <w:tr>
        <w:trPr/>
        <w:tc>
          <w:tcPr>
            <w:tcW w:w="1846"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Barnett Shale</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73</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118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29,366</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1,738</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2221"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6,705</w:t>
            </w:r>
          </w:p>
        </w:tc>
      </w:tr>
      <w:tr>
        <w:trPr/>
        <w:tc>
          <w:tcPr>
            <w:tcW w:w="1846"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Hamilton Dome Field</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1,684</w:t>
            </w:r>
          </w:p>
        </w:tc>
        <w:tc>
          <w:tcPr>
            <w:tcW w:w="346" w:type="dxa"/>
            <w:tcBorders/>
            <w:vAlign w:val="center"/>
          </w:tcPr>
          <w:p>
            <w:pPr>
              <w:pStyle w:val="TableContents"/>
              <w:bidi w:val="0"/>
              <w:spacing w:lineRule="auto" w:line="321" w:before="1" w:after="1"/>
              <w:ind w:left="0" w:right="0" w:hanging="0"/>
              <w:jc w:val="left"/>
              <w:rPr/>
            </w:pPr>
            <w:r>
              <w:rPr/>
              <w:t>​</w:t>
            </w:r>
          </w:p>
        </w:tc>
        <w:tc>
          <w:tcPr>
            <w:tcW w:w="1186" w:type="dxa"/>
            <w:tcBorders/>
            <w:vAlign w:val="center"/>
          </w:tcPr>
          <w:p>
            <w:pPr>
              <w:pStyle w:val="TableContents"/>
              <w:bidi w:val="0"/>
              <w:spacing w:lineRule="auto" w:line="321" w:before="1" w:after="1"/>
              <w:ind w:left="0" w:right="0" w:hanging="0"/>
              <w:jc w:val="right"/>
              <w:rPr/>
            </w:pPr>
            <w:r>
              <w:rPr/>
              <w:t>—</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vAlign w:val="center"/>
          </w:tcPr>
          <w:p>
            <w:pPr>
              <w:pStyle w:val="TableContents"/>
              <w:bidi w:val="0"/>
              <w:spacing w:lineRule="auto" w:line="321" w:before="1" w:after="1"/>
              <w:ind w:left="0" w:right="0" w:hanging="0"/>
              <w:jc w:val="right"/>
              <w:rPr/>
            </w:pPr>
            <w:r>
              <w:rPr/>
              <w:t>—</w:t>
            </w:r>
          </w:p>
        </w:tc>
        <w:tc>
          <w:tcPr>
            <w:tcW w:w="346" w:type="dxa"/>
            <w:tcBorders/>
            <w:vAlign w:val="center"/>
          </w:tcPr>
          <w:p>
            <w:pPr>
              <w:pStyle w:val="TableContents"/>
              <w:bidi w:val="0"/>
              <w:spacing w:lineRule="auto" w:line="321" w:before="1" w:after="1"/>
              <w:ind w:left="0" w:right="0" w:hanging="0"/>
              <w:jc w:val="left"/>
              <w:rPr/>
            </w:pPr>
            <w:r>
              <w:rPr/>
              <w:t>​</w:t>
            </w:r>
          </w:p>
        </w:tc>
        <w:tc>
          <w:tcPr>
            <w:tcW w:w="2221" w:type="dxa"/>
            <w:tcBorders/>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1,684</w:t>
            </w:r>
          </w:p>
        </w:tc>
      </w:tr>
      <w:tr>
        <w:trPr/>
        <w:tc>
          <w:tcPr>
            <w:tcW w:w="1846" w:type="dxa"/>
            <w:tcBorders/>
            <w:shd w:fill="CCEEFF" w:val="clear"/>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Delhi Field</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1,658</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1186" w:type="dxa"/>
            <w:tcBorders/>
            <w:shd w:fill="CCEEFF" w:val="clear"/>
            <w:vAlign w:val="center"/>
          </w:tcPr>
          <w:p>
            <w:pPr>
              <w:pStyle w:val="TableContents"/>
              <w:bidi w:val="0"/>
              <w:spacing w:lineRule="auto" w:line="321" w:before="1" w:after="1"/>
              <w:ind w:left="0" w:right="0" w:hanging="0"/>
              <w:jc w:val="right"/>
              <w:rPr/>
            </w:pPr>
            <w:r>
              <w:rPr/>
              <w:t>—</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620</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2221" w:type="dxa"/>
            <w:tcBorders/>
            <w:shd w:fill="CCEEFF" w:val="cle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2,278</w:t>
            </w:r>
          </w:p>
        </w:tc>
      </w:tr>
      <w:tr>
        <w:trPr/>
        <w:tc>
          <w:tcPr>
            <w:tcW w:w="1846" w:type="dxa"/>
            <w:tcBorders/>
            <w:vAlign w:val="center"/>
          </w:tcPr>
          <w:p>
            <w:pPr>
              <w:pStyle w:val="TableContents"/>
              <w:bidi w:val="0"/>
              <w:spacing w:lineRule="auto" w:line="321" w:before="1" w:after="1"/>
              <w:ind w:left="0" w:right="0" w:hanging="0"/>
              <w:jc w:val="left"/>
              <w:rPr>
                <w:rFonts w:ascii="Segoe UI" w:hAnsi="Segoe UI"/>
                <w:sz w:val="16"/>
              </w:rPr>
            </w:pPr>
            <w:r>
              <w:rPr>
                <w:rFonts w:ascii="Segoe UI" w:hAnsi="Segoe UI"/>
                <w:sz w:val="16"/>
              </w:rPr>
              <w:t>TexMex and Other</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1,316</w:t>
            </w:r>
          </w:p>
        </w:tc>
        <w:tc>
          <w:tcPr>
            <w:tcW w:w="346" w:type="dxa"/>
            <w:tcBorders/>
            <w:vAlign w:val="center"/>
          </w:tcPr>
          <w:p>
            <w:pPr>
              <w:pStyle w:val="TableContents"/>
              <w:bidi w:val="0"/>
              <w:spacing w:lineRule="auto" w:line="321" w:before="1"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9,048</w:t>
            </w:r>
          </w:p>
        </w:tc>
        <w:tc>
          <w:tcPr>
            <w:tcW w:w="346" w:type="dxa"/>
            <w:tcBorders/>
            <w:vAlign w:val="center"/>
          </w:tcPr>
          <w:p>
            <w:pPr>
              <w:pStyle w:val="TableContents"/>
              <w:bidi w:val="0"/>
              <w:spacing w:lineRule="auto" w:line="321" w:before="1"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321" w:before="1" w:after="1"/>
              <w:ind w:left="0" w:right="0" w:hanging="0"/>
              <w:jc w:val="right"/>
              <w:rPr/>
            </w:pPr>
            <w:r>
              <w:rPr/>
              <w:t>—</w:t>
            </w:r>
          </w:p>
        </w:tc>
        <w:tc>
          <w:tcPr>
            <w:tcW w:w="346" w:type="dxa"/>
            <w:tcBorders/>
            <w:vAlign w:val="center"/>
          </w:tcPr>
          <w:p>
            <w:pPr>
              <w:pStyle w:val="TableContents"/>
              <w:bidi w:val="0"/>
              <w:spacing w:lineRule="auto" w:line="321" w:before="1" w:after="1"/>
              <w:ind w:left="0" w:right="0" w:hanging="0"/>
              <w:jc w:val="left"/>
              <w:rPr/>
            </w:pPr>
            <w:r>
              <w:rPr/>
              <w:t>​</w:t>
            </w:r>
          </w:p>
        </w:tc>
        <w:tc>
          <w:tcPr>
            <w:tcW w:w="2221" w:type="dxa"/>
            <w:tcBorders>
              <w:bottom w:val="single" w:sz="2" w:space="0" w:color="000000"/>
            </w:tcBorders>
            <w:tcMar>
              <w:bottom w:w="28" w:type="dxa"/>
            </w:tcM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2,824</w:t>
            </w:r>
          </w:p>
        </w:tc>
      </w:tr>
      <w:tr>
        <w:trPr/>
        <w:tc>
          <w:tcPr>
            <w:tcW w:w="1846" w:type="dxa"/>
            <w:tcBorders/>
            <w:shd w:fill="CCEEFF" w:val="clear"/>
            <w:vAlign w:val="center"/>
          </w:tcPr>
          <w:p>
            <w:pPr>
              <w:pStyle w:val="TableContents"/>
              <w:bidi w:val="0"/>
              <w:spacing w:lineRule="auto" w:line="321" w:before="1" w:after="1"/>
              <w:ind w:left="0" w:right="0" w:hanging="0"/>
              <w:jc w:val="left"/>
              <w:rPr>
                <w:rFonts w:ascii="Segoe UI" w:hAnsi="Segoe UI"/>
                <w:b/>
                <w:sz w:val="16"/>
              </w:rPr>
            </w:pPr>
            <w:r>
              <w:rPr>
                <w:rFonts w:ascii="Segoe UI" w:hAnsi="Segoe UI"/>
                <w:b/>
                <w:sz w:val="16"/>
              </w:rPr>
              <w:t>Total Proved</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10,625</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74,192</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21" w:before="1" w:after="1"/>
              <w:ind w:left="0" w:right="0" w:hanging="0"/>
              <w:jc w:val="right"/>
              <w:rPr>
                <w:rFonts w:ascii="Segoe UI" w:hAnsi="Segoe UI"/>
                <w:sz w:val="16"/>
              </w:rPr>
            </w:pPr>
            <w:r>
              <w:rPr>
                <w:rFonts w:ascii="Segoe UI" w:hAnsi="Segoe UI"/>
                <w:sz w:val="16"/>
              </w:rPr>
              <w:t>4,227</w:t>
            </w:r>
          </w:p>
        </w:tc>
        <w:tc>
          <w:tcPr>
            <w:tcW w:w="346" w:type="dxa"/>
            <w:tcBorders/>
            <w:shd w:fill="CCEEFF" w:val="clear"/>
            <w:vAlign w:val="center"/>
          </w:tcPr>
          <w:p>
            <w:pPr>
              <w:pStyle w:val="TableContents"/>
              <w:bidi w:val="0"/>
              <w:spacing w:lineRule="auto" w:line="321" w:before="1" w:after="1"/>
              <w:ind w:left="0" w:right="0" w:hanging="0"/>
              <w:jc w:val="left"/>
              <w:rPr/>
            </w:pPr>
            <w:r>
              <w:rPr/>
              <w:t>​</w:t>
            </w:r>
          </w:p>
        </w:tc>
        <w:tc>
          <w:tcPr>
            <w:tcW w:w="2221" w:type="dxa"/>
            <w:tcBorders>
              <w:bottom w:val="double" w:sz="6" w:space="0" w:color="000000"/>
            </w:tcBorders>
            <w:shd w:fill="CCEEFF" w:val="clear"/>
            <w:tcMar>
              <w:bottom w:w="28" w:type="dxa"/>
            </w:tcMar>
            <w:vAlign w:val="center"/>
          </w:tcPr>
          <w:p>
            <w:pPr>
              <w:pStyle w:val="TableContents"/>
              <w:bidi w:val="0"/>
              <w:spacing w:lineRule="auto" w:line="321" w:before="1" w:after="1"/>
              <w:ind w:left="0" w:right="45" w:hanging="0"/>
              <w:jc w:val="right"/>
              <w:rPr>
                <w:rFonts w:ascii="Segoe UI" w:hAnsi="Segoe UI"/>
                <w:sz w:val="16"/>
              </w:rPr>
            </w:pPr>
            <w:r>
              <w:rPr>
                <w:rFonts w:ascii="Segoe UI" w:hAnsi="Segoe UI"/>
                <w:sz w:val="16"/>
              </w:rPr>
              <w:t>27,217</w:t>
            </w:r>
          </w:p>
        </w:tc>
      </w:tr>
    </w:tbl>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321" w:before="100" w:after="0"/>
        <w:ind w:left="0" w:right="0" w:hanging="0"/>
        <w:jc w:val="center"/>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6</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Condensed Consolidated Statements of Operations (Unaudited)</w:t>
      </w:r>
    </w:p>
    <w:p>
      <w:pPr>
        <w:pStyle w:val="TextBody"/>
        <w:bidi w:val="0"/>
        <w:spacing w:lineRule="auto" w:line="321" w:before="0" w:after="300"/>
        <w:ind w:left="0" w:right="0" w:hanging="0"/>
        <w:jc w:val="center"/>
        <w:rPr>
          <w:rFonts w:ascii="Segoe UI Semibold" w:hAnsi="Segoe UI Semibold"/>
          <w:sz w:val="22"/>
        </w:rPr>
      </w:pPr>
      <w:r>
        <w:rPr>
          <w:rFonts w:ascii="Segoe UI Semibold" w:hAnsi="Segoe UI Semibold"/>
          <w:sz w:val="22"/>
        </w:rPr>
        <w:t>(In thousands, except per share amounts)</w:t>
      </w:r>
    </w:p>
    <w:tbl>
      <w:tblPr>
        <w:tblW w:w="10205" w:type="dxa"/>
        <w:jc w:val="left"/>
        <w:tblInd w:w="0" w:type="dxa"/>
        <w:tblLayout w:type="fixed"/>
        <w:tblCellMar>
          <w:top w:w="0" w:type="dxa"/>
          <w:left w:w="0" w:type="dxa"/>
          <w:bottom w:w="0" w:type="dxa"/>
          <w:right w:w="0" w:type="dxa"/>
        </w:tblCellMar>
      </w:tblPr>
      <w:tblGrid>
        <w:gridCol w:w="4688"/>
        <w:gridCol w:w="109"/>
        <w:gridCol w:w="211"/>
        <w:gridCol w:w="676"/>
        <w:gridCol w:w="109"/>
        <w:gridCol w:w="211"/>
        <w:gridCol w:w="676"/>
        <w:gridCol w:w="346"/>
        <w:gridCol w:w="227"/>
        <w:gridCol w:w="855"/>
        <w:gridCol w:w="109"/>
        <w:gridCol w:w="211"/>
        <w:gridCol w:w="689"/>
        <w:gridCol w:w="109"/>
        <w:gridCol w:w="211"/>
        <w:gridCol w:w="768"/>
      </w:tblGrid>
      <w:tr>
        <w:trPr/>
        <w:tc>
          <w:tcPr>
            <w:tcW w:w="4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976880" cy="175260"/>
                      <wp:effectExtent l="0" t="0" r="0" b="0"/>
                      <wp:wrapNone/>
                      <wp:docPr id="35" name="Frame34"/>
                      <a:graphic xmlns:a="http://schemas.openxmlformats.org/drawingml/2006/main">
                        <a:graphicData uri="http://schemas.microsoft.com/office/word/2010/wordprocessingShape">
                          <wps:wsp>
                            <wps:cNvSpPr txBox="1"/>
                            <wps:spPr>
                              <a:xfrm>
                                <a:off x="0" y="0"/>
                                <a:ext cx="29768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6"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260" cy="175260"/>
                      <wp:effectExtent l="0" t="0" r="0" b="0"/>
                      <wp:wrapNone/>
                      <wp:docPr id="38" name="Frame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39"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29260" cy="175260"/>
                      <wp:effectExtent l="0" t="0" r="0" b="0"/>
                      <wp:wrapNone/>
                      <wp:docPr id="41" name="Frame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4145" cy="175260"/>
                      <wp:effectExtent l="0" t="0" r="0" b="0"/>
                      <wp:wrapNone/>
                      <wp:docPr id="43" name="Frame4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42925" cy="175260"/>
                      <wp:effectExtent l="0" t="0" r="0" b="0"/>
                      <wp:wrapNone/>
                      <wp:docPr id="44" name="Frame43"/>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6"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7515" cy="175260"/>
                      <wp:effectExtent l="0" t="0" r="0" b="0"/>
                      <wp:wrapNone/>
                      <wp:docPr id="47" name="Frame4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8"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87680" cy="175260"/>
                      <wp:effectExtent l="0" t="0" r="0" b="0"/>
                      <wp:wrapNone/>
                      <wp:docPr id="50" name="Frame49"/>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688"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3311"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Years Ended</w:t>
            </w:r>
          </w:p>
        </w:tc>
      </w:tr>
      <w:tr>
        <w:trPr/>
        <w:tc>
          <w:tcPr>
            <w:tcW w:w="468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c>
          <w:tcPr>
            <w:tcW w:w="346" w:type="dxa"/>
            <w:tcBorders/>
            <w:vAlign w:val="center"/>
          </w:tcPr>
          <w:p>
            <w:pPr>
              <w:pStyle w:val="TableContents"/>
              <w:bidi w:val="0"/>
              <w:spacing w:lineRule="auto" w:line="321" w:before="0" w:after="1"/>
              <w:ind w:left="0" w:right="0" w:hanging="0"/>
              <w:jc w:val="left"/>
              <w:rPr/>
            </w:pPr>
            <w:r>
              <w:rPr/>
              <w:t>​</w:t>
            </w:r>
          </w:p>
        </w:tc>
        <w:tc>
          <w:tcPr>
            <w:tcW w:w="108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109" w:type="dxa"/>
            <w:tcBorders/>
            <w:vAlign w:val="center"/>
          </w:tcPr>
          <w:p>
            <w:pPr>
              <w:pStyle w:val="TableContents"/>
              <w:bidi w:val="0"/>
              <w:spacing w:lineRule="auto" w:line="321" w:before="0" w:after="1"/>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r>
      <w:tr>
        <w:trPr/>
        <w:tc>
          <w:tcPr>
            <w:tcW w:w="4688"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shd w:fill="CCEEFF" w:val="clear"/>
            <w:vAlign w:val="center"/>
          </w:tcPr>
          <w:p>
            <w:pPr>
              <w:pStyle w:val="TableContents"/>
              <w:bidi w:val="0"/>
              <w:spacing w:lineRule="auto" w:line="321" w:before="0" w:after="1"/>
              <w:ind w:left="0" w:right="0" w:hanging="0"/>
              <w:jc w:val="left"/>
              <w:rPr/>
            </w:pPr>
            <w:r>
              <w:rPr/>
              <w:t>​</w:t>
            </w:r>
          </w:p>
        </w:tc>
        <w:tc>
          <w:tcPr>
            <w:tcW w:w="855"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left"/>
              <w:rPr/>
            </w:pPr>
            <w:r>
              <w:rPr/>
              <w:t>​</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16,514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12,833</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5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10,474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50,556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51,102</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4,413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5,648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shd w:fill="CCEEFF" w:val="clear"/>
            <w:vAlign w:val="center"/>
          </w:tcPr>
          <w:p>
            <w:pPr>
              <w:pStyle w:val="TableContents"/>
              <w:bidi w:val="0"/>
              <w:spacing w:lineRule="auto" w:line="321" w:before="0" w:after="1"/>
              <w:ind w:left="0" w:right="0" w:hanging="0"/>
              <w:jc w:val="left"/>
              <w:rPr/>
            </w:pPr>
            <w:r>
              <w:rPr/>
              <w:t>​</w:t>
            </w:r>
          </w:p>
        </w:tc>
        <w:tc>
          <w:tcPr>
            <w:tcW w:w="85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7,284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25,038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23,516</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3,281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2,627</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2,410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10,749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11,222</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24,208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21,108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shd w:fill="CCEEFF" w:val="clear"/>
            <w:vAlign w:val="center"/>
          </w:tcPr>
          <w:p>
            <w:pPr>
              <w:pStyle w:val="TableContents"/>
              <w:bidi w:val="0"/>
              <w:spacing w:lineRule="auto" w:line="321" w:before="0" w:after="1"/>
              <w:ind w:left="0" w:right="0" w:hanging="0"/>
              <w:jc w:val="left"/>
              <w:rPr/>
            </w:pPr>
            <w:r>
              <w:rPr/>
              <w:t>​</w:t>
            </w:r>
          </w:p>
        </w:tc>
        <w:tc>
          <w:tcPr>
            <w:tcW w:w="85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20,168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86,343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85,840</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vAlign w:val="center"/>
          </w:tcPr>
          <w:p>
            <w:pPr>
              <w:pStyle w:val="TableContents"/>
              <w:bidi w:val="0"/>
              <w:spacing w:lineRule="auto" w:line="321" w:before="0" w:after="1"/>
              <w:ind w:left="0" w:right="0" w:hanging="0"/>
              <w:jc w:val="left"/>
              <w:rPr/>
            </w:pPr>
            <w:r>
              <w:rPr/>
              <w:t>​</w:t>
            </w:r>
          </w:p>
        </w:tc>
        <w:tc>
          <w:tcPr>
            <w:tcW w:w="85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left"/>
              <w:rPr/>
            </w:pPr>
            <w:r>
              <w:rPr/>
              <w:t>​</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Lease operating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12,782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11,367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shd w:fill="CCEEFF" w:val="clear"/>
            <w:vAlign w:val="center"/>
          </w:tcPr>
          <w:p>
            <w:pPr>
              <w:pStyle w:val="TableContents"/>
              <w:bidi w:val="0"/>
              <w:spacing w:lineRule="auto" w:line="321" w:before="0" w:after="1"/>
              <w:ind w:left="0" w:right="0" w:hanging="0"/>
              <w:jc w:val="left"/>
              <w:rPr/>
            </w:pPr>
            <w:r>
              <w:rPr/>
              <w:t>​</w:t>
            </w:r>
          </w:p>
        </w:tc>
        <w:tc>
          <w:tcPr>
            <w:tcW w:w="85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50,338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49,338</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depreciation, and accretion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5,606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5,821</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vAlign w:val="center"/>
          </w:tcPr>
          <w:p>
            <w:pPr>
              <w:pStyle w:val="TableContents"/>
              <w:bidi w:val="0"/>
              <w:spacing w:lineRule="auto" w:line="321" w:before="0" w:after="1"/>
              <w:ind w:left="0" w:right="0" w:hanging="0"/>
              <w:jc w:val="left"/>
              <w:rPr/>
            </w:pPr>
            <w:r>
              <w:rPr/>
              <w:t>​</w:t>
            </w:r>
          </w:p>
        </w:tc>
        <w:tc>
          <w:tcPr>
            <w:tcW w:w="85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5,294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22,780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21,993</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General and administrative expenses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2,355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2,580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2,473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9,745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10,334</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20,743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19,768</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20,726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82,863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81,665</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(loss) from operations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3,465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1,340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shd w:fill="CCEEFF" w:val="clear"/>
            <w:vAlign w:val="center"/>
          </w:tcPr>
          <w:p>
            <w:pPr>
              <w:pStyle w:val="TableContents"/>
              <w:bidi w:val="0"/>
              <w:spacing w:lineRule="auto" w:line="321" w:before="0" w:after="1"/>
              <w:ind w:left="0" w:right="0" w:hanging="0"/>
              <w:jc w:val="left"/>
              <w:rPr/>
            </w:pPr>
            <w:r>
              <w:rPr/>
              <w:t>​</w:t>
            </w:r>
          </w:p>
        </w:tc>
        <w:tc>
          <w:tcPr>
            <w:tcW w:w="85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(558)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4,175</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income (expense)</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vAlign w:val="center"/>
          </w:tcPr>
          <w:p>
            <w:pPr>
              <w:pStyle w:val="TableContents"/>
              <w:bidi w:val="0"/>
              <w:spacing w:lineRule="auto" w:line="321" w:before="0" w:after="1"/>
              <w:ind w:left="0" w:right="0" w:hanging="0"/>
              <w:jc w:val="left"/>
              <w:rPr/>
            </w:pPr>
            <w:r>
              <w:rPr/>
              <w:t>​</w:t>
            </w:r>
          </w:p>
        </w:tc>
        <w:tc>
          <w:tcPr>
            <w:tcW w:w="85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left"/>
              <w:rPr/>
            </w:pPr>
            <w:r>
              <w:rPr/>
              <w:t>​</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gain (loss) on derivative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3,696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shd w:fill="CCEEFF" w:val="clear"/>
            <w:vAlign w:val="center"/>
          </w:tcPr>
          <w:p>
            <w:pPr>
              <w:pStyle w:val="TableContents"/>
              <w:bidi w:val="0"/>
              <w:spacing w:lineRule="auto" w:line="321" w:before="0" w:after="1"/>
              <w:ind w:left="0" w:right="0" w:hanging="0"/>
              <w:jc w:val="left"/>
              <w:rPr/>
            </w:pPr>
            <w:r>
              <w:rPr/>
              <w:t>​</w:t>
            </w:r>
          </w:p>
        </w:tc>
        <w:tc>
          <w:tcPr>
            <w:tcW w:w="85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(9,869)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(2,850)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473</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Interest and other income</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vAlign w:val="center"/>
          </w:tcPr>
          <w:p>
            <w:pPr>
              <w:pStyle w:val="TableContents"/>
              <w:bidi w:val="0"/>
              <w:spacing w:lineRule="auto" w:line="321" w:before="0" w:after="1"/>
              <w:ind w:left="0" w:right="0" w:hanging="0"/>
              <w:jc w:val="left"/>
              <w:rPr/>
            </w:pPr>
            <w:r>
              <w:rPr/>
              <w:t>​</w:t>
            </w:r>
          </w:p>
        </w:tc>
        <w:tc>
          <w:tcPr>
            <w:tcW w:w="85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191</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Interest expense</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(3,849)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(2,970)</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(loss) before income taxes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5,125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4,385</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vAlign w:val="center"/>
          </w:tcPr>
          <w:p>
            <w:pPr>
              <w:pStyle w:val="TableContents"/>
              <w:bidi w:val="0"/>
              <w:spacing w:lineRule="auto" w:line="321" w:before="0" w:after="1"/>
              <w:ind w:left="0" w:right="0" w:hanging="0"/>
              <w:jc w:val="left"/>
              <w:rPr/>
            </w:pPr>
            <w:r>
              <w:rPr/>
              <w:t>​</w:t>
            </w:r>
          </w:p>
        </w:tc>
        <w:tc>
          <w:tcPr>
            <w:tcW w:w="85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(11,363)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(3,147)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1,869</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tax (expense) benefit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(511)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(973)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2,431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(396)</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 xml:space="preserve">Net income (loss) </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4,614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3,412</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5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9"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1,473</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per common share:</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shd w:fill="CCEEFF" w:val="clear"/>
            <w:vAlign w:val="center"/>
          </w:tcPr>
          <w:p>
            <w:pPr>
              <w:pStyle w:val="TableContents"/>
              <w:bidi w:val="0"/>
              <w:spacing w:lineRule="auto" w:line="321" w:before="0" w:after="1"/>
              <w:ind w:left="0" w:right="0" w:hanging="0"/>
              <w:jc w:val="left"/>
              <w:rPr/>
            </w:pPr>
            <w:r>
              <w:rPr/>
              <w:t>​</w:t>
            </w:r>
          </w:p>
        </w:tc>
        <w:tc>
          <w:tcPr>
            <w:tcW w:w="85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9"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left"/>
              <w:rPr/>
            </w:pPr>
            <w:r>
              <w:rPr/>
              <w:t> </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Basic</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0.10</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5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9"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Diluted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Weighted average number of common shares outstanding:</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vAlign w:val="center"/>
          </w:tcPr>
          <w:p>
            <w:pPr>
              <w:pStyle w:val="TableContents"/>
              <w:bidi w:val="0"/>
              <w:spacing w:lineRule="auto" w:line="321" w:before="0" w:after="1"/>
              <w:ind w:left="0" w:right="0" w:hanging="0"/>
              <w:jc w:val="left"/>
              <w:rPr/>
            </w:pPr>
            <w:r>
              <w:rPr/>
              <w:t>​</w:t>
            </w:r>
          </w:p>
        </w:tc>
        <w:tc>
          <w:tcPr>
            <w:tcW w:w="85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9"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left"/>
              <w:rPr/>
            </w:pPr>
            <w:r>
              <w:rPr/>
              <w:t> </w:t>
            </w:r>
          </w:p>
        </w:tc>
      </w:tr>
      <w:tr>
        <w:trPr/>
        <w:tc>
          <w:tcPr>
            <w:tcW w:w="468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Basic</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35,070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33,553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34,315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34,251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33,158</w:t>
            </w:r>
          </w:p>
        </w:tc>
      </w:tr>
      <w:tr>
        <w:trPr/>
        <w:tc>
          <w:tcPr>
            <w:tcW w:w="468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Diluted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35,262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33,723</w:t>
            </w:r>
          </w:p>
        </w:tc>
        <w:tc>
          <w:tcPr>
            <w:tcW w:w="346" w:type="dxa"/>
            <w:tcBorders/>
            <w:vAlign w:val="center"/>
          </w:tcPr>
          <w:p>
            <w:pPr>
              <w:pStyle w:val="TableContents"/>
              <w:bidi w:val="0"/>
              <w:spacing w:lineRule="auto" w:line="321"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5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34,315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34,251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33,323</w:t>
            </w:r>
          </w:p>
        </w:tc>
      </w:tr>
    </w:tbl>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321" w:before="0" w:after="360"/>
        <w:ind w:left="0" w:right="0" w:hanging="0"/>
        <w:jc w:val="center"/>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7</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Condensed Consolidated Balance Sheets (Unaudited)</w:t>
      </w:r>
    </w:p>
    <w:p>
      <w:pPr>
        <w:pStyle w:val="TextBody"/>
        <w:bidi w:val="0"/>
        <w:spacing w:lineRule="auto" w:line="321" w:before="0" w:after="300"/>
        <w:ind w:left="0" w:right="0" w:hanging="0"/>
        <w:jc w:val="center"/>
        <w:rPr>
          <w:rFonts w:ascii="Segoe UI Semibold" w:hAnsi="Segoe UI Semibold"/>
          <w:sz w:val="22"/>
        </w:rPr>
      </w:pPr>
      <w:r>
        <w:rPr>
          <w:rFonts w:ascii="Segoe UI Semibold" w:hAnsi="Segoe UI Semibold"/>
          <w:sz w:val="22"/>
        </w:rPr>
        <w:t>(In thousands, except share and per share amounts)</w:t>
      </w:r>
    </w:p>
    <w:tbl>
      <w:tblPr>
        <w:tblW w:w="10205" w:type="dxa"/>
        <w:jc w:val="left"/>
        <w:tblInd w:w="0" w:type="dxa"/>
        <w:tblLayout w:type="fixed"/>
        <w:tblCellMar>
          <w:top w:w="0" w:type="dxa"/>
          <w:left w:w="0" w:type="dxa"/>
          <w:bottom w:w="0" w:type="dxa"/>
          <w:right w:w="0" w:type="dxa"/>
        </w:tblCellMar>
      </w:tblPr>
      <w:tblGrid>
        <w:gridCol w:w="6646"/>
        <w:gridCol w:w="346"/>
        <w:gridCol w:w="300"/>
        <w:gridCol w:w="1111"/>
        <w:gridCol w:w="346"/>
        <w:gridCol w:w="283"/>
        <w:gridCol w:w="1173"/>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220210" cy="175260"/>
                      <wp:effectExtent l="0" t="0" r="0" b="0"/>
                      <wp:wrapNone/>
                      <wp:docPr id="51" name="Frame50"/>
                      <a:graphic xmlns:a="http://schemas.openxmlformats.org/drawingml/2006/main">
                        <a:graphicData uri="http://schemas.microsoft.com/office/word/2010/wordprocessingShape">
                          <wps:wsp>
                            <wps:cNvSpPr txBox="1"/>
                            <wps:spPr>
                              <a:xfrm>
                                <a:off x="0" y="0"/>
                                <a:ext cx="42202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0500" cy="175260"/>
                      <wp:effectExtent l="0" t="0" r="0" b="0"/>
                      <wp:wrapNone/>
                      <wp:docPr id="53" name="Frame5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05485" cy="175260"/>
                      <wp:effectExtent l="0" t="0" r="0" b="0"/>
                      <wp:wrapNone/>
                      <wp:docPr id="54" name="Frame5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79705" cy="175260"/>
                      <wp:effectExtent l="0" t="0" r="0" b="0"/>
                      <wp:wrapNone/>
                      <wp:docPr id="56" name="Frame5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44855" cy="175260"/>
                      <wp:effectExtent l="0" t="0" r="0" b="0"/>
                      <wp:wrapNone/>
                      <wp:docPr id="57" name="Frame56"/>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664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2026</w:t>
            </w:r>
          </w:p>
        </w:tc>
        <w:tc>
          <w:tcPr>
            <w:tcW w:w="346" w:type="dxa"/>
            <w:tcBorders/>
            <w:vAlign w:val="center"/>
          </w:tcPr>
          <w:p>
            <w:pPr>
              <w:pStyle w:val="TableContents"/>
              <w:bidi w:val="0"/>
              <w:spacing w:lineRule="auto" w:line="321" w:before="0" w:after="1"/>
              <w:ind w:left="0" w:right="0" w:hanging="0"/>
              <w:jc w:val="left"/>
              <w:rPr/>
            </w:pPr>
            <w:r>
              <w:rPr/>
              <w:t>  ​ ​ ​</w:t>
            </w:r>
          </w:p>
        </w:tc>
        <w:tc>
          <w:tcPr>
            <w:tcW w:w="145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2025</w:t>
            </w:r>
          </w:p>
        </w:tc>
      </w:tr>
      <w:tr>
        <w:trPr/>
        <w:tc>
          <w:tcPr>
            <w:tcW w:w="6646" w:type="dxa"/>
            <w:tcBorders/>
            <w:shd w:fill="CCEEFF" w:val="cle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lef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left"/>
              <w:rPr/>
            </w:pPr>
            <w:r>
              <w:rPr/>
              <w:t> </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Current assets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left"/>
              <w:rPr/>
            </w:pPr>
            <w:r>
              <w:rPr/>
              <w:t> </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left"/>
              <w:rPr/>
            </w:pPr>
            <w:r>
              <w:rPr/>
              <w:t> </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and cash equivalents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1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6,137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2,507</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Receivables from crude oil, natural gas, and natural gas liquids revenues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10,089</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10,804</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2,094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1,777</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Prepaid expenses and other current assets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2,199</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2,287</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current 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20,519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17,375</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Property and equipment, net of depletion, depreciation, and impairment</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pPr>
            <w:r>
              <w:rPr/>
              <w:t> </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 </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 xml:space="preserve">Oil and natural gas properties, net — full-cost method of accounting, of which none were excluded from amortization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146,967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142,248</w:t>
            </w:r>
          </w:p>
        </w:tc>
      </w:tr>
      <w:tr>
        <w:trPr/>
        <w:tc>
          <w:tcPr>
            <w:tcW w:w="664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noncurrent 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assets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478</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198</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assets, net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734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431</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assets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168,698</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160,252</w:t>
            </w:r>
          </w:p>
        </w:tc>
      </w:tr>
      <w:tr>
        <w:trPr/>
        <w:tc>
          <w:tcPr>
            <w:tcW w:w="6646" w:type="dxa"/>
            <w:tcBorders/>
            <w:shd w:fill="CCEEFF" w:val="cle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Liabilities and Stockholders' Equity</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 </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Current liabilities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pPr>
            <w:r>
              <w:rPr/>
              <w:t> </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 </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Accounts payable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1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13,817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12,901</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Accrued liabilities and other</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5,674</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6,909</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2,865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1,577</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current liabilities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22,356</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21,387</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Long term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 </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Senior secured credit facility</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56,500</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37,500</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Deferred income taxes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5,271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6,234</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Asset retirement obligations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23,626</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21,535</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1,783</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Operating lease liability</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351</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108,294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88,439</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Commitments and contingencies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Stockholders' equity</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 </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Common stock; par value $0.001; 100,000,000 shares authorized: issued and</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outstanding 35,949,843 and 34,337,188 shares as of June 30,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and 2025, respectively</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vAlign w:val="center"/>
          </w:tcPr>
          <w:p>
            <w:pPr>
              <w:pStyle w:val="TableContents"/>
              <w:bidi w:val="0"/>
              <w:spacing w:lineRule="auto" w:line="321" w:before="0" w:after="1"/>
              <w:ind w:left="0" w:right="0" w:hanging="0"/>
              <w:jc w:val="left"/>
              <w:rPr/>
            </w:pPr>
            <w:r>
              <w:rPr/>
              <w:t>​</w:t>
            </w:r>
          </w:p>
        </w:tc>
        <w:tc>
          <w:tcPr>
            <w:tcW w:w="111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Additional paid-in capital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shd w:fill="CCEEFF" w:val="clear"/>
            <w:vAlign w:val="center"/>
          </w:tcPr>
          <w:p>
            <w:pPr>
              <w:pStyle w:val="TableContents"/>
              <w:bidi w:val="0"/>
              <w:spacing w:lineRule="auto" w:line="321" w:before="0" w:after="1"/>
              <w:ind w:left="0" w:right="0" w:hanging="0"/>
              <w:jc w:val="left"/>
              <w:rPr/>
            </w:pPr>
            <w:r>
              <w:rPr/>
              <w:t>​</w:t>
            </w:r>
          </w:p>
        </w:tc>
        <w:tc>
          <w:tcPr>
            <w:tcW w:w="111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54,611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46,650</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Retained earnings</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5,757</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25,129</w:t>
            </w:r>
          </w:p>
        </w:tc>
      </w:tr>
      <w:tr>
        <w:trPr/>
        <w:tc>
          <w:tcPr>
            <w:tcW w:w="664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stockholders' equity</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60,404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71,813</w:t>
            </w:r>
          </w:p>
        </w:tc>
      </w:tr>
      <w:tr>
        <w:trPr/>
        <w:tc>
          <w:tcPr>
            <w:tcW w:w="664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liabilities and stockholders' equity</w:t>
            </w:r>
          </w:p>
        </w:tc>
        <w:tc>
          <w:tcPr>
            <w:tcW w:w="346" w:type="dxa"/>
            <w:tcBorders/>
            <w:vAlign w:val="center"/>
          </w:tcPr>
          <w:p>
            <w:pPr>
              <w:pStyle w:val="TableContents"/>
              <w:bidi w:val="0"/>
              <w:spacing w:lineRule="auto" w:line="321"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168,698</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160,252</w:t>
            </w:r>
          </w:p>
        </w:tc>
      </w:tr>
    </w:tbl>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8</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Condensed Consolidated Statements of Cash Flows (Unaudited)</w:t>
      </w:r>
    </w:p>
    <w:p>
      <w:pPr>
        <w:pStyle w:val="TextBody"/>
        <w:bidi w:val="0"/>
        <w:spacing w:lineRule="auto" w:line="321" w:before="0" w:after="300"/>
        <w:ind w:left="0" w:right="0" w:hanging="0"/>
        <w:jc w:val="center"/>
        <w:rPr>
          <w:rFonts w:ascii="Segoe UI Semibold" w:hAnsi="Segoe UI Semibold"/>
          <w:sz w:val="22"/>
        </w:rPr>
      </w:pPr>
      <w:r>
        <w:rPr>
          <w:rFonts w:ascii="Segoe UI Semibold" w:hAnsi="Segoe UI Semibold"/>
          <w:sz w:val="22"/>
        </w:rPr>
        <w:t>(In thousands)</w:t>
      </w:r>
    </w:p>
    <w:tbl>
      <w:tblPr>
        <w:tblW w:w="10205" w:type="dxa"/>
        <w:jc w:val="left"/>
        <w:tblInd w:w="0" w:type="dxa"/>
        <w:tblLayout w:type="fixed"/>
        <w:tblCellMar>
          <w:top w:w="0" w:type="dxa"/>
          <w:left w:w="0" w:type="dxa"/>
          <w:bottom w:w="0" w:type="dxa"/>
          <w:right w:w="0" w:type="dxa"/>
        </w:tblCellMar>
      </w:tblPr>
      <w:tblGrid>
        <w:gridCol w:w="4528"/>
        <w:gridCol w:w="109"/>
        <w:gridCol w:w="211"/>
        <w:gridCol w:w="662"/>
        <w:gridCol w:w="109"/>
        <w:gridCol w:w="211"/>
        <w:gridCol w:w="767"/>
        <w:gridCol w:w="346"/>
        <w:gridCol w:w="259"/>
        <w:gridCol w:w="779"/>
        <w:gridCol w:w="109"/>
        <w:gridCol w:w="211"/>
        <w:gridCol w:w="767"/>
        <w:gridCol w:w="109"/>
        <w:gridCol w:w="211"/>
        <w:gridCol w:w="817"/>
      </w:tblGrid>
      <w:tr>
        <w:trPr/>
        <w:tc>
          <w:tcPr>
            <w:tcW w:w="4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875280" cy="175260"/>
                      <wp:effectExtent l="0" t="0" r="0" b="0"/>
                      <wp:wrapNone/>
                      <wp:docPr id="58" name="Frame57"/>
                      <a:graphic xmlns:a="http://schemas.openxmlformats.org/drawingml/2006/main">
                        <a:graphicData uri="http://schemas.microsoft.com/office/word/2010/wordprocessingShape">
                          <wps:wsp>
                            <wps:cNvSpPr txBox="1"/>
                            <wps:spPr>
                              <a:xfrm>
                                <a:off x="0" y="0"/>
                                <a:ext cx="28752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59"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20370" cy="175260"/>
                      <wp:effectExtent l="0" t="0" r="0" b="0"/>
                      <wp:wrapNone/>
                      <wp:docPr id="61" name="Frame60"/>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87045" cy="175260"/>
                      <wp:effectExtent l="0" t="0" r="0" b="0"/>
                      <wp:wrapNone/>
                      <wp:docPr id="64" name="Frame63"/>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4465" cy="175260"/>
                      <wp:effectExtent l="0" t="0" r="0" b="0"/>
                      <wp:wrapNone/>
                      <wp:docPr id="66" name="Frame6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4665" cy="175260"/>
                      <wp:effectExtent l="0" t="0" r="0" b="0"/>
                      <wp:wrapNone/>
                      <wp:docPr id="67" name="Frame6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87045" cy="175260"/>
                      <wp:effectExtent l="0" t="0" r="0" b="0"/>
                      <wp:wrapNone/>
                      <wp:docPr id="70" name="Frame6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8795" cy="175260"/>
                      <wp:effectExtent l="0" t="0" r="0" b="0"/>
                      <wp:wrapNone/>
                      <wp:docPr id="73" name="Frame72"/>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528" w:type="dxa"/>
            <w:tcBorders/>
            <w:vAlign w:val="center"/>
          </w:tcPr>
          <w:p>
            <w:pPr>
              <w:pStyle w:val="TableContents"/>
              <w:bidi w:val="0"/>
              <w:spacing w:lineRule="auto" w:line="321" w:before="0" w:after="1"/>
              <w:ind w:left="0" w:right="0" w:hanging="0"/>
              <w:jc w:val="left"/>
              <w:rPr>
                <w:color w:val="0563C1"/>
              </w:rPr>
            </w:pPr>
            <w:r>
              <w:rPr>
                <w:color w:val="0563C1"/>
              </w:rPr>
              <w:t>​</w:t>
            </w:r>
          </w:p>
        </w:tc>
        <w:tc>
          <w:tcPr>
            <w:tcW w:w="109" w:type="dxa"/>
            <w:tcBorders/>
            <w:vAlign w:val="center"/>
          </w:tcPr>
          <w:p>
            <w:pPr>
              <w:pStyle w:val="TableContents"/>
              <w:bidi w:val="0"/>
              <w:spacing w:lineRule="auto" w:line="321" w:before="0" w:after="1"/>
              <w:ind w:left="0" w:right="0" w:hanging="0"/>
              <w:jc w:val="left"/>
              <w:rPr/>
            </w:pPr>
            <w:r>
              <w:rPr/>
              <w:t>​</w:t>
            </w:r>
          </w:p>
        </w:tc>
        <w:tc>
          <w:tcPr>
            <w:tcW w:w="3344"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Years Ended</w:t>
            </w:r>
          </w:p>
        </w:tc>
      </w:tr>
      <w:tr>
        <w:trPr/>
        <w:tc>
          <w:tcPr>
            <w:tcW w:w="4528"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1960"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c>
          <w:tcPr>
            <w:tcW w:w="346" w:type="dxa"/>
            <w:tcBorders/>
            <w:vAlign w:val="center"/>
          </w:tcPr>
          <w:p>
            <w:pPr>
              <w:pStyle w:val="TableContents"/>
              <w:bidi w:val="0"/>
              <w:spacing w:lineRule="auto" w:line="321" w:before="0" w:after="1"/>
              <w:ind w:left="0" w:right="0" w:hanging="0"/>
              <w:jc w:val="left"/>
              <w:rPr/>
            </w:pPr>
            <w:r>
              <w:rPr/>
              <w:t>​</w:t>
            </w:r>
          </w:p>
        </w:tc>
        <w:tc>
          <w:tcPr>
            <w:tcW w:w="103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109" w:type="dxa"/>
            <w:tcBorders/>
            <w:vAlign w:val="center"/>
          </w:tcPr>
          <w:p>
            <w:pPr>
              <w:pStyle w:val="TableContents"/>
              <w:bidi w:val="0"/>
              <w:spacing w:lineRule="auto" w:line="321" w:before="0" w:after="1"/>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r>
      <w:tr>
        <w:trPr/>
        <w:tc>
          <w:tcPr>
            <w:tcW w:w="452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873"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03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102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flows from operating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left"/>
              <w:rPr/>
            </w:pPr>
            <w:r>
              <w:rPr/>
              <w:t> </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 xml:space="preserve">Net income (loss) </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4,614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3,412</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1,473</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Adjustments to reconcile net income (loss) to net cash provided by operating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left"/>
              <w:rPr/>
            </w:pPr>
            <w:r>
              <w:rPr/>
              <w:t>​</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depreciation, and accretion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5,606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5,821</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5,294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22,780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21,993</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Stock-based compensation</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2,344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2,482</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Settlement of asset retirement obligations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(385)</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Deferred income taxes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1,442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1,662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(1,106)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(468)</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Unrealized (gain) loss on derivative contracts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(5,777)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(2,934)</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492</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Accrued settlements on derivative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631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(251)</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Amortization of debt issuance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pPr>
            <w:r>
              <w:rPr/>
              <w:t>—</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Changes in operating assets and liabilities: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left"/>
              <w:rPr/>
            </w:pPr>
            <w:r>
              <w:rPr/>
              <w:t>​</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Receivables from crude oil, natural gas, and natural gas liquids 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75</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Prepaid expenses and other current assets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1,525</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2,925</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Accounts payable and accrued liabilities and other</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1,355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1,227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4,798</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State and federal taxes payable</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(847)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cash provided by operating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6,799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10,456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3,489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23,518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33,052</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flows from investing activities: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left"/>
              <w:rPr/>
            </w:pPr>
            <w:r>
              <w:rPr/>
              <w:t>​</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Acquisitions of oil and natural gas properties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(6,868)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(4,662)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(22,988)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(9,019)</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Proceeds from the sale of unproved oil and natural gas properties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3,093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3,093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pPr>
            <w:r>
              <w:rPr/>
              <w:t>—</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Capital expenditures for oil and natural gas properties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(1,360)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(4,721)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(1,263)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(12,623)</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cash used in investing activities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(11,589)</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(5,925)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(27,175)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(21,642)</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flows from financing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left"/>
              <w:rPr/>
            </w:pPr>
            <w:r>
              <w:rPr/>
              <w:t>​</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Common stock dividends paid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(4,330)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(4,123)</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(4,261)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(16,943)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(16,347)</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Common stock repurchases, including stock surrendered for tax withholding</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(442)</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Borrowings under senior secured credit facility</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2,000</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2,000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22,000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2,000</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Repayments of senior secured credit facility</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(3,000)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(4,000)</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Debt issuance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Issuance of common stock</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3,672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6,070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3,840</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Offering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(310)</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cash provided by (used in) financing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(3,331)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(1,961)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shd w:fill="CCEEFF" w:val="clear"/>
            <w:vAlign w:val="center"/>
          </w:tcPr>
          <w:p>
            <w:pPr>
              <w:pStyle w:val="TableContents"/>
              <w:bidi w:val="0"/>
              <w:spacing w:lineRule="auto" w:line="321"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7,287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(15,349)</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increase (decrease) in cash and cash equivalents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(3,094)</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vAlign w:val="center"/>
          </w:tcPr>
          <w:p>
            <w:pPr>
              <w:pStyle w:val="TableContents"/>
              <w:bidi w:val="0"/>
              <w:spacing w:lineRule="auto" w:line="321" w:before="0" w:after="1"/>
              <w:ind w:left="0" w:right="0" w:hanging="0"/>
              <w:jc w:val="left"/>
              <w:rPr/>
            </w:pPr>
            <w:r>
              <w:rPr/>
              <w:t>​</w:t>
            </w:r>
          </w:p>
        </w:tc>
        <w:tc>
          <w:tcPr>
            <w:tcW w:w="77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(1,146)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3,630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(3,939)</w:t>
            </w:r>
          </w:p>
        </w:tc>
      </w:tr>
      <w:tr>
        <w:trPr/>
        <w:tc>
          <w:tcPr>
            <w:tcW w:w="452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and cash equivalents, beginning of period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2,616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5,601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3,762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6,446</w:t>
            </w:r>
          </w:p>
        </w:tc>
      </w:tr>
      <w:tr>
        <w:trPr/>
        <w:tc>
          <w:tcPr>
            <w:tcW w:w="452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and cash equivalents, end of period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2"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6,137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7"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2,507</w:t>
            </w:r>
          </w:p>
        </w:tc>
        <w:tc>
          <w:tcPr>
            <w:tcW w:w="346" w:type="dxa"/>
            <w:tcBorders/>
            <w:vAlign w:val="center"/>
          </w:tcPr>
          <w:p>
            <w:pPr>
              <w:pStyle w:val="TableContents"/>
              <w:bidi w:val="0"/>
              <w:spacing w:lineRule="auto" w:line="321"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79"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2,616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7"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6,137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17"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2,507</w:t>
            </w:r>
          </w:p>
        </w:tc>
      </w:tr>
    </w:tbl>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9</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bookmarkStart w:id="38" w:name="_Hlk112420443"/>
      <w:bookmarkEnd w:id="38"/>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Non-GAAP Reconciliation – Adjusted EBITDA (Unaudited)</w:t>
      </w:r>
    </w:p>
    <w:p>
      <w:pPr>
        <w:pStyle w:val="TextBody"/>
        <w:bidi w:val="0"/>
        <w:spacing w:lineRule="auto" w:line="321" w:before="0" w:after="100"/>
        <w:ind w:left="0" w:right="0" w:hanging="0"/>
        <w:jc w:val="center"/>
        <w:rPr>
          <w:rFonts w:ascii="Segoe UI Semibold" w:hAnsi="Segoe UI Semibold"/>
          <w:sz w:val="22"/>
        </w:rPr>
      </w:pPr>
      <w:r>
        <w:rPr>
          <w:rFonts w:ascii="Segoe UI Semibold" w:hAnsi="Segoe UI Semibold"/>
          <w:sz w:val="22"/>
        </w:rPr>
        <w:t>(In thousands)</w:t>
      </w:r>
    </w:p>
    <w:p>
      <w:pPr>
        <w:pStyle w:val="TextBody"/>
        <w:bidi w:val="0"/>
        <w:spacing w:lineRule="auto" w:line="285" w:before="100" w:after="100"/>
        <w:ind w:left="0" w:right="0" w:hanging="0"/>
        <w:jc w:val="both"/>
        <w:rPr>
          <w:rFonts w:ascii="Segoe UI" w:hAnsi="Segoe UI"/>
          <w:sz w:val="22"/>
        </w:rPr>
      </w:pPr>
      <w:r>
        <w:rPr>
          <w:rFonts w:ascii="Segoe UI" w:hAnsi="Segoe UI"/>
          <w:sz w:val="22"/>
        </w:rPr>
        <w:t>Adjusted EBITDA and Net income (loss) and earnings per share excluding selected items are non-GAAP financial measures that are used as supplemental financial measures by our management and by external users of our financial statements, such as investors, commercial banks, and others, to assess our operating performance as compared to that of other companies in our industry, without regard to financing methods, capital structure, or historical costs basis. We use these measures to assess our ability to incur and service debt and fund capital expenditures. Our Adjusted EBITDA and Net income (loss) and earnings per share, excluding selected items, should not be considered alternatives to net income (loss), operating income (loss), cash flows provided by (used in) operating activities, or any other measure of financial performance or liquidity presented in accordance with U.S. GAAP. Our Adjusted EBITDA and Net income (loss) and earnings per share excluding selected items may not be comparable to similarly titled measures of another company because all companies may not calculate Adjusted EBITDA and Net income (loss) and earnings per share excluding selected items in the same manner.</w:t>
      </w:r>
    </w:p>
    <w:p>
      <w:pPr>
        <w:pStyle w:val="TextBody"/>
        <w:bidi w:val="0"/>
        <w:spacing w:lineRule="auto" w:line="321" w:before="0" w:after="0"/>
        <w:ind w:left="0" w:right="0" w:hanging="0"/>
        <w:jc w:val="both"/>
        <w:rPr/>
      </w:pPr>
      <w:r>
        <w:rPr/>
        <w:t>​</w:t>
      </w:r>
    </w:p>
    <w:p>
      <w:pPr>
        <w:pStyle w:val="TextBody"/>
        <w:bidi w:val="0"/>
        <w:spacing w:lineRule="auto" w:line="285" w:before="100" w:after="100"/>
        <w:ind w:left="0" w:right="0" w:hanging="0"/>
        <w:jc w:val="both"/>
        <w:rPr>
          <w:rFonts w:ascii="Segoe UI" w:hAnsi="Segoe UI"/>
          <w:sz w:val="22"/>
        </w:rPr>
      </w:pPr>
      <w:r>
        <w:rPr>
          <w:rFonts w:ascii="Segoe UI" w:hAnsi="Segoe UI"/>
          <w:sz w:val="22"/>
        </w:rPr>
        <w:t>We define Adjusted EBITDA as net income (loss) plus interest expense, income tax expense (benefit), depreciation, depletion, and accretion (DD&amp;A), stock-based compensation, ceiling test impairment, and other impairments, unrealized loss (gain) on change in fair value of derivatives, and other non-recurring or non-cash expense (income) items.</w:t>
      </w:r>
    </w:p>
    <w:tbl>
      <w:tblPr>
        <w:tblW w:w="9462" w:type="dxa"/>
        <w:jc w:val="left"/>
        <w:tblInd w:w="0" w:type="dxa"/>
        <w:tblLayout w:type="fixed"/>
        <w:tblCellMar>
          <w:top w:w="0" w:type="dxa"/>
          <w:left w:w="0" w:type="dxa"/>
          <w:bottom w:w="0" w:type="dxa"/>
          <w:right w:w="0" w:type="dxa"/>
        </w:tblCellMar>
      </w:tblPr>
      <w:tblGrid>
        <w:gridCol w:w="3901"/>
        <w:gridCol w:w="109"/>
        <w:gridCol w:w="211"/>
        <w:gridCol w:w="691"/>
        <w:gridCol w:w="109"/>
        <w:gridCol w:w="211"/>
        <w:gridCol w:w="691"/>
        <w:gridCol w:w="346"/>
        <w:gridCol w:w="274"/>
        <w:gridCol w:w="822"/>
        <w:gridCol w:w="109"/>
        <w:gridCol w:w="211"/>
        <w:gridCol w:w="691"/>
        <w:gridCol w:w="109"/>
        <w:gridCol w:w="211"/>
        <w:gridCol w:w="76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477135" cy="175260"/>
                      <wp:effectExtent l="0" t="0" r="0" b="0"/>
                      <wp:wrapNone/>
                      <wp:docPr id="74" name="Frame7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5"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8785" cy="175260"/>
                      <wp:effectExtent l="0" t="0" r="0" b="0"/>
                      <wp:wrapNone/>
                      <wp:docPr id="77" name="Frame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8"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38785" cy="175260"/>
                      <wp:effectExtent l="0" t="0" r="0" b="0"/>
                      <wp:wrapNone/>
                      <wp:docPr id="80" name="Frame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3990" cy="175260"/>
                      <wp:effectExtent l="0" t="0" r="0" b="0"/>
                      <wp:wrapNone/>
                      <wp:docPr id="82" name="Frame8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21970" cy="175260"/>
                      <wp:effectExtent l="0" t="0" r="0" b="0"/>
                      <wp:wrapNone/>
                      <wp:docPr id="83" name="Frame82"/>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4"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5"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38785" cy="175260"/>
                      <wp:effectExtent l="0" t="0" r="0" b="0"/>
                      <wp:wrapNone/>
                      <wp:docPr id="86" name="Frame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86410" cy="175260"/>
                      <wp:effectExtent l="0" t="0" r="0" b="0"/>
                      <wp:wrapNone/>
                      <wp:docPr id="89" name="Frame8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3355"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Years Ended</w:t>
            </w:r>
          </w:p>
        </w:tc>
      </w:tr>
      <w:tr>
        <w:trPr/>
        <w:tc>
          <w:tcPr>
            <w:tcW w:w="390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91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c>
          <w:tcPr>
            <w:tcW w:w="346" w:type="dxa"/>
            <w:tcBorders/>
            <w:vAlign w:val="center"/>
          </w:tcPr>
          <w:p>
            <w:pPr>
              <w:pStyle w:val="TableContents"/>
              <w:bidi w:val="0"/>
              <w:spacing w:lineRule="auto" w:line="321"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109" w:type="dxa"/>
            <w:tcBorders/>
            <w:vAlign w:val="center"/>
          </w:tcPr>
          <w:p>
            <w:pPr>
              <w:pStyle w:val="TableContents"/>
              <w:bidi w:val="0"/>
              <w:spacing w:lineRule="auto" w:line="321" w:before="0" w:after="1"/>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r>
      <w:tr>
        <w:trPr/>
        <w:tc>
          <w:tcPr>
            <w:tcW w:w="3901"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7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Net income (loss)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4,614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3,412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7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1,473</w:t>
            </w:r>
          </w:p>
        </w:tc>
      </w:tr>
      <w:tr>
        <w:trPr/>
        <w:tc>
          <w:tcPr>
            <w:tcW w:w="390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Adjusted by:</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74" w:type="dxa"/>
            <w:tcBorders/>
            <w:vAlign w:val="center"/>
          </w:tcPr>
          <w:p>
            <w:pPr>
              <w:pStyle w:val="TableContents"/>
              <w:bidi w:val="0"/>
              <w:spacing w:lineRule="auto" w:line="321" w:before="0" w:after="1"/>
              <w:ind w:left="0" w:right="0" w:hanging="0"/>
              <w:jc w:val="left"/>
              <w:rPr/>
            </w:pPr>
            <w:r>
              <w:rPr/>
              <w:t>​</w:t>
            </w:r>
          </w:p>
        </w:tc>
        <w:tc>
          <w:tcPr>
            <w:tcW w:w="82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6" w:type="dxa"/>
            <w:tcBorders/>
            <w:vAlign w:val="center"/>
          </w:tcPr>
          <w:p>
            <w:pPr>
              <w:pStyle w:val="TableContents"/>
              <w:bidi w:val="0"/>
              <w:spacing w:lineRule="auto" w:line="321" w:before="0" w:after="1"/>
              <w:ind w:left="0" w:right="0" w:hanging="0"/>
              <w:jc w:val="left"/>
              <w:rPr/>
            </w:pPr>
            <w:r>
              <w:rPr/>
              <w:t>​</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Interest expense</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74" w:type="dxa"/>
            <w:tcBorders/>
            <w:shd w:fill="CCEEFF" w:val="clear"/>
            <w:vAlign w:val="center"/>
          </w:tcPr>
          <w:p>
            <w:pPr>
              <w:pStyle w:val="TableContents"/>
              <w:bidi w:val="0"/>
              <w:spacing w:lineRule="auto" w:line="321" w:before="0" w:after="1"/>
              <w:ind w:left="0" w:right="0" w:hanging="0"/>
              <w:jc w:val="left"/>
              <w:rPr/>
            </w:pPr>
            <w:r>
              <w:rPr/>
              <w:t>​</w:t>
            </w:r>
          </w:p>
        </w:tc>
        <w:tc>
          <w:tcPr>
            <w:tcW w:w="82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3,849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2,970</w:t>
            </w:r>
          </w:p>
        </w:tc>
      </w:tr>
      <w:tr>
        <w:trPr/>
        <w:tc>
          <w:tcPr>
            <w:tcW w:w="390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tax expense (benefit)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511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973</w:t>
            </w:r>
          </w:p>
        </w:tc>
        <w:tc>
          <w:tcPr>
            <w:tcW w:w="346" w:type="dxa"/>
            <w:tcBorders/>
            <w:vAlign w:val="center"/>
          </w:tcPr>
          <w:p>
            <w:pPr>
              <w:pStyle w:val="TableContents"/>
              <w:bidi w:val="0"/>
              <w:spacing w:lineRule="auto" w:line="321" w:before="0" w:after="1"/>
              <w:ind w:left="0" w:right="0" w:hanging="0"/>
              <w:jc w:val="left"/>
              <w:rPr/>
            </w:pPr>
            <w:r>
              <w:rPr/>
              <w:t>​</w:t>
            </w:r>
          </w:p>
        </w:tc>
        <w:tc>
          <w:tcPr>
            <w:tcW w:w="274" w:type="dxa"/>
            <w:tcBorders/>
            <w:vAlign w:val="center"/>
          </w:tcPr>
          <w:p>
            <w:pPr>
              <w:pStyle w:val="TableContents"/>
              <w:bidi w:val="0"/>
              <w:spacing w:lineRule="auto" w:line="321" w:before="0" w:after="1"/>
              <w:ind w:left="0" w:right="0" w:hanging="0"/>
              <w:jc w:val="left"/>
              <w:rPr/>
            </w:pPr>
            <w:r>
              <w:rPr/>
              <w:t>​</w:t>
            </w:r>
          </w:p>
        </w:tc>
        <w:tc>
          <w:tcPr>
            <w:tcW w:w="82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(2,431)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396</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depreciation, and accretion</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5,606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5,821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74" w:type="dxa"/>
            <w:tcBorders/>
            <w:shd w:fill="CCEEFF" w:val="clear"/>
            <w:vAlign w:val="center"/>
          </w:tcPr>
          <w:p>
            <w:pPr>
              <w:pStyle w:val="TableContents"/>
              <w:bidi w:val="0"/>
              <w:spacing w:lineRule="auto" w:line="321" w:before="0" w:after="1"/>
              <w:ind w:left="0" w:right="0" w:hanging="0"/>
              <w:jc w:val="left"/>
              <w:rPr/>
            </w:pPr>
            <w:r>
              <w:rPr/>
              <w:t>​</w:t>
            </w:r>
          </w:p>
        </w:tc>
        <w:tc>
          <w:tcPr>
            <w:tcW w:w="82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5,294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22,780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21,993</w:t>
            </w:r>
          </w:p>
        </w:tc>
      </w:tr>
      <w:tr>
        <w:trPr/>
        <w:tc>
          <w:tcPr>
            <w:tcW w:w="390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Stock-based compensation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622</w:t>
            </w:r>
          </w:p>
        </w:tc>
        <w:tc>
          <w:tcPr>
            <w:tcW w:w="346" w:type="dxa"/>
            <w:tcBorders/>
            <w:vAlign w:val="center"/>
          </w:tcPr>
          <w:p>
            <w:pPr>
              <w:pStyle w:val="TableContents"/>
              <w:bidi w:val="0"/>
              <w:spacing w:lineRule="auto" w:line="321" w:before="0" w:after="1"/>
              <w:ind w:left="0" w:right="0" w:hanging="0"/>
              <w:jc w:val="left"/>
              <w:rPr/>
            </w:pPr>
            <w:r>
              <w:rPr/>
              <w:t>​</w:t>
            </w:r>
          </w:p>
        </w:tc>
        <w:tc>
          <w:tcPr>
            <w:tcW w:w="274" w:type="dxa"/>
            <w:tcBorders/>
            <w:vAlign w:val="center"/>
          </w:tcPr>
          <w:p>
            <w:pPr>
              <w:pStyle w:val="TableContents"/>
              <w:bidi w:val="0"/>
              <w:spacing w:lineRule="auto" w:line="321" w:before="0" w:after="1"/>
              <w:ind w:left="0" w:right="0" w:hanging="0"/>
              <w:jc w:val="left"/>
              <w:rPr/>
            </w:pPr>
            <w:r>
              <w:rPr/>
              <w:t>​</w:t>
            </w:r>
          </w:p>
        </w:tc>
        <w:tc>
          <w:tcPr>
            <w:tcW w:w="82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2,344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2,482</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Unrealized loss (gain) on derivative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(5,777)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(2,934)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492</w:t>
            </w:r>
          </w:p>
        </w:tc>
      </w:tr>
      <w:tr>
        <w:trPr/>
        <w:tc>
          <w:tcPr>
            <w:tcW w:w="3901"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Adjusted EBITDA</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6,522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8,572</w:t>
            </w:r>
          </w:p>
        </w:tc>
        <w:tc>
          <w:tcPr>
            <w:tcW w:w="346" w:type="dxa"/>
            <w:tcBorders/>
            <w:vAlign w:val="center"/>
          </w:tcPr>
          <w:p>
            <w:pPr>
              <w:pStyle w:val="TableContents"/>
              <w:bidi w:val="0"/>
              <w:spacing w:lineRule="auto" w:line="321"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2"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3,107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24,924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6"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29,806</w:t>
            </w:r>
          </w:p>
        </w:tc>
      </w:tr>
    </w:tbl>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307" w:before="0" w:after="6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10</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Non-GAAP Reconciliation – Adjusted Net Income (Unaudited)</w:t>
      </w:r>
    </w:p>
    <w:p>
      <w:pPr>
        <w:pStyle w:val="TextBody"/>
        <w:bidi w:val="0"/>
        <w:spacing w:lineRule="auto" w:line="321" w:before="0" w:after="240"/>
        <w:ind w:left="0" w:right="0" w:hanging="0"/>
        <w:jc w:val="center"/>
        <w:rPr>
          <w:rFonts w:ascii="Segoe UI Semibold" w:hAnsi="Segoe UI Semibold"/>
          <w:sz w:val="22"/>
        </w:rPr>
      </w:pPr>
      <w:r>
        <w:rPr>
          <w:rFonts w:ascii="Segoe UI Semibold" w:hAnsi="Segoe UI Semibold"/>
          <w:sz w:val="22"/>
        </w:rPr>
        <w:t>(In thousands, except per share amounts)</w:t>
      </w:r>
    </w:p>
    <w:tbl>
      <w:tblPr>
        <w:tblW w:w="10205" w:type="dxa"/>
        <w:jc w:val="left"/>
        <w:tblInd w:w="0" w:type="dxa"/>
        <w:tblLayout w:type="fixed"/>
        <w:tblCellMar>
          <w:top w:w="0" w:type="dxa"/>
          <w:left w:w="0" w:type="dxa"/>
          <w:bottom w:w="0" w:type="dxa"/>
          <w:right w:w="0" w:type="dxa"/>
        </w:tblCellMar>
      </w:tblPr>
      <w:tblGrid>
        <w:gridCol w:w="4889"/>
        <w:gridCol w:w="109"/>
        <w:gridCol w:w="211"/>
        <w:gridCol w:w="671"/>
        <w:gridCol w:w="109"/>
        <w:gridCol w:w="211"/>
        <w:gridCol w:w="671"/>
        <w:gridCol w:w="346"/>
        <w:gridCol w:w="264"/>
        <w:gridCol w:w="793"/>
        <w:gridCol w:w="109"/>
        <w:gridCol w:w="211"/>
        <w:gridCol w:w="671"/>
        <w:gridCol w:w="109"/>
        <w:gridCol w:w="211"/>
        <w:gridCol w:w="620"/>
      </w:tblGrid>
      <w:tr>
        <w:trPr/>
        <w:tc>
          <w:tcPr>
            <w:tcW w:w="4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104515" cy="175260"/>
                      <wp:effectExtent l="0" t="0" r="0" b="0"/>
                      <wp:wrapNone/>
                      <wp:docPr id="90" name="Frame89"/>
                      <a:graphic xmlns:a="http://schemas.openxmlformats.org/drawingml/2006/main">
                        <a:graphicData uri="http://schemas.microsoft.com/office/word/2010/wordprocessingShape">
                          <wps:wsp>
                            <wps:cNvSpPr txBox="1"/>
                            <wps:spPr>
                              <a:xfrm>
                                <a:off x="0" y="0"/>
                                <a:ext cx="3104515" cy="175260"/>
                              </a:xfrm>
                              <a:prstGeom prst="rect"/>
                              <a:solidFill>
                                <a:srgbClr val="FFFFFF"/>
                              </a:solidFill>
                            </wps:spPr>
                            <wps:txbx>
                              <w:txbxContent>
                                <w:p>
                                  <w:pPr>
                                    <w:pStyle w:val="TableContents"/>
                                    <w:bidi w:val="0"/>
                                    <w:spacing w:lineRule="auto" w:line="321" w:before="0" w:after="1"/>
                                    <w:ind w:left="0" w:right="0" w:hanging="0"/>
                                    <w:jc w:val="left"/>
                                    <w:rPr/>
                                  </w:pPr>
                                  <w:bookmarkStart w:id="39" w:name="_Hlk208849809"/>
                                  <w:bookmarkEnd w:id="39"/>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bookmarkStart w:id="40" w:name="_Hlk208849809"/>
                            <w:bookmarkEnd w:id="40"/>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6085" cy="175260"/>
                      <wp:effectExtent l="0" t="0" r="0" b="0"/>
                      <wp:wrapNone/>
                      <wp:docPr id="93" name="Frame92"/>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5"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6085" cy="175260"/>
                      <wp:effectExtent l="0" t="0" r="0" b="0"/>
                      <wp:wrapNone/>
                      <wp:docPr id="96" name="Frame95"/>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7640" cy="175260"/>
                      <wp:effectExtent l="0" t="0" r="0" b="0"/>
                      <wp:wrapNone/>
                      <wp:docPr id="98" name="Frame97"/>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3555" cy="175260"/>
                      <wp:effectExtent l="0" t="0" r="0" b="0"/>
                      <wp:wrapNone/>
                      <wp:docPr id="99" name="Frame9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6085" cy="175260"/>
                      <wp:effectExtent l="0" t="0" r="0" b="0"/>
                      <wp:wrapNone/>
                      <wp:docPr id="102" name="Frame101"/>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93700" cy="175260"/>
                      <wp:effectExtent l="0" t="0" r="0" b="0"/>
                      <wp:wrapNone/>
                      <wp:docPr id="105" name="Frame104"/>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88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3276"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822"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Years Ended</w:t>
            </w:r>
          </w:p>
        </w:tc>
      </w:tr>
      <w:tr>
        <w:trPr/>
        <w:tc>
          <w:tcPr>
            <w:tcW w:w="4889"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187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c>
          <w:tcPr>
            <w:tcW w:w="346" w:type="dxa"/>
            <w:tcBorders/>
            <w:vAlign w:val="center"/>
          </w:tcPr>
          <w:p>
            <w:pPr>
              <w:pStyle w:val="TableContents"/>
              <w:bidi w:val="0"/>
              <w:spacing w:lineRule="auto" w:line="321" w:before="0" w:after="1"/>
              <w:ind w:left="0" w:right="0" w:hanging="0"/>
              <w:jc w:val="left"/>
              <w:rPr/>
            </w:pPr>
            <w:r>
              <w:rPr/>
              <w:t>​</w:t>
            </w:r>
          </w:p>
        </w:tc>
        <w:tc>
          <w:tcPr>
            <w:tcW w:w="105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109" w:type="dxa"/>
            <w:tcBorders/>
            <w:vAlign w:val="center"/>
          </w:tcPr>
          <w:p>
            <w:pPr>
              <w:pStyle w:val="TableContents"/>
              <w:bidi w:val="0"/>
              <w:spacing w:lineRule="auto" w:line="321" w:before="0" w:after="1"/>
              <w:ind w:left="0" w:right="0" w:hanging="0"/>
              <w:jc w:val="left"/>
              <w:rPr/>
            </w:pPr>
            <w:r>
              <w:rPr/>
              <w:t>​</w:t>
            </w:r>
          </w:p>
        </w:tc>
        <w:tc>
          <w:tcPr>
            <w:tcW w:w="1822"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r>
      <w:tr>
        <w:trPr/>
        <w:tc>
          <w:tcPr>
            <w:tcW w:w="488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88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8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05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8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3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889"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As Reported: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shd w:fill="CCEEFF" w:val="clear"/>
            <w:vAlign w:val="center"/>
          </w:tcPr>
          <w:p>
            <w:pPr>
              <w:pStyle w:val="TableContents"/>
              <w:bidi w:val="0"/>
              <w:spacing w:lineRule="auto" w:line="321" w:before="0" w:after="1"/>
              <w:ind w:left="0" w:right="0" w:hanging="0"/>
              <w:jc w:val="left"/>
              <w:rPr/>
            </w:pPr>
            <w:r>
              <w:rPr/>
              <w:t>​</w:t>
            </w:r>
          </w:p>
        </w:tc>
        <w:tc>
          <w:tcPr>
            <w:tcW w:w="79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20" w:type="dxa"/>
            <w:tcBorders/>
            <w:shd w:fill="CCEEFF" w:val="clear"/>
            <w:vAlign w:val="center"/>
          </w:tcPr>
          <w:p>
            <w:pPr>
              <w:pStyle w:val="TableContents"/>
              <w:bidi w:val="0"/>
              <w:spacing w:lineRule="auto" w:line="321" w:before="0" w:after="1"/>
              <w:ind w:left="0" w:right="0" w:hanging="0"/>
              <w:jc w:val="left"/>
              <w:rPr/>
            </w:pPr>
            <w:r>
              <w:rPr/>
              <w:t>​</w:t>
            </w:r>
          </w:p>
        </w:tc>
      </w:tr>
      <w:tr>
        <w:trPr/>
        <w:tc>
          <w:tcPr>
            <w:tcW w:w="488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as reported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4,614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3,412</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1,473</w:t>
            </w:r>
          </w:p>
        </w:tc>
      </w:tr>
      <w:tr>
        <w:trPr/>
        <w:tc>
          <w:tcPr>
            <w:tcW w:w="488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shd w:fill="CCEEFF" w:val="clear"/>
            <w:vAlign w:val="center"/>
          </w:tcPr>
          <w:p>
            <w:pPr>
              <w:pStyle w:val="TableContents"/>
              <w:bidi w:val="0"/>
              <w:spacing w:lineRule="auto" w:line="321" w:before="0" w:after="1"/>
              <w:ind w:left="0" w:right="0" w:hanging="0"/>
              <w:jc w:val="left"/>
              <w:rPr/>
            </w:pPr>
            <w:r>
              <w:rPr/>
              <w:t>​</w:t>
            </w:r>
          </w:p>
        </w:tc>
        <w:tc>
          <w:tcPr>
            <w:tcW w:w="79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20" w:type="dxa"/>
            <w:tcBorders/>
            <w:shd w:fill="CCEEFF" w:val="clear"/>
            <w:vAlign w:val="center"/>
          </w:tcPr>
          <w:p>
            <w:pPr>
              <w:pStyle w:val="TableContents"/>
              <w:bidi w:val="0"/>
              <w:spacing w:lineRule="auto" w:line="321" w:before="0" w:after="1"/>
              <w:ind w:left="0" w:right="0" w:hanging="0"/>
              <w:jc w:val="left"/>
              <w:rPr/>
            </w:pPr>
            <w:r>
              <w:rPr/>
              <w:t>​</w:t>
            </w:r>
          </w:p>
        </w:tc>
      </w:tr>
      <w:tr>
        <w:trPr/>
        <w:tc>
          <w:tcPr>
            <w:tcW w:w="4889"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Impact of Selected Items: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pPr>
            <w:r>
              <w:rPr/>
              <w:t>​</w:t>
            </w:r>
          </w:p>
        </w:tc>
        <w:tc>
          <w:tcPr>
            <w:tcW w:w="79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20" w:type="dxa"/>
            <w:tcBorders/>
            <w:vAlign w:val="center"/>
          </w:tcPr>
          <w:p>
            <w:pPr>
              <w:pStyle w:val="TableContents"/>
              <w:bidi w:val="0"/>
              <w:spacing w:lineRule="auto" w:line="321" w:before="0" w:after="1"/>
              <w:ind w:left="0" w:right="0" w:hanging="0"/>
              <w:jc w:val="left"/>
              <w:rPr/>
            </w:pPr>
            <w:r>
              <w:rPr/>
              <w:t>​</w:t>
            </w:r>
          </w:p>
        </w:tc>
      </w:tr>
      <w:tr>
        <w:trPr/>
        <w:tc>
          <w:tcPr>
            <w:tcW w:w="488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Unrealized loss (gain) on commodity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(5,777)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(2,934)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492</w:t>
            </w:r>
          </w:p>
        </w:tc>
      </w:tr>
      <w:tr>
        <w:trPr/>
        <w:tc>
          <w:tcPr>
            <w:tcW w:w="488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Selected items, before income taxes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(5,777)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(2,934)</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492</w:t>
            </w:r>
          </w:p>
        </w:tc>
      </w:tr>
      <w:tr>
        <w:trPr/>
        <w:tc>
          <w:tcPr>
            <w:tcW w:w="4889"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Income tax effect of selected items</w:t>
            </w:r>
            <w:r>
              <w:rPr>
                <w:rFonts w:ascii="Segoe UI" w:hAnsi="Segoe UI"/>
                <w:sz w:val="12"/>
              </w:rPr>
              <w:t>(1)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(651)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1,630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w:t>
            </w:r>
          </w:p>
        </w:tc>
      </w:tr>
      <w:tr>
        <w:trPr/>
        <w:tc>
          <w:tcPr>
            <w:tcW w:w="488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Selected items, net of tax</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(5,201)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(2,283)</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5,991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(696)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388</w:t>
            </w:r>
          </w:p>
        </w:tc>
      </w:tr>
      <w:tr>
        <w:trPr/>
        <w:tc>
          <w:tcPr>
            <w:tcW w:w="488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shd w:fill="CCEEFF" w:val="clear"/>
            <w:vAlign w:val="center"/>
          </w:tcPr>
          <w:p>
            <w:pPr>
              <w:pStyle w:val="TableContents"/>
              <w:bidi w:val="0"/>
              <w:spacing w:lineRule="auto" w:line="321" w:before="0" w:after="1"/>
              <w:ind w:left="0" w:right="0" w:hanging="0"/>
              <w:jc w:val="left"/>
              <w:rPr/>
            </w:pPr>
            <w:r>
              <w:rPr/>
              <w:t>​</w:t>
            </w:r>
          </w:p>
        </w:tc>
        <w:tc>
          <w:tcPr>
            <w:tcW w:w="79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20" w:type="dxa"/>
            <w:tcBorders/>
            <w:shd w:fill="CCEEFF" w:val="clear"/>
            <w:vAlign w:val="center"/>
          </w:tcPr>
          <w:p>
            <w:pPr>
              <w:pStyle w:val="TableContents"/>
              <w:bidi w:val="0"/>
              <w:spacing w:lineRule="auto" w:line="321" w:before="0" w:after="1"/>
              <w:ind w:left="0" w:right="0" w:hanging="0"/>
              <w:jc w:val="left"/>
              <w:rPr/>
            </w:pPr>
            <w:r>
              <w:rPr/>
              <w:t>​</w:t>
            </w:r>
          </w:p>
        </w:tc>
      </w:tr>
      <w:tr>
        <w:trPr/>
        <w:tc>
          <w:tcPr>
            <w:tcW w:w="488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As Adjusted: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pPr>
            <w:r>
              <w:rPr/>
              <w:t>​</w:t>
            </w:r>
          </w:p>
        </w:tc>
        <w:tc>
          <w:tcPr>
            <w:tcW w:w="79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20" w:type="dxa"/>
            <w:tcBorders/>
            <w:vAlign w:val="center"/>
          </w:tcPr>
          <w:p>
            <w:pPr>
              <w:pStyle w:val="TableContents"/>
              <w:bidi w:val="0"/>
              <w:spacing w:lineRule="auto" w:line="321" w:before="0" w:after="1"/>
              <w:ind w:left="0" w:right="0" w:hanging="0"/>
              <w:jc w:val="left"/>
              <w:rPr/>
            </w:pPr>
            <w:r>
              <w:rPr/>
              <w:t>​</w:t>
            </w:r>
          </w:p>
        </w:tc>
      </w:tr>
      <w:tr>
        <w:trPr/>
        <w:tc>
          <w:tcPr>
            <w:tcW w:w="4889"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Net income (loss), excluding selected items</w:t>
            </w:r>
            <w:r>
              <w:rPr>
                <w:rFonts w:ascii="Segoe UI" w:hAnsi="Segoe UI"/>
                <w:sz w:val="12"/>
              </w:rPr>
              <w:t>(2)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(2,941)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(3,125)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1,861</w:t>
            </w:r>
          </w:p>
        </w:tc>
      </w:tr>
      <w:tr>
        <w:trPr/>
        <w:tc>
          <w:tcPr>
            <w:tcW w:w="488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pPr>
            <w:r>
              <w:rPr/>
              <w:t>​</w:t>
            </w:r>
          </w:p>
        </w:tc>
        <w:tc>
          <w:tcPr>
            <w:tcW w:w="79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20" w:type="dxa"/>
            <w:tcBorders/>
            <w:vAlign w:val="center"/>
          </w:tcPr>
          <w:p>
            <w:pPr>
              <w:pStyle w:val="TableContents"/>
              <w:bidi w:val="0"/>
              <w:spacing w:lineRule="auto" w:line="321" w:before="0" w:after="1"/>
              <w:ind w:left="0" w:right="0" w:hanging="0"/>
              <w:jc w:val="left"/>
              <w:rPr/>
            </w:pPr>
            <w:r>
              <w:rPr/>
              <w:t>​</w:t>
            </w:r>
          </w:p>
        </w:tc>
      </w:tr>
      <w:tr>
        <w:trPr/>
        <w:tc>
          <w:tcPr>
            <w:tcW w:w="488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Undistributed earnings allocated to unvested restricted stock</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(367)</w:t>
            </w:r>
          </w:p>
        </w:tc>
      </w:tr>
      <w:tr>
        <w:trPr/>
        <w:tc>
          <w:tcPr>
            <w:tcW w:w="488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excluding selected items for earnings per share calculation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(690)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1,036</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(3,046)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(3,518)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1,494</w:t>
            </w:r>
          </w:p>
        </w:tc>
      </w:tr>
      <w:tr>
        <w:trPr/>
        <w:tc>
          <w:tcPr>
            <w:tcW w:w="488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shd w:fill="CCEEFF" w:val="clear"/>
            <w:vAlign w:val="center"/>
          </w:tcPr>
          <w:p>
            <w:pPr>
              <w:pStyle w:val="TableContents"/>
              <w:bidi w:val="0"/>
              <w:spacing w:lineRule="auto" w:line="321" w:before="0" w:after="1"/>
              <w:ind w:left="0" w:right="0" w:hanging="0"/>
              <w:jc w:val="left"/>
              <w:rPr/>
            </w:pPr>
            <w:r>
              <w:rPr/>
              <w:t>​</w:t>
            </w:r>
          </w:p>
        </w:tc>
        <w:tc>
          <w:tcPr>
            <w:tcW w:w="79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20" w:type="dxa"/>
            <w:tcBorders/>
            <w:shd w:fill="CCEEFF" w:val="clear"/>
            <w:vAlign w:val="center"/>
          </w:tcPr>
          <w:p>
            <w:pPr>
              <w:pStyle w:val="TableContents"/>
              <w:bidi w:val="0"/>
              <w:spacing w:lineRule="auto" w:line="321" w:before="0" w:after="1"/>
              <w:ind w:left="0" w:right="0" w:hanging="0"/>
              <w:jc w:val="left"/>
              <w:rPr/>
            </w:pPr>
            <w:r>
              <w:rPr/>
              <w:t>​</w:t>
            </w:r>
          </w:p>
        </w:tc>
      </w:tr>
      <w:tr>
        <w:trPr/>
        <w:tc>
          <w:tcPr>
            <w:tcW w:w="488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per common share — Basic, as reported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0.10</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r>
      <w:tr>
        <w:trPr/>
        <w:tc>
          <w:tcPr>
            <w:tcW w:w="488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Impact of selected items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0.02</w:t>
            </w:r>
          </w:p>
        </w:tc>
      </w:tr>
      <w:tr>
        <w:trPr/>
        <w:tc>
          <w:tcPr>
            <w:tcW w:w="4889"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Net income (loss) per common share — Basic, excluding selected items</w:t>
            </w:r>
            <w:r>
              <w:rPr>
                <w:rFonts w:ascii="Segoe UI" w:hAnsi="Segoe UI"/>
                <w:sz w:val="12"/>
              </w:rPr>
              <w:t>(2)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0.05</w:t>
            </w:r>
          </w:p>
        </w:tc>
      </w:tr>
      <w:tr>
        <w:trPr/>
        <w:tc>
          <w:tcPr>
            <w:tcW w:w="488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shd w:fill="CCEEFF" w:val="clear"/>
            <w:vAlign w:val="center"/>
          </w:tcPr>
          <w:p>
            <w:pPr>
              <w:pStyle w:val="TableContents"/>
              <w:bidi w:val="0"/>
              <w:spacing w:lineRule="auto" w:line="321" w:before="0" w:after="1"/>
              <w:ind w:left="0" w:right="0" w:hanging="0"/>
              <w:jc w:val="left"/>
              <w:rPr/>
            </w:pPr>
            <w:r>
              <w:rPr/>
              <w:t>​</w:t>
            </w:r>
          </w:p>
        </w:tc>
        <w:tc>
          <w:tcPr>
            <w:tcW w:w="79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20" w:type="dxa"/>
            <w:tcBorders/>
            <w:shd w:fill="CCEEFF" w:val="clear"/>
            <w:vAlign w:val="center"/>
          </w:tcPr>
          <w:p>
            <w:pPr>
              <w:pStyle w:val="TableContents"/>
              <w:bidi w:val="0"/>
              <w:spacing w:lineRule="auto" w:line="321" w:before="0" w:after="1"/>
              <w:ind w:left="0" w:right="0" w:hanging="0"/>
              <w:jc w:val="left"/>
              <w:rPr/>
            </w:pPr>
            <w:r>
              <w:rPr/>
              <w:t>​</w:t>
            </w:r>
          </w:p>
        </w:tc>
      </w:tr>
      <w:tr>
        <w:trPr/>
        <w:tc>
          <w:tcPr>
            <w:tcW w:w="488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vAlign w:val="center"/>
          </w:tcPr>
          <w:p>
            <w:pPr>
              <w:pStyle w:val="TableContents"/>
              <w:bidi w:val="0"/>
              <w:spacing w:lineRule="auto" w:line="321" w:before="0" w:after="1"/>
              <w:ind w:left="0" w:right="0" w:hanging="0"/>
              <w:jc w:val="left"/>
              <w:rPr/>
            </w:pPr>
            <w:r>
              <w:rPr/>
              <w:t>​</w:t>
            </w:r>
          </w:p>
        </w:tc>
        <w:tc>
          <w:tcPr>
            <w:tcW w:w="79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20" w:type="dxa"/>
            <w:tcBorders/>
            <w:vAlign w:val="center"/>
          </w:tcPr>
          <w:p>
            <w:pPr>
              <w:pStyle w:val="TableContents"/>
              <w:bidi w:val="0"/>
              <w:spacing w:lineRule="auto" w:line="321" w:before="0" w:after="1"/>
              <w:ind w:left="0" w:right="0" w:hanging="0"/>
              <w:jc w:val="left"/>
              <w:rPr/>
            </w:pPr>
            <w:r>
              <w:rPr/>
              <w:t>​</w:t>
            </w:r>
          </w:p>
        </w:tc>
      </w:tr>
      <w:tr>
        <w:trPr/>
        <w:tc>
          <w:tcPr>
            <w:tcW w:w="488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per common share — Diluted, as reported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r>
      <w:tr>
        <w:trPr/>
        <w:tc>
          <w:tcPr>
            <w:tcW w:w="488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Impact of selected items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c>
          <w:tcPr>
            <w:tcW w:w="346" w:type="dxa"/>
            <w:tcBorders/>
            <w:vAlign w:val="center"/>
          </w:tcPr>
          <w:p>
            <w:pPr>
              <w:pStyle w:val="TableContents"/>
              <w:bidi w:val="0"/>
              <w:spacing w:lineRule="auto" w:line="321"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0.01</w:t>
            </w:r>
          </w:p>
        </w:tc>
      </w:tr>
      <w:tr>
        <w:trPr/>
        <w:tc>
          <w:tcPr>
            <w:tcW w:w="4889"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Net income (loss) per common share — Diluted, excluding selected items</w:t>
            </w:r>
            <w:r>
              <w:rPr>
                <w:rFonts w:ascii="Segoe UI" w:hAnsi="Segoe UI"/>
                <w:sz w:val="12"/>
              </w:rPr>
              <w:t>(2)(3)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93"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20" w:type="dxa"/>
            <w:tcBorders>
              <w:bottom w:val="double" w:sz="6" w:space="0" w:color="000000"/>
            </w:tcBorders>
            <w:shd w:fill="CCEEFF" w:val="clear"/>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0.04</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10004"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The tax impact for the three months ended June 30, 2026 and 2025, is represented using estimated tax rates of 10.0% and 22.2%, respectively. The tax impact for the three months ended March 31, 2026, is represented using estimated tax rates of 21.4%. The tax impact for the years ended June 30, 2026 and 2025, is represented using estimated tax rates of 22.8% and 21.2%, respectively.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Segoe UI" w:hAnsi="Segoe UI"/>
                <w:sz w:val="16"/>
              </w:rPr>
            </w:pPr>
            <w:r>
              <w:rPr>
                <w:rFonts w:ascii="Segoe UI" w:hAnsi="Segoe UI"/>
                <w:sz w:val="16"/>
              </w:rPr>
              <w:t>(2)</w:t>
            </w:r>
          </w:p>
        </w:tc>
        <w:tc>
          <w:tcPr>
            <w:tcW w:w="10012" w:type="dxa"/>
            <w:tcBorders/>
            <w:vAlign w:val="center"/>
          </w:tcPr>
          <w:p>
            <w:pPr>
              <w:pStyle w:val="TableContents"/>
              <w:bidi w:val="0"/>
              <w:spacing w:before="0" w:after="283"/>
              <w:jc w:val="left"/>
              <w:rPr/>
            </w:pPr>
            <w:r>
              <w:rPr>
                <w:rFonts w:ascii="Segoe UI" w:hAnsi="Segoe UI"/>
                <w:b w:val="false"/>
                <w:i w:val="false"/>
                <w:caps w:val="false"/>
                <w:smallCaps w:val="false"/>
                <w:sz w:val="16"/>
              </w:rPr>
              <w:t>Net income (loss) and earnings per share excluding selected items are non-GAAP financial measures presented as supplemental financial measures to enable a user of the financial information to understand the impact of these items on reported results. These financial measures should not be considered an alternative to net income (loss), operating income (loss), cash flows provided by (used in) operating activities, or any other measure of financial performance or liquidity presented in accordance with U.S. GAAP. Our Adjusted Net Income (Loss) and earnings per share may not be comparable to similarly titled measures of another company because all companies may not calculate Adjusted Net Income (Loss) and earnings per share in the same manner.</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Segoe UI" w:hAnsi="Segoe UI"/>
                <w:sz w:val="16"/>
              </w:rPr>
            </w:pPr>
            <w:r>
              <w:rPr>
                <w:rFonts w:ascii="Segoe UI" w:hAnsi="Segoe UI"/>
                <w:sz w:val="16"/>
              </w:rPr>
              <w:t>(3)</w:t>
            </w:r>
          </w:p>
        </w:tc>
        <w:tc>
          <w:tcPr>
            <w:tcW w:w="10011" w:type="dxa"/>
            <w:tcBorders/>
            <w:vAlign w:val="center"/>
          </w:tcPr>
          <w:p>
            <w:pPr>
              <w:pStyle w:val="TableContents"/>
              <w:bidi w:val="0"/>
              <w:spacing w:before="0" w:after="283"/>
              <w:jc w:val="left"/>
              <w:rPr/>
            </w:pPr>
            <w:r>
              <w:rPr>
                <w:rFonts w:ascii="Segoe UI" w:hAnsi="Segoe UI"/>
                <w:b w:val="false"/>
                <w:i w:val="false"/>
                <w:caps w:val="false"/>
                <w:smallCaps w:val="false"/>
                <w:sz w:val="16"/>
              </w:rPr>
              <w:t>The impact of selected items for the three months ended June 30, 2026 and 2025, were each calculated based upon weighted average diluted shares of 35.1 million and 33.7 million, respectively, due to the net income (loss), excluding selected items. The impact of selected items for the three months ended March 31, 2026, was calculated based upon weighted average diluted shares of 34.3 million due to the net income (loss), excluding selected items.</w:t>
            </w:r>
            <w:r>
              <w:rPr>
                <w:caps w:val="false"/>
                <w:smallCaps w:val="false"/>
              </w:rPr>
              <w:t xml:space="preserve"> </w:t>
            </w:r>
            <w:r>
              <w:rPr>
                <w:rFonts w:ascii="Segoe UI" w:hAnsi="Segoe UI"/>
                <w:b w:val="false"/>
                <w:i w:val="false"/>
                <w:caps w:val="false"/>
                <w:smallCaps w:val="false"/>
                <w:sz w:val="16"/>
              </w:rPr>
              <w:t>The impact of selected items for the years ended June 30, 2026 and 2025, were each calculated based upon weighted average diluted shares of 34.3 million and 33.3 million, respectively, due to the net income (loss), excluding selected items.</w:t>
            </w:r>
          </w:p>
        </w:tc>
      </w:tr>
    </w:tbl>
    <w:p>
      <w:pPr>
        <w:pStyle w:val="TextBody"/>
        <w:bidi w:val="0"/>
        <w:spacing w:lineRule="auto" w:line="285" w:before="0" w:after="0"/>
        <w:ind w:left="0" w:right="0" w:hanging="0"/>
        <w:jc w:val="center"/>
        <w:rPr>
          <w:rFonts w:ascii="Segoe UI" w:hAnsi="Segoe UI"/>
          <w:sz w:val="22"/>
        </w:rPr>
      </w:pPr>
      <w:r>
        <w:rPr>
          <w:rFonts w:ascii="Segoe UI" w:hAnsi="Segoe UI"/>
          <w:sz w:val="22"/>
        </w:rPr>
        <w:t>11</w:t>
      </w:r>
    </w:p>
    <w:p>
      <w:pPr>
        <w:pStyle w:val="HorizontalLine"/>
        <w:pBdr>
          <w:bottom w:val="double" w:sz="2" w:space="0" w:color="808080"/>
        </w:pBdr>
        <w:bidi w:val="0"/>
        <w:spacing w:before="0" w:after="283"/>
        <w:jc w:val="left"/>
        <w:rPr/>
      </w:pPr>
      <w:r>
        <w:rPr/>
      </w:r>
    </w:p>
    <w:p>
      <w:pPr>
        <w:pStyle w:val="TextBody"/>
        <w:bidi w:val="0"/>
        <w:spacing w:lineRule="auto" w:line="285" w:before="0" w:after="100"/>
        <w:ind w:left="0" w:right="0" w:hanging="0"/>
        <w:jc w:val="left"/>
        <w:rPr/>
      </w:pPr>
      <w:r>
        <w:rPr/>
        <w:t>​</w:t>
      </w:r>
    </w:p>
    <w:p>
      <w:pPr>
        <w:pStyle w:val="TextBody"/>
        <w:bidi w:val="0"/>
        <w:spacing w:lineRule="auto" w:line="321" w:before="10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Supplemental Information on Oil and Natural Gas Operations (Unaudited)</w:t>
      </w:r>
    </w:p>
    <w:p>
      <w:pPr>
        <w:pStyle w:val="TextBody"/>
        <w:bidi w:val="0"/>
        <w:spacing w:lineRule="auto" w:line="321" w:before="0" w:after="240"/>
        <w:ind w:left="0" w:right="0" w:hanging="0"/>
        <w:jc w:val="center"/>
        <w:rPr>
          <w:rFonts w:ascii="Segoe UI Semibold" w:hAnsi="Segoe UI Semibold"/>
          <w:sz w:val="22"/>
        </w:rPr>
      </w:pPr>
      <w:r>
        <w:rPr>
          <w:rFonts w:ascii="Segoe UI Semibold" w:hAnsi="Segoe UI Semibold"/>
          <w:sz w:val="22"/>
        </w:rPr>
        <w:t>(In thousands, except per unit and per BOE amounts)</w:t>
      </w:r>
    </w:p>
    <w:tbl>
      <w:tblPr>
        <w:tblW w:w="10205" w:type="dxa"/>
        <w:jc w:val="left"/>
        <w:tblInd w:w="0" w:type="dxa"/>
        <w:tblLayout w:type="fixed"/>
        <w:tblCellMar>
          <w:top w:w="0" w:type="dxa"/>
          <w:left w:w="0" w:type="dxa"/>
          <w:bottom w:w="0" w:type="dxa"/>
          <w:right w:w="0" w:type="dxa"/>
        </w:tblCellMar>
      </w:tblPr>
      <w:tblGrid>
        <w:gridCol w:w="4741"/>
        <w:gridCol w:w="109"/>
        <w:gridCol w:w="211"/>
        <w:gridCol w:w="676"/>
        <w:gridCol w:w="109"/>
        <w:gridCol w:w="211"/>
        <w:gridCol w:w="676"/>
        <w:gridCol w:w="346"/>
        <w:gridCol w:w="258"/>
        <w:gridCol w:w="829"/>
        <w:gridCol w:w="109"/>
        <w:gridCol w:w="211"/>
        <w:gridCol w:w="676"/>
        <w:gridCol w:w="109"/>
        <w:gridCol w:w="211"/>
        <w:gridCol w:w="723"/>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010535" cy="175260"/>
                      <wp:effectExtent l="0" t="0" r="0" b="0"/>
                      <wp:wrapNone/>
                      <wp:docPr id="106" name="Frame105"/>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09"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2" name="Frame1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63830" cy="175260"/>
                      <wp:effectExtent l="0" t="0" r="0" b="0"/>
                      <wp:wrapNone/>
                      <wp:docPr id="114" name="Frame11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26415" cy="175260"/>
                      <wp:effectExtent l="0" t="0" r="0" b="0"/>
                      <wp:wrapNone/>
                      <wp:docPr id="115" name="Frame114"/>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6"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8" name="Frame1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19"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0"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59105" cy="175260"/>
                      <wp:effectExtent l="0" t="0" r="0" b="0"/>
                      <wp:wrapNone/>
                      <wp:docPr id="121" name="Frame12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3316"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930"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Years Ended</w:t>
            </w:r>
          </w:p>
        </w:tc>
      </w:tr>
      <w:tr>
        <w:trPr/>
        <w:tc>
          <w:tcPr>
            <w:tcW w:w="474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c>
          <w:tcPr>
            <w:tcW w:w="346" w:type="dxa"/>
            <w:tcBorders/>
            <w:vAlign w:val="center"/>
          </w:tcPr>
          <w:p>
            <w:pPr>
              <w:pStyle w:val="TableContents"/>
              <w:bidi w:val="0"/>
              <w:spacing w:lineRule="auto" w:line="321" w:before="0" w:after="1"/>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109" w:type="dxa"/>
            <w:tcBorders/>
            <w:vAlign w:val="center"/>
          </w:tcPr>
          <w:p>
            <w:pPr>
              <w:pStyle w:val="TableContents"/>
              <w:bidi w:val="0"/>
              <w:spacing w:lineRule="auto" w:line="321" w:before="0" w:after="1"/>
              <w:ind w:left="0" w:right="0" w:hanging="0"/>
              <w:jc w:val="left"/>
              <w:rPr/>
            </w:pPr>
            <w:r>
              <w:rPr/>
              <w:t>​</w:t>
            </w:r>
          </w:p>
        </w:tc>
        <w:tc>
          <w:tcPr>
            <w:tcW w:w="1930"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w:t>
            </w:r>
          </w:p>
        </w:tc>
      </w:tr>
      <w:tr>
        <w:trPr/>
        <w:tc>
          <w:tcPr>
            <w:tcW w:w="4741"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left"/>
              <w:rPr/>
            </w:pPr>
            <w:r>
              <w:rPr/>
              <w:t>​</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16,514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12,833</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10,474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50,556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51,102</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4,413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5,648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7,284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25,038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23,516</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3,281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2,627</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2,410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10,749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11,222</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24,208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21,108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20,168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86,343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85,840</w:t>
            </w:r>
          </w:p>
        </w:tc>
      </w:tr>
      <w:tr>
        <w:trPr/>
        <w:tc>
          <w:tcPr>
            <w:tcW w:w="474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left"/>
              <w:rPr/>
            </w:pPr>
            <w:r>
              <w:rPr/>
              <w:t>​</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 xml:space="preserve">Lease operating costs: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left"/>
              <w:rPr/>
            </w:pPr>
            <w:r>
              <w:rPr/>
              <w:t>​</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 valorem and production taxes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1,438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1,381</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1,317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4,763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5,709</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Gathering, transportation, and other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2,746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2,765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2,834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11,139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11,357</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lease 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8,598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7,221</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8,808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34,436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32,272</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lease operating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12,782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11,367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50,338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49,338</w:t>
            </w:r>
          </w:p>
        </w:tc>
      </w:tr>
      <w:tr>
        <w:trPr/>
        <w:tc>
          <w:tcPr>
            <w:tcW w:w="474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left"/>
              <w:rPr/>
            </w:pPr>
            <w:r>
              <w:rPr/>
              <w:t>​</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of full cost proved oil and natural gas properties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5,205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5,418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4,900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21,197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20,374</w:t>
            </w:r>
          </w:p>
        </w:tc>
      </w:tr>
      <w:tr>
        <w:trPr/>
        <w:tc>
          <w:tcPr>
            <w:tcW w:w="474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left"/>
              <w:rPr/>
            </w:pPr>
            <w:r>
              <w:rPr/>
              <w:t>​</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 xml:space="preserve">Production: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left"/>
              <w:rPr/>
            </w:pPr>
            <w:r>
              <w:rPr/>
              <w:t>​</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 (MBBL)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211</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759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766</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(MMCF)</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2,069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2,045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1,968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8,428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8,409</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 (MBBL)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103</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414</w:t>
            </w:r>
          </w:p>
        </w:tc>
      </w:tr>
      <w:tr>
        <w:trPr/>
        <w:tc>
          <w:tcPr>
            <w:tcW w:w="4741"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Equivalent (MBOE)</w:t>
            </w:r>
            <w:r>
              <w:rPr>
                <w:rFonts w:ascii="Segoe UI" w:hAnsi="Segoe UI"/>
                <w:sz w:val="12"/>
              </w:rPr>
              <w:t>(1)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655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2,583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2,582</w:t>
            </w:r>
          </w:p>
        </w:tc>
      </w:tr>
      <w:tr>
        <w:trPr/>
        <w:tc>
          <w:tcPr>
            <w:tcW w:w="4741"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Average daily production (BOEPD)</w:t>
            </w:r>
            <w:r>
              <w:rPr>
                <w:rFonts w:ascii="Segoe UI" w:hAnsi="Segoe UI"/>
                <w:sz w:val="12"/>
              </w:rPr>
              <w:t>(1)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6,901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7,198</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6,700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7,077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7,074</w:t>
            </w:r>
          </w:p>
        </w:tc>
      </w:tr>
      <w:tr>
        <w:trPr/>
        <w:tc>
          <w:tcPr>
            <w:tcW w:w="474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left"/>
              <w:rPr/>
            </w:pPr>
            <w:r>
              <w:rPr/>
              <w:t>​</w:t>
            </w:r>
          </w:p>
        </w:tc>
      </w:tr>
      <w:tr>
        <w:trPr/>
        <w:tc>
          <w:tcPr>
            <w:tcW w:w="4741" w:type="dxa"/>
            <w:tcBorders/>
            <w:vAlign w:val="center"/>
          </w:tcPr>
          <w:p>
            <w:pPr>
              <w:pStyle w:val="TableContents"/>
              <w:bidi w:val="0"/>
              <w:spacing w:before="0" w:after="1"/>
              <w:ind w:left="0" w:right="0" w:hanging="0"/>
              <w:jc w:val="left"/>
              <w:rPr>
                <w:rFonts w:ascii="Segoe UI" w:hAnsi="Segoe UI"/>
                <w:sz w:val="16"/>
              </w:rPr>
            </w:pPr>
            <w:r>
              <w:rPr>
                <w:rFonts w:ascii="Segoe UI" w:hAnsi="Segoe UI"/>
                <w:b/>
                <w:sz w:val="16"/>
              </w:rPr>
              <w:t>Average price per unit</w:t>
            </w:r>
            <w:r>
              <w:rPr>
                <w:rFonts w:ascii="Segoe UI" w:hAnsi="Segoe UI"/>
                <w:sz w:val="12"/>
              </w:rPr>
              <w:t>(2)</w:t>
            </w:r>
            <w:r>
              <w:rPr>
                <w:rFonts w:ascii="Segoe UI" w:hAnsi="Segoe UI"/>
                <w:b/>
                <w:sz w:val="16"/>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left"/>
              <w:rPr/>
            </w:pPr>
            <w:r>
              <w:rPr/>
              <w:t>​</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 (BBL)</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90.74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60.82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66.61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66.71</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(MCF)</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2.76</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2.80</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 (BBL)</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32.49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25.50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25.65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27.11</w:t>
            </w:r>
          </w:p>
        </w:tc>
      </w:tr>
      <w:tr>
        <w:trPr/>
        <w:tc>
          <w:tcPr>
            <w:tcW w:w="4741"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Equivalent (BOE)</w:t>
            </w:r>
            <w:r>
              <w:rPr>
                <w:rFonts w:ascii="Segoe UI" w:hAnsi="Segoe UI"/>
                <w:sz w:val="12"/>
              </w:rPr>
              <w:t>(1)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38.55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32.23</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33.45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33.43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33.25</w:t>
            </w:r>
          </w:p>
        </w:tc>
      </w:tr>
      <w:tr>
        <w:trPr/>
        <w:tc>
          <w:tcPr>
            <w:tcW w:w="474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left"/>
              <w:rPr/>
            </w:pPr>
            <w:r>
              <w:rPr/>
              <w:t>​</w:t>
            </w:r>
          </w:p>
        </w:tc>
      </w:tr>
      <w:tr>
        <w:trPr/>
        <w:tc>
          <w:tcPr>
            <w:tcW w:w="4741"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Average cost per unit: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left"/>
              <w:rPr/>
            </w:pPr>
            <w:r>
              <w:rPr/>
              <w:t>​</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 valorem and production taxes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2.21</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Gathering, transportation, and other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4.22</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pPr>
            <w:r>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4.40</w:t>
            </w:r>
          </w:p>
        </w:tc>
      </w:tr>
      <w:tr>
        <w:trPr/>
        <w:tc>
          <w:tcPr>
            <w:tcW w:w="474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lease operating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13.69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11.02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14.61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13.33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12.50</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lease 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20.35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17.35</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21.49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19.48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19.11</w:t>
            </w:r>
          </w:p>
        </w:tc>
      </w:tr>
      <w:tr>
        <w:trPr/>
        <w:tc>
          <w:tcPr>
            <w:tcW w:w="474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58" w:type="dxa"/>
            <w:tcBorders/>
            <w:shd w:fill="CCEEFF" w:val="clear"/>
            <w:vAlign w:val="center"/>
          </w:tcPr>
          <w:p>
            <w:pPr>
              <w:pStyle w:val="TableContents"/>
              <w:bidi w:val="0"/>
              <w:spacing w:lineRule="auto" w:line="321" w:before="0" w:after="1"/>
              <w:ind w:left="0" w:right="0" w:hanging="0"/>
              <w:jc w:val="left"/>
              <w:rPr/>
            </w:pPr>
            <w:r>
              <w:rPr/>
              <w:t>​</w:t>
            </w:r>
          </w:p>
        </w:tc>
        <w:tc>
          <w:tcPr>
            <w:tcW w:w="82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23" w:type="dxa"/>
            <w:tcBorders/>
            <w:shd w:fill="CCEEFF" w:val="clear"/>
            <w:vAlign w:val="center"/>
          </w:tcPr>
          <w:p>
            <w:pPr>
              <w:pStyle w:val="TableContents"/>
              <w:bidi w:val="0"/>
              <w:spacing w:lineRule="auto" w:line="321" w:before="0" w:after="1"/>
              <w:ind w:left="0" w:right="0" w:hanging="0"/>
              <w:jc w:val="left"/>
              <w:rPr/>
            </w:pPr>
            <w:r>
              <w:rPr/>
              <w:t>​</w:t>
            </w:r>
          </w:p>
        </w:tc>
      </w:tr>
      <w:tr>
        <w:trPr/>
        <w:tc>
          <w:tcPr>
            <w:tcW w:w="474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of full cost proved oil and natural gas properties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8.29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8.27</w:t>
            </w:r>
          </w:p>
        </w:tc>
        <w:tc>
          <w:tcPr>
            <w:tcW w:w="346" w:type="dxa"/>
            <w:tcBorders/>
            <w:vAlign w:val="center"/>
          </w:tcPr>
          <w:p>
            <w:pPr>
              <w:pStyle w:val="TableContents"/>
              <w:bidi w:val="0"/>
              <w:spacing w:lineRule="auto" w:line="321" w:before="0" w:after="1"/>
              <w:ind w:left="0" w:right="0" w:hanging="0"/>
              <w:jc w:val="left"/>
              <w:rPr/>
            </w:pPr>
            <w:r>
              <w:rPr/>
              <w:t>​</w:t>
            </w:r>
          </w:p>
        </w:tc>
        <w:tc>
          <w:tcPr>
            <w:tcW w:w="258"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2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8.13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3" w:type="dxa"/>
            <w:tcBorders/>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7.89</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9998"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Segoe UI" w:hAnsi="Segoe UI"/>
                <w:sz w:val="16"/>
              </w:rPr>
            </w:pPr>
            <w:r>
              <w:rPr>
                <w:rFonts w:ascii="Segoe UI" w:hAnsi="Segoe UI"/>
                <w:sz w:val="16"/>
              </w:rPr>
              <w:t>(2)</w:t>
            </w:r>
          </w:p>
        </w:tc>
        <w:tc>
          <w:tcPr>
            <w:tcW w:w="9972"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lineRule="auto" w:line="307" w:before="200" w:after="6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12</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285" w:before="0" w:after="300"/>
        <w:ind w:left="0" w:right="0" w:hanging="0"/>
        <w:jc w:val="center"/>
        <w:rPr>
          <w:rFonts w:ascii="Segoe UI Semibold" w:hAnsi="Segoe UI Semibold"/>
          <w:sz w:val="22"/>
        </w:rPr>
      </w:pPr>
      <w:r>
        <w:rPr>
          <w:rFonts w:ascii="Segoe UI Semibold" w:hAnsi="Segoe UI Semibold"/>
          <w:sz w:val="22"/>
        </w:rPr>
        <w:t>Summary of Production Volumes and Average Sales Price (Unaudited)</w:t>
      </w:r>
    </w:p>
    <w:tbl>
      <w:tblPr>
        <w:tblW w:w="9031" w:type="dxa"/>
        <w:jc w:val="left"/>
        <w:tblInd w:w="0" w:type="dxa"/>
        <w:tblLayout w:type="fixed"/>
        <w:tblCellMar>
          <w:top w:w="0" w:type="dxa"/>
          <w:left w:w="0" w:type="dxa"/>
          <w:bottom w:w="0" w:type="dxa"/>
          <w:right w:w="0" w:type="dxa"/>
        </w:tblCellMar>
      </w:tblPr>
      <w:tblGrid>
        <w:gridCol w:w="2806"/>
        <w:gridCol w:w="346"/>
        <w:gridCol w:w="116"/>
        <w:gridCol w:w="545"/>
        <w:gridCol w:w="346"/>
        <w:gridCol w:w="196"/>
        <w:gridCol w:w="511"/>
        <w:gridCol w:w="346"/>
        <w:gridCol w:w="116"/>
        <w:gridCol w:w="545"/>
        <w:gridCol w:w="346"/>
        <w:gridCol w:w="196"/>
        <w:gridCol w:w="511"/>
        <w:gridCol w:w="346"/>
        <w:gridCol w:w="116"/>
        <w:gridCol w:w="545"/>
        <w:gridCol w:w="346"/>
        <w:gridCol w:w="196"/>
        <w:gridCol w:w="556"/>
      </w:tblGrid>
      <w:tr>
        <w:trPr/>
        <w:tc>
          <w:tcPr>
            <w:tcW w:w="280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3660" cy="175260"/>
                      <wp:effectExtent l="0" t="0" r="0" b="0"/>
                      <wp:wrapNone/>
                      <wp:docPr id="123" name="Frame122"/>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46075" cy="175260"/>
                      <wp:effectExtent l="0" t="0" r="0" b="0"/>
                      <wp:wrapNone/>
                      <wp:docPr id="124" name="Frame12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4460" cy="175260"/>
                      <wp:effectExtent l="0" t="0" r="0" b="0"/>
                      <wp:wrapNone/>
                      <wp:docPr id="126" name="Frame1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24485" cy="175260"/>
                      <wp:effectExtent l="0" t="0" r="0" b="0"/>
                      <wp:wrapNone/>
                      <wp:docPr id="127" name="Frame1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3660" cy="175260"/>
                      <wp:effectExtent l="0" t="0" r="0" b="0"/>
                      <wp:wrapNone/>
                      <wp:docPr id="129" name="Frame128"/>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46075" cy="175260"/>
                      <wp:effectExtent l="0" t="0" r="0" b="0"/>
                      <wp:wrapNone/>
                      <wp:docPr id="130" name="Frame129"/>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2"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24485" cy="175260"/>
                      <wp:effectExtent l="0" t="0" r="0" b="0"/>
                      <wp:wrapNone/>
                      <wp:docPr id="133" name="Frame13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3660" cy="175260"/>
                      <wp:effectExtent l="0" t="0" r="0" b="0"/>
                      <wp:wrapNone/>
                      <wp:docPr id="135" name="Frame134"/>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46075" cy="175260"/>
                      <wp:effectExtent l="0" t="0" r="0" b="0"/>
                      <wp:wrapNone/>
                      <wp:docPr id="136" name="Frame135"/>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8"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53060" cy="175260"/>
                      <wp:effectExtent l="0" t="0" r="0" b="0"/>
                      <wp:wrapNone/>
                      <wp:docPr id="139" name="Frame13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5879" w:type="dxa"/>
            <w:gridSpan w:val="17"/>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Three Months Ended</w:t>
            </w:r>
          </w:p>
        </w:tc>
      </w:tr>
      <w:tr>
        <w:trPr/>
        <w:tc>
          <w:tcPr>
            <w:tcW w:w="280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774" w:type="dxa"/>
            <w:gridSpan w:val="11"/>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June 30, </w:t>
            </w:r>
          </w:p>
        </w:tc>
        <w:tc>
          <w:tcPr>
            <w:tcW w:w="346" w:type="dxa"/>
            <w:tcBorders/>
            <w:vAlign w:val="center"/>
          </w:tcPr>
          <w:p>
            <w:pPr>
              <w:pStyle w:val="TableContents"/>
              <w:bidi w:val="0"/>
              <w:spacing w:lineRule="auto" w:line="321" w:before="0" w:after="1"/>
              <w:ind w:left="0" w:right="0" w:hanging="0"/>
              <w:jc w:val="center"/>
              <w:rPr/>
            </w:pPr>
            <w:r>
              <w:rPr/>
              <w:t>​</w:t>
            </w:r>
          </w:p>
        </w:tc>
        <w:tc>
          <w:tcPr>
            <w:tcW w:w="1759"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March 31, </w:t>
            </w:r>
          </w:p>
        </w:tc>
      </w:tr>
      <w:tr>
        <w:trPr/>
        <w:tc>
          <w:tcPr>
            <w:tcW w:w="280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714"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2026</w:t>
            </w:r>
          </w:p>
        </w:tc>
        <w:tc>
          <w:tcPr>
            <w:tcW w:w="346" w:type="dxa"/>
            <w:tcBorders/>
            <w:vAlign w:val="center"/>
          </w:tcPr>
          <w:p>
            <w:pPr>
              <w:pStyle w:val="TableContents"/>
              <w:bidi w:val="0"/>
              <w:spacing w:lineRule="auto" w:line="321" w:before="0" w:after="1"/>
              <w:ind w:left="0" w:right="0" w:hanging="0"/>
              <w:jc w:val="left"/>
              <w:rPr/>
            </w:pPr>
            <w:r>
              <w:rPr/>
              <w:t>​</w:t>
            </w:r>
          </w:p>
        </w:tc>
        <w:tc>
          <w:tcPr>
            <w:tcW w:w="1714"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2025</w:t>
            </w:r>
          </w:p>
        </w:tc>
        <w:tc>
          <w:tcPr>
            <w:tcW w:w="346" w:type="dxa"/>
            <w:tcBorders/>
            <w:vAlign w:val="center"/>
          </w:tcPr>
          <w:p>
            <w:pPr>
              <w:pStyle w:val="TableContents"/>
              <w:bidi w:val="0"/>
              <w:spacing w:lineRule="auto" w:line="321" w:before="0" w:after="1"/>
              <w:ind w:left="0" w:right="0" w:hanging="0"/>
              <w:jc w:val="left"/>
              <w:rPr/>
            </w:pPr>
            <w:r>
              <w:rPr/>
              <w:t>​</w:t>
            </w:r>
          </w:p>
        </w:tc>
        <w:tc>
          <w:tcPr>
            <w:tcW w:w="1759"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2026</w:t>
            </w:r>
          </w:p>
        </w:tc>
      </w:tr>
      <w:tr>
        <w:trPr/>
        <w:tc>
          <w:tcPr>
            <w:tcW w:w="280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Volume</w:t>
            </w:r>
          </w:p>
        </w:tc>
        <w:tc>
          <w:tcPr>
            <w:tcW w:w="346" w:type="dxa"/>
            <w:tcBorders/>
            <w:vAlign w:val="center"/>
          </w:tcPr>
          <w:p>
            <w:pPr>
              <w:pStyle w:val="TableContents"/>
              <w:bidi w:val="0"/>
              <w:spacing w:lineRule="auto" w:line="321"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Price</w:t>
            </w:r>
          </w:p>
        </w:tc>
        <w:tc>
          <w:tcPr>
            <w:tcW w:w="346" w:type="dxa"/>
            <w:tcBorders/>
            <w:vAlign w:val="center"/>
          </w:tcPr>
          <w:p>
            <w:pPr>
              <w:pStyle w:val="TableContents"/>
              <w:bidi w:val="0"/>
              <w:spacing w:lineRule="auto" w:line="321" w:before="0" w:after="1"/>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Volume</w:t>
            </w:r>
          </w:p>
        </w:tc>
        <w:tc>
          <w:tcPr>
            <w:tcW w:w="346" w:type="dxa"/>
            <w:tcBorders/>
            <w:vAlign w:val="center"/>
          </w:tcPr>
          <w:p>
            <w:pPr>
              <w:pStyle w:val="TableContents"/>
              <w:bidi w:val="0"/>
              <w:spacing w:lineRule="auto" w:line="321"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Price</w:t>
            </w:r>
          </w:p>
        </w:tc>
        <w:tc>
          <w:tcPr>
            <w:tcW w:w="346" w:type="dxa"/>
            <w:tcBorders/>
            <w:vAlign w:val="center"/>
          </w:tcPr>
          <w:p>
            <w:pPr>
              <w:pStyle w:val="TableContents"/>
              <w:bidi w:val="0"/>
              <w:spacing w:lineRule="auto" w:line="321" w:before="0" w:after="1"/>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Volume</w:t>
            </w:r>
          </w:p>
        </w:tc>
        <w:tc>
          <w:tcPr>
            <w:tcW w:w="346" w:type="dxa"/>
            <w:tcBorders/>
            <w:vAlign w:val="center"/>
          </w:tcPr>
          <w:p>
            <w:pPr>
              <w:pStyle w:val="TableContents"/>
              <w:bidi w:val="0"/>
              <w:spacing w:lineRule="auto" w:line="321"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3"/>
              </w:rPr>
            </w:pPr>
            <w:r>
              <w:rPr>
                <w:rFonts w:ascii="Segoe UI" w:hAnsi="Segoe UI"/>
                <w:b/>
                <w:sz w:val="13"/>
              </w:rPr>
              <w:t>Price</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b/>
                <w:sz w:val="13"/>
              </w:rPr>
            </w:pPr>
            <w:r>
              <w:rPr>
                <w:rFonts w:ascii="Segoe UI" w:hAnsi="Segoe UI"/>
                <w:b/>
                <w:sz w:val="13"/>
              </w:rPr>
              <w:t>Production:</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left"/>
              <w:rPr/>
            </w:pPr>
            <w:r>
              <w:rPr/>
              <w:t>​</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Crude oil (MBBL)</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SCOOP/STACK</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98.33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64.15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69.24</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Chaveroo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92.98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58.47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63.87</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Jonah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86.28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59.83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63.70</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Williston Basin</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93.70</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56.39</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64.57</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Barnett Shale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91.58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59.14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66.12</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Hamilton Dome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77.51</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52.99</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57.23</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Delhi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91.82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67.03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43.24</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Other</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94.28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63.66</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70.28</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Total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182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90.74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211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60.82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177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59.18</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Natural gas (MMCF)</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SCOOP/STACK</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358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312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389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4.13</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Jonah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688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691</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2.49</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675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3.45</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Williston Basin</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2.17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3.28</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Barnett Shale</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853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945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2.84</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801</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3.87</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TexMex and Other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71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2.64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79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2.19</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Total</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2,069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2.13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2,045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2.76</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1,968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3.70</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Natural gas liquids (MBBL)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SCOOP/STACK</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29.33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23.27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19.01</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Jonah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33.15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26.84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25.50</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Williston Basin</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22.96</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18.34</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18.47</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Barnett Shale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32.59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26.77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28.49</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Delhi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47.56</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25.66</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23.36</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Total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101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32.49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103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25.50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98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24.59</w:t>
            </w:r>
          </w:p>
        </w:tc>
      </w:tr>
      <w:tr>
        <w:trPr/>
        <w:tc>
          <w:tcPr>
            <w:tcW w:w="280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before="0" w:after="1"/>
              <w:ind w:left="0" w:right="0" w:hanging="0"/>
              <w:jc w:val="left"/>
              <w:rPr>
                <w:rFonts w:ascii="Segoe UI" w:hAnsi="Segoe UI"/>
                <w:sz w:val="12"/>
              </w:rPr>
            </w:pPr>
            <w:r>
              <w:rPr>
                <w:rFonts w:ascii="Segoe UI" w:hAnsi="Segoe UI"/>
                <w:sz w:val="13"/>
              </w:rPr>
              <w:t>Equivalent (MBOE)</w:t>
            </w:r>
            <w:r>
              <w:rPr>
                <w:rFonts w:ascii="Segoe UI" w:hAnsi="Segoe UI"/>
                <w:sz w:val="10"/>
              </w:rPr>
              <w:t>(1)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SCOOP/STACK</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116</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40.64</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102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34.10</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119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33.66</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Chaveroo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92.98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58.47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63.87</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Jonah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12.85</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129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17.91</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127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23.12</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Williston Basin</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75.77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46.33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52.02</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Barnett Shale</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194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19.54</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213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19.95</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183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25.09</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Hamilton Dome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77.51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52.99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57.23</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Delhi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84.55</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73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57.27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39.44</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TexMex and Other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44.39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43.95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45.49</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Total</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38.55</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655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32.23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603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t>
            </w:r>
          </w:p>
        </w:tc>
        <w:tc>
          <w:tcPr>
            <w:tcW w:w="55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33.45</w:t>
            </w:r>
          </w:p>
        </w:tc>
      </w:tr>
      <w:tr>
        <w:trPr/>
        <w:tc>
          <w:tcPr>
            <w:tcW w:w="280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06" w:type="dxa"/>
            <w:tcBorders/>
            <w:vAlign w:val="center"/>
          </w:tcPr>
          <w:p>
            <w:pPr>
              <w:pStyle w:val="TableContents"/>
              <w:bidi w:val="0"/>
              <w:spacing w:before="0" w:after="1"/>
              <w:ind w:left="0" w:right="0" w:hanging="0"/>
              <w:jc w:val="left"/>
              <w:rPr>
                <w:rFonts w:ascii="Segoe UI" w:hAnsi="Segoe UI"/>
                <w:sz w:val="12"/>
              </w:rPr>
            </w:pPr>
            <w:r>
              <w:rPr>
                <w:rFonts w:ascii="Segoe UI" w:hAnsi="Segoe UI"/>
                <w:b/>
                <w:sz w:val="13"/>
              </w:rPr>
              <w:t>Average daily production (BOEPD)</w:t>
            </w:r>
            <w:r>
              <w:rPr>
                <w:rFonts w:ascii="Segoe UI" w:hAnsi="Segoe UI"/>
                <w:b/>
                <w:sz w:val="10"/>
              </w:rPr>
              <w:t>(1)</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SCOOP/STACK</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1,275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1,121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1,322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Chaveroo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220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330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222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Jonah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1,407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1,418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1,411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Williston Basin</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429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484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433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Barnett Shale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2,132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2,341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2,033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Hamilton Dome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363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374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356</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Delhi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648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802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578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06" w:type="dxa"/>
            <w:tcBorders/>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TexMex and Other</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427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345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06" w:type="dxa"/>
            <w:tcBorders/>
            <w:shd w:fill="CCEEFF" w:val="clear"/>
            <w:vAlign w:val="center"/>
          </w:tcPr>
          <w:p>
            <w:pPr>
              <w:pStyle w:val="TableContents"/>
              <w:bidi w:val="0"/>
              <w:spacing w:lineRule="auto" w:line="321" w:before="0" w:after="1"/>
              <w:ind w:left="0" w:right="0" w:hanging="0"/>
              <w:jc w:val="left"/>
              <w:rPr>
                <w:rFonts w:ascii="Segoe UI" w:hAnsi="Segoe UI"/>
                <w:sz w:val="13"/>
              </w:rPr>
            </w:pPr>
            <w:r>
              <w:rPr>
                <w:rFonts w:ascii="Segoe UI" w:hAnsi="Segoe UI"/>
                <w:sz w:val="13"/>
              </w:rPr>
              <w:t>Total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6,901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7,198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3"/>
              </w:rPr>
            </w:pPr>
            <w:r>
              <w:rPr>
                <w:rFonts w:ascii="Segoe UI" w:hAnsi="Segoe UI"/>
                <w:sz w:val="13"/>
              </w:rPr>
              <w:t>6,700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9998"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lineRule="auto" w:line="285" w:before="100" w:after="0"/>
        <w:ind w:left="0" w:right="0" w:hanging="0"/>
        <w:jc w:val="center"/>
        <w:rPr/>
      </w:pPr>
      <w:r>
        <w:rPr/>
        <w:t>​</w:t>
      </w:r>
    </w:p>
    <w:p>
      <w:pPr>
        <w:pStyle w:val="TextBody"/>
        <w:bidi w:val="0"/>
        <w:spacing w:lineRule="auto" w:line="285" w:before="100" w:after="0"/>
        <w:ind w:left="0" w:right="0" w:hanging="0"/>
        <w:jc w:val="center"/>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13</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240"/>
        <w:ind w:left="0" w:right="0" w:hanging="0"/>
        <w:jc w:val="center"/>
        <w:rPr>
          <w:rFonts w:ascii="Segoe UI Semibold" w:hAnsi="Segoe UI Semibold"/>
          <w:sz w:val="22"/>
        </w:rPr>
      </w:pPr>
      <w:r>
        <w:rPr>
          <w:rFonts w:ascii="Segoe UI Semibold" w:hAnsi="Segoe UI Semibold"/>
          <w:sz w:val="22"/>
        </w:rPr>
        <w:t>Summary of Average Production Costs (Unaudited)</w:t>
      </w:r>
    </w:p>
    <w:tbl>
      <w:tblPr>
        <w:tblW w:w="9211" w:type="dxa"/>
        <w:jc w:val="left"/>
        <w:tblInd w:w="0" w:type="dxa"/>
        <w:tblLayout w:type="fixed"/>
        <w:tblCellMar>
          <w:top w:w="0" w:type="dxa"/>
          <w:left w:w="0" w:type="dxa"/>
          <w:bottom w:w="0" w:type="dxa"/>
          <w:right w:w="0" w:type="dxa"/>
        </w:tblCellMar>
      </w:tblPr>
      <w:tblGrid>
        <w:gridCol w:w="3721"/>
        <w:gridCol w:w="109"/>
        <w:gridCol w:w="196"/>
        <w:gridCol w:w="601"/>
        <w:gridCol w:w="109"/>
        <w:gridCol w:w="196"/>
        <w:gridCol w:w="511"/>
        <w:gridCol w:w="226"/>
        <w:gridCol w:w="196"/>
        <w:gridCol w:w="601"/>
        <w:gridCol w:w="109"/>
        <w:gridCol w:w="196"/>
        <w:gridCol w:w="511"/>
        <w:gridCol w:w="226"/>
        <w:gridCol w:w="196"/>
        <w:gridCol w:w="601"/>
        <w:gridCol w:w="109"/>
        <w:gridCol w:w="196"/>
        <w:gridCol w:w="601"/>
      </w:tblGrid>
      <w:tr>
        <w:trPr/>
        <w:tc>
          <w:tcPr>
            <w:tcW w:w="372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0"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4460" cy="175260"/>
                      <wp:effectExtent l="0" t="0" r="0" b="0"/>
                      <wp:wrapNone/>
                      <wp:docPr id="141"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81635" cy="175260"/>
                      <wp:effectExtent l="0" t="0" r="0" b="0"/>
                      <wp:wrapNone/>
                      <wp:docPr id="142" name="Frame1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3"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4"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24485" cy="175260"/>
                      <wp:effectExtent l="0" t="0" r="0" b="0"/>
                      <wp:wrapNone/>
                      <wp:docPr id="145" name="Frame1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3510" cy="175260"/>
                      <wp:effectExtent l="0" t="0" r="0" b="0"/>
                      <wp:wrapNone/>
                      <wp:docPr id="146" name="Frame1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7"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81635" cy="175260"/>
                      <wp:effectExtent l="0" t="0" r="0" b="0"/>
                      <wp:wrapNone/>
                      <wp:docPr id="148" name="Frame14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49"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0"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24485" cy="175260"/>
                      <wp:effectExtent l="0" t="0" r="0" b="0"/>
                      <wp:wrapNone/>
                      <wp:docPr id="151" name="Frame1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3510" cy="175260"/>
                      <wp:effectExtent l="0" t="0" r="0" b="0"/>
                      <wp:wrapNone/>
                      <wp:docPr id="152" name="Frame1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3"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81635" cy="175260"/>
                      <wp:effectExtent l="0" t="0" r="0" b="0"/>
                      <wp:wrapNone/>
                      <wp:docPr id="154" name="Frame15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5"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6" name="Frame1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81635" cy="175260"/>
                      <wp:effectExtent l="0" t="0" r="0" b="0"/>
                      <wp:wrapNone/>
                      <wp:docPr id="157" name="Frame15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5381" w:type="dxa"/>
            <w:gridSpan w:val="17"/>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Three Months Ended</w:t>
            </w:r>
          </w:p>
        </w:tc>
      </w:tr>
      <w:tr>
        <w:trPr/>
        <w:tc>
          <w:tcPr>
            <w:tcW w:w="372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3452" w:type="dxa"/>
            <w:gridSpan w:val="11"/>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June 30, </w:t>
            </w:r>
          </w:p>
        </w:tc>
        <w:tc>
          <w:tcPr>
            <w:tcW w:w="226" w:type="dxa"/>
            <w:tcBorders/>
            <w:vAlign w:val="center"/>
          </w:tcPr>
          <w:p>
            <w:pPr>
              <w:pStyle w:val="TableContents"/>
              <w:bidi w:val="0"/>
              <w:spacing w:lineRule="auto" w:line="321" w:before="0" w:after="1"/>
              <w:ind w:left="0" w:right="0" w:hanging="0"/>
              <w:jc w:val="center"/>
              <w:rPr/>
            </w:pPr>
            <w:r>
              <w:rPr/>
              <w:t>​</w:t>
            </w:r>
          </w:p>
        </w:tc>
        <w:tc>
          <w:tcPr>
            <w:tcW w:w="170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March 31, </w:t>
            </w:r>
          </w:p>
        </w:tc>
      </w:tr>
      <w:tr>
        <w:trPr/>
        <w:tc>
          <w:tcPr>
            <w:tcW w:w="3721" w:type="dxa"/>
            <w:tcBorders/>
            <w:vAlign w:val="center"/>
          </w:tcPr>
          <w:p>
            <w:pPr>
              <w:pStyle w:val="TableContents"/>
              <w:bidi w:val="0"/>
              <w:spacing w:lineRule="auto" w:line="321" w:before="0" w:after="1"/>
              <w:ind w:left="0" w:right="0" w:hanging="0"/>
              <w:jc w:val="left"/>
              <w:rPr>
                <w:rFonts w:ascii="Segoe UI" w:hAnsi="Segoe UI"/>
                <w:b/>
                <w:sz w:val="14"/>
              </w:rPr>
            </w:pPr>
            <w:r>
              <w:rPr>
                <w:rFonts w:ascii="Segoe UI" w:hAnsi="Segoe UI"/>
                <w:b/>
                <w:sz w:val="14"/>
              </w:rPr>
              <w:t>Production costs (in thousands, except per BOE):</w:t>
            </w:r>
          </w:p>
        </w:tc>
        <w:tc>
          <w:tcPr>
            <w:tcW w:w="109" w:type="dxa"/>
            <w:tcBorders/>
            <w:vAlign w:val="center"/>
          </w:tcPr>
          <w:p>
            <w:pPr>
              <w:pStyle w:val="TableContents"/>
              <w:bidi w:val="0"/>
              <w:spacing w:lineRule="auto" w:line="321" w:before="0" w:after="1"/>
              <w:ind w:left="0" w:right="0" w:hanging="0"/>
              <w:jc w:val="left"/>
              <w:rPr/>
            </w:pPr>
            <w:r>
              <w:rPr/>
              <w:t>​</w:t>
            </w:r>
          </w:p>
        </w:tc>
        <w:tc>
          <w:tcPr>
            <w:tcW w:w="161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2026</w:t>
            </w:r>
          </w:p>
        </w:tc>
        <w:tc>
          <w:tcPr>
            <w:tcW w:w="226" w:type="dxa"/>
            <w:tcBorders/>
            <w:vAlign w:val="center"/>
          </w:tcPr>
          <w:p>
            <w:pPr>
              <w:pStyle w:val="TableContents"/>
              <w:bidi w:val="0"/>
              <w:spacing w:lineRule="auto" w:line="321" w:before="0" w:after="1"/>
              <w:ind w:left="0" w:right="0" w:hanging="0"/>
              <w:jc w:val="left"/>
              <w:rPr/>
            </w:pPr>
            <w:r>
              <w:rPr/>
              <w:t>​</w:t>
            </w:r>
          </w:p>
        </w:tc>
        <w:tc>
          <w:tcPr>
            <w:tcW w:w="161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2025</w:t>
            </w:r>
          </w:p>
        </w:tc>
        <w:tc>
          <w:tcPr>
            <w:tcW w:w="226" w:type="dxa"/>
            <w:tcBorders/>
            <w:vAlign w:val="center"/>
          </w:tcPr>
          <w:p>
            <w:pPr>
              <w:pStyle w:val="TableContents"/>
              <w:bidi w:val="0"/>
              <w:spacing w:lineRule="auto" w:line="321" w:before="0" w:after="1"/>
              <w:ind w:left="0" w:right="0" w:hanging="0"/>
              <w:jc w:val="left"/>
              <w:rPr/>
            </w:pPr>
            <w:r>
              <w:rPr/>
              <w:t>​</w:t>
            </w:r>
          </w:p>
        </w:tc>
        <w:tc>
          <w:tcPr>
            <w:tcW w:w="170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2026</w:t>
            </w:r>
          </w:p>
        </w:tc>
      </w:tr>
      <w:tr>
        <w:trPr/>
        <w:tc>
          <w:tcPr>
            <w:tcW w:w="3721" w:type="dxa"/>
            <w:tcBorders/>
            <w:vAlign w:val="center"/>
          </w:tcPr>
          <w:p>
            <w:pPr>
              <w:pStyle w:val="TableContents"/>
              <w:bidi w:val="0"/>
              <w:spacing w:before="0" w:after="1"/>
              <w:ind w:left="0" w:right="0" w:hanging="0"/>
              <w:jc w:val="left"/>
              <w:rPr>
                <w:rFonts w:ascii="Segoe UI" w:hAnsi="Segoe UI"/>
                <w:sz w:val="14"/>
              </w:rPr>
            </w:pPr>
            <w:r>
              <w:rPr>
                <w:rFonts w:ascii="Segoe UI" w:hAnsi="Segoe UI"/>
                <w:sz w:val="14"/>
              </w:rPr>
              <w:t>Total lease operating costs</w:t>
            </w:r>
            <w:r>
              <w:rPr>
                <w:rFonts w:ascii="Segoe UI" w:hAnsi="Segoe UI"/>
                <w:sz w:val="11"/>
              </w:rPr>
              <w:t>(1)</w:t>
            </w:r>
          </w:p>
        </w:tc>
        <w:tc>
          <w:tcPr>
            <w:tcW w:w="109" w:type="dxa"/>
            <w:tcBorders/>
            <w:vAlign w:val="center"/>
          </w:tcPr>
          <w:p>
            <w:pPr>
              <w:pStyle w:val="TableContents"/>
              <w:bidi w:val="0"/>
              <w:spacing w:lineRule="auto" w:line="321"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Amount</w:t>
            </w:r>
          </w:p>
        </w:tc>
        <w:tc>
          <w:tcPr>
            <w:tcW w:w="109" w:type="dxa"/>
            <w:tcBorders/>
            <w:vAlign w:val="center"/>
          </w:tcPr>
          <w:p>
            <w:pPr>
              <w:pStyle w:val="TableContents"/>
              <w:bidi w:val="0"/>
              <w:spacing w:lineRule="auto" w:line="321"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per BOE</w:t>
            </w:r>
          </w:p>
        </w:tc>
        <w:tc>
          <w:tcPr>
            <w:tcW w:w="226" w:type="dxa"/>
            <w:tcBorders/>
            <w:vAlign w:val="center"/>
          </w:tcPr>
          <w:p>
            <w:pPr>
              <w:pStyle w:val="TableContents"/>
              <w:bidi w:val="0"/>
              <w:spacing w:lineRule="auto" w:line="321"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Amount</w:t>
            </w:r>
          </w:p>
        </w:tc>
        <w:tc>
          <w:tcPr>
            <w:tcW w:w="109" w:type="dxa"/>
            <w:tcBorders/>
            <w:vAlign w:val="center"/>
          </w:tcPr>
          <w:p>
            <w:pPr>
              <w:pStyle w:val="TableContents"/>
              <w:bidi w:val="0"/>
              <w:spacing w:lineRule="auto" w:line="321"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per BOE</w:t>
            </w:r>
          </w:p>
        </w:tc>
        <w:tc>
          <w:tcPr>
            <w:tcW w:w="226" w:type="dxa"/>
            <w:tcBorders/>
            <w:vAlign w:val="center"/>
          </w:tcPr>
          <w:p>
            <w:pPr>
              <w:pStyle w:val="TableContents"/>
              <w:bidi w:val="0"/>
              <w:spacing w:lineRule="auto" w:line="321"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Amount</w:t>
            </w:r>
          </w:p>
        </w:tc>
        <w:tc>
          <w:tcPr>
            <w:tcW w:w="109" w:type="dxa"/>
            <w:tcBorders/>
            <w:vAlign w:val="center"/>
          </w:tcPr>
          <w:p>
            <w:pPr>
              <w:pStyle w:val="TableContents"/>
              <w:bidi w:val="0"/>
              <w:spacing w:lineRule="auto" w:line="321"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per BOE</w:t>
            </w:r>
          </w:p>
        </w:tc>
      </w:tr>
      <w:tr>
        <w:trPr/>
        <w:tc>
          <w:tcPr>
            <w:tcW w:w="37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SCOOP/STACK</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1,196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10.33</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1,130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11.05</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1,064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8.96</w:t>
            </w:r>
          </w:p>
        </w:tc>
      </w:tr>
      <w:tr>
        <w:trPr/>
        <w:tc>
          <w:tcPr>
            <w:tcW w:w="37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Chaveroo Field</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338</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center"/>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16.90</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501</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16.65</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320</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15.92</w:t>
            </w:r>
          </w:p>
        </w:tc>
      </w:tr>
      <w:tr>
        <w:trPr/>
        <w:tc>
          <w:tcPr>
            <w:tcW w:w="37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Jonah Field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1,737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13.53</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1,928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14.91</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2,047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16.21</w:t>
            </w:r>
          </w:p>
        </w:tc>
      </w:tr>
      <w:tr>
        <w:trPr/>
        <w:tc>
          <w:tcPr>
            <w:tcW w:w="37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Williston Basin</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1,249</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31.88</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1,159</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26.48</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1,162</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30.09</w:t>
            </w:r>
          </w:p>
        </w:tc>
      </w:tr>
      <w:tr>
        <w:trPr/>
        <w:tc>
          <w:tcPr>
            <w:tcW w:w="3721" w:type="dxa"/>
            <w:tcBorders/>
            <w:shd w:fill="CCEEFF" w:val="clear"/>
            <w:vAlign w:val="center"/>
          </w:tcPr>
          <w:p>
            <w:pPr>
              <w:pStyle w:val="TableContents"/>
              <w:bidi w:val="0"/>
              <w:spacing w:before="0" w:after="1"/>
              <w:ind w:left="0" w:right="0" w:hanging="0"/>
              <w:jc w:val="left"/>
              <w:rPr>
                <w:rFonts w:ascii="Segoe UI" w:hAnsi="Segoe UI"/>
                <w:sz w:val="14"/>
              </w:rPr>
            </w:pPr>
            <w:r>
              <w:rPr>
                <w:rFonts w:ascii="Segoe UI" w:hAnsi="Segoe UI"/>
                <w:sz w:val="14"/>
              </w:rPr>
              <w:t>Barnett Shale</w:t>
            </w:r>
            <w:r>
              <w:rPr>
                <w:rFonts w:ascii="Segoe UI" w:hAnsi="Segoe UI"/>
                <w:sz w:val="11"/>
              </w:rPr>
              <w:t>(2)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3,512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18.11</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1,850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8.67</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3,747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20.49</w:t>
            </w:r>
          </w:p>
        </w:tc>
      </w:tr>
      <w:tr>
        <w:trPr/>
        <w:tc>
          <w:tcPr>
            <w:tcW w:w="37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Hamilton Dome Field</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1,422</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43.12</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1,523</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44.36</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1,226</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60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37.73</w:t>
            </w:r>
          </w:p>
        </w:tc>
      </w:tr>
      <w:tr>
        <w:trPr/>
        <w:tc>
          <w:tcPr>
            <w:tcW w:w="37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Delhi Field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1,710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29.18</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2,087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28.73</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1,836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60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34.13</w:t>
            </w:r>
          </w:p>
        </w:tc>
      </w:tr>
      <w:tr>
        <w:trPr/>
        <w:tc>
          <w:tcPr>
            <w:tcW w:w="37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TexMex and Other</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1,618</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41.57</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1,189</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41.47</w:t>
            </w:r>
          </w:p>
        </w:tc>
        <w:tc>
          <w:tcPr>
            <w:tcW w:w="22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1,557</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57.61</w:t>
            </w:r>
          </w:p>
        </w:tc>
      </w:tr>
      <w:tr>
        <w:trPr/>
        <w:tc>
          <w:tcPr>
            <w:tcW w:w="37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Total</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12,782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20.35</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11,367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17.35</w:t>
            </w:r>
          </w:p>
        </w:tc>
        <w:tc>
          <w:tcPr>
            <w:tcW w:w="22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12,959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321" w:before="0" w:after="1"/>
              <w:ind w:left="0" w:right="45" w:hanging="0"/>
              <w:jc w:val="right"/>
              <w:rPr>
                <w:rFonts w:ascii="Segoe UI" w:hAnsi="Segoe UI"/>
                <w:sz w:val="14"/>
              </w:rPr>
            </w:pPr>
            <w:r>
              <w:rPr>
                <w:rFonts w:ascii="Segoe UI" w:hAnsi="Segoe UI"/>
                <w:sz w:val="14"/>
              </w:rPr>
              <w:t>21.49</w:t>
            </w:r>
          </w:p>
        </w:tc>
      </w:tr>
    </w:tbl>
    <w:p>
      <w:pPr>
        <w:pStyle w:val="TextBody"/>
        <w:bidi w:val="0"/>
        <w:spacing w:lineRule="auto" w:line="321" w:before="0" w:after="0"/>
        <w:ind w:left="0" w:right="0" w:hanging="0"/>
        <w:jc w:val="left"/>
        <w:rPr/>
      </w:pPr>
      <w:r>
        <w:rPr/>
        <w:t>​</w:t>
      </w:r>
    </w:p>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9967"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Total lease operating costs includes lifting costs; workover expenses; and gathering, transportation, processing and other expenses.</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Segoe UI" w:hAnsi="Segoe UI"/>
                <w:sz w:val="16"/>
              </w:rPr>
            </w:pPr>
            <w:r>
              <w:rPr>
                <w:rFonts w:ascii="Segoe UI" w:hAnsi="Segoe UI"/>
                <w:sz w:val="16"/>
              </w:rPr>
              <w:t>(2)</w:t>
            </w:r>
          </w:p>
        </w:tc>
        <w:tc>
          <w:tcPr>
            <w:tcW w:w="9977" w:type="dxa"/>
            <w:tcBorders/>
            <w:vAlign w:val="center"/>
          </w:tcPr>
          <w:p>
            <w:pPr>
              <w:pStyle w:val="TableContents"/>
              <w:bidi w:val="0"/>
              <w:spacing w:before="0" w:after="283"/>
              <w:jc w:val="left"/>
              <w:rPr>
                <w:rFonts w:ascii="Segoe UI" w:hAnsi="Segoe UI"/>
                <w:b w:val="false"/>
                <w:i w:val="false"/>
                <w:caps w:val="false"/>
                <w:smallCaps w:val="false"/>
                <w:sz w:val="16"/>
                <w:shd w:fill="FFFFFF" w:val="clear"/>
              </w:rPr>
            </w:pPr>
            <w:r>
              <w:rPr>
                <w:rFonts w:ascii="Segoe UI" w:hAnsi="Segoe UI"/>
                <w:b w:val="false"/>
                <w:i w:val="false"/>
                <w:caps w:val="false"/>
                <w:smallCaps w:val="false"/>
                <w:sz w:val="16"/>
                <w:shd w:fill="FFFFFF" w:val="clear"/>
              </w:rPr>
              <w:t>Barnett Shale lease operating costs for the three months ended June 30, 2025 contain a $1.9 million credit from one of our operators due to a joint venture audit.</w:t>
            </w:r>
          </w:p>
        </w:tc>
      </w:tr>
    </w:tbl>
    <w:p>
      <w:pPr>
        <w:pStyle w:val="TextBody"/>
        <w:bidi w:val="0"/>
        <w:spacing w:lineRule="auto" w:line="321" w:before="100" w:after="0"/>
        <w:ind w:left="0" w:right="0" w:hanging="0"/>
        <w:jc w:val="center"/>
        <w:rPr/>
      </w:pPr>
      <w:r>
        <w:rPr/>
        <w:t>​</w:t>
      </w:r>
    </w:p>
    <w:p>
      <w:pPr>
        <w:pStyle w:val="TextBody"/>
        <w:bidi w:val="0"/>
        <w:spacing w:lineRule="auto" w:line="321" w:before="10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14</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02" w:before="0" w:after="100"/>
        <w:ind w:left="0" w:right="0" w:hanging="0"/>
        <w:jc w:val="center"/>
        <w:rPr>
          <w:rFonts w:ascii="Segoe UI Semibold" w:hAnsi="Segoe UI Semibold"/>
          <w:sz w:val="22"/>
        </w:rPr>
      </w:pPr>
      <w:r>
        <w:rPr>
          <w:rFonts w:ascii="Segoe UI Semibold" w:hAnsi="Segoe UI Semibold"/>
          <w:sz w:val="22"/>
        </w:rPr>
        <w:t>Summary of Open Derivative Contracts (Unaudited)</w:t>
      </w:r>
    </w:p>
    <w:p>
      <w:pPr>
        <w:pStyle w:val="TextBody"/>
        <w:bidi w:val="0"/>
        <w:spacing w:lineRule="auto" w:line="304" w:before="100" w:after="100"/>
        <w:ind w:left="0" w:right="0" w:hanging="0"/>
        <w:jc w:val="both"/>
        <w:rPr>
          <w:rFonts w:ascii="Segoe UI" w:hAnsi="Segoe UI"/>
          <w:sz w:val="22"/>
        </w:rPr>
      </w:pPr>
      <w:r>
        <w:rPr>
          <w:rFonts w:ascii="Segoe UI" w:hAnsi="Segoe UI"/>
          <w:sz w:val="22"/>
        </w:rPr>
        <w:t>For more information on the Company's hedging practices, see Note 7 to its financial statements included on Form 10-K filed with the SEC for the year ended June 30, 2026.</w:t>
      </w:r>
    </w:p>
    <w:p>
      <w:pPr>
        <w:pStyle w:val="TextBody"/>
        <w:bidi w:val="0"/>
        <w:spacing w:lineRule="auto" w:line="321" w:before="100" w:after="100"/>
        <w:ind w:left="0" w:right="0" w:hanging="0"/>
        <w:jc w:val="both"/>
        <w:rPr>
          <w:rFonts w:ascii="Segoe UI" w:hAnsi="Segoe UI"/>
          <w:sz w:val="22"/>
        </w:rPr>
      </w:pPr>
      <w:r>
        <w:rPr>
          <w:rFonts w:ascii="Segoe UI" w:hAnsi="Segoe UI"/>
          <w:sz w:val="22"/>
        </w:rPr>
        <w:t>The Company has the following open crude oil and natural gas derivative contracts:</w:t>
      </w:r>
    </w:p>
    <w:tbl>
      <w:tblPr>
        <w:tblW w:w="10205" w:type="dxa"/>
        <w:jc w:val="left"/>
        <w:tblInd w:w="0" w:type="dxa"/>
        <w:tblLayout w:type="fixed"/>
        <w:tblCellMar>
          <w:top w:w="0" w:type="dxa"/>
          <w:left w:w="0" w:type="dxa"/>
          <w:bottom w:w="0" w:type="dxa"/>
          <w:right w:w="0" w:type="dxa"/>
        </w:tblCellMar>
      </w:tblPr>
      <w:tblGrid>
        <w:gridCol w:w="2180"/>
        <w:gridCol w:w="346"/>
        <w:gridCol w:w="957"/>
        <w:gridCol w:w="346"/>
        <w:gridCol w:w="1211"/>
        <w:gridCol w:w="346"/>
        <w:gridCol w:w="970"/>
        <w:gridCol w:w="109"/>
        <w:gridCol w:w="196"/>
        <w:gridCol w:w="511"/>
        <w:gridCol w:w="346"/>
        <w:gridCol w:w="213"/>
        <w:gridCol w:w="558"/>
        <w:gridCol w:w="346"/>
        <w:gridCol w:w="196"/>
        <w:gridCol w:w="511"/>
        <w:gridCol w:w="109"/>
        <w:gridCol w:w="196"/>
        <w:gridCol w:w="558"/>
      </w:tblGrid>
      <w:tr>
        <w:trPr/>
        <w:tc>
          <w:tcPr>
            <w:tcW w:w="2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84300" cy="175260"/>
                      <wp:effectExtent l="0" t="0" r="0" b="0"/>
                      <wp:wrapNone/>
                      <wp:docPr id="158" name="Frame157"/>
                      <a:graphic xmlns:a="http://schemas.openxmlformats.org/drawingml/2006/main">
                        <a:graphicData uri="http://schemas.microsoft.com/office/word/2010/wordprocessingShape">
                          <wps:wsp>
                            <wps:cNvSpPr txBox="1"/>
                            <wps:spPr>
                              <a:xfrm>
                                <a:off x="0" y="0"/>
                                <a:ext cx="138430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07695" cy="175260"/>
                      <wp:effectExtent l="0" t="0" r="0" b="0"/>
                      <wp:wrapNone/>
                      <wp:docPr id="160" name="Frame15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68985" cy="175260"/>
                      <wp:effectExtent l="0" t="0" r="0" b="0"/>
                      <wp:wrapNone/>
                      <wp:docPr id="162" name="Frame161"/>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15950" cy="175260"/>
                      <wp:effectExtent l="0" t="0" r="0" b="0"/>
                      <wp:wrapNone/>
                      <wp:docPr id="164" name="Frame16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5"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6" name="Frame1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24485" cy="175260"/>
                      <wp:effectExtent l="0" t="0" r="0" b="0"/>
                      <wp:wrapNone/>
                      <wp:docPr id="167" name="Frame16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5255" cy="175260"/>
                      <wp:effectExtent l="0" t="0" r="0" b="0"/>
                      <wp:wrapNone/>
                      <wp:docPr id="169" name="Frame16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54330" cy="175260"/>
                      <wp:effectExtent l="0" t="0" r="0" b="0"/>
                      <wp:wrapNone/>
                      <wp:docPr id="170" name="Frame169"/>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2" name="Frame1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24485" cy="175260"/>
                      <wp:effectExtent l="0" t="0" r="0" b="0"/>
                      <wp:wrapNone/>
                      <wp:docPr id="173" name="Frame17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4"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5" name="Frame1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54330" cy="175260"/>
                      <wp:effectExtent l="0" t="0" r="0" b="0"/>
                      <wp:wrapNone/>
                      <wp:docPr id="176" name="Frame175"/>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2180"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Volumes in</w:t>
            </w:r>
          </w:p>
        </w:tc>
        <w:tc>
          <w:tcPr>
            <w:tcW w:w="109" w:type="dxa"/>
            <w:tcBorders/>
            <w:vAlign w:val="center"/>
          </w:tcPr>
          <w:p>
            <w:pPr>
              <w:pStyle w:val="TableContents"/>
              <w:bidi w:val="0"/>
              <w:spacing w:lineRule="auto" w:line="321" w:before="0" w:after="1"/>
              <w:ind w:left="0" w:right="0" w:hanging="0"/>
              <w:jc w:val="left"/>
              <w:rPr/>
            </w:pPr>
            <w:r>
              <w:rPr/>
              <w:t>​</w:t>
            </w:r>
          </w:p>
        </w:tc>
        <w:tc>
          <w:tcPr>
            <w:tcW w:w="3740" w:type="dxa"/>
            <w:gridSpan w:val="11"/>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Weighted Average Price per MMBTU/BBL</w:t>
            </w:r>
          </w:p>
        </w:tc>
      </w:tr>
      <w:tr>
        <w:trPr/>
        <w:tc>
          <w:tcPr>
            <w:tcW w:w="2180"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Period</w:t>
            </w:r>
          </w:p>
        </w:tc>
        <w:tc>
          <w:tcPr>
            <w:tcW w:w="346" w:type="dxa"/>
            <w:tcBorders/>
            <w:vAlign w:val="center"/>
          </w:tcPr>
          <w:p>
            <w:pPr>
              <w:pStyle w:val="TableContents"/>
              <w:bidi w:val="0"/>
              <w:spacing w:lineRule="auto" w:line="321" w:before="0" w:after="1"/>
              <w:ind w:left="0" w:right="0" w:hanging="0"/>
              <w:jc w:val="left"/>
              <w:rPr/>
            </w:pPr>
            <w:r>
              <w:rPr/>
              <w:t>  ​ ​ ​</w:t>
            </w:r>
          </w:p>
        </w:tc>
        <w:tc>
          <w:tcPr>
            <w:tcW w:w="957"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Commodity</w:t>
            </w:r>
          </w:p>
        </w:tc>
        <w:tc>
          <w:tcPr>
            <w:tcW w:w="346" w:type="dxa"/>
            <w:tcBorders/>
            <w:vAlign w:val="center"/>
          </w:tcPr>
          <w:p>
            <w:pPr>
              <w:pStyle w:val="TableContents"/>
              <w:bidi w:val="0"/>
              <w:spacing w:lineRule="auto" w:line="321" w:before="0" w:after="1"/>
              <w:ind w:left="0" w:right="0" w:hanging="0"/>
              <w:jc w:val="left"/>
              <w:rPr/>
            </w:pPr>
            <w:r>
              <w:rPr/>
              <w:t>  ​ ​ ​</w:t>
            </w:r>
          </w:p>
        </w:tc>
        <w:tc>
          <w:tcPr>
            <w:tcW w:w="1211"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Instrument</w:t>
            </w:r>
          </w:p>
        </w:tc>
        <w:tc>
          <w:tcPr>
            <w:tcW w:w="346" w:type="dxa"/>
            <w:tcBorders/>
            <w:vAlign w:val="center"/>
          </w:tcPr>
          <w:p>
            <w:pPr>
              <w:pStyle w:val="TableContents"/>
              <w:bidi w:val="0"/>
              <w:spacing w:lineRule="auto" w:line="321" w:before="0" w:after="1"/>
              <w:ind w:left="0" w:right="0" w:hanging="0"/>
              <w:jc w:val="left"/>
              <w:rPr/>
            </w:pPr>
            <w:r>
              <w:rPr/>
              <w:t>  ​ ​ ​</w:t>
            </w:r>
          </w:p>
        </w:tc>
        <w:tc>
          <w:tcPr>
            <w:tcW w:w="970"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MMBTU/BBL</w:t>
            </w:r>
          </w:p>
        </w:tc>
        <w:tc>
          <w:tcPr>
            <w:tcW w:w="109" w:type="dxa"/>
            <w:tcBorders/>
            <w:vAlign w:val="center"/>
          </w:tcPr>
          <w:p>
            <w:pPr>
              <w:pStyle w:val="TableContents"/>
              <w:bidi w:val="0"/>
              <w:spacing w:lineRule="auto" w:line="321"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Swap</w:t>
            </w:r>
          </w:p>
        </w:tc>
        <w:tc>
          <w:tcPr>
            <w:tcW w:w="346" w:type="dxa"/>
            <w:tcBorders/>
            <w:vAlign w:val="center"/>
          </w:tcPr>
          <w:p>
            <w:pPr>
              <w:pStyle w:val="TableContents"/>
              <w:bidi w:val="0"/>
              <w:spacing w:lineRule="auto" w:line="321" w:before="0" w:after="1"/>
              <w:ind w:left="0" w:right="0" w:hanging="0"/>
              <w:jc w:val="left"/>
              <w:rPr/>
            </w:pPr>
            <w:r>
              <w:rPr/>
              <w:t>  ​ ​ ​</w:t>
            </w:r>
          </w:p>
        </w:tc>
        <w:tc>
          <w:tcPr>
            <w:tcW w:w="77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Sub Floor</w:t>
            </w:r>
          </w:p>
        </w:tc>
        <w:tc>
          <w:tcPr>
            <w:tcW w:w="346" w:type="dxa"/>
            <w:tcBorders/>
            <w:vAlign w:val="center"/>
          </w:tcPr>
          <w:p>
            <w:pPr>
              <w:pStyle w:val="TableContents"/>
              <w:bidi w:val="0"/>
              <w:spacing w:lineRule="auto" w:line="321"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Floor</w:t>
            </w:r>
          </w:p>
        </w:tc>
        <w:tc>
          <w:tcPr>
            <w:tcW w:w="109" w:type="dxa"/>
            <w:tcBorders/>
            <w:vAlign w:val="center"/>
          </w:tcPr>
          <w:p>
            <w:pPr>
              <w:pStyle w:val="TableContents"/>
              <w:bidi w:val="0"/>
              <w:spacing w:lineRule="auto" w:line="321" w:before="0" w:after="1"/>
              <w:ind w:left="0" w:right="0" w:hanging="0"/>
              <w:jc w:val="left"/>
              <w:rPr/>
            </w:pPr>
            <w:r>
              <w:rPr/>
              <w:t>​</w:t>
            </w:r>
          </w:p>
        </w:tc>
        <w:tc>
          <w:tcPr>
            <w:tcW w:w="754"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Ceiling</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July 2026 - September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43,870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60.77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December 2027</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199,662</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68.43</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July 2026 - December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121,892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63.28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8"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73.26</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December 2027</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273,839</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62.28</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74.57</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September 2026 - December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Three-Way Collar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67,002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8"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50.00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58.83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70.36</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July 2026 - December 2026</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1,745,693</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3.63</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December 2027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1,946,285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July 2026 - December 2026</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1,177,472</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3.57</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4.71</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June 2027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1,235,604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45" w:hanging="0"/>
              <w:jc w:val="right"/>
              <w:rPr>
                <w:rFonts w:ascii="Segoe UI" w:hAnsi="Segoe UI"/>
                <w:sz w:val="14"/>
              </w:rPr>
            </w:pPr>
            <w:r>
              <w:rPr>
                <w:rFonts w:ascii="Segoe UI" w:hAnsi="Segoe UI"/>
                <w:sz w:val="14"/>
              </w:rPr>
              <w:t>4.92</w:t>
            </w:r>
          </w:p>
        </w:tc>
      </w:tr>
    </w:tbl>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15</w:t>
      </w:r>
    </w:p>
    <w:p>
      <w:pPr>
        <w:pStyle w:val="HorizontalLine"/>
        <w:pBdr>
          <w:bottom w:val="double" w:sz="2" w:space="0" w:color="808080"/>
        </w:pBdr>
        <w:bidi w:val="0"/>
        <w:spacing w:before="0" w:after="283"/>
        <w:jc w:val="left"/>
        <w:rPr/>
      </w:pPr>
      <w:r>
        <w:rPr/>
      </w:r>
    </w:p>
    <w:p>
      <w:pPr>
        <w:pStyle w:val="TextBody"/>
        <w:bidi w:val="0"/>
        <w:spacing w:lineRule="auto" w:line="331" w:before="0" w:after="0"/>
        <w:ind w:left="0" w:right="0" w:hanging="0"/>
        <w:jc w:val="right"/>
        <w:rPr>
          <w:rFonts w:ascii="Segoe UI Semibold" w:hAnsi="Segoe UI Semibold"/>
          <w:sz w:val="21"/>
        </w:rPr>
      </w:pPr>
      <w:bookmarkStart w:id="41" w:name="epm-20260910xex99d2.htm"/>
      <w:bookmarkStart w:id="42" w:name="ksepm20260910xex99d2"/>
      <w:bookmarkEnd w:id="41"/>
      <w:bookmarkEnd w:id="42"/>
      <w:r>
        <w:rPr>
          <w:rFonts w:ascii="Segoe UI Semibold" w:hAnsi="Segoe UI Semibold"/>
          <w:sz w:val="21"/>
        </w:rPr>
        <w:t>EXHIBIT 99.2</w:t>
      </w:r>
      <w:r>
        <w:br w:type="page"/>
      </w:r>
    </w:p>
    <w:p>
      <w:pPr>
        <w:pStyle w:val="TextBody"/>
        <w:bidi w:val="0"/>
        <w:spacing w:lineRule="auto" w:line="331" w:before="280" w:after="0"/>
        <w:ind w:left="0" w:right="0" w:hanging="0"/>
        <w:jc w:val="center"/>
        <w:rPr/>
      </w:pPr>
      <w:r>
        <w:rPr/>
        <w:drawing>
          <wp:inline distT="0" distB="0" distL="0" distR="0">
            <wp:extent cx="1847215" cy="502920"/>
            <wp:effectExtent l="0" t="0" r="0" b="0"/>
            <wp:docPr id="1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2" descr=""/>
                    <pic:cNvPicPr>
                      <a:picLocks noChangeAspect="1" noChangeArrowheads="1"/>
                    </pic:cNvPicPr>
                  </pic:nvPicPr>
                  <pic:blipFill>
                    <a:blip r:embed="rId3"/>
                    <a:stretch>
                      <a:fillRect/>
                    </a:stretch>
                  </pic:blipFill>
                  <pic:spPr bwMode="auto">
                    <a:xfrm>
                      <a:off x="0" y="0"/>
                      <a:ext cx="1847215" cy="502920"/>
                    </a:xfrm>
                    <a:prstGeom prst="rect">
                      <a:avLst/>
                    </a:prstGeom>
                  </pic:spPr>
                </pic:pic>
              </a:graphicData>
            </a:graphic>
          </wp:inline>
        </w:drawing>
      </w:r>
    </w:p>
    <w:p>
      <w:pPr>
        <w:pStyle w:val="TextBody"/>
        <w:bidi w:val="0"/>
        <w:spacing w:lineRule="auto" w:line="331" w:before="0" w:after="0"/>
        <w:ind w:left="0" w:right="0" w:hanging="0"/>
        <w:jc w:val="center"/>
        <w:rPr>
          <w:rFonts w:ascii="Segoe UI Semibold" w:hAnsi="Segoe UI Semibold"/>
          <w:sz w:val="30"/>
        </w:rPr>
      </w:pPr>
      <w:r>
        <w:rPr>
          <w:rFonts w:ascii="Segoe UI Semibold" w:hAnsi="Segoe UI Semibold"/>
          <w:sz w:val="30"/>
        </w:rPr>
        <w:t>Evolution Petroleum Declares $0.12 per Share Cash Dividend for Fiscal Q1 2027</w:t>
      </w:r>
    </w:p>
    <w:p>
      <w:pPr>
        <w:pStyle w:val="TextBody"/>
        <w:bidi w:val="0"/>
        <w:spacing w:lineRule="auto" w:line="331" w:before="280" w:after="160"/>
        <w:ind w:left="0" w:right="0" w:hanging="0"/>
        <w:jc w:val="both"/>
        <w:rPr>
          <w:rFonts w:ascii="Segoe UI" w:hAnsi="Segoe UI"/>
          <w:sz w:val="21"/>
        </w:rPr>
      </w:pPr>
      <w:r>
        <w:rPr>
          <w:rFonts w:ascii="Segoe UI" w:hAnsi="Segoe UI"/>
          <w:b/>
          <w:sz w:val="21"/>
        </w:rPr>
        <w:t>HOUSTON, TX — September 10, 2026 (GLOBE NEWSWIRE) —</w:t>
      </w:r>
      <w:r>
        <w:rPr>
          <w:rFonts w:ascii="Segoe UI" w:hAnsi="Segoe UI"/>
          <w:sz w:val="21"/>
        </w:rPr>
        <w:t xml:space="preserve"> Evolution Petroleum Corporation (NYSE American: EPM) ("Evolution" or the "Company") today announced that its Board of Directors declared a cash dividend of $0.12 per share of common stock for its fiscal 2027 first quarter, payable on September 30, 2026, to stockholders of record as of September 21, 2026. This will be the 52</w:t>
      </w:r>
      <w:r>
        <w:rPr>
          <w:rFonts w:ascii="Segoe UI" w:hAnsi="Segoe UI"/>
          <w:sz w:val="16"/>
        </w:rPr>
        <w:t>nd</w:t>
      </w:r>
      <w:r>
        <w:rPr>
          <w:rFonts w:ascii="Segoe UI" w:hAnsi="Segoe UI"/>
          <w:sz w:val="21"/>
        </w:rPr>
        <w:t xml:space="preserve"> consecutive quarterly cash dividend on the Company's common stock since December 31, 2013.</w:t>
      </w:r>
    </w:p>
    <w:p>
      <w:pPr>
        <w:pStyle w:val="TextBody"/>
        <w:bidi w:val="0"/>
        <w:spacing w:lineRule="auto" w:line="331" w:before="280" w:after="120"/>
        <w:ind w:left="0" w:right="0" w:hanging="0"/>
        <w:jc w:val="both"/>
        <w:rPr>
          <w:rFonts w:ascii="Segoe UI Semibold" w:hAnsi="Segoe UI Semibold"/>
          <w:sz w:val="21"/>
        </w:rPr>
      </w:pPr>
      <w:r>
        <w:rPr>
          <w:rFonts w:ascii="Segoe UI Semibold" w:hAnsi="Segoe UI Semibold"/>
          <w:sz w:val="21"/>
        </w:rPr>
        <w:t>About Evolution Petroleum</w:t>
      </w:r>
    </w:p>
    <w:p>
      <w:pPr>
        <w:pStyle w:val="TextBody"/>
        <w:bidi w:val="0"/>
        <w:spacing w:lineRule="auto" w:line="331" w:before="0" w:after="160"/>
        <w:ind w:left="0" w:right="0" w:hanging="0"/>
        <w:jc w:val="both"/>
        <w:rPr>
          <w:rFonts w:ascii="Segoe UI" w:hAnsi="Segoe UI"/>
          <w:sz w:val="21"/>
        </w:rPr>
      </w:pPr>
      <w:r>
        <w:rPr>
          <w:rFonts w:ascii="Segoe UI" w:hAnsi="Segoe UI"/>
          <w:sz w:val="21"/>
        </w:rPr>
        <w:t>Evolution Petroleum Corporation is an independent energy company focused on maximizing total shareholder returns through the ownership of and investment in onshore oil and natural gas properties in the U.S. The Company aims to build and maintain a diversified portfolio of long-life oil and natural gas properties through acquisitions, selective development opportunities, production enhancements, and other exploitation efforts. Visit www.evolutionpetroleum.com for more information.</w:t>
      </w:r>
    </w:p>
    <w:p>
      <w:pPr>
        <w:pStyle w:val="TextBody"/>
        <w:bidi w:val="0"/>
        <w:spacing w:lineRule="auto" w:line="331" w:before="0" w:after="0"/>
        <w:ind w:left="0" w:right="0" w:hanging="0"/>
        <w:jc w:val="left"/>
        <w:rPr>
          <w:rFonts w:ascii="Segoe UI Semibold" w:hAnsi="Segoe UI Semibold"/>
          <w:sz w:val="21"/>
        </w:rPr>
      </w:pPr>
      <w:r>
        <w:rPr>
          <w:rFonts w:ascii="Segoe UI Semibold" w:hAnsi="Segoe UI Semibold"/>
          <w:sz w:val="21"/>
        </w:rPr>
        <w:t>Contact</w:t>
      </w:r>
    </w:p>
    <w:p>
      <w:pPr>
        <w:pStyle w:val="TextBody"/>
        <w:bidi w:val="0"/>
        <w:spacing w:lineRule="auto" w:line="331" w:before="0" w:after="0"/>
        <w:ind w:left="0" w:right="0" w:hanging="0"/>
        <w:jc w:val="left"/>
        <w:rPr>
          <w:rFonts w:ascii="Segoe UI" w:hAnsi="Segoe UI"/>
          <w:sz w:val="21"/>
        </w:rPr>
      </w:pPr>
      <w:r>
        <w:rPr>
          <w:rFonts w:ascii="Segoe UI" w:hAnsi="Segoe UI"/>
          <w:sz w:val="21"/>
        </w:rPr>
        <w:t>Investor Relations</w:t>
      </w:r>
    </w:p>
    <w:p>
      <w:pPr>
        <w:pStyle w:val="TextBody"/>
        <w:bidi w:val="0"/>
        <w:spacing w:lineRule="auto" w:line="331" w:before="0" w:after="0"/>
        <w:ind w:left="0" w:right="0" w:hanging="0"/>
        <w:jc w:val="left"/>
        <w:rPr>
          <w:rFonts w:ascii="Segoe UI" w:hAnsi="Segoe UI"/>
          <w:sz w:val="21"/>
        </w:rPr>
      </w:pPr>
      <w:r>
        <w:rPr>
          <w:rFonts w:ascii="Segoe UI" w:hAnsi="Segoe UI"/>
          <w:sz w:val="21"/>
        </w:rPr>
        <w:t>(713) 935-0122</w:t>
      </w:r>
    </w:p>
    <w:p>
      <w:pPr>
        <w:pStyle w:val="TextBody"/>
        <w:bidi w:val="0"/>
        <w:spacing w:lineRule="auto" w:line="331" w:before="0" w:after="0"/>
        <w:ind w:left="0" w:right="0" w:hanging="0"/>
        <w:jc w:val="left"/>
        <w:rPr>
          <w:rFonts w:ascii="Segoe UI" w:hAnsi="Segoe UI"/>
          <w:sz w:val="21"/>
        </w:rPr>
      </w:pPr>
      <w:r>
        <w:rPr>
          <w:rFonts w:ascii="Segoe UI" w:hAnsi="Segoe UI"/>
          <w:sz w:val="21"/>
        </w:rPr>
        <w:t>ir@evolutionpetroleum.com</w:t>
      </w:r>
    </w:p>
    <w:p>
      <w:pPr>
        <w:pStyle w:val="TextBody"/>
        <w:bidi w:val="0"/>
        <w:spacing w:lineRule="auto" w:line="285" w:before="0" w:after="16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w:charset w:val="01"/>
    <w:family w:val="auto"/>
    <w:pitch w:val="default"/>
  </w:font>
  <w:font w:name="Segoe UI Semi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6476</Words>
  <Characters>35313</Characters>
  <CharactersWithSpaces>43124</CharactersWithSpaces>
  <Paragraphs>4391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