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epm-20250930x10q.htm"/>
        <w:bookmarkStart w:id="1" w:name="ksepm202509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center"/>
        <w:rPr>
          <w:rFonts w:ascii="Times New Roman;Times;serif" w:hAnsi="Times New Roman;Times;serif"/>
          <w:b/>
          <w:sz w:val="2"/>
        </w:rPr>
      </w:pPr>
      <w:r>
        <w:rPr>
          <w:rFonts w:ascii="Times New Roman;Times;serif" w:hAnsi="Times New Roman;Times;serif"/>
          <w:b/>
          <w:sz w:val="2"/>
        </w:rPr>
        <w:t>no</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bookmarkStart w:id="2" w:name="_88171593_2add_4b3a_be5f_bcc8a27c7ab2"/>
      <w:bookmarkEnd w:id="2"/>
      <w:r>
        <w:rPr>
          <w:rFonts w:ascii="Times New Roman;Times;serif" w:hAnsi="Times New Roman;Times;serif"/>
          <w:b/>
          <w:sz w:val="18"/>
        </w:rPr>
        <w:t>UNITED STATES</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SECURITIES AND EXCHANGE COMMISSION</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FORM 10-Q</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 w:name="Tc_Wt6NRXdHOkmlAx0xtEQENA_1_1"/>
      <w:bookmarkStart w:id="4" w:name="_2fa85096_77a2_4581_823b_7944b3a01cd2"/>
      <w:bookmarkStart w:id="5" w:name="Tc_Wt6NRXdHOkmlAx0xtEQENA_1_1"/>
      <w:bookmarkStart w:id="6" w:name="_2fa85096_77a2_4581_823b_7944b3a01cd2"/>
      <w:bookmarkEnd w:id="5"/>
      <w:bookmarkEnd w:id="6"/>
    </w:p>
    <w:tbl>
      <w:tblPr>
        <w:tblW w:w="9752" w:type="dxa"/>
        <w:jc w:val="left"/>
        <w:tblInd w:w="0" w:type="dxa"/>
        <w:tblLayout w:type="fixed"/>
        <w:tblCellMar>
          <w:top w:w="0" w:type="dxa"/>
          <w:left w:w="0" w:type="dxa"/>
          <w:bottom w:w="0" w:type="dxa"/>
          <w:right w:w="0" w:type="dxa"/>
        </w:tblCellMar>
      </w:tblPr>
      <w:tblGrid>
        <w:gridCol w:w="331"/>
        <w:gridCol w:w="9421"/>
      </w:tblGrid>
      <w:tr>
        <w:trPr/>
        <w:tc>
          <w:tcPr>
            <w:tcW w:w="331" w:type="dxa"/>
            <w:tcBorders/>
            <w:vAlign w:val="center"/>
          </w:tcPr>
          <w:p>
            <w:pPr>
              <w:pStyle w:val="TableContents"/>
              <w:bidi w:val="0"/>
              <w:spacing w:before="0" w:after="0"/>
              <w:ind w:left="0" w:right="0" w:hanging="0"/>
              <w:jc w:val="left"/>
              <w:rPr/>
            </w:pPr>
            <w:r>
              <w:rPr/>
              <w:t>​</w:t>
            </w:r>
          </w:p>
        </w:tc>
        <w:tc>
          <w:tcPr>
            <w:tcW w:w="942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942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For the quarterly period ended September 30, 2025</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7" w:name="Tc_aaM2rfWIgkSa9ITZx4ExrA_1_1"/>
      <w:bookmarkStart w:id="8" w:name="_af930417_011f_4f11_9677_879e1df9540b"/>
      <w:bookmarkStart w:id="9" w:name="Tc_aaM2rfWIgkSa9ITZx4ExrA_1_1"/>
      <w:bookmarkStart w:id="10" w:name="_af930417_011f_4f11_9677_879e1df9540b"/>
      <w:bookmarkEnd w:id="9"/>
      <w:bookmarkEnd w:id="10"/>
    </w:p>
    <w:tbl>
      <w:tblPr>
        <w:tblW w:w="9752" w:type="dxa"/>
        <w:jc w:val="left"/>
        <w:tblInd w:w="0" w:type="dxa"/>
        <w:tblLayout w:type="fixed"/>
        <w:tblCellMar>
          <w:top w:w="0" w:type="dxa"/>
          <w:left w:w="0" w:type="dxa"/>
          <w:bottom w:w="0" w:type="dxa"/>
          <w:right w:w="0" w:type="dxa"/>
        </w:tblCellMar>
      </w:tblPr>
      <w:tblGrid>
        <w:gridCol w:w="331"/>
        <w:gridCol w:w="9421"/>
      </w:tblGrid>
      <w:tr>
        <w:trPr/>
        <w:tc>
          <w:tcPr>
            <w:tcW w:w="331" w:type="dxa"/>
            <w:tcBorders/>
            <w:vAlign w:val="center"/>
          </w:tcPr>
          <w:p>
            <w:pPr>
              <w:pStyle w:val="TableContents"/>
              <w:bidi w:val="0"/>
              <w:spacing w:before="0" w:after="0"/>
              <w:ind w:left="0" w:right="0" w:hanging="0"/>
              <w:jc w:val="left"/>
              <w:rPr/>
            </w:pPr>
            <w:r>
              <w:rPr/>
              <w:t>​</w:t>
            </w:r>
          </w:p>
        </w:tc>
        <w:tc>
          <w:tcPr>
            <w:tcW w:w="942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40"/>
              <w:ind w:left="0" w:right="0" w:hanging="0"/>
              <w:jc w:val="center"/>
              <w:rPr/>
            </w:pPr>
            <w:r>
              <w:rPr/>
              <w:t>☐</w:t>
            </w:r>
          </w:p>
        </w:tc>
        <w:tc>
          <w:tcPr>
            <w:tcW w:w="9421" w:type="dxa"/>
            <w:tcBorders/>
            <w:vAlign w:val="center"/>
          </w:tcPr>
          <w:p>
            <w:pPr>
              <w:pStyle w:val="TableContents"/>
              <w:bidi w:val="0"/>
              <w:spacing w:before="0" w:after="40"/>
              <w:ind w:left="0" w:right="0" w:hanging="0"/>
              <w:jc w:val="left"/>
              <w:rPr>
                <w:rFonts w:ascii="Times New Roman;Times;serif" w:hAnsi="Times New Roman;Times;serif"/>
                <w:b/>
                <w:sz w:val="18"/>
              </w:rPr>
            </w:pPr>
            <w:r>
              <w:rPr>
                <w:rFonts w:ascii="Times New Roman;Times;serif" w:hAnsi="Times New Roman;Times;serif"/>
                <w:b/>
                <w:sz w:val="18"/>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80"/>
        <w:ind w:left="0" w:right="0" w:hanging="0"/>
        <w:jc w:val="center"/>
        <w:rPr>
          <w:rFonts w:ascii="Times New Roman;Times;serif" w:hAnsi="Times New Roman;Times;serif"/>
          <w:b/>
          <w:sz w:val="14"/>
        </w:rPr>
      </w:pPr>
      <w:r>
        <w:rPr>
          <w:rFonts w:ascii="Times New Roman;Times;serif" w:hAnsi="Times New Roman;Times;serif"/>
          <w:b/>
          <w:sz w:val="14"/>
        </w:rPr>
        <w:t>For the transition period from                to</w:t>
      </w:r>
    </w:p>
    <w:p>
      <w:pPr>
        <w:pStyle w:val="TextBody"/>
        <w:bidi w:val="0"/>
        <w:spacing w:before="0" w:after="80"/>
        <w:ind w:left="0" w:right="0" w:hanging="0"/>
        <w:jc w:val="center"/>
        <w:rPr>
          <w:rFonts w:ascii="Times New Roman;Times;serif" w:hAnsi="Times New Roman;Times;serif"/>
          <w:b/>
          <w:sz w:val="14"/>
        </w:rPr>
      </w:pPr>
      <w:r>
        <w:rPr>
          <w:rFonts w:ascii="Times New Roman;Times;serif" w:hAnsi="Times New Roman;Times;serif"/>
          <w:b/>
          <w:sz w:val="14"/>
        </w:rPr>
        <w:t>Commission File Number 001-32942</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EVOLUTION PETROLEUM CORPORATION</w:t>
      </w:r>
    </w:p>
    <w:p>
      <w:pPr>
        <w:pStyle w:val="TextBody"/>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bidi w:val="0"/>
        <w:spacing w:before="0" w:after="0"/>
        <w:ind w:left="0" w:right="0" w:hanging="0"/>
        <w:jc w:val="center"/>
        <w:rPr/>
      </w:pPr>
      <w:r>
        <w:rPr/>
        <w:drawing>
          <wp:inline distT="0" distB="0" distL="0" distR="0">
            <wp:extent cx="2070100" cy="533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70100" cy="533400"/>
                    </a:xfrm>
                    <a:prstGeom prst="rect">
                      <a:avLst/>
                    </a:prstGeom>
                  </pic:spPr>
                </pic:pic>
              </a:graphicData>
            </a:graphic>
          </wp:inline>
        </w:drawing>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1" w:name="Tc_xYGD0Rv8zU6B1V2i5wkL3Q_2_2"/>
      <w:bookmarkStart w:id="12" w:name="Tc_imQC2F_sf025hJKw5UyJNQ_2_0"/>
      <w:bookmarkStart w:id="13" w:name="_fd1beca5_de47_40f7_9962_f379b5f73a9f"/>
      <w:bookmarkStart w:id="14" w:name="Tc_xYGD0Rv8zU6B1V2i5wkL3Q_2_2"/>
      <w:bookmarkStart w:id="15" w:name="Tc_imQC2F_sf025hJKw5UyJNQ_2_0"/>
      <w:bookmarkStart w:id="16" w:name="_fd1beca5_de47_40f7_9962_f379b5f73a9f"/>
      <w:bookmarkEnd w:id="14"/>
      <w:bookmarkEnd w:id="15"/>
      <w:bookmarkEnd w:id="16"/>
    </w:p>
    <w:tbl>
      <w:tblPr>
        <w:tblW w:w="4018" w:type="dxa"/>
        <w:jc w:val="left"/>
        <w:tblInd w:w="0" w:type="dxa"/>
        <w:tblLayout w:type="fixed"/>
        <w:tblCellMar>
          <w:top w:w="0" w:type="dxa"/>
          <w:left w:w="0" w:type="dxa"/>
          <w:bottom w:w="0" w:type="dxa"/>
          <w:right w:w="0" w:type="dxa"/>
        </w:tblCellMar>
      </w:tblPr>
      <w:tblGrid>
        <w:gridCol w:w="2236"/>
        <w:gridCol w:w="326"/>
        <w:gridCol w:w="1456"/>
      </w:tblGrid>
      <w:tr>
        <w:trPr/>
        <w:tc>
          <w:tcPr>
            <w:tcW w:w="2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419860" cy="175260"/>
                      <wp:effectExtent l="0" t="0" r="0" b="0"/>
                      <wp:wrapNone/>
                      <wp:docPr id="2" name="Frame1"/>
                      <a:graphic xmlns:a="http://schemas.openxmlformats.org/drawingml/2006/main">
                        <a:graphicData uri="http://schemas.microsoft.com/office/word/2010/wordprocessingShape">
                          <wps:wsp>
                            <wps:cNvSpPr txBox="1"/>
                            <wps:spPr>
                              <a:xfrm>
                                <a:off x="0" y="0"/>
                                <a:ext cx="141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924560" cy="175260"/>
                      <wp:effectExtent l="0" t="0" r="0" b="0"/>
                      <wp:wrapNone/>
                      <wp:docPr id="3" name="Frame2"/>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3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Nevada</w:t>
            </w:r>
          </w:p>
        </w:tc>
        <w:tc>
          <w:tcPr>
            <w:tcW w:w="326"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41-1781991</w:t>
            </w:r>
          </w:p>
        </w:tc>
      </w:tr>
      <w:tr>
        <w:trPr/>
        <w:tc>
          <w:tcPr>
            <w:tcW w:w="223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 xml:space="preserve">(State or other jurisdiction of </w:t>
              <w:br/>
              <w:t>incorporation or organization)</w:t>
            </w:r>
          </w:p>
        </w:tc>
        <w:tc>
          <w:tcPr>
            <w:tcW w:w="32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 xml:space="preserve">(IRS Employer </w:t>
            </w:r>
          </w:p>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4"/>
        </w:rPr>
        <w:t>1155 Dairy Ashford Road, Suite 425, Houston, Texas</w:t>
      </w:r>
      <w:r>
        <w:rPr>
          <w:rFonts w:ascii="Times New Roman;Times;serif" w:hAnsi="Times New Roman;Times;serif"/>
          <w:sz w:val="20"/>
        </w:rPr>
        <w:t xml:space="preserve"> </w:t>
      </w:r>
      <w:r>
        <w:rPr>
          <w:rFonts w:ascii="Times New Roman;Times;serif" w:hAnsi="Times New Roman;Times;serif"/>
          <w:b/>
          <w:sz w:val="14"/>
        </w:rPr>
        <w:t>77079</w:t>
      </w:r>
    </w:p>
    <w:p>
      <w:pPr>
        <w:pStyle w:val="TextBody"/>
        <w:bidi w:val="0"/>
        <w:spacing w:before="0" w:after="80"/>
        <w:ind w:left="0" w:right="0" w:hanging="0"/>
        <w:jc w:val="center"/>
        <w:rPr>
          <w:rFonts w:ascii="Times New Roman;Times;serif" w:hAnsi="Times New Roman;Times;serif"/>
          <w:sz w:val="14"/>
        </w:rPr>
      </w:pPr>
      <w:r>
        <w:rPr>
          <w:rFonts w:ascii="Times New Roman;Times;serif" w:hAnsi="Times New Roman;Times;serif"/>
          <w:sz w:val="14"/>
        </w:rPr>
        <w:t>(Address of principal executive offices and zip code)</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(713) 935-0122</w:t>
      </w:r>
    </w:p>
    <w:p>
      <w:pPr>
        <w:pStyle w:val="TextBody"/>
        <w:bidi w:val="0"/>
        <w:spacing w:before="0" w:after="80"/>
        <w:ind w:left="0" w:right="0" w:hanging="0"/>
        <w:jc w:val="center"/>
        <w:rPr>
          <w:rFonts w:ascii="Times New Roman;Times;serif" w:hAnsi="Times New Roman;Times;serif"/>
          <w:sz w:val="14"/>
        </w:rPr>
      </w:pPr>
      <w:r>
        <w:rPr>
          <w:rFonts w:ascii="Times New Roman;Times;serif" w:hAnsi="Times New Roman;Times;serif"/>
          <w:sz w:val="14"/>
        </w:rPr>
        <w:t>(Registrant’s telephone number, including area code)</w:t>
      </w:r>
    </w:p>
    <w:p>
      <w:pPr>
        <w:pStyle w:val="TextBody"/>
        <w:bidi w:val="0"/>
        <w:spacing w:before="0" w:after="80"/>
        <w:ind w:left="0" w:right="0" w:hanging="0"/>
        <w:jc w:val="left"/>
        <w:rPr>
          <w:rFonts w:ascii="Times New Roman;Times;serif" w:hAnsi="Times New Roman;Times;serif"/>
          <w:sz w:val="14"/>
        </w:rPr>
      </w:pPr>
      <w:r>
        <w:rPr>
          <w:rFonts w:ascii="Times New Roman;Times;serif" w:hAnsi="Times New Roman;Times;serif"/>
          <w:sz w:val="14"/>
        </w:rPr>
        <w:t>Securities registered pursuant to Section 12(b) of the Act:</w:t>
      </w:r>
    </w:p>
    <w:p>
      <w:pPr>
        <w:pStyle w:val="Normal"/>
        <w:bidi w:val="0"/>
        <w:spacing w:before="0" w:after="0"/>
        <w:jc w:val="left"/>
        <w:rPr>
          <w:sz w:val="4"/>
          <w:szCs w:val="4"/>
        </w:rPr>
      </w:pPr>
      <w:r>
        <w:rPr>
          <w:sz w:val="4"/>
          <w:szCs w:val="4"/>
        </w:rPr>
      </w:r>
      <w:bookmarkStart w:id="17" w:name="Tc_ioY8vCEoKUyRu6UvkIuyBg_1_4"/>
      <w:bookmarkStart w:id="18" w:name="Tc_fvk2lMXR9kqdVjKvEZMZ3g_1_2"/>
      <w:bookmarkStart w:id="19" w:name="Tc_HpZdyBJmlUWVCrds1Ckc_g_1_0"/>
      <w:bookmarkStart w:id="20" w:name="_2ccd0b3c_0436_4571_b5e9_837a8404eef0"/>
      <w:bookmarkStart w:id="21" w:name="Tc_ioY8vCEoKUyRu6UvkIuyBg_1_4"/>
      <w:bookmarkStart w:id="22" w:name="Tc_fvk2lMXR9kqdVjKvEZMZ3g_1_2"/>
      <w:bookmarkStart w:id="23" w:name="Tc_HpZdyBJmlUWVCrds1Ckc_g_1_0"/>
      <w:bookmarkStart w:id="24" w:name="_2ccd0b3c_0436_4571_b5e9_837a8404eef0"/>
      <w:bookmarkEnd w:id="21"/>
      <w:bookmarkEnd w:id="22"/>
      <w:bookmarkEnd w:id="23"/>
      <w:bookmarkEnd w:id="24"/>
    </w:p>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78740" cy="1635760"/>
                      <wp:effectExtent l="0" t="0" r="0" b="0"/>
                      <wp:wrapNone/>
                      <wp:docPr id="4" name="Frame3"/>
                      <a:graphic xmlns:a="http://schemas.openxmlformats.org/drawingml/2006/main">
                        <a:graphicData uri="http://schemas.microsoft.com/office/word/2010/wordprocessingShape">
                          <wps:wsp>
                            <wps:cNvSpPr txBox="1"/>
                            <wps:spPr>
                              <a:xfrm>
                                <a:off x="0" y="0"/>
                                <a:ext cx="78740" cy="163576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Title of Each Class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28.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Title of Each Class</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9215" cy="350520"/>
                      <wp:effectExtent l="0" t="0" r="0" b="0"/>
                      <wp:wrapNone/>
                      <wp:docPr id="5" name="Frame4"/>
                      <a:graphic xmlns:a="http://schemas.openxmlformats.org/drawingml/2006/main">
                        <a:graphicData uri="http://schemas.microsoft.com/office/word/2010/wordprocessingShape">
                          <wps:wsp>
                            <wps:cNvSpPr txBox="1"/>
                            <wps:spPr>
                              <a:xfrm>
                                <a:off x="0" y="0"/>
                                <a:ext cx="69215" cy="350520"/>
                              </a:xfrm>
                              <a:prstGeom prst="rect"/>
                              <a:solidFill>
                                <a:srgbClr val="FFFFFF"/>
                              </a:solidFill>
                            </wps:spPr>
                            <wps:txbx>
                              <w:txbxContent>
                                <w:p>
                                  <w:pPr>
                                    <w:pStyle w:val="TableContents"/>
                                    <w:bidi w:val="0"/>
                                    <w:spacing w:before="0" w:after="0"/>
                                    <w:ind w:left="0" w:right="0" w:hanging="0"/>
                                    <w:jc w:val="left"/>
                                    <w:rPr/>
                                  </w:pPr>
                                  <w:r>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   </w:t>
                            </w:r>
                          </w:p>
                        </w:txbxContent>
                      </v:textbox>
                      <w10:wrap type="none"/>
                    </v:rect>
                  </w:pict>
                </mc:Fallback>
              </mc:AlternateContent>
            </w:r>
          </w:p>
        </w:tc>
        <w:tc>
          <w:tcPr>
            <w:tcW w:w="109"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9215" cy="1752600"/>
                      <wp:effectExtent l="0" t="0" r="0" b="0"/>
                      <wp:wrapNone/>
                      <wp:docPr id="6" name="Frame5"/>
                      <a:graphic xmlns:a="http://schemas.openxmlformats.org/drawingml/2006/main">
                        <a:graphicData uri="http://schemas.microsoft.com/office/word/2010/wordprocessingShape">
                          <wps:wsp>
                            <wps:cNvSpPr txBox="1"/>
                            <wps:spPr>
                              <a:xfrm>
                                <a:off x="0" y="0"/>
                                <a:ext cx="69215" cy="175260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Trading Symbol(s)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Trading Symbol(s)</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9215" cy="350520"/>
                      <wp:effectExtent l="0" t="0" r="0" b="0"/>
                      <wp:wrapNone/>
                      <wp:docPr id="7" name="Frame6"/>
                      <a:graphic xmlns:a="http://schemas.openxmlformats.org/drawingml/2006/main">
                        <a:graphicData uri="http://schemas.microsoft.com/office/word/2010/wordprocessingShape">
                          <wps:wsp>
                            <wps:cNvSpPr txBox="1"/>
                            <wps:spPr>
                              <a:xfrm>
                                <a:off x="0" y="0"/>
                                <a:ext cx="69215" cy="350520"/>
                              </a:xfrm>
                              <a:prstGeom prst="rect"/>
                              <a:solidFill>
                                <a:srgbClr val="FFFFFF"/>
                              </a:solidFill>
                            </wps:spPr>
                            <wps:txbx>
                              <w:txbxContent>
                                <w:p>
                                  <w:pPr>
                                    <w:pStyle w:val="TableContents"/>
                                    <w:bidi w:val="0"/>
                                    <w:spacing w:before="0" w:after="0"/>
                                    <w:ind w:left="0" w:right="0" w:hanging="0"/>
                                    <w:jc w:val="left"/>
                                    <w:rPr/>
                                  </w:pPr>
                                  <w:r>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   </w:t>
                            </w:r>
                          </w:p>
                        </w:txbxContent>
                      </v:textbox>
                      <w10:wrap type="none"/>
                    </v:rect>
                  </w:pict>
                </mc:Fallback>
              </mc:AlternateContent>
            </w:r>
          </w:p>
        </w:tc>
        <w:tc>
          <w:tcPr>
            <w:tcW w:w="154"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97790" cy="3037840"/>
                      <wp:effectExtent l="0" t="0" r="0" b="0"/>
                      <wp:wrapNone/>
                      <wp:docPr id="8" name="Frame7"/>
                      <a:graphic xmlns:a="http://schemas.openxmlformats.org/drawingml/2006/main">
                        <a:graphicData uri="http://schemas.microsoft.com/office/word/2010/wordprocessingShape">
                          <wps:wsp>
                            <wps:cNvSpPr txBox="1"/>
                            <wps:spPr>
                              <a:xfrm>
                                <a:off x="0" y="0"/>
                                <a:ext cx="97790" cy="303784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9.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xbxContent>
                      </v:textbox>
                      <w10:wrap type="none"/>
                    </v:rect>
                  </w:pict>
                </mc:Fallback>
              </mc:AlternateContent>
            </w:r>
          </w:p>
        </w:tc>
      </w:tr>
      <w:tr>
        <w:trPr/>
        <w:tc>
          <w:tcPr>
            <w:tcW w:w="124"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78740" cy="2146935"/>
                      <wp:effectExtent l="0" t="0" r="0" b="0"/>
                      <wp:wrapNone/>
                      <wp:docPr id="9" name="Frame8"/>
                      <a:graphic xmlns:a="http://schemas.openxmlformats.org/drawingml/2006/main">
                        <a:graphicData uri="http://schemas.microsoft.com/office/word/2010/wordprocessingShape">
                          <wps:wsp>
                            <wps:cNvSpPr txBox="1"/>
                            <wps:spPr>
                              <a:xfrm>
                                <a:off x="0" y="0"/>
                                <a:ext cx="78740" cy="2146935"/>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sz w:val="14"/>
                                    </w:rPr>
                                  </w:pPr>
                                  <w:r>
                                    <w:rPr>
                                      <w:rFonts w:ascii="Times New Roman;Times;serif" w:hAnsi="Times New Roman;Times;serif"/>
                                      <w:sz w:val="14"/>
                                    </w:rPr>
                                    <w:t>Common Stock, $0.001 par value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69.0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sz w:val="14"/>
                              </w:rPr>
                            </w:pPr>
                            <w:r>
                              <w:rPr>
                                <w:rFonts w:ascii="Times New Roman;Times;serif" w:hAnsi="Times New Roman;Times;serif"/>
                                <w:sz w:val="14"/>
                              </w:rPr>
                              <w:t>Common Stock, $0.001 par value</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9215" cy="175260"/>
                      <wp:effectExtent l="0" t="0" r="0" b="0"/>
                      <wp:wrapNone/>
                      <wp:docPr id="10" name="Frame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2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40"/>
                              <w:ind w:left="0" w:right="0" w:hanging="0"/>
                              <w:jc w:val="left"/>
                              <w:rPr/>
                            </w:pPr>
                            <w:r>
                              <w:rPr/>
                              <w:t>​</w:t>
                            </w:r>
                          </w:p>
                        </w:txbxContent>
                      </v:textbox>
                      <w10:wrap type="none"/>
                    </v:rect>
                  </w:pict>
                </mc:Fallback>
              </mc:AlternateContent>
            </w:r>
          </w:p>
        </w:tc>
        <w:tc>
          <w:tcPr>
            <w:tcW w:w="109"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9215" cy="306705"/>
                      <wp:effectExtent l="0" t="0" r="0" b="0"/>
                      <wp:wrapNone/>
                      <wp:docPr id="11" name="Frame10"/>
                      <a:graphic xmlns:a="http://schemas.openxmlformats.org/drawingml/2006/main">
                        <a:graphicData uri="http://schemas.microsoft.com/office/word/2010/wordprocessingShape">
                          <wps:wsp>
                            <wps:cNvSpPr txBox="1"/>
                            <wps:spPr>
                              <a:xfrm>
                                <a:off x="0" y="0"/>
                                <a:ext cx="69215" cy="306705"/>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sz w:val="14"/>
                                    </w:rPr>
                                  </w:pPr>
                                  <w:r>
                                    <w:rPr>
                                      <w:rFonts w:ascii="Times New Roman;Times;serif" w:hAnsi="Times New Roman;Times;serif"/>
                                      <w:sz w:val="14"/>
                                    </w:rPr>
                                    <w:t>EPM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sz w:val="14"/>
                              </w:rPr>
                            </w:pPr>
                            <w:r>
                              <w:rPr>
                                <w:rFonts w:ascii="Times New Roman;Times;serif" w:hAnsi="Times New Roman;Times;serif"/>
                                <w:sz w:val="14"/>
                              </w:rPr>
                              <w:t>EPM</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9215" cy="175260"/>
                      <wp:effectExtent l="0" t="0" r="0" b="0"/>
                      <wp:wrapNone/>
                      <wp:docPr id="12" name="Frame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2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40"/>
                              <w:ind w:left="0" w:right="0" w:hanging="0"/>
                              <w:jc w:val="left"/>
                              <w:rPr/>
                            </w:pPr>
                            <w:r>
                              <w:rPr/>
                              <w:t>​</w:t>
                            </w:r>
                          </w:p>
                        </w:txbxContent>
                      </v:textbox>
                      <w10:wrap type="none"/>
                    </v:rect>
                  </w:pict>
                </mc:Fallback>
              </mc:AlternateContent>
            </w:r>
          </w:p>
        </w:tc>
        <w:tc>
          <w:tcPr>
            <w:tcW w:w="154" w:type="dxa"/>
            <w:tcBorders>
              <w:top w:val="single" w:sz="2" w:space="0" w:color="000000"/>
            </w:tcBorders>
            <w:tcMar>
              <w:top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97790" cy="920115"/>
                      <wp:effectExtent l="0" t="0" r="0" b="0"/>
                      <wp:wrapNone/>
                      <wp:docPr id="13" name="Frame12"/>
                      <a:graphic xmlns:a="http://schemas.openxmlformats.org/drawingml/2006/main">
                        <a:graphicData uri="http://schemas.microsoft.com/office/word/2010/wordprocessingShape">
                          <wps:wsp>
                            <wps:cNvSpPr txBox="1"/>
                            <wps:spPr>
                              <a:xfrm>
                                <a:off x="0" y="0"/>
                                <a:ext cx="97790" cy="920115"/>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sz w:val="14"/>
                                    </w:rPr>
                                  </w:pPr>
                                  <w:r>
                                    <w:rPr>
                                      <w:rFonts w:ascii="Times New Roman;Times;serif" w:hAnsi="Times New Roman;Times;serif"/>
                                      <w:sz w:val="14"/>
                                    </w:rPr>
                                    <w:t>NYSE American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7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sz w:val="14"/>
                              </w:rPr>
                            </w:pPr>
                            <w:r>
                              <w:rPr>
                                <w:rFonts w:ascii="Times New Roman;Times;serif" w:hAnsi="Times New Roman;Times;serif"/>
                                <w:sz w:val="14"/>
                              </w:rPr>
                              <w:t>NYSE American</w:t>
                            </w:r>
                          </w:p>
                        </w:txbxContent>
                      </v:textbox>
                      <w10:wrap type="none"/>
                    </v:rect>
                  </w:pict>
                </mc:Fallback>
              </mc:AlternateContent>
            </w:r>
          </w:p>
        </w:tc>
      </w:tr>
    </w:tbl>
    <w:p>
      <w:pPr>
        <w:pStyle w:val="TextBody"/>
        <w:bidi w:val="0"/>
        <w:spacing w:before="0" w:after="0"/>
        <w:ind w:left="0" w:right="0" w:hanging="0"/>
        <w:jc w:val="left"/>
        <w:rPr/>
      </w:pPr>
      <w:r>
        <w:rPr/>
        <w:t>​</w:t>
      </w:r>
    </w:p>
    <w:p>
      <w:pPr>
        <w:pStyle w:val="TextBody"/>
        <w:bidi w:val="0"/>
        <w:spacing w:before="0" w:after="80"/>
        <w:ind w:left="0" w:right="0" w:hanging="0"/>
        <w:jc w:val="left"/>
        <w:rPr>
          <w:rFonts w:ascii="Times New Roman;Times;serif" w:hAnsi="Times New Roman;Times;serif"/>
          <w:sz w:val="20"/>
        </w:rPr>
      </w:pPr>
      <w:r>
        <w:rPr>
          <w:rFonts w:ascii="Times New Roman;Times;serif" w:hAnsi="Times New Roman;Times;serif"/>
          <w:sz w:val="14"/>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Times;serif" w:hAnsi="Times New Roman;Times;serif"/>
          <w:sz w:val="20"/>
        </w:rPr>
        <w:t>☒    </w:t>
      </w:r>
      <w:r>
        <w:rPr>
          <w:rFonts w:ascii="Times New Roman;Times;serif" w:hAnsi="Times New Roman;Times;serif"/>
          <w:sz w:val="14"/>
        </w:rPr>
        <w:t>No: </w:t>
      </w:r>
      <w:r>
        <w:rPr>
          <w:rFonts w:ascii="Times New Roman;Times;serif" w:hAnsi="Times New Roman;Times;serif"/>
          <w:sz w:val="20"/>
        </w:rPr>
        <w:t>☐</w:t>
      </w:r>
    </w:p>
    <w:p>
      <w:pPr>
        <w:pStyle w:val="TextBody"/>
        <w:bidi w:val="0"/>
        <w:spacing w:before="0" w:after="80"/>
        <w:ind w:left="0" w:right="0" w:hanging="0"/>
        <w:jc w:val="left"/>
        <w:rPr>
          <w:rFonts w:ascii="Times New Roman;Times;serif" w:hAnsi="Times New Roman;Times;serif"/>
          <w:sz w:val="20"/>
        </w:rPr>
      </w:pPr>
      <w:r>
        <w:rPr>
          <w:rFonts w:ascii="Times New Roman;Times;serif" w:hAnsi="Times New Roman;Times;serif"/>
          <w:sz w:val="14"/>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Times New Roman;Times;serif" w:hAnsi="Times New Roman;Times;serif"/>
          <w:sz w:val="20"/>
        </w:rPr>
        <w:t>☒    </w:t>
      </w:r>
      <w:r>
        <w:rPr>
          <w:rFonts w:ascii="Times New Roman;Times;serif" w:hAnsi="Times New Roman;Times;serif"/>
          <w:sz w:val="14"/>
        </w:rPr>
        <w:t>No: </w:t>
      </w:r>
      <w:r>
        <w:rPr>
          <w:rFonts w:ascii="Times New Roman;Times;serif" w:hAnsi="Times New Roman;Times;serif"/>
          <w:sz w:val="20"/>
        </w:rPr>
        <w:t>☐</w:t>
      </w:r>
    </w:p>
    <w:p>
      <w:pPr>
        <w:pStyle w:val="TextBody"/>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Indicate by check mark whether the registrant is a large accelerated filer, an accelerated filer, a non-accelerated filer, a smaller reporting company, or an emerging growth company. See the definition of "large accelerated filer", "accelerated filer", "smaller reporting company" and "emerging growth company" in Rule 12b-2 of the Exchange Act.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25" w:name="Tc_S8VKvSm130Orrkd-fvI7gw_3_6"/>
      <w:bookmarkStart w:id="26" w:name="Tc_n6f-IaoPV0ibHyFZdhgCvA_2_6"/>
      <w:bookmarkStart w:id="27" w:name="Tc_aXxJ4hh3pEW7Z8vq7GObbQ_2_5"/>
      <w:bookmarkStart w:id="28" w:name="Tc_JA4MMDzwmEem-rmnRn_Xrw_2_3"/>
      <w:bookmarkStart w:id="29" w:name="Tc_8eG7qOwJw02h0JCr0EWIWw_2_2"/>
      <w:bookmarkStart w:id="30" w:name="Tc_mXWuCbgYU0m5pyLxhSLZbQ_2_1"/>
      <w:bookmarkStart w:id="31" w:name="Tc_8Vw0ssHvEUeWvQN8oKa-vg_2_0"/>
      <w:bookmarkStart w:id="32" w:name="_0c033832_2356_4576_94cf_d4be85956822"/>
      <w:bookmarkStart w:id="33" w:name="Tc_S8VKvSm130Orrkd-fvI7gw_3_6"/>
      <w:bookmarkStart w:id="34" w:name="Tc_n6f-IaoPV0ibHyFZdhgCvA_2_6"/>
      <w:bookmarkStart w:id="35" w:name="Tc_aXxJ4hh3pEW7Z8vq7GObbQ_2_5"/>
      <w:bookmarkStart w:id="36" w:name="Tc_JA4MMDzwmEem-rmnRn_Xrw_2_3"/>
      <w:bookmarkStart w:id="37" w:name="Tc_8eG7qOwJw02h0JCr0EWIWw_2_2"/>
      <w:bookmarkStart w:id="38" w:name="Tc_mXWuCbgYU0m5pyLxhSLZbQ_2_1"/>
      <w:bookmarkStart w:id="39" w:name="Tc_8Vw0ssHvEUeWvQN8oKa-vg_2_0"/>
      <w:bookmarkStart w:id="40" w:name="_0c033832_2356_4576_94cf_d4be85956822"/>
      <w:bookmarkEnd w:id="33"/>
      <w:bookmarkEnd w:id="34"/>
      <w:bookmarkEnd w:id="35"/>
      <w:bookmarkEnd w:id="36"/>
      <w:bookmarkEnd w:id="37"/>
      <w:bookmarkEnd w:id="38"/>
      <w:bookmarkEnd w:id="39"/>
      <w:bookmarkEnd w:id="40"/>
    </w:p>
    <w:tbl>
      <w:tblPr>
        <w:tblW w:w="6758" w:type="dxa"/>
        <w:jc w:val="left"/>
        <w:tblInd w:w="0" w:type="dxa"/>
        <w:tblLayout w:type="fixed"/>
        <w:tblCellMar>
          <w:top w:w="0" w:type="dxa"/>
          <w:left w:w="0" w:type="dxa"/>
          <w:bottom w:w="0" w:type="dxa"/>
          <w:right w:w="0" w:type="dxa"/>
        </w:tblCellMar>
      </w:tblPr>
      <w:tblGrid>
        <w:gridCol w:w="1396"/>
        <w:gridCol w:w="316"/>
        <w:gridCol w:w="1036"/>
        <w:gridCol w:w="316"/>
        <w:gridCol w:w="1291"/>
        <w:gridCol w:w="316"/>
        <w:gridCol w:w="1726"/>
        <w:gridCol w:w="361"/>
      </w:tblGrid>
      <w:tr>
        <w:trPr/>
        <w:tc>
          <w:tcPr>
            <w:tcW w:w="139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39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Large accelerated filer </w:t>
            </w:r>
          </w:p>
        </w:tc>
        <w:tc>
          <w:tcPr>
            <w:tcW w:w="31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Accelerated filer</w:t>
            </w:r>
          </w:p>
        </w:tc>
        <w:tc>
          <w:tcPr>
            <w:tcW w:w="316" w:type="dxa"/>
            <w:tcBorders/>
            <w:vAlign w:val="center"/>
          </w:tcPr>
          <w:p>
            <w:pPr>
              <w:pStyle w:val="TableContents"/>
              <w:bidi w:val="0"/>
              <w:spacing w:before="0" w:after="0"/>
              <w:ind w:left="0" w:right="0" w:hanging="0"/>
              <w:jc w:val="both"/>
              <w:rPr/>
            </w:pPr>
            <w:r>
              <w:rPr/>
              <w:t>☐</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Non-accelerated filer</w:t>
            </w:r>
          </w:p>
        </w:tc>
        <w:tc>
          <w:tcPr>
            <w:tcW w:w="316"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Smaller reporting company  </w:t>
            </w:r>
          </w:p>
        </w:tc>
        <w:tc>
          <w:tcPr>
            <w:tcW w:w="361" w:type="dxa"/>
            <w:tcBorders/>
            <w:vAlign w:val="center"/>
          </w:tcPr>
          <w:p>
            <w:pPr>
              <w:pStyle w:val="TableContents"/>
              <w:bidi w:val="0"/>
              <w:spacing w:before="0" w:after="0"/>
              <w:ind w:left="0" w:right="0" w:hanging="0"/>
              <w:jc w:val="left"/>
              <w:rPr/>
            </w:pPr>
            <w:r>
              <w:rPr/>
              <w:t>☒</w:t>
            </w:r>
          </w:p>
        </w:tc>
      </w:tr>
      <w:tr>
        <w:trPr/>
        <w:tc>
          <w:tcPr>
            <w:tcW w:w="1396"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left"/>
              <w:rPr/>
            </w:pPr>
            <w:r>
              <w:rPr/>
              <w:t>​</w:t>
            </w:r>
          </w:p>
        </w:tc>
        <w:tc>
          <w:tcPr>
            <w:tcW w:w="1036"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both"/>
              <w:rPr/>
            </w:pPr>
            <w:r>
              <w:rPr/>
              <w:t>​</w:t>
            </w:r>
          </w:p>
        </w:tc>
        <w:tc>
          <w:tcPr>
            <w:tcW w:w="1291"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left"/>
              <w:rPr/>
            </w:pPr>
            <w:r>
              <w:rPr/>
              <w:t>​</w:t>
            </w:r>
          </w:p>
        </w:tc>
        <w:tc>
          <w:tcPr>
            <w:tcW w:w="17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80"/>
        <w:ind w:left="0" w:right="0" w:hanging="0"/>
        <w:jc w:val="left"/>
        <w:rPr>
          <w:rFonts w:ascii="Times New Roman;Times;serif" w:hAnsi="Times New Roman;Times;serif"/>
          <w:sz w:val="14"/>
        </w:rPr>
      </w:pPr>
      <w:r>
        <w:rPr>
          <w:rFonts w:ascii="Times New Roman;Times;serif" w:hAnsi="Times New Roman;Times;serif"/>
          <w:sz w:val="14"/>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80"/>
        <w:ind w:left="0" w:right="0" w:hanging="0"/>
        <w:jc w:val="left"/>
        <w:rPr>
          <w:rFonts w:ascii="Times New Roman;Times;serif" w:hAnsi="Times New Roman;Times;serif"/>
          <w:sz w:val="20"/>
        </w:rPr>
      </w:pPr>
      <w:r>
        <w:rPr>
          <w:rFonts w:ascii="Times New Roman;Times;serif" w:hAnsi="Times New Roman;Times;serif"/>
          <w:sz w:val="14"/>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4"/>
        </w:rPr>
        <w:t>No: </w:t>
      </w:r>
      <w:r>
        <w:rPr>
          <w:rFonts w:ascii="Times New Roman;Times;serif" w:hAnsi="Times New Roman;Times;serif"/>
          <w:sz w:val="20"/>
        </w:rPr>
        <w:t>☒</w:t>
      </w:r>
    </w:p>
    <w:p>
      <w:pPr>
        <w:pStyle w:val="TextBody"/>
        <w:bidi w:val="0"/>
        <w:spacing w:before="0" w:after="80"/>
        <w:ind w:left="0" w:right="0" w:hanging="0"/>
        <w:jc w:val="left"/>
        <w:rPr>
          <w:rFonts w:ascii="Times New Roman;Times;serif" w:hAnsi="Times New Roman;Times;serif"/>
          <w:sz w:val="14"/>
        </w:rPr>
      </w:pPr>
      <w:r>
        <w:rPr>
          <w:rFonts w:ascii="Times New Roman;Times;serif" w:hAnsi="Times New Roman;Times;serif"/>
          <w:sz w:val="14"/>
        </w:rPr>
        <w:t>At November 7, 2025, 34,690,864 shares of the Registrant’s Common Stock, $0.001 par value per share, were outstanding.</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1" w:name="_60b995e2_6931_4058_b7a3_74e87d47485e"/>
      <w:bookmarkEnd w:id="41"/>
      <w:r>
        <w:rPr>
          <w:rFonts w:ascii="Times New Roman;Times;serif" w:hAnsi="Times New Roman;Times;serif"/>
          <w:b/>
          <w:sz w:val="20"/>
        </w:rPr>
        <w:t>EVOLUTION PETROLEUM CORPORATION</w:t>
        <w:br/>
        <w:t>​</w:t>
      </w:r>
    </w:p>
    <w:p>
      <w:pPr>
        <w:pStyle w:val="TextBody"/>
        <w:bidi w:val="0"/>
        <w:spacing w:before="0" w:after="240"/>
        <w:ind w:left="0" w:right="0" w:hanging="0"/>
        <w:jc w:val="center"/>
        <w:rPr>
          <w:rFonts w:ascii="Times New Roman;Times;serif" w:hAnsi="Times New Roman;Times;serif"/>
          <w:b/>
          <w:sz w:val="20"/>
        </w:rPr>
      </w:pPr>
      <w:bookmarkStart w:id="42" w:name="TOC"/>
      <w:bookmarkEnd w:id="42"/>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768"/>
        <w:gridCol w:w="9075"/>
        <w:gridCol w:w="362"/>
      </w:tblGrid>
      <w:tr>
        <w:trPr/>
        <w:tc>
          <w:tcPr>
            <w:tcW w:w="7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487680" cy="175260"/>
                      <wp:effectExtent l="0" t="0" r="0" b="0"/>
                      <wp:wrapNone/>
                      <wp:docPr id="14" name="Frame13"/>
                      <a:graphic xmlns:a="http://schemas.openxmlformats.org/drawingml/2006/main">
                        <a:graphicData uri="http://schemas.microsoft.com/office/word/2010/wordprocessingShape">
                          <wps:wsp>
                            <wps:cNvSpPr txBox="1"/>
                            <wps:spPr>
                              <a:xfrm>
                                <a:off x="0" y="0"/>
                                <a:ext cx="487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5762625" cy="175260"/>
                      <wp:effectExtent l="0" t="0" r="0" b="0"/>
                      <wp:wrapNone/>
                      <wp:docPr id="15" name="Frame14"/>
                      <a:graphic xmlns:a="http://schemas.openxmlformats.org/drawingml/2006/main">
                        <a:graphicData uri="http://schemas.microsoft.com/office/word/2010/wordprocessingShape">
                          <wps:wsp>
                            <wps:cNvSpPr txBox="1"/>
                            <wps:spPr>
                              <a:xfrm>
                                <a:off x="0" y="0"/>
                                <a:ext cx="5762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29870" cy="175260"/>
                      <wp:effectExtent l="0" t="0" r="0" b="0"/>
                      <wp:wrapNone/>
                      <wp:docPr id="16" name="Frame15"/>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843" w:type="dxa"/>
            <w:gridSpan w:val="2"/>
            <w:tcBorders/>
            <w:shd w:fill="CCEEFF" w:val="clear"/>
            <w:vAlign w:val="center"/>
          </w:tcPr>
          <w:p>
            <w:pPr>
              <w:pStyle w:val="TableContents"/>
              <w:bidi w:val="0"/>
              <w:spacing w:before="0" w:after="0"/>
              <w:ind w:left="0" w:right="0" w:hanging="0"/>
              <w:jc w:val="left"/>
              <w:rPr/>
            </w:pPr>
            <w:hyperlink w:anchor="FORWARDLOOKINGSTATEMENTS_262188">
              <w:r>
                <w:rPr>
                  <w:rStyle w:val="InternetLink"/>
                  <w:rFonts w:ascii="Times New Roman;Times;serif" w:hAnsi="Times New Roman;Times;serif"/>
                  <w:b/>
                  <w:i w:val="false"/>
                  <w:caps w:val="false"/>
                  <w:smallCaps w:val="false"/>
                  <w:sz w:val="20"/>
                </w:rPr>
                <w:t>Forward-Looking Statements</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768" w:type="dxa"/>
            <w:tcBorders/>
            <w:vAlign w:val="center"/>
          </w:tcPr>
          <w:p>
            <w:pPr>
              <w:pStyle w:val="TableContents"/>
              <w:bidi w:val="0"/>
              <w:spacing w:before="0" w:after="0"/>
              <w:ind w:left="0" w:right="0" w:hanging="0"/>
              <w:jc w:val="left"/>
              <w:rPr/>
            </w:pPr>
            <w:hyperlink w:anchor="Part_I_Financial_Information">
              <w:r>
                <w:rPr>
                  <w:rStyle w:val="InternetLink"/>
                  <w:rFonts w:ascii="Times New Roman;Times;serif" w:hAnsi="Times New Roman;Times;serif"/>
                  <w:b/>
                  <w:i w:val="false"/>
                  <w:caps w:val="false"/>
                  <w:smallCaps w:val="false"/>
                  <w:sz w:val="20"/>
                </w:rPr>
                <w:t>PART I</w:t>
              </w:r>
            </w:hyperlink>
            <w:r>
              <w:rPr>
                <w:rFonts w:ascii="Times New Roman;Times;serif" w:hAnsi="Times New Roman;Times;serif"/>
                <w:b/>
                <w:sz w:val="20"/>
              </w:rPr>
              <w:t>.</w:t>
            </w:r>
          </w:p>
        </w:tc>
        <w:tc>
          <w:tcPr>
            <w:tcW w:w="9075" w:type="dxa"/>
            <w:tcBorders/>
            <w:vAlign w:val="center"/>
          </w:tcPr>
          <w:p>
            <w:pPr>
              <w:pStyle w:val="TableContents"/>
              <w:bidi w:val="0"/>
              <w:spacing w:before="0" w:after="0"/>
              <w:ind w:left="0" w:right="0" w:hanging="0"/>
              <w:jc w:val="left"/>
              <w:rPr/>
            </w:pPr>
            <w:hyperlink w:anchor="Part_I_Financial_Information">
              <w:r>
                <w:rPr>
                  <w:rStyle w:val="InternetLink"/>
                  <w:rFonts w:ascii="Times New Roman;Times;serif" w:hAnsi="Times New Roman;Times;serif"/>
                  <w:b/>
                  <w:i w:val="false"/>
                  <w:caps w:val="false"/>
                  <w:smallCaps w:val="false"/>
                  <w:sz w:val="20"/>
                </w:rPr>
                <w:t>FINANCIAL INFORMATION</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768" w:type="dxa"/>
            <w:tcBorders/>
            <w:shd w:fill="CCEEFF" w:val="clear"/>
            <w:vAlign w:val="center"/>
          </w:tcPr>
          <w:p>
            <w:pPr>
              <w:pStyle w:val="TableContents"/>
              <w:bidi w:val="0"/>
              <w:spacing w:before="0" w:after="0"/>
              <w:ind w:left="0" w:right="0" w:hanging="0"/>
              <w:jc w:val="left"/>
              <w:rPr/>
            </w:pPr>
            <w:hyperlink w:anchor="Item_1_Condensed_Consolidated_Financial">
              <w:r>
                <w:rPr>
                  <w:rStyle w:val="InternetLink"/>
                  <w:rFonts w:ascii="Times New Roman;Times;serif" w:hAnsi="Times New Roman;Times;serif"/>
                  <w:b w:val="false"/>
                  <w:i w:val="false"/>
                  <w:caps w:val="false"/>
                  <w:smallCaps w:val="false"/>
                  <w:sz w:val="20"/>
                </w:rPr>
                <w:t>Item 1.</w:t>
              </w:r>
            </w:hyperlink>
          </w:p>
        </w:tc>
        <w:tc>
          <w:tcPr>
            <w:tcW w:w="9075" w:type="dxa"/>
            <w:tcBorders/>
            <w:shd w:fill="CCEEFF" w:val="clear"/>
            <w:vAlign w:val="center"/>
          </w:tcPr>
          <w:p>
            <w:pPr>
              <w:pStyle w:val="TableContents"/>
              <w:bidi w:val="0"/>
              <w:spacing w:before="0" w:after="0"/>
              <w:ind w:left="0" w:right="0" w:hanging="0"/>
              <w:jc w:val="left"/>
              <w:rPr/>
            </w:pPr>
            <w:hyperlink w:anchor="Item_1_Condensed_Consolidated_Financial">
              <w:r>
                <w:rPr>
                  <w:rStyle w:val="InternetLink"/>
                  <w:rFonts w:ascii="Times New Roman;Times;serif" w:hAnsi="Times New Roman;Times;serif"/>
                  <w:b w:val="false"/>
                  <w:i w:val="false"/>
                  <w:caps w:val="false"/>
                  <w:smallCaps w:val="false"/>
                  <w:sz w:val="20"/>
                </w:rPr>
                <w:t>Condensed Consolidated Financial Statements (Unaudited)</w:t>
              </w:r>
            </w:hyperlink>
            <w:r>
              <w:rPr>
                <w:rFonts w:ascii="Times New Roman;Times;serif" w:hAnsi="Times New Roman;Times;serif"/>
                <w:sz w:val="20"/>
              </w:rPr>
              <w:t xml:space="preserve"> </w:t>
            </w:r>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768" w:type="dxa"/>
            <w:tcBorders/>
            <w:vAlign w:val="center"/>
          </w:tcPr>
          <w:p>
            <w:pPr>
              <w:pStyle w:val="TableContents"/>
              <w:bidi w:val="0"/>
              <w:spacing w:before="0" w:after="0"/>
              <w:ind w:left="0" w:right="0" w:hanging="0"/>
              <w:jc w:val="left"/>
              <w:rPr/>
            </w:pPr>
            <w:r>
              <w:rPr/>
              <w:t>​</w:t>
            </w:r>
          </w:p>
        </w:tc>
        <w:tc>
          <w:tcPr>
            <w:tcW w:w="9075" w:type="dxa"/>
            <w:tcBorders/>
            <w:vAlign w:val="center"/>
          </w:tcPr>
          <w:p>
            <w:pPr>
              <w:pStyle w:val="TableContents"/>
              <w:bidi w:val="0"/>
              <w:spacing w:before="0" w:after="0"/>
              <w:ind w:left="0" w:right="0" w:hanging="0"/>
              <w:jc w:val="left"/>
              <w:rPr/>
            </w:pPr>
            <w:hyperlink w:anchor="ConsolidatedCondensedBalanceSheets">
              <w:r>
                <w:rPr>
                  <w:rStyle w:val="InternetLink"/>
                  <w:rFonts w:ascii="Times New Roman;Times;serif" w:hAnsi="Times New Roman;Times;serif"/>
                  <w:b w:val="false"/>
                  <w:i w:val="false"/>
                  <w:caps w:val="false"/>
                  <w:smallCaps w:val="false"/>
                  <w:sz w:val="20"/>
                </w:rPr>
                <w:t>Condensed Consolidated Balance Sheets (Unaudited) as of September 30, 2025 and June 30, 2025</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768" w:type="dxa"/>
            <w:tcBorders/>
            <w:shd w:fill="CCEEFF" w:val="clear"/>
            <w:vAlign w:val="center"/>
          </w:tcPr>
          <w:p>
            <w:pPr>
              <w:pStyle w:val="TableContents"/>
              <w:bidi w:val="0"/>
              <w:spacing w:before="0" w:after="0"/>
              <w:ind w:left="0" w:right="0" w:hanging="0"/>
              <w:jc w:val="left"/>
              <w:rPr/>
            </w:pPr>
            <w:r>
              <w:rPr/>
              <w:t>​</w:t>
            </w:r>
          </w:p>
        </w:tc>
        <w:tc>
          <w:tcPr>
            <w:tcW w:w="9075" w:type="dxa"/>
            <w:tcBorders/>
            <w:shd w:fill="CCEEFF" w:val="clear"/>
            <w:vAlign w:val="center"/>
          </w:tcPr>
          <w:p>
            <w:pPr>
              <w:pStyle w:val="TableContents"/>
              <w:bidi w:val="0"/>
              <w:spacing w:before="0" w:after="0"/>
              <w:ind w:left="0" w:right="0" w:hanging="0"/>
              <w:jc w:val="left"/>
              <w:rPr/>
            </w:pPr>
            <w:hyperlink w:anchor="ConsolidatedCondensedStatementsofOperati">
              <w:r>
                <w:rPr>
                  <w:rStyle w:val="InternetLink"/>
                  <w:rFonts w:ascii="Times New Roman;Times;serif" w:hAnsi="Times New Roman;Times;serif"/>
                  <w:b w:val="false"/>
                  <w:i w:val="false"/>
                  <w:caps w:val="false"/>
                  <w:smallCaps w:val="false"/>
                  <w:sz w:val="20"/>
                </w:rPr>
                <w:t>Condensed Consolidated Statements of Operations (Unaudited) for the three months ended September 30, 2025 and 2024</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768" w:type="dxa"/>
            <w:tcBorders/>
            <w:vAlign w:val="center"/>
          </w:tcPr>
          <w:p>
            <w:pPr>
              <w:pStyle w:val="TableContents"/>
              <w:bidi w:val="0"/>
              <w:spacing w:before="0" w:after="0"/>
              <w:ind w:left="0" w:right="0" w:hanging="0"/>
              <w:jc w:val="left"/>
              <w:rPr/>
            </w:pPr>
            <w:r>
              <w:rPr/>
              <w:t>​</w:t>
            </w:r>
          </w:p>
        </w:tc>
        <w:tc>
          <w:tcPr>
            <w:tcW w:w="9075" w:type="dxa"/>
            <w:tcBorders/>
            <w:vAlign w:val="center"/>
          </w:tcPr>
          <w:p>
            <w:pPr>
              <w:pStyle w:val="TableContents"/>
              <w:bidi w:val="0"/>
              <w:spacing w:before="0" w:after="0"/>
              <w:ind w:left="0" w:right="0" w:hanging="0"/>
              <w:jc w:val="left"/>
              <w:rPr/>
            </w:pPr>
            <w:hyperlink w:anchor="ConsolidatedCondensedStatementsofCashFlo">
              <w:r>
                <w:rPr>
                  <w:rStyle w:val="InternetLink"/>
                  <w:rFonts w:ascii="Times New Roman;Times;serif" w:hAnsi="Times New Roman;Times;serif"/>
                  <w:b w:val="false"/>
                  <w:i w:val="false"/>
                  <w:caps w:val="false"/>
                  <w:smallCaps w:val="false"/>
                  <w:sz w:val="20"/>
                </w:rPr>
                <w:t>Condensed Consolidated Statements of Cash Flows (Unaudited) for the three months ended September 30, 2025 and 2024</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768" w:type="dxa"/>
            <w:tcBorders/>
            <w:shd w:fill="CCEEFF" w:val="clear"/>
            <w:vAlign w:val="center"/>
          </w:tcPr>
          <w:p>
            <w:pPr>
              <w:pStyle w:val="TableContents"/>
              <w:bidi w:val="0"/>
              <w:spacing w:before="0" w:after="0"/>
              <w:ind w:left="0" w:right="0" w:hanging="0"/>
              <w:jc w:val="left"/>
              <w:rPr/>
            </w:pPr>
            <w:r>
              <w:rPr/>
              <w:t>​</w:t>
            </w:r>
          </w:p>
        </w:tc>
        <w:tc>
          <w:tcPr>
            <w:tcW w:w="9075" w:type="dxa"/>
            <w:tcBorders/>
            <w:shd w:fill="CCEEFF" w:val="clear"/>
            <w:vAlign w:val="center"/>
          </w:tcPr>
          <w:p>
            <w:pPr>
              <w:pStyle w:val="TableContents"/>
              <w:bidi w:val="0"/>
              <w:spacing w:before="0" w:after="0"/>
              <w:ind w:left="0" w:right="0" w:hanging="0"/>
              <w:jc w:val="left"/>
              <w:rPr/>
            </w:pPr>
            <w:hyperlink w:anchor="ConsolidatedCondensedStatementsofSHE">
              <w:r>
                <w:rPr>
                  <w:rStyle w:val="InternetLink"/>
                  <w:rFonts w:ascii="Times New Roman;Times;serif" w:hAnsi="Times New Roman;Times;serif"/>
                  <w:b w:val="false"/>
                  <w:i w:val="false"/>
                  <w:caps w:val="false"/>
                  <w:smallCaps w:val="false"/>
                  <w:sz w:val="20"/>
                </w:rPr>
                <w:t>Condensed Consolidated Statements of Changes in Stockholders’ Equity (Unaudited) for the three months ended September 30, 2025 and 2024</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768" w:type="dxa"/>
            <w:tcBorders/>
            <w:vAlign w:val="center"/>
          </w:tcPr>
          <w:p>
            <w:pPr>
              <w:pStyle w:val="TableContents"/>
              <w:bidi w:val="0"/>
              <w:spacing w:before="0" w:after="0"/>
              <w:ind w:left="0" w:right="0" w:hanging="0"/>
              <w:jc w:val="left"/>
              <w:rPr/>
            </w:pPr>
            <w:r>
              <w:rPr/>
              <w:t>​</w:t>
            </w:r>
          </w:p>
        </w:tc>
        <w:tc>
          <w:tcPr>
            <w:tcW w:w="9075" w:type="dxa"/>
            <w:tcBorders/>
            <w:vAlign w:val="center"/>
          </w:tcPr>
          <w:p>
            <w:pPr>
              <w:pStyle w:val="TableContents"/>
              <w:bidi w:val="0"/>
              <w:spacing w:before="0" w:after="0"/>
              <w:ind w:left="0" w:right="0" w:hanging="0"/>
              <w:jc w:val="left"/>
              <w:rPr/>
            </w:pPr>
            <w:hyperlink w:anchor="Note_to_Unaudited_Condensed">
              <w:r>
                <w:rPr>
                  <w:rStyle w:val="InternetLink"/>
                  <w:rFonts w:ascii="Times New Roman;Times;serif" w:hAnsi="Times New Roman;Times;serif"/>
                  <w:b w:val="false"/>
                  <w:i w:val="false"/>
                  <w:caps w:val="false"/>
                  <w:smallCaps w:val="false"/>
                  <w:sz w:val="20"/>
                </w:rPr>
                <w:t>Notes to Unaudited Condensed Consolidated Financial Statements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768" w:type="dxa"/>
            <w:tcBorders/>
            <w:shd w:fill="CCEEFF" w:val="clear"/>
            <w:vAlign w:val="center"/>
          </w:tcPr>
          <w:p>
            <w:pPr>
              <w:pStyle w:val="TableContents"/>
              <w:bidi w:val="0"/>
              <w:spacing w:before="0" w:after="0"/>
              <w:ind w:left="0" w:right="0" w:hanging="0"/>
              <w:jc w:val="left"/>
              <w:rPr/>
            </w:pPr>
            <w:hyperlink w:anchor="Item_2_MDA">
              <w:r>
                <w:rPr>
                  <w:rStyle w:val="InternetLink"/>
                  <w:rFonts w:ascii="Times New Roman;Times;serif" w:hAnsi="Times New Roman;Times;serif"/>
                  <w:b w:val="false"/>
                  <w:i w:val="false"/>
                  <w:caps w:val="false"/>
                  <w:smallCaps w:val="false"/>
                  <w:sz w:val="20"/>
                </w:rPr>
                <w:t>Item 2.</w:t>
              </w:r>
            </w:hyperlink>
          </w:p>
        </w:tc>
        <w:tc>
          <w:tcPr>
            <w:tcW w:w="9075" w:type="dxa"/>
            <w:tcBorders/>
            <w:shd w:fill="CCEEFF" w:val="clear"/>
            <w:vAlign w:val="center"/>
          </w:tcPr>
          <w:p>
            <w:pPr>
              <w:pStyle w:val="TableContents"/>
              <w:bidi w:val="0"/>
              <w:spacing w:before="0" w:after="0"/>
              <w:ind w:left="0" w:right="0" w:hanging="0"/>
              <w:jc w:val="left"/>
              <w:rPr/>
            </w:pPr>
            <w:hyperlink w:anchor="Item_2_MDA">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768" w:type="dxa"/>
            <w:tcBorders/>
            <w:vAlign w:val="center"/>
          </w:tcPr>
          <w:p>
            <w:pPr>
              <w:pStyle w:val="TableContents"/>
              <w:bidi w:val="0"/>
              <w:spacing w:before="0" w:after="0"/>
              <w:ind w:left="0" w:right="0" w:hanging="0"/>
              <w:jc w:val="left"/>
              <w:rPr/>
            </w:pPr>
            <w:hyperlink w:anchor="Item_3_Quantitative">
              <w:r>
                <w:rPr>
                  <w:rStyle w:val="InternetLink"/>
                  <w:rFonts w:ascii="Times New Roman;Times;serif" w:hAnsi="Times New Roman;Times;serif"/>
                  <w:b w:val="false"/>
                  <w:i w:val="false"/>
                  <w:caps w:val="false"/>
                  <w:smallCaps w:val="false"/>
                  <w:sz w:val="20"/>
                </w:rPr>
                <w:t>Item 3.</w:t>
              </w:r>
            </w:hyperlink>
          </w:p>
        </w:tc>
        <w:tc>
          <w:tcPr>
            <w:tcW w:w="9075" w:type="dxa"/>
            <w:tcBorders/>
            <w:vAlign w:val="center"/>
          </w:tcPr>
          <w:p>
            <w:pPr>
              <w:pStyle w:val="TableContents"/>
              <w:bidi w:val="0"/>
              <w:spacing w:before="0" w:after="0"/>
              <w:ind w:left="0" w:right="0" w:hanging="0"/>
              <w:jc w:val="left"/>
              <w:rPr/>
            </w:pPr>
            <w:hyperlink w:anchor="Item_3_Quantitative">
              <w:r>
                <w:rPr>
                  <w:rStyle w:val="InternetLink"/>
                  <w:rFonts w:ascii="Times New Roman;Times;serif" w:hAnsi="Times New Roman;Times;serif"/>
                  <w:b w:val="false"/>
                  <w:i w:val="false"/>
                  <w:caps w:val="false"/>
                  <w:smallCaps w:val="false"/>
                  <w:sz w:val="20"/>
                </w:rPr>
                <w:t>Quantitative and Qualitative Disclosures about Market Risks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768" w:type="dxa"/>
            <w:tcBorders/>
            <w:shd w:fill="CCEEFF" w:val="clear"/>
            <w:vAlign w:val="center"/>
          </w:tcPr>
          <w:p>
            <w:pPr>
              <w:pStyle w:val="TableContents"/>
              <w:bidi w:val="0"/>
              <w:spacing w:before="0" w:after="0"/>
              <w:ind w:left="0" w:right="0" w:hanging="0"/>
              <w:jc w:val="left"/>
              <w:rPr/>
            </w:pPr>
            <w:hyperlink w:anchor="Item4ControlsandProcedures">
              <w:r>
                <w:rPr>
                  <w:rStyle w:val="InternetLink"/>
                  <w:rFonts w:ascii="Times New Roman;Times;serif" w:hAnsi="Times New Roman;Times;serif"/>
                  <w:b w:val="false"/>
                  <w:i w:val="false"/>
                  <w:caps w:val="false"/>
                  <w:smallCaps w:val="false"/>
                  <w:sz w:val="20"/>
                </w:rPr>
                <w:t>Item 4.</w:t>
              </w:r>
            </w:hyperlink>
          </w:p>
        </w:tc>
        <w:tc>
          <w:tcPr>
            <w:tcW w:w="9075" w:type="dxa"/>
            <w:tcBorders/>
            <w:shd w:fill="CCEEFF" w:val="clear"/>
            <w:vAlign w:val="center"/>
          </w:tcPr>
          <w:p>
            <w:pPr>
              <w:pStyle w:val="TableContents"/>
              <w:bidi w:val="0"/>
              <w:spacing w:before="0" w:after="0"/>
              <w:ind w:left="0" w:right="0" w:hanging="0"/>
              <w:jc w:val="left"/>
              <w:rPr/>
            </w:pPr>
            <w:hyperlink w:anchor="Item4ControlsandProcedures">
              <w:r>
                <w:rPr>
                  <w:rStyle w:val="InternetLink"/>
                  <w:rFonts w:ascii="Times New Roman;Times;serif" w:hAnsi="Times New Roman;Times;serif"/>
                  <w:b w:val="false"/>
                  <w:i w:val="false"/>
                  <w:caps w:val="false"/>
                  <w:smallCaps w:val="false"/>
                  <w:sz w:val="20"/>
                </w:rPr>
                <w:t>Controls and Procedures</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9843" w:type="dxa"/>
            <w:gridSpan w:val="2"/>
            <w:tcBorders/>
            <w:vAlign w:val="center"/>
          </w:tcPr>
          <w:p>
            <w:pPr>
              <w:pStyle w:val="TableContents"/>
              <w:bidi w:val="0"/>
              <w:spacing w:before="0" w:after="0"/>
              <w:ind w:left="0" w:right="0" w:hanging="0"/>
              <w:jc w:val="left"/>
              <w:rPr/>
            </w:pPr>
            <w:hyperlink w:anchor="Part_II_OTHER_INFORMATION">
              <w:r>
                <w:rPr>
                  <w:rStyle w:val="InternetLink"/>
                  <w:rFonts w:ascii="Times New Roman;Times;serif" w:hAnsi="Times New Roman;Times;serif"/>
                  <w:b/>
                  <w:i w:val="false"/>
                  <w:caps w:val="false"/>
                  <w:smallCaps w:val="false"/>
                  <w:sz w:val="20"/>
                </w:rPr>
                <w:t>PART II. OTHER INFORMATION</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768" w:type="dxa"/>
            <w:tcBorders/>
            <w:shd w:fill="CCEEFF" w:val="clear"/>
            <w:vAlign w:val="center"/>
          </w:tcPr>
          <w:p>
            <w:pPr>
              <w:pStyle w:val="TableContents"/>
              <w:bidi w:val="0"/>
              <w:spacing w:before="0" w:after="0"/>
              <w:ind w:left="0" w:right="0" w:hanging="0"/>
              <w:jc w:val="left"/>
              <w:rPr/>
            </w:pPr>
            <w:hyperlink w:anchor="Item1LegalProceedings">
              <w:r>
                <w:rPr>
                  <w:rStyle w:val="InternetLink"/>
                  <w:rFonts w:ascii="Times New Roman;Times;serif" w:hAnsi="Times New Roman;Times;serif"/>
                  <w:b w:val="false"/>
                  <w:i w:val="false"/>
                  <w:caps w:val="false"/>
                  <w:smallCaps w:val="false"/>
                  <w:sz w:val="20"/>
                </w:rPr>
                <w:t>Item 1.</w:t>
              </w:r>
            </w:hyperlink>
          </w:p>
        </w:tc>
        <w:tc>
          <w:tcPr>
            <w:tcW w:w="9075" w:type="dxa"/>
            <w:tcBorders/>
            <w:shd w:fill="CCEEFF" w:val="clear"/>
            <w:vAlign w:val="center"/>
          </w:tcPr>
          <w:p>
            <w:pPr>
              <w:pStyle w:val="TableContents"/>
              <w:bidi w:val="0"/>
              <w:spacing w:before="0" w:after="0"/>
              <w:ind w:left="0" w:right="0" w:hanging="0"/>
              <w:jc w:val="left"/>
              <w:rPr/>
            </w:pPr>
            <w:hyperlink w:anchor="Item1LegalProceedings">
              <w:r>
                <w:rPr>
                  <w:rStyle w:val="InternetLink"/>
                  <w:rFonts w:ascii="Times New Roman;Times;serif" w:hAnsi="Times New Roman;Times;serif"/>
                  <w:b w:val="false"/>
                  <w:i w:val="false"/>
                  <w:caps w:val="false"/>
                  <w:smallCaps w:val="false"/>
                  <w:sz w:val="20"/>
                </w:rPr>
                <w:t>Legal Proceedings</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768" w:type="dxa"/>
            <w:tcBorders/>
            <w:vAlign w:val="center"/>
          </w:tcPr>
          <w:p>
            <w:pPr>
              <w:pStyle w:val="TableContents"/>
              <w:bidi w:val="0"/>
              <w:spacing w:before="0" w:after="0"/>
              <w:ind w:left="0" w:right="0" w:hanging="0"/>
              <w:jc w:val="left"/>
              <w:rPr/>
            </w:pPr>
            <w:hyperlink w:anchor="Item1ARiskFactors_401633">
              <w:r>
                <w:rPr>
                  <w:rStyle w:val="InternetLink"/>
                  <w:rFonts w:ascii="Times New Roman;Times;serif" w:hAnsi="Times New Roman;Times;serif"/>
                  <w:b w:val="false"/>
                  <w:i w:val="false"/>
                  <w:caps w:val="false"/>
                  <w:smallCaps w:val="false"/>
                  <w:sz w:val="20"/>
                </w:rPr>
                <w:t>Item 1A.</w:t>
              </w:r>
            </w:hyperlink>
          </w:p>
        </w:tc>
        <w:tc>
          <w:tcPr>
            <w:tcW w:w="9075" w:type="dxa"/>
            <w:tcBorders/>
            <w:vAlign w:val="center"/>
          </w:tcPr>
          <w:p>
            <w:pPr>
              <w:pStyle w:val="TableContents"/>
              <w:bidi w:val="0"/>
              <w:spacing w:before="0" w:after="0"/>
              <w:ind w:left="0" w:right="0" w:hanging="0"/>
              <w:jc w:val="left"/>
              <w:rPr/>
            </w:pPr>
            <w:hyperlink w:anchor="Item1ARiskFactors_401633">
              <w:r>
                <w:rPr>
                  <w:rStyle w:val="InternetLink"/>
                  <w:rFonts w:ascii="Times New Roman;Times;serif" w:hAnsi="Times New Roman;Times;serif"/>
                  <w:b w:val="false"/>
                  <w:i w:val="false"/>
                  <w:caps w:val="false"/>
                  <w:smallCaps w:val="false"/>
                  <w:sz w:val="20"/>
                </w:rPr>
                <w:t>Risk Factors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768" w:type="dxa"/>
            <w:tcBorders/>
            <w:shd w:fill="CCEEFF" w:val="clear"/>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9075" w:type="dxa"/>
            <w:tcBorders/>
            <w:shd w:fill="CCEEFF" w:val="clear"/>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768" w:type="dxa"/>
            <w:tcBorders/>
            <w:vAlign w:val="center"/>
          </w:tcPr>
          <w:p>
            <w:pPr>
              <w:pStyle w:val="TableContents"/>
              <w:bidi w:val="0"/>
              <w:spacing w:before="0" w:after="0"/>
              <w:ind w:left="0" w:right="0" w:hanging="0"/>
              <w:jc w:val="left"/>
              <w:rPr/>
            </w:pPr>
            <w:hyperlink w:anchor="Item3DefaultsUponSeniorSecurities">
              <w:r>
                <w:rPr>
                  <w:rStyle w:val="InternetLink"/>
                  <w:rFonts w:ascii="Times New Roman;Times;serif" w:hAnsi="Times New Roman;Times;serif"/>
                  <w:b w:val="false"/>
                  <w:i w:val="false"/>
                  <w:caps w:val="false"/>
                  <w:smallCaps w:val="false"/>
                  <w:sz w:val="20"/>
                </w:rPr>
                <w:t>Item 3.</w:t>
              </w:r>
            </w:hyperlink>
          </w:p>
        </w:tc>
        <w:tc>
          <w:tcPr>
            <w:tcW w:w="9075" w:type="dxa"/>
            <w:tcBorders/>
            <w:vAlign w:val="center"/>
          </w:tcPr>
          <w:p>
            <w:pPr>
              <w:pStyle w:val="TableContents"/>
              <w:bidi w:val="0"/>
              <w:spacing w:before="0" w:after="0"/>
              <w:ind w:left="0" w:right="0" w:hanging="0"/>
              <w:jc w:val="left"/>
              <w:rPr/>
            </w:pPr>
            <w:hyperlink w:anchor="Item3DefaultsUponSeniorSecurities">
              <w:r>
                <w:rPr>
                  <w:rStyle w:val="InternetLink"/>
                  <w:rFonts w:ascii="Times New Roman;Times;serif" w:hAnsi="Times New Roman;Times;serif"/>
                  <w:b w:val="false"/>
                  <w:i w:val="false"/>
                  <w:caps w:val="false"/>
                  <w:smallCaps w:val="false"/>
                  <w:sz w:val="20"/>
                </w:rPr>
                <w:t>Defaults Upon Senior Securities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768" w:type="dxa"/>
            <w:tcBorders/>
            <w:shd w:fill="CCEEFF" w:val="clear"/>
            <w:vAlign w:val="center"/>
          </w:tcPr>
          <w:p>
            <w:pPr>
              <w:pStyle w:val="TableContents"/>
              <w:bidi w:val="0"/>
              <w:spacing w:before="0" w:after="0"/>
              <w:ind w:left="0" w:right="0" w:hanging="0"/>
              <w:jc w:val="left"/>
              <w:rPr/>
            </w:pPr>
            <w:hyperlink w:anchor="Item4MineSafetyDisclosures_798178">
              <w:r>
                <w:rPr>
                  <w:rStyle w:val="InternetLink"/>
                  <w:rFonts w:ascii="Times New Roman;Times;serif" w:hAnsi="Times New Roman;Times;serif"/>
                  <w:b w:val="false"/>
                  <w:i w:val="false"/>
                  <w:caps w:val="false"/>
                  <w:smallCaps w:val="false"/>
                  <w:sz w:val="20"/>
                </w:rPr>
                <w:t>Item 4.</w:t>
              </w:r>
            </w:hyperlink>
          </w:p>
        </w:tc>
        <w:tc>
          <w:tcPr>
            <w:tcW w:w="9075" w:type="dxa"/>
            <w:tcBorders/>
            <w:shd w:fill="CCEEFF" w:val="clear"/>
            <w:vAlign w:val="center"/>
          </w:tcPr>
          <w:p>
            <w:pPr>
              <w:pStyle w:val="TableContents"/>
              <w:bidi w:val="0"/>
              <w:spacing w:before="0" w:after="0"/>
              <w:ind w:left="0" w:right="0" w:hanging="0"/>
              <w:jc w:val="left"/>
              <w:rPr/>
            </w:pPr>
            <w:hyperlink w:anchor="Item4MineSafetyDisclosures_798178">
              <w:r>
                <w:rPr>
                  <w:rStyle w:val="InternetLink"/>
                  <w:rFonts w:ascii="Times New Roman;Times;serif" w:hAnsi="Times New Roman;Times;serif"/>
                  <w:b w:val="false"/>
                  <w:i w:val="false"/>
                  <w:caps w:val="false"/>
                  <w:smallCaps w:val="false"/>
                  <w:sz w:val="20"/>
                </w:rPr>
                <w:t>Mine Safety Disclosures</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768" w:type="dxa"/>
            <w:tcBorders/>
            <w:vAlign w:val="center"/>
          </w:tcPr>
          <w:p>
            <w:pPr>
              <w:pStyle w:val="TableContents"/>
              <w:bidi w:val="0"/>
              <w:spacing w:before="0" w:after="0"/>
              <w:ind w:left="0" w:right="0" w:hanging="0"/>
              <w:jc w:val="left"/>
              <w:rPr/>
            </w:pPr>
            <w:hyperlink w:anchor="Item5OtherInformation">
              <w:r>
                <w:rPr>
                  <w:rStyle w:val="InternetLink"/>
                  <w:rFonts w:ascii="Times New Roman;Times;serif" w:hAnsi="Times New Roman;Times;serif"/>
                  <w:b w:val="false"/>
                  <w:i w:val="false"/>
                  <w:caps w:val="false"/>
                  <w:smallCaps w:val="false"/>
                  <w:sz w:val="20"/>
                </w:rPr>
                <w:t>Item 5.</w:t>
              </w:r>
            </w:hyperlink>
          </w:p>
        </w:tc>
        <w:tc>
          <w:tcPr>
            <w:tcW w:w="9075" w:type="dxa"/>
            <w:tcBorders/>
            <w:vAlign w:val="center"/>
          </w:tcPr>
          <w:p>
            <w:pPr>
              <w:pStyle w:val="TableContents"/>
              <w:bidi w:val="0"/>
              <w:spacing w:before="0" w:after="0"/>
              <w:ind w:left="0" w:right="0" w:hanging="0"/>
              <w:jc w:val="left"/>
              <w:rPr/>
            </w:pPr>
            <w:hyperlink w:anchor="Item5OtherInformation">
              <w:r>
                <w:rPr>
                  <w:rStyle w:val="InternetLink"/>
                  <w:rFonts w:ascii="Times New Roman;Times;serif" w:hAnsi="Times New Roman;Times;serif"/>
                  <w:b w:val="false"/>
                  <w:i w:val="false"/>
                  <w:caps w:val="false"/>
                  <w:smallCaps w:val="false"/>
                  <w:sz w:val="20"/>
                </w:rPr>
                <w:t>Other Information</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768" w:type="dxa"/>
            <w:tcBorders/>
            <w:shd w:fill="CCEEFF" w:val="clear"/>
            <w:vAlign w:val="center"/>
          </w:tcPr>
          <w:p>
            <w:pPr>
              <w:pStyle w:val="TableContents"/>
              <w:bidi w:val="0"/>
              <w:spacing w:before="0" w:after="0"/>
              <w:ind w:left="0" w:right="0" w:hanging="0"/>
              <w:jc w:val="left"/>
              <w:rPr/>
            </w:pPr>
            <w:hyperlink w:anchor="Item6Exhibits">
              <w:r>
                <w:rPr>
                  <w:rStyle w:val="InternetLink"/>
                  <w:rFonts w:ascii="Times New Roman;Times;serif" w:hAnsi="Times New Roman;Times;serif"/>
                  <w:b w:val="false"/>
                  <w:i w:val="false"/>
                  <w:caps w:val="false"/>
                  <w:smallCaps w:val="false"/>
                  <w:sz w:val="20"/>
                </w:rPr>
                <w:t>Item 6.</w:t>
              </w:r>
            </w:hyperlink>
          </w:p>
        </w:tc>
        <w:tc>
          <w:tcPr>
            <w:tcW w:w="9075" w:type="dxa"/>
            <w:tcBorders/>
            <w:shd w:fill="CCEEFF" w:val="clear"/>
            <w:vAlign w:val="center"/>
          </w:tcPr>
          <w:p>
            <w:pPr>
              <w:pStyle w:val="TableContents"/>
              <w:bidi w:val="0"/>
              <w:spacing w:before="0" w:after="0"/>
              <w:ind w:left="0" w:right="0" w:hanging="0"/>
              <w:jc w:val="left"/>
              <w:rPr/>
            </w:pPr>
            <w:hyperlink w:anchor="Item6Exhibits">
              <w:r>
                <w:rPr>
                  <w:rStyle w:val="InternetLink"/>
                  <w:rFonts w:ascii="Times New Roman;Times;serif" w:hAnsi="Times New Roman;Times;serif"/>
                  <w:b w:val="false"/>
                  <w:i w:val="false"/>
                  <w:caps w:val="false"/>
                  <w:smallCaps w:val="false"/>
                  <w:sz w:val="20"/>
                </w:rPr>
                <w:t>Exhibits</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768" w:type="dxa"/>
            <w:tcBorders/>
            <w:vAlign w:val="center"/>
          </w:tcPr>
          <w:p>
            <w:pPr>
              <w:pStyle w:val="TableContents"/>
              <w:bidi w:val="0"/>
              <w:spacing w:before="0" w:after="0"/>
              <w:ind w:left="0" w:right="0" w:hanging="0"/>
              <w:jc w:val="left"/>
              <w:rPr/>
            </w:pPr>
            <w:r>
              <w:rPr/>
              <w:t>​</w:t>
            </w:r>
          </w:p>
        </w:tc>
        <w:tc>
          <w:tcPr>
            <w:tcW w:w="9075" w:type="dxa"/>
            <w:tcBorders/>
            <w:vAlign w:val="center"/>
          </w:tcPr>
          <w:p>
            <w:pPr>
              <w:pStyle w:val="TableContents"/>
              <w:bidi w:val="0"/>
              <w:spacing w:before="0" w:after="0"/>
              <w:ind w:left="0" w:right="0" w:hanging="0"/>
              <w:jc w:val="left"/>
              <w:rPr/>
            </w:pPr>
            <w:hyperlink w:anchor="SIGNATURES_679961">
              <w:r>
                <w:rPr>
                  <w:rStyle w:val="InternetLink"/>
                  <w:rFonts w:ascii="Times New Roman;Times;serif" w:hAnsi="Times New Roman;Times;serif"/>
                  <w:b w:val="false"/>
                  <w:i w:val="false"/>
                  <w:caps w:val="false"/>
                  <w:smallCaps w:val="false"/>
                  <w:sz w:val="20"/>
                </w:rPr>
                <w:t>Signatures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We use the terms, “EPM,</w:t>
      </w:r>
      <w:r>
        <w:rPr>
          <w:rFonts w:ascii="Times New Roman;Times;serif" w:hAnsi="Times New Roman;Times;serif"/>
          <w:sz w:val="20"/>
        </w:rPr>
        <w:t>” “</w:t>
      </w:r>
      <w:r>
        <w:rPr>
          <w:rFonts w:ascii="Times New Roman;Times;serif" w:hAnsi="Times New Roman;Times;serif"/>
          <w:i/>
          <w:sz w:val="20"/>
        </w:rPr>
        <w:t>Company,</w:t>
      </w:r>
      <w:r>
        <w:rPr>
          <w:rFonts w:ascii="Times New Roman;Times;serif" w:hAnsi="Times New Roman;Times;serif"/>
          <w:sz w:val="20"/>
        </w:rPr>
        <w:t>” “</w:t>
      </w:r>
      <w:r>
        <w:rPr>
          <w:rFonts w:ascii="Times New Roman;Times;serif" w:hAnsi="Times New Roman;Times;serif"/>
          <w:i/>
          <w:sz w:val="20"/>
        </w:rPr>
        <w:t>we,</w:t>
      </w:r>
      <w:r>
        <w:rPr>
          <w:rFonts w:ascii="Times New Roman;Times;serif" w:hAnsi="Times New Roman;Times;serif"/>
          <w:sz w:val="20"/>
        </w:rPr>
        <w:t>” “</w:t>
      </w:r>
      <w:r>
        <w:rPr>
          <w:rFonts w:ascii="Times New Roman;Times;serif" w:hAnsi="Times New Roman;Times;serif"/>
          <w:i/>
          <w:sz w:val="20"/>
        </w:rPr>
        <w:t>us,</w:t>
      </w:r>
      <w:r>
        <w:rPr>
          <w:rFonts w:ascii="Times New Roman;Times;serif" w:hAnsi="Times New Roman;Times;serif"/>
          <w:sz w:val="20"/>
        </w:rPr>
        <w:t xml:space="preserve">” </w:t>
      </w:r>
      <w:r>
        <w:rPr>
          <w:rFonts w:ascii="Times New Roman;Times;serif" w:hAnsi="Times New Roman;Times;serif"/>
          <w:i/>
          <w:sz w:val="20"/>
        </w:rPr>
        <w:t>and “our</w:t>
      </w:r>
      <w:r>
        <w:rPr>
          <w:rFonts w:ascii="Times New Roman;Times;serif" w:hAnsi="Times New Roman;Times;serif"/>
          <w:sz w:val="20"/>
        </w:rPr>
        <w:t xml:space="preserve">” </w:t>
      </w:r>
      <w:r>
        <w:rPr>
          <w:rFonts w:ascii="Times New Roman;Times;serif" w:hAnsi="Times New Roman;Times;serif"/>
          <w:i/>
          <w:sz w:val="20"/>
        </w:rPr>
        <w:t>to refer to Evolution Petroleum Corporation, and unless the context otherwise requires, its wholly-owned subsidiaries.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3" w:name="FORWARDLOOKINGSTATEMENTS_262188"/>
      <w:bookmarkStart w:id="44" w:name="_a6155f1d_d33d_41ff_abda_bab5d8492f72"/>
      <w:bookmarkStart w:id="45" w:name="_Hlk179296867"/>
      <w:bookmarkEnd w:id="43"/>
      <w:bookmarkEnd w:id="44"/>
      <w:bookmarkEnd w:id="45"/>
      <w:r>
        <w:rPr>
          <w:rFonts w:ascii="Times New Roman;Times;serif" w:hAnsi="Times New Roman;Times;serif"/>
          <w:b/>
          <w:sz w:val="20"/>
        </w:rPr>
        <w:t>FORWARD-LOOKING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This Form 10-Q and the information referenced herein contains forward-looking statements within the meaning of the Private Securities Litigation Reform Act of 1995, Section 27A of the Securities Act of 1933 and Section 21E of the Securities Exchange Act of 1934. All statements, except for statements of historical fact, are forward-looking statements. The words “plan,” “expect,” “project,” “estimate,” “may,” “assume,” “believe,” “anticipate,” “intend,” “budget,” “forecast,” “predict” and other similar expressions are intended to identify forward-looking statements, although not all forward-looking statements contain such identifying words or phrases. These statements appear in a number of places and include statements regarding our plans, beliefs or current expectations, including the plans, beliefs and expectations of our officers and directors, which may include, but are not limited to, the following: </w:t>
      </w:r>
    </w:p>
    <w:tbl>
      <w:tblPr>
        <w:tblW w:w="10131" w:type="dxa"/>
        <w:jc w:val="left"/>
        <w:tblInd w:w="0" w:type="dxa"/>
        <w:tblLayout w:type="fixed"/>
        <w:tblCellMar>
          <w:top w:w="28" w:type="dxa"/>
          <w:left w:w="28" w:type="dxa"/>
          <w:bottom w:w="28" w:type="dxa"/>
          <w:right w:w="28" w:type="dxa"/>
        </w:tblCellMar>
      </w:tblPr>
      <w:tblGrid>
        <w:gridCol w:w="124"/>
        <w:gridCol w:w="256"/>
        <w:gridCol w:w="97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expectations of plans, strategies and objectives, including anticipated development activity and capital spending;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capital allocation strategy, capital structure, anticipated sources of funding, growth in long-term shareholder value and ability to preserve balance sheet strength; </w:t>
            </w:r>
          </w:p>
        </w:tc>
      </w:tr>
    </w:tbl>
    <w:tbl>
      <w:tblPr>
        <w:tblW w:w="9411" w:type="dxa"/>
        <w:jc w:val="left"/>
        <w:tblInd w:w="0" w:type="dxa"/>
        <w:tblLayout w:type="fixed"/>
        <w:tblCellMar>
          <w:top w:w="28" w:type="dxa"/>
          <w:left w:w="28" w:type="dxa"/>
          <w:bottom w:w="28" w:type="dxa"/>
          <w:right w:w="28" w:type="dxa"/>
        </w:tblCellMar>
      </w:tblPr>
      <w:tblGrid>
        <w:gridCol w:w="124"/>
        <w:gridCol w:w="256"/>
        <w:gridCol w:w="9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complete future acquisitions and the need for additional capital to complete future acquisitions;</w:t>
            </w:r>
          </w:p>
        </w:tc>
      </w:tr>
    </w:tbl>
    <w:tbl>
      <w:tblPr>
        <w:tblW w:w="7896" w:type="dxa"/>
        <w:jc w:val="left"/>
        <w:tblInd w:w="0" w:type="dxa"/>
        <w:tblLayout w:type="fixed"/>
        <w:tblCellMar>
          <w:top w:w="28" w:type="dxa"/>
          <w:left w:w="28" w:type="dxa"/>
          <w:bottom w:w="28" w:type="dxa"/>
          <w:right w:w="28" w:type="dxa"/>
        </w:tblCellMar>
      </w:tblPr>
      <w:tblGrid>
        <w:gridCol w:w="124"/>
        <w:gridCol w:w="256"/>
        <w:gridCol w:w="75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benefits of our multi-basin portfolio, including operational and commodity flexibility; </w:t>
            </w:r>
          </w:p>
        </w:tc>
      </w:tr>
    </w:tbl>
    <w:tbl>
      <w:tblPr>
        <w:tblW w:w="8046" w:type="dxa"/>
        <w:jc w:val="left"/>
        <w:tblInd w:w="0" w:type="dxa"/>
        <w:tblLayout w:type="fixed"/>
        <w:tblCellMar>
          <w:top w:w="28" w:type="dxa"/>
          <w:left w:w="28" w:type="dxa"/>
          <w:bottom w:w="28" w:type="dxa"/>
          <w:right w:w="28" w:type="dxa"/>
        </w:tblCellMar>
      </w:tblPr>
      <w:tblGrid>
        <w:gridCol w:w="124"/>
        <w:gridCol w:w="256"/>
        <w:gridCol w:w="7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maximize cash flow and the application of excess cash flows to pay dividends; </w:t>
            </w:r>
          </w:p>
        </w:tc>
      </w:tr>
    </w:tbl>
    <w:tbl>
      <w:tblPr>
        <w:tblW w:w="6636" w:type="dxa"/>
        <w:jc w:val="left"/>
        <w:tblInd w:w="0" w:type="dxa"/>
        <w:tblLayout w:type="fixed"/>
        <w:tblCellMar>
          <w:top w:w="28" w:type="dxa"/>
          <w:left w:w="28" w:type="dxa"/>
          <w:bottom w:w="28" w:type="dxa"/>
          <w:right w:w="28" w:type="dxa"/>
        </w:tblCellMar>
      </w:tblPr>
      <w:tblGrid>
        <w:gridCol w:w="124"/>
        <w:gridCol w:w="256"/>
        <w:gridCol w:w="62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estimates of our oil, natural gas and NGLs production and commodity mix; </w:t>
            </w:r>
          </w:p>
        </w:tc>
      </w:tr>
    </w:tbl>
    <w:tbl>
      <w:tblPr>
        <w:tblW w:w="4101" w:type="dxa"/>
        <w:jc w:val="left"/>
        <w:tblInd w:w="0" w:type="dxa"/>
        <w:tblLayout w:type="fixed"/>
        <w:tblCellMar>
          <w:top w:w="28" w:type="dxa"/>
          <w:left w:w="28" w:type="dxa"/>
          <w:bottom w:w="28" w:type="dxa"/>
          <w:right w:w="28" w:type="dxa"/>
        </w:tblCellMar>
      </w:tblPr>
      <w:tblGrid>
        <w:gridCol w:w="124"/>
        <w:gridCol w:w="256"/>
        <w:gridCol w:w="37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anticipated oil, natural gas and NGL prices; </w:t>
            </w:r>
          </w:p>
        </w:tc>
      </w:tr>
    </w:tbl>
    <w:tbl>
      <w:tblPr>
        <w:tblW w:w="4281" w:type="dxa"/>
        <w:jc w:val="left"/>
        <w:tblInd w:w="0" w:type="dxa"/>
        <w:tblLayout w:type="fixed"/>
        <w:tblCellMar>
          <w:top w:w="28" w:type="dxa"/>
          <w:left w:w="28" w:type="dxa"/>
          <w:bottom w:w="28" w:type="dxa"/>
          <w:right w:w="28" w:type="dxa"/>
        </w:tblCellMar>
      </w:tblPr>
      <w:tblGrid>
        <w:gridCol w:w="124"/>
        <w:gridCol w:w="256"/>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anticipated drilling and completions activity;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drilling and operational risks, including accidents, equipment failures, fires, and releases of toxic or hazardous materials;</w:t>
            </w:r>
          </w:p>
        </w:tc>
      </w:tr>
    </w:tbl>
    <w:tbl>
      <w:tblPr>
        <w:tblW w:w="6816" w:type="dxa"/>
        <w:jc w:val="left"/>
        <w:tblInd w:w="0" w:type="dxa"/>
        <w:tblLayout w:type="fixed"/>
        <w:tblCellMar>
          <w:top w:w="28" w:type="dxa"/>
          <w:left w:w="28" w:type="dxa"/>
          <w:bottom w:w="28" w:type="dxa"/>
          <w:right w:w="28" w:type="dxa"/>
        </w:tblCellMar>
      </w:tblPr>
      <w:tblGrid>
        <w:gridCol w:w="124"/>
        <w:gridCol w:w="256"/>
        <w:gridCol w:w="6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estimates of our oil, natural gas and NGL reserves and recoverable quantities;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access credit facilities and the availability of other sources of liquidity to meet financial obligations throughout commodity price cycles; </w:t>
            </w:r>
          </w:p>
        </w:tc>
      </w:tr>
    </w:tbl>
    <w:tbl>
      <w:tblPr>
        <w:tblW w:w="9906" w:type="dxa"/>
        <w:jc w:val="left"/>
        <w:tblInd w:w="0" w:type="dxa"/>
        <w:tblLayout w:type="fixed"/>
        <w:tblCellMar>
          <w:top w:w="28" w:type="dxa"/>
          <w:left w:w="28" w:type="dxa"/>
          <w:bottom w:w="28" w:type="dxa"/>
          <w:right w:w="28" w:type="dxa"/>
        </w:tblCellMar>
      </w:tblPr>
      <w:tblGrid>
        <w:gridCol w:w="124"/>
        <w:gridCol w:w="256"/>
        <w:gridCol w:w="9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limitations on our ability to obtain funding based on environmental, social, and corporate governance performance;</w:t>
            </w:r>
          </w:p>
        </w:tc>
      </w:tr>
    </w:tbl>
    <w:tbl>
      <w:tblPr>
        <w:tblW w:w="2466" w:type="dxa"/>
        <w:jc w:val="left"/>
        <w:tblInd w:w="0" w:type="dxa"/>
        <w:tblLayout w:type="fixed"/>
        <w:tblCellMar>
          <w:top w:w="28" w:type="dxa"/>
          <w:left w:w="28" w:type="dxa"/>
          <w:bottom w:w="28" w:type="dxa"/>
          <w:right w:w="28" w:type="dxa"/>
        </w:tblCellMar>
      </w:tblPr>
      <w:tblGrid>
        <w:gridCol w:w="124"/>
        <w:gridCol w:w="256"/>
        <w:gridCol w:w="20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future interest expense; </w:t>
            </w:r>
          </w:p>
        </w:tc>
      </w:tr>
    </w:tbl>
    <w:tbl>
      <w:tblPr>
        <w:tblW w:w="8736" w:type="dxa"/>
        <w:jc w:val="left"/>
        <w:tblInd w:w="0" w:type="dxa"/>
        <w:tblLayout w:type="fixed"/>
        <w:tblCellMar>
          <w:top w:w="28" w:type="dxa"/>
          <w:left w:w="28" w:type="dxa"/>
          <w:bottom w:w="28" w:type="dxa"/>
          <w:right w:w="28" w:type="dxa"/>
        </w:tblCellMar>
      </w:tblPr>
      <w:tblGrid>
        <w:gridCol w:w="124"/>
        <w:gridCol w:w="256"/>
        <w:gridCol w:w="8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manage debt and financial ratios, finance growth and comply with financial covenants;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implementation and outcomes of risk management programs, including exposure to commodity price and interest rate fluctuations, the volume of oil and natural gas production hedged, and the markets or physical sales locations hedged; </w:t>
            </w:r>
          </w:p>
        </w:tc>
      </w:tr>
    </w:tbl>
    <w:tbl>
      <w:tblPr>
        <w:tblW w:w="7911" w:type="dxa"/>
        <w:jc w:val="left"/>
        <w:tblInd w:w="0" w:type="dxa"/>
        <w:tblLayout w:type="fixed"/>
        <w:tblCellMar>
          <w:top w:w="28" w:type="dxa"/>
          <w:left w:w="28" w:type="dxa"/>
          <w:bottom w:w="28" w:type="dxa"/>
          <w:right w:w="28" w:type="dxa"/>
        </w:tblCellMar>
      </w:tblPr>
      <w:tblGrid>
        <w:gridCol w:w="124"/>
        <w:gridCol w:w="256"/>
        <w:gridCol w:w="75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possible impact of changes in federal, state, provincial and local, rules and regulations; </w:t>
            </w:r>
          </w:p>
        </w:tc>
      </w:tr>
    </w:tbl>
    <w:tbl>
      <w:tblPr>
        <w:tblW w:w="9141" w:type="dxa"/>
        <w:jc w:val="left"/>
        <w:tblInd w:w="0" w:type="dxa"/>
        <w:tblLayout w:type="fixed"/>
        <w:tblCellMar>
          <w:top w:w="28" w:type="dxa"/>
          <w:left w:w="28" w:type="dxa"/>
          <w:bottom w:w="28" w:type="dxa"/>
          <w:right w:w="28" w:type="dxa"/>
        </w:tblCellMar>
      </w:tblPr>
      <w:tblGrid>
        <w:gridCol w:w="124"/>
        <w:gridCol w:w="256"/>
        <w:gridCol w:w="87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anticipated compliance with current or proposed environmental requirements, including the costs thereof; </w:t>
            </w:r>
          </w:p>
        </w:tc>
      </w:tr>
    </w:tbl>
    <w:tbl>
      <w:tblPr>
        <w:tblW w:w="8166" w:type="dxa"/>
        <w:jc w:val="left"/>
        <w:tblInd w:w="0" w:type="dxa"/>
        <w:tblLayout w:type="fixed"/>
        <w:tblCellMar>
          <w:top w:w="28" w:type="dxa"/>
          <w:left w:w="28" w:type="dxa"/>
          <w:bottom w:w="28" w:type="dxa"/>
          <w:right w:w="28" w:type="dxa"/>
        </w:tblCellMar>
      </w:tblPr>
      <w:tblGrid>
        <w:gridCol w:w="124"/>
        <w:gridCol w:w="256"/>
        <w:gridCol w:w="7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greenhouse gas (“GHG”) emissions limitations and renewable energy incentives;</w:t>
            </w:r>
          </w:p>
        </w:tc>
      </w:tr>
    </w:tbl>
    <w:tbl>
      <w:tblPr>
        <w:tblW w:w="6081" w:type="dxa"/>
        <w:jc w:val="left"/>
        <w:tblInd w:w="0" w:type="dxa"/>
        <w:tblLayout w:type="fixed"/>
        <w:tblCellMar>
          <w:top w:w="28" w:type="dxa"/>
          <w:left w:w="28" w:type="dxa"/>
          <w:bottom w:w="28" w:type="dxa"/>
          <w:right w:w="28" w:type="dxa"/>
        </w:tblCellMar>
      </w:tblPr>
      <w:tblGrid>
        <w:gridCol w:w="124"/>
        <w:gridCol w:w="256"/>
        <w:gridCol w:w="57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adequacy of provisions for abandonment and site reclamation costs; </w:t>
            </w:r>
          </w:p>
        </w:tc>
      </w:tr>
    </w:tbl>
    <w:tbl>
      <w:tblPr>
        <w:tblW w:w="9096" w:type="dxa"/>
        <w:jc w:val="left"/>
        <w:tblInd w:w="0" w:type="dxa"/>
        <w:tblLayout w:type="fixed"/>
        <w:tblCellMar>
          <w:top w:w="28" w:type="dxa"/>
          <w:left w:w="28" w:type="dxa"/>
          <w:bottom w:w="28" w:type="dxa"/>
          <w:right w:w="28" w:type="dxa"/>
        </w:tblCellMar>
      </w:tblPr>
      <w:tblGrid>
        <w:gridCol w:w="124"/>
        <w:gridCol w:w="256"/>
        <w:gridCol w:w="87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operational and financial flexibility, discipline and ability to respond to evolving market conditions; </w:t>
            </w:r>
          </w:p>
        </w:tc>
      </w:tr>
    </w:tbl>
    <w:tbl>
      <w:tblPr>
        <w:tblW w:w="9936" w:type="dxa"/>
        <w:jc w:val="left"/>
        <w:tblInd w:w="0" w:type="dxa"/>
        <w:tblLayout w:type="fixed"/>
        <w:tblCellMar>
          <w:top w:w="28" w:type="dxa"/>
          <w:left w:w="28" w:type="dxa"/>
          <w:bottom w:w="28" w:type="dxa"/>
          <w:right w:w="28" w:type="dxa"/>
        </w:tblCellMar>
      </w:tblPr>
      <w:tblGrid>
        <w:gridCol w:w="124"/>
        <w:gridCol w:w="256"/>
        <w:gridCol w:w="95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declaration and payment of future dividends and any anticipated repurchase of our outstanding common shares; </w:t>
            </w:r>
          </w:p>
        </w:tc>
      </w:tr>
    </w:tbl>
    <w:tbl>
      <w:tblPr>
        <w:tblW w:w="5166" w:type="dxa"/>
        <w:jc w:val="left"/>
        <w:tblInd w:w="0" w:type="dxa"/>
        <w:tblLayout w:type="fixed"/>
        <w:tblCellMar>
          <w:top w:w="28" w:type="dxa"/>
          <w:left w:w="28" w:type="dxa"/>
          <w:bottom w:w="28" w:type="dxa"/>
          <w:right w:w="28" w:type="dxa"/>
        </w:tblCellMar>
      </w:tblPr>
      <w:tblGrid>
        <w:gridCol w:w="124"/>
        <w:gridCol w:w="256"/>
        <w:gridCol w:w="4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adequacy of our provision for taxes and legal claims;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manage cost inflation and expected cost structures, including expected operating, transportation, processing and labor expenses; </w:t>
            </w:r>
          </w:p>
        </w:tc>
      </w:tr>
    </w:tbl>
    <w:tbl>
      <w:tblPr>
        <w:tblW w:w="9951" w:type="dxa"/>
        <w:jc w:val="left"/>
        <w:tblInd w:w="0" w:type="dxa"/>
        <w:tblLayout w:type="fixed"/>
        <w:tblCellMar>
          <w:top w:w="28" w:type="dxa"/>
          <w:left w:w="28" w:type="dxa"/>
          <w:bottom w:w="28" w:type="dxa"/>
          <w:right w:w="28" w:type="dxa"/>
        </w:tblCellMar>
      </w:tblPr>
      <w:tblGrid>
        <w:gridCol w:w="124"/>
        <w:gridCol w:w="256"/>
        <w:gridCol w:w="9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competitiveness relative to our peers, including with respect to capital, materials, people, assets and production; </w:t>
            </w:r>
          </w:p>
        </w:tc>
      </w:tr>
    </w:tbl>
    <w:tbl>
      <w:tblPr>
        <w:tblW w:w="7551" w:type="dxa"/>
        <w:jc w:val="left"/>
        <w:tblInd w:w="0" w:type="dxa"/>
        <w:tblLayout w:type="fixed"/>
        <w:tblCellMar>
          <w:top w:w="28" w:type="dxa"/>
          <w:left w:w="28" w:type="dxa"/>
          <w:bottom w:w="28" w:type="dxa"/>
          <w:right w:w="28" w:type="dxa"/>
        </w:tblCellMar>
      </w:tblPr>
      <w:tblGrid>
        <w:gridCol w:w="124"/>
        <w:gridCol w:w="256"/>
        <w:gridCol w:w="71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oil, natural gas and NGL inventories and global demand for oil, natural gas and NGLs;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outlook of the oil and natural gas industry generally, including impacts from changes to the geopolitical environment; </w:t>
            </w:r>
          </w:p>
        </w:tc>
      </w:tr>
    </w:tbl>
    <w:tbl>
      <w:tblPr>
        <w:tblW w:w="2451" w:type="dxa"/>
        <w:jc w:val="left"/>
        <w:tblInd w:w="0" w:type="dxa"/>
        <w:tblLayout w:type="fixed"/>
        <w:tblCellMar>
          <w:top w:w="28" w:type="dxa"/>
          <w:left w:w="28" w:type="dxa"/>
          <w:bottom w:w="28" w:type="dxa"/>
          <w:right w:w="28" w:type="dxa"/>
        </w:tblCellMar>
      </w:tblPr>
      <w:tblGrid>
        <w:gridCol w:w="124"/>
        <w:gridCol w:w="256"/>
        <w:gridCol w:w="2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weather events;</w:t>
            </w:r>
          </w:p>
        </w:tc>
      </w:tr>
    </w:tbl>
    <w:tbl>
      <w:tblPr>
        <w:tblW w:w="2736" w:type="dxa"/>
        <w:jc w:val="left"/>
        <w:tblInd w:w="0" w:type="dxa"/>
        <w:tblLayout w:type="fixed"/>
        <w:tblCellMar>
          <w:top w:w="28" w:type="dxa"/>
          <w:left w:w="28" w:type="dxa"/>
          <w:bottom w:w="28" w:type="dxa"/>
          <w:right w:w="28" w:type="dxa"/>
        </w:tblCellMar>
      </w:tblPr>
      <w:tblGrid>
        <w:gridCol w:w="124"/>
        <w:gridCol w:w="256"/>
        <w:gridCol w:w="2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anticipated staffing levels;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anticipated payments related to our commitments, obligations and contingencies, and the ability to satisfy the same; and </w:t>
            </w:r>
          </w:p>
        </w:tc>
      </w:tr>
    </w:tbl>
    <w:tbl>
      <w:tblPr>
        <w:tblW w:w="7626" w:type="dxa"/>
        <w:jc w:val="left"/>
        <w:tblInd w:w="0" w:type="dxa"/>
        <w:tblLayout w:type="fixed"/>
        <w:tblCellMar>
          <w:top w:w="28" w:type="dxa"/>
          <w:left w:w="28" w:type="dxa"/>
          <w:bottom w:w="28" w:type="dxa"/>
          <w:right w:w="28" w:type="dxa"/>
        </w:tblCellMar>
      </w:tblPr>
      <w:tblGrid>
        <w:gridCol w:w="124"/>
        <w:gridCol w:w="256"/>
        <w:gridCol w:w="72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possible impact of accounting and tax pronouncements, rule changes and standards.</w:t>
            </w:r>
          </w:p>
        </w:tc>
      </w:tr>
    </w:tbl>
    <w:p>
      <w:pPr>
        <w:pStyle w:val="TextBody"/>
        <w:bidi w:val="0"/>
        <w:spacing w:before="0" w:after="240"/>
        <w:ind w:left="108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Readers are cautioned against unduly relying on forward-looking statements which, by their nature, involve numerous assumptions and are subject to both known and unknown risks and uncertainties (many of which are beyond our control) that may cause actual events or results to differ materially and/or adversely from those expressed or implied, which include, but are not limited to, the following assumptions: </w:t>
      </w:r>
    </w:p>
    <w:tbl>
      <w:tblPr>
        <w:tblW w:w="4431" w:type="dxa"/>
        <w:jc w:val="left"/>
        <w:tblInd w:w="0" w:type="dxa"/>
        <w:tblLayout w:type="fixed"/>
        <w:tblCellMar>
          <w:top w:w="28" w:type="dxa"/>
          <w:left w:w="28" w:type="dxa"/>
          <w:bottom w:w="28" w:type="dxa"/>
          <w:right w:w="28" w:type="dxa"/>
        </w:tblCellMar>
      </w:tblPr>
      <w:tblGrid>
        <w:gridCol w:w="124"/>
        <w:gridCol w:w="256"/>
        <w:gridCol w:w="40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future commodity prices and basis differentials; </w:t>
            </w:r>
          </w:p>
        </w:tc>
      </w:tr>
    </w:tbl>
    <w:tbl>
      <w:tblPr>
        <w:tblW w:w="5376" w:type="dxa"/>
        <w:jc w:val="left"/>
        <w:tblInd w:w="0" w:type="dxa"/>
        <w:tblLayout w:type="fixed"/>
        <w:tblCellMar>
          <w:top w:w="28" w:type="dxa"/>
          <w:left w:w="28" w:type="dxa"/>
          <w:bottom w:w="28" w:type="dxa"/>
          <w:right w:w="28" w:type="dxa"/>
        </w:tblCellMar>
      </w:tblPr>
      <w:tblGrid>
        <w:gridCol w:w="124"/>
        <w:gridCol w:w="256"/>
        <w:gridCol w:w="49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access credit facilities and shelf prospectuses; </w:t>
            </w:r>
          </w:p>
        </w:tc>
      </w:tr>
    </w:tbl>
    <w:tbl>
      <w:tblPr>
        <w:tblW w:w="4626" w:type="dxa"/>
        <w:jc w:val="left"/>
        <w:tblInd w:w="0" w:type="dxa"/>
        <w:tblLayout w:type="fixed"/>
        <w:tblCellMar>
          <w:top w:w="28" w:type="dxa"/>
          <w:left w:w="28" w:type="dxa"/>
          <w:bottom w:w="28" w:type="dxa"/>
          <w:right w:w="28" w:type="dxa"/>
        </w:tblCellMar>
      </w:tblPr>
      <w:tblGrid>
        <w:gridCol w:w="124"/>
        <w:gridCol w:w="256"/>
        <w:gridCol w:w="42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assumptions contained in our corporate guidance; </w:t>
            </w:r>
          </w:p>
        </w:tc>
      </w:tr>
    </w:tbl>
    <w:tbl>
      <w:tblPr>
        <w:tblW w:w="9726" w:type="dxa"/>
        <w:jc w:val="left"/>
        <w:tblInd w:w="0" w:type="dxa"/>
        <w:tblLayout w:type="fixed"/>
        <w:tblCellMar>
          <w:top w:w="28" w:type="dxa"/>
          <w:left w:w="28" w:type="dxa"/>
          <w:bottom w:w="28" w:type="dxa"/>
          <w:right w:w="28" w:type="dxa"/>
        </w:tblCellMar>
      </w:tblPr>
      <w:tblGrid>
        <w:gridCol w:w="124"/>
        <w:gridCol w:w="256"/>
        <w:gridCol w:w="9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availability of attractive commodity or financial hedges and the enforceability of risk management programs;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expectations that counterparties will fulfill their obligations pursuant to gathering, processing, transportation and marketing agreements; </w:t>
            </w:r>
          </w:p>
        </w:tc>
      </w:tr>
    </w:tbl>
    <w:tbl>
      <w:tblPr>
        <w:tblW w:w="6876" w:type="dxa"/>
        <w:jc w:val="left"/>
        <w:tblInd w:w="0" w:type="dxa"/>
        <w:tblLayout w:type="fixed"/>
        <w:tblCellMar>
          <w:top w:w="28" w:type="dxa"/>
          <w:left w:w="28" w:type="dxa"/>
          <w:bottom w:w="28" w:type="dxa"/>
          <w:right w:w="28" w:type="dxa"/>
        </w:tblCellMar>
      </w:tblPr>
      <w:tblGrid>
        <w:gridCol w:w="124"/>
        <w:gridCol w:w="256"/>
        <w:gridCol w:w="6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access to adequate gathering, transportation, processing and storage facilities; </w:t>
            </w:r>
          </w:p>
        </w:tc>
      </w:tr>
    </w:tbl>
    <w:tbl>
      <w:tblPr>
        <w:tblW w:w="4206" w:type="dxa"/>
        <w:jc w:val="left"/>
        <w:tblInd w:w="0" w:type="dxa"/>
        <w:tblLayout w:type="fixed"/>
        <w:tblCellMar>
          <w:top w:w="28" w:type="dxa"/>
          <w:left w:w="28" w:type="dxa"/>
          <w:bottom w:w="28" w:type="dxa"/>
          <w:right w:w="28" w:type="dxa"/>
        </w:tblCellMar>
      </w:tblPr>
      <w:tblGrid>
        <w:gridCol w:w="124"/>
        <w:gridCol w:w="256"/>
        <w:gridCol w:w="38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assumed tax, royalty and regulatory regimes;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expectations and projections made in light of, and generally consistent with, our historical experience and our perception of historical industry trends; and </w:t>
            </w:r>
          </w:p>
        </w:tc>
      </w:tr>
    </w:tbl>
    <w:tbl>
      <w:tblPr>
        <w:tblW w:w="3756" w:type="dxa"/>
        <w:jc w:val="left"/>
        <w:tblInd w:w="0" w:type="dxa"/>
        <w:tblLayout w:type="fixed"/>
        <w:tblCellMar>
          <w:top w:w="28" w:type="dxa"/>
          <w:left w:w="28" w:type="dxa"/>
          <w:bottom w:w="28" w:type="dxa"/>
          <w:right w:w="28" w:type="dxa"/>
        </w:tblCellMar>
      </w:tblPr>
      <w:tblGrid>
        <w:gridCol w:w="124"/>
        <w:gridCol w:w="256"/>
        <w:gridCol w:w="33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other assumptions contained herein.</w:t>
            </w:r>
          </w:p>
        </w:tc>
      </w:tr>
    </w:tbl>
    <w:p>
      <w:pPr>
        <w:pStyle w:val="TextBody"/>
        <w:bidi w:val="0"/>
        <w:spacing w:before="0" w:after="240"/>
        <w:ind w:left="108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Readers are cautioned that the assumptions, risks and uncertainties referenced above, and in the other documents incorporated herein by reference (if any), are not exhaustive. Although we believe the expectations represented by our forward-looking statements are reasonable based on the information available to us as of the date such statements are made, forward-looking statements are only predictions and statements of our current beliefs and there can be no assurance that such expectations will prove to be correct.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When considering any forward-looking statement, the reader should keep in mind the risk factors that could cause our actual results to differ materially from those contained in any forward-looking statement. Important factors that could cause actual results to differ materially from those in the forward-looking statements herein include the timing and extent of changes in commodity prices for oil, natural gas and NGLs, operating risks and other risk factors as described under the </w:t>
      </w:r>
      <w:r>
        <w:rPr>
          <w:rFonts w:ascii="Times New Roman;Times;serif" w:hAnsi="Times New Roman;Times;serif"/>
          <w:i/>
          <w:sz w:val="20"/>
        </w:rPr>
        <w:t>Risk Factors</w:t>
      </w:r>
      <w:r>
        <w:rPr>
          <w:rFonts w:ascii="Times New Roman;Times;serif" w:hAnsi="Times New Roman;Times;serif"/>
          <w:sz w:val="20"/>
        </w:rPr>
        <w:t xml:space="preserve"> section of our previously filed Annual Report on Form 10-K for the fiscal year ended June 30, 2025, as well as the other disclosures contained herein, therein, and as also may be described from time to time in future reports we file with the Securities and Exchange Commission (“SEC”). Readers should also consider such information in conjunction with our condensed consolidated financial statements and related notes and Item 2. </w:t>
      </w:r>
      <w:r>
        <w:rPr>
          <w:rFonts w:ascii="Times New Roman;Times;serif" w:hAnsi="Times New Roman;Times;serif"/>
          <w:i/>
          <w:sz w:val="20"/>
        </w:rPr>
        <w:t>Management’s Discussion and Analysis of Financial Condition and Results of Operations</w:t>
      </w:r>
      <w:r>
        <w:rPr>
          <w:rFonts w:ascii="Times New Roman;Times;serif" w:hAnsi="Times New Roman;Times;serif"/>
          <w:sz w:val="20"/>
        </w:rPr>
        <w:t xml:space="preserve"> in this report. There also may be other factors that we cannot anticipate or that are not described in this report, generally because we do not currently perceive them to be material. Such factors could cause results to differ materially from our expectations.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Forward-looking statements speak only as of the date they are made, and we do not undertake to update these statements other than as required by law. Readers are advised, however, to review any further disclosures we make on related subjects in our filings with the SEC.</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46" w:name="Part_I_Financial_Information"/>
      <w:bookmarkStart w:id="47" w:name="_15a65b0e_7d28_49f1_babf_c01e03346a81"/>
      <w:bookmarkEnd w:id="46"/>
      <w:bookmarkEnd w:id="47"/>
      <w:r>
        <w:rPr>
          <w:rFonts w:ascii="Times New Roman;Times;serif" w:hAnsi="Times New Roman;Times;serif"/>
          <w:b/>
          <w:sz w:val="20"/>
        </w:rPr>
        <w:t>Part I. FINANCIAL INFORMATION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1. Condensed Consolidated Financial Statements (Unaudited)</w:t>
      </w:r>
    </w:p>
    <w:p>
      <w:pPr>
        <w:pStyle w:val="TextBody"/>
        <w:bidi w:val="0"/>
        <w:spacing w:before="0" w:after="0"/>
        <w:ind w:left="0" w:right="0" w:hanging="0"/>
        <w:jc w:val="left"/>
        <w:rPr/>
      </w:pPr>
      <w:bookmarkStart w:id="48" w:name="Item_1_Condensed_Consolidated_Financial"/>
      <w:bookmarkEnd w:id="48"/>
      <w:r>
        <w:rPr/>
        <w:t>​</w:t>
      </w:r>
    </w:p>
    <w:p>
      <w:pPr>
        <w:pStyle w:val="TextBody"/>
        <w:bidi w:val="0"/>
        <w:spacing w:before="0" w:after="120"/>
        <w:ind w:left="0" w:right="0" w:hanging="0"/>
        <w:jc w:val="center"/>
        <w:rPr>
          <w:rFonts w:ascii="Times New Roman;Times;serif" w:hAnsi="Times New Roman;Times;serif"/>
          <w:b/>
          <w:sz w:val="20"/>
        </w:rPr>
      </w:pPr>
      <w:bookmarkStart w:id="49" w:name="ConsolidatedCondensedBalanceSheets"/>
      <w:bookmarkStart w:id="50" w:name="_26c7e877_307b_4273_b951_3ff5e9ca5b0d"/>
      <w:bookmarkEnd w:id="49"/>
      <w:bookmarkEnd w:id="50"/>
      <w:r>
        <w:rPr>
          <w:rFonts w:ascii="Times New Roman;Times;serif" w:hAnsi="Times New Roman;Times;serif"/>
          <w:b/>
          <w:sz w:val="20"/>
        </w:rPr>
        <w:t>EVOLUTION PETROLEUM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CONDENSED CONSOLIDATED BALANCE SHEETS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51" w:name="Tc_4xizijD8eU2ew1CU9DT_Hg_40_5"/>
      <w:bookmarkStart w:id="52" w:name="Tc_N-CzVHy_J0yd3OTcRgvn5w_40_2"/>
      <w:bookmarkStart w:id="53" w:name="Tc_TcFw4fd500yBrLGB0A-xpw_40_0"/>
      <w:bookmarkStart w:id="54" w:name="Tc_OvQ93qYY80yGHAWlJZa-VA_39_0"/>
      <w:bookmarkStart w:id="55" w:name="Tc_1cCPIc70Xka62eZn6_1K0Q_38_0"/>
      <w:bookmarkStart w:id="56" w:name="Tc_Zr65IDtYfES-Pb0Q4jWmzA_37_0"/>
      <w:bookmarkStart w:id="57" w:name="Tc_izxVUL3vCUiaaeiqKd-fOA_36_0"/>
      <w:bookmarkStart w:id="58" w:name="Tc_-uuniwqhB0ClObQ_VvCF8A_35_0"/>
      <w:bookmarkStart w:id="59" w:name="Tc_HTfh9Q7wV0GWpLoI5hIGxg_34_0"/>
      <w:bookmarkStart w:id="60" w:name="Tc_r1o5AVxe_06g1hJgp346aw_33_0"/>
      <w:bookmarkStart w:id="61" w:name="Tc_ifvxMnH3Y0ijGQtRWZXVPQ_32_0"/>
      <w:bookmarkStart w:id="62" w:name="Tc_7ZHjKAf6kUG10lnMkjdK4A_31_0"/>
      <w:bookmarkStart w:id="63" w:name="Tc_P1NfmJyqEkqkmt_zC3fxHA_30_0"/>
      <w:bookmarkStart w:id="64" w:name="Tc_-FmYFfsWr0-aEFsSX5_yfQ_29_0"/>
      <w:bookmarkStart w:id="65" w:name="Tc_ZFt6p2WV7UyP9m0hPzoyTw_28_0"/>
      <w:bookmarkStart w:id="66" w:name="Tc_qIWHXnei4ky-L-zASRtXuw_27_0"/>
      <w:bookmarkStart w:id="67" w:name="Tc_P1cXGabDqkCbOyHW5SPpBQ_26_0"/>
      <w:bookmarkStart w:id="68" w:name="Tc_QasXMIOvl0SNkAmtl9jLsQ_25_0"/>
      <w:bookmarkStart w:id="69" w:name="Tc_O6wTTWiCZ0y8QWg9KgxVIg_24_6"/>
      <w:bookmarkStart w:id="70" w:name="Tc_vmu3BDJ5UEyX_77d_ia7Gg_24_0"/>
      <w:bookmarkStart w:id="71" w:name="Tc_KVwTbnx6fUaWcAVELuNvsw_23_0"/>
      <w:bookmarkStart w:id="72" w:name="Tc_uwKgic2U2k-7rIJkUL9ZWg_22_0"/>
      <w:bookmarkStart w:id="73" w:name="Tc_cu6cw8iDzUq1uys5SUAeGA_21_5"/>
      <w:bookmarkStart w:id="74" w:name="Tc_w82e5uIEc0mCl_7jlpghvg_21_2"/>
      <w:bookmarkStart w:id="75" w:name="Tc_BhtItAxf0kiEOqHCjGncaA_21_0"/>
      <w:bookmarkStart w:id="76" w:name="Tc_Xup6b8ds40WjR0l8SReZ0Q_20_0"/>
      <w:bookmarkStart w:id="77" w:name="Tc_Y0AYw2IIwEiiG8Mpi3_CHQ_19_0"/>
      <w:bookmarkStart w:id="78" w:name="Tc_YVRgePy2Lk-ufGYBXK_V6g_18_5"/>
      <w:bookmarkStart w:id="79" w:name="Tc_heUJMWaEgUS_e5O_r3jYjg_18_2"/>
      <w:bookmarkStart w:id="80" w:name="Tc_SSbBbfR_NkqFN4f3l1RLPg_18_0"/>
      <w:bookmarkStart w:id="81" w:name="Tc_YA6AwWId_kCDnH-G2IdP3Q_17_0"/>
      <w:bookmarkStart w:id="82" w:name="Tc_EGbP5L-hz0WoSXCYDrhftw_16_0"/>
      <w:bookmarkStart w:id="83" w:name="Tc_NSEWLHTyNkifMd2IuOdYgg_15_0"/>
      <w:bookmarkStart w:id="84" w:name="Tc_xYPbarjJbEaCDU19yXlcnQ_13_0"/>
      <w:bookmarkStart w:id="85" w:name="Tc_KKJBDLzmlEm9UyDxWGcATg_12_6"/>
      <w:bookmarkStart w:id="86" w:name="Tc_olPknqhsnE6PcoeL4LRNOA_12_0"/>
      <w:bookmarkStart w:id="87" w:name="Tc_A2WdL_qI80-0gRX5FT8VDQ_11_0"/>
      <w:bookmarkStart w:id="88" w:name="Tc_vdWwVs5BbkK74v_X3QxkHA_10_0"/>
      <w:bookmarkStart w:id="89" w:name="Tc_Cs10QzeUmEatPhhbm1KmJg_9_0"/>
      <w:bookmarkStart w:id="90" w:name="Tc_LLTXCPorEEyG4YbDkBfxtA_8_0"/>
      <w:bookmarkStart w:id="91" w:name="Tc_m3khWtkpb023Erd8pt5Ldw_7_0"/>
      <w:bookmarkStart w:id="92" w:name="Tc_kRnZjiMZ60alIJ2OsWLVwA_6_0"/>
      <w:bookmarkStart w:id="93" w:name="Tc_H6oJP10gDE2Hqo3UVpQ7WQ_5_0"/>
      <w:bookmarkStart w:id="94" w:name="Tc_wsFpeUUZGUOUsyTZ0ED-KQ_4_5"/>
      <w:bookmarkStart w:id="95" w:name="Tc_YnEqx3h1EEqV-B0hWnkqOw_4_2"/>
      <w:bookmarkStart w:id="96" w:name="Tc_bUy6TtGrxUSQXUeAH5tHQA_4_0"/>
      <w:bookmarkStart w:id="97" w:name="Tc_h1VcD_zAsUSgO_dg4U1FhQ_3_0"/>
      <w:bookmarkStart w:id="98" w:name="Tc_PR8ovtcJjESqMUPBvMnU7A_2_0"/>
      <w:bookmarkStart w:id="99" w:name="Tc_LPITqP0-vEit8EyhYJOHPA_1_5"/>
      <w:bookmarkStart w:id="100" w:name="Tc_942zP3NjPEe0NuVNCa5dMw_1_2"/>
      <w:bookmarkStart w:id="101" w:name="_02e7d75a_4f6f_4234_a115_8b95b7bce8cd"/>
      <w:bookmarkStart w:id="102" w:name="Tc_4xizijD8eU2ew1CU9DT_Hg_40_5"/>
      <w:bookmarkStart w:id="103" w:name="Tc_N-CzVHy_J0yd3OTcRgvn5w_40_2"/>
      <w:bookmarkStart w:id="104" w:name="Tc_TcFw4fd500yBrLGB0A-xpw_40_0"/>
      <w:bookmarkStart w:id="105" w:name="Tc_OvQ93qYY80yGHAWlJZa-VA_39_0"/>
      <w:bookmarkStart w:id="106" w:name="Tc_1cCPIc70Xka62eZn6_1K0Q_38_0"/>
      <w:bookmarkStart w:id="107" w:name="Tc_Zr65IDtYfES-Pb0Q4jWmzA_37_0"/>
      <w:bookmarkStart w:id="108" w:name="Tc_izxVUL3vCUiaaeiqKd-fOA_36_0"/>
      <w:bookmarkStart w:id="109" w:name="Tc_-uuniwqhB0ClObQ_VvCF8A_35_0"/>
      <w:bookmarkStart w:id="110" w:name="Tc_HTfh9Q7wV0GWpLoI5hIGxg_34_0"/>
      <w:bookmarkStart w:id="111" w:name="Tc_r1o5AVxe_06g1hJgp346aw_33_0"/>
      <w:bookmarkStart w:id="112" w:name="Tc_ifvxMnH3Y0ijGQtRWZXVPQ_32_0"/>
      <w:bookmarkStart w:id="113" w:name="Tc_7ZHjKAf6kUG10lnMkjdK4A_31_0"/>
      <w:bookmarkStart w:id="114" w:name="Tc_P1NfmJyqEkqkmt_zC3fxHA_30_0"/>
      <w:bookmarkStart w:id="115" w:name="Tc_-FmYFfsWr0-aEFsSX5_yfQ_29_0"/>
      <w:bookmarkStart w:id="116" w:name="Tc_ZFt6p2WV7UyP9m0hPzoyTw_28_0"/>
      <w:bookmarkStart w:id="117" w:name="Tc_qIWHXnei4ky-L-zASRtXuw_27_0"/>
      <w:bookmarkStart w:id="118" w:name="Tc_P1cXGabDqkCbOyHW5SPpBQ_26_0"/>
      <w:bookmarkStart w:id="119" w:name="Tc_QasXMIOvl0SNkAmtl9jLsQ_25_0"/>
      <w:bookmarkStart w:id="120" w:name="Tc_O6wTTWiCZ0y8QWg9KgxVIg_24_6"/>
      <w:bookmarkStart w:id="121" w:name="Tc_vmu3BDJ5UEyX_77d_ia7Gg_24_0"/>
      <w:bookmarkStart w:id="122" w:name="Tc_KVwTbnx6fUaWcAVELuNvsw_23_0"/>
      <w:bookmarkStart w:id="123" w:name="Tc_uwKgic2U2k-7rIJkUL9ZWg_22_0"/>
      <w:bookmarkStart w:id="124" w:name="Tc_cu6cw8iDzUq1uys5SUAeGA_21_5"/>
      <w:bookmarkStart w:id="125" w:name="Tc_w82e5uIEc0mCl_7jlpghvg_21_2"/>
      <w:bookmarkStart w:id="126" w:name="Tc_BhtItAxf0kiEOqHCjGncaA_21_0"/>
      <w:bookmarkStart w:id="127" w:name="Tc_Xup6b8ds40WjR0l8SReZ0Q_20_0"/>
      <w:bookmarkStart w:id="128" w:name="Tc_Y0AYw2IIwEiiG8Mpi3_CHQ_19_0"/>
      <w:bookmarkStart w:id="129" w:name="Tc_YVRgePy2Lk-ufGYBXK_V6g_18_5"/>
      <w:bookmarkStart w:id="130" w:name="Tc_heUJMWaEgUS_e5O_r3jYjg_18_2"/>
      <w:bookmarkStart w:id="131" w:name="Tc_SSbBbfR_NkqFN4f3l1RLPg_18_0"/>
      <w:bookmarkStart w:id="132" w:name="Tc_YA6AwWId_kCDnH-G2IdP3Q_17_0"/>
      <w:bookmarkStart w:id="133" w:name="Tc_EGbP5L-hz0WoSXCYDrhftw_16_0"/>
      <w:bookmarkStart w:id="134" w:name="Tc_NSEWLHTyNkifMd2IuOdYgg_15_0"/>
      <w:bookmarkStart w:id="135" w:name="Tc_xYPbarjJbEaCDU19yXlcnQ_13_0"/>
      <w:bookmarkStart w:id="136" w:name="Tc_KKJBDLzmlEm9UyDxWGcATg_12_6"/>
      <w:bookmarkStart w:id="137" w:name="Tc_olPknqhsnE6PcoeL4LRNOA_12_0"/>
      <w:bookmarkStart w:id="138" w:name="Tc_A2WdL_qI80-0gRX5FT8VDQ_11_0"/>
      <w:bookmarkStart w:id="139" w:name="Tc_vdWwVs5BbkK74v_X3QxkHA_10_0"/>
      <w:bookmarkStart w:id="140" w:name="Tc_Cs10QzeUmEatPhhbm1KmJg_9_0"/>
      <w:bookmarkStart w:id="141" w:name="Tc_LLTXCPorEEyG4YbDkBfxtA_8_0"/>
      <w:bookmarkStart w:id="142" w:name="Tc_m3khWtkpb023Erd8pt5Ldw_7_0"/>
      <w:bookmarkStart w:id="143" w:name="Tc_kRnZjiMZ60alIJ2OsWLVwA_6_0"/>
      <w:bookmarkStart w:id="144" w:name="Tc_H6oJP10gDE2Hqo3UVpQ7WQ_5_0"/>
      <w:bookmarkStart w:id="145" w:name="Tc_wsFpeUUZGUOUsyTZ0ED-KQ_4_5"/>
      <w:bookmarkStart w:id="146" w:name="Tc_YnEqx3h1EEqV-B0hWnkqOw_4_2"/>
      <w:bookmarkStart w:id="147" w:name="Tc_bUy6TtGrxUSQXUeAH5tHQA_4_0"/>
      <w:bookmarkStart w:id="148" w:name="Tc_h1VcD_zAsUSgO_dg4U1FhQ_3_0"/>
      <w:bookmarkStart w:id="149" w:name="Tc_PR8ovtcJjESqMUPBvMnU7A_2_0"/>
      <w:bookmarkStart w:id="150" w:name="Tc_LPITqP0-vEit8EyhYJOHPA_1_5"/>
      <w:bookmarkStart w:id="151" w:name="Tc_942zP3NjPEe0NuVNCa5dMw_1_2"/>
      <w:bookmarkStart w:id="152" w:name="_02e7d75a_4f6f_4234_a115_8b95b7bce8cd"/>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p>
    <w:tbl>
      <w:tblPr>
        <w:tblW w:w="9040" w:type="dxa"/>
        <w:jc w:val="left"/>
        <w:tblInd w:w="0" w:type="dxa"/>
        <w:tblLayout w:type="fixed"/>
        <w:tblCellMar>
          <w:top w:w="0" w:type="dxa"/>
          <w:left w:w="0" w:type="dxa"/>
          <w:bottom w:w="0" w:type="dxa"/>
          <w:right w:w="0" w:type="dxa"/>
        </w:tblCellMar>
      </w:tblPr>
      <w:tblGrid>
        <w:gridCol w:w="5581"/>
        <w:gridCol w:w="326"/>
        <w:gridCol w:w="354"/>
        <w:gridCol w:w="1252"/>
        <w:gridCol w:w="326"/>
        <w:gridCol w:w="237"/>
        <w:gridCol w:w="964"/>
      </w:tblGrid>
      <w:tr>
        <w:trPr/>
        <w:tc>
          <w:tcPr>
            <w:tcW w:w="5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3543935" cy="175260"/>
                      <wp:effectExtent l="0" t="0" r="0" b="0"/>
                      <wp:wrapNone/>
                      <wp:docPr id="17" name="Frame16"/>
                      <a:graphic xmlns:a="http://schemas.openxmlformats.org/drawingml/2006/main">
                        <a:graphicData uri="http://schemas.microsoft.com/office/word/2010/wordprocessingShape">
                          <wps:wsp>
                            <wps:cNvSpPr txBox="1"/>
                            <wps:spPr>
                              <a:xfrm>
                                <a:off x="0" y="0"/>
                                <a:ext cx="3543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07010" cy="175260"/>
                      <wp:effectExtent l="0" t="0" r="0" b="0"/>
                      <wp:wrapNone/>
                      <wp:docPr id="18" name="Frame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24790" cy="175260"/>
                      <wp:effectExtent l="0" t="0" r="0" b="0"/>
                      <wp:wrapNone/>
                      <wp:docPr id="19" name="Frame18"/>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795020" cy="175260"/>
                      <wp:effectExtent l="0" t="0" r="0" b="0"/>
                      <wp:wrapNone/>
                      <wp:docPr id="20" name="Frame19"/>
                      <a:graphic xmlns:a="http://schemas.openxmlformats.org/drawingml/2006/main">
                        <a:graphicData uri="http://schemas.microsoft.com/office/word/2010/wordprocessingShape">
                          <wps:wsp>
                            <wps:cNvSpPr txBox="1"/>
                            <wps:spPr>
                              <a:xfrm>
                                <a:off x="0" y="0"/>
                                <a:ext cx="795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07010" cy="175260"/>
                      <wp:effectExtent l="0" t="0" r="0" b="0"/>
                      <wp:wrapNone/>
                      <wp:docPr id="21" name="Frame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50495" cy="175260"/>
                      <wp:effectExtent l="0" t="0" r="0" b="0"/>
                      <wp:wrapNone/>
                      <wp:docPr id="22" name="Frame21"/>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12140" cy="175260"/>
                      <wp:effectExtent l="0" t="0" r="0" b="0"/>
                      <wp:wrapNone/>
                      <wp:docPr id="23" name="Frame22"/>
                      <a:graphic xmlns:a="http://schemas.openxmlformats.org/drawingml/2006/main">
                        <a:graphicData uri="http://schemas.microsoft.com/office/word/2010/wordprocessingShape">
                          <wps:wsp>
                            <wps:cNvSpPr txBox="1"/>
                            <wps:spPr>
                              <a:xfrm>
                                <a:off x="0" y="0"/>
                                <a:ext cx="6121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5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6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September 30, 2025</w:t>
            </w:r>
          </w:p>
        </w:tc>
        <w:tc>
          <w:tcPr>
            <w:tcW w:w="326" w:type="dxa"/>
            <w:tcBorders/>
            <w:vAlign w:val="center"/>
          </w:tcPr>
          <w:p>
            <w:pPr>
              <w:pStyle w:val="TableContents"/>
              <w:bidi w:val="0"/>
              <w:spacing w:before="0" w:after="1"/>
              <w:ind w:left="0" w:right="0" w:hanging="0"/>
              <w:jc w:val="left"/>
              <w:rPr/>
            </w:pPr>
            <w:r>
              <w:rPr/>
              <w:t>    </w:t>
            </w:r>
          </w:p>
        </w:tc>
        <w:tc>
          <w:tcPr>
            <w:tcW w:w="12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2025</w:t>
            </w:r>
          </w:p>
        </w:tc>
      </w:tr>
      <w:tr>
        <w:trPr/>
        <w:tc>
          <w:tcPr>
            <w:tcW w:w="5581"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Assets</w:t>
            </w:r>
          </w:p>
        </w:tc>
        <w:tc>
          <w:tcPr>
            <w:tcW w:w="326"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left"/>
              <w:rPr/>
            </w:pPr>
            <w:r>
              <w:rPr/>
              <w:t>​</w:t>
            </w:r>
          </w:p>
        </w:tc>
        <w:tc>
          <w:tcPr>
            <w:tcW w:w="1252"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964" w:type="dxa"/>
            <w:tcBorders/>
            <w:shd w:fill="CCEEFF" w:val="clear"/>
            <w:vAlign w:val="center"/>
          </w:tcPr>
          <w:p>
            <w:pPr>
              <w:pStyle w:val="TableContents"/>
              <w:bidi w:val="0"/>
              <w:spacing w:before="0" w:after="1"/>
              <w:ind w:left="0" w:right="0" w:hanging="0"/>
              <w:jc w:val="left"/>
              <w:rPr/>
            </w:pPr>
            <w:r>
              <w:rPr/>
              <w:t> </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Current assets</w:t>
            </w:r>
          </w:p>
        </w:tc>
        <w:tc>
          <w:tcPr>
            <w:tcW w:w="326"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left"/>
              <w:rPr/>
            </w:pPr>
            <w:r>
              <w:rPr/>
              <w:t>​</w:t>
            </w:r>
          </w:p>
        </w:tc>
        <w:tc>
          <w:tcPr>
            <w:tcW w:w="1252"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964" w:type="dxa"/>
            <w:tcBorders/>
            <w:vAlign w:val="center"/>
          </w:tcPr>
          <w:p>
            <w:pPr>
              <w:pStyle w:val="TableContents"/>
              <w:bidi w:val="0"/>
              <w:spacing w:before="0" w:after="1"/>
              <w:ind w:left="0" w:right="0" w:hanging="0"/>
              <w:jc w:val="left"/>
              <w:rPr/>
            </w:pPr>
            <w:r>
              <w:rPr/>
              <w:t> </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5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714</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2,507</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Receivables from crude oil, natural gas, and natural gas liquids revenues</w:t>
            </w:r>
          </w:p>
        </w:tc>
        <w:tc>
          <w:tcPr>
            <w:tcW w:w="326"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left"/>
              <w:rPr/>
            </w:pPr>
            <w:r>
              <w:rPr/>
              <w:t>​</w:t>
            </w:r>
          </w:p>
        </w:tc>
        <w:tc>
          <w:tcPr>
            <w:tcW w:w="125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8,485</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96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10,804</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Derivative contract assets</w:t>
            </w:r>
          </w:p>
        </w:tc>
        <w:tc>
          <w:tcPr>
            <w:tcW w:w="326"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left"/>
              <w:rPr/>
            </w:pPr>
            <w:r>
              <w:rPr/>
              <w:t>​</w:t>
            </w:r>
          </w:p>
        </w:tc>
        <w:tc>
          <w:tcPr>
            <w:tcW w:w="125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2,075</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96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1,777</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26" w:type="dxa"/>
            <w:tcBorders/>
            <w:vAlign w:val="center"/>
          </w:tcPr>
          <w:p>
            <w:pPr>
              <w:pStyle w:val="TableContents"/>
              <w:bidi w:val="0"/>
              <w:spacing w:before="0" w:after="1"/>
              <w:ind w:left="0" w:right="0" w:hanging="0"/>
              <w:jc w:val="left"/>
              <w:rPr/>
            </w:pPr>
            <w:r>
              <w:rPr/>
              <w:t>​</w:t>
            </w:r>
          </w:p>
        </w:tc>
        <w:tc>
          <w:tcPr>
            <w:tcW w:w="35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1,235</w:t>
            </w:r>
          </w:p>
        </w:tc>
        <w:tc>
          <w:tcPr>
            <w:tcW w:w="326"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6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2,287</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35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12,509</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17,375</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Property and equipment, net of depletion, depreciation, and impairment</w:t>
            </w:r>
          </w:p>
        </w:tc>
        <w:tc>
          <w:tcPr>
            <w:tcW w:w="326"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left"/>
              <w:rPr/>
            </w:pPr>
            <w:r>
              <w:rPr/>
              <w:t>​</w:t>
            </w:r>
          </w:p>
        </w:tc>
        <w:tc>
          <w:tcPr>
            <w:tcW w:w="1252"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964" w:type="dxa"/>
            <w:tcBorders/>
            <w:vAlign w:val="center"/>
          </w:tcPr>
          <w:p>
            <w:pPr>
              <w:pStyle w:val="TableContents"/>
              <w:bidi w:val="0"/>
              <w:spacing w:before="0" w:after="1"/>
              <w:ind w:left="0" w:right="0" w:hanging="0"/>
              <w:jc w:val="right"/>
              <w:rPr/>
            </w:pPr>
            <w:r>
              <w:rPr/>
              <w:t>​</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Oil and natural gas properties—full-cost method of accounting:</w:t>
            </w:r>
          </w:p>
        </w:tc>
        <w:tc>
          <w:tcPr>
            <w:tcW w:w="326"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left"/>
              <w:rPr/>
            </w:pPr>
            <w:r>
              <w:rPr/>
              <w:t>​</w:t>
            </w:r>
          </w:p>
        </w:tc>
        <w:tc>
          <w:tcPr>
            <w:tcW w:w="125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964" w:type="dxa"/>
            <w:tcBorders/>
            <w:shd w:fill="CCEEFF" w:val="clear"/>
            <w:vAlign w:val="center"/>
          </w:tcPr>
          <w:p>
            <w:pPr>
              <w:pStyle w:val="TableContents"/>
              <w:bidi w:val="0"/>
              <w:spacing w:before="0" w:after="1"/>
              <w:ind w:left="0" w:right="0" w:hanging="0"/>
              <w:jc w:val="right"/>
              <w:rPr/>
            </w:pPr>
            <w:r>
              <w:rPr/>
              <w:t>​</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Oil and natural gas properties, subject to amortization, net</w:t>
            </w:r>
          </w:p>
        </w:tc>
        <w:tc>
          <w:tcPr>
            <w:tcW w:w="326"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left"/>
              <w:rPr/>
            </w:pPr>
            <w:r>
              <w:rPr/>
              <w:t>​</w:t>
            </w:r>
          </w:p>
        </w:tc>
        <w:tc>
          <w:tcPr>
            <w:tcW w:w="125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149,934</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96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142,248</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Oil and natural gas properties, not subject to amortization</w:t>
            </w:r>
          </w:p>
        </w:tc>
        <w:tc>
          <w:tcPr>
            <w:tcW w:w="326" w:type="dxa"/>
            <w:tcBorders/>
            <w:shd w:fill="CCEEFF" w:val="clear"/>
            <w:vAlign w:val="center"/>
          </w:tcPr>
          <w:p>
            <w:pPr>
              <w:pStyle w:val="TableContents"/>
              <w:bidi w:val="0"/>
              <w:spacing w:before="0" w:after="1"/>
              <w:ind w:left="0" w:right="0" w:hanging="0"/>
              <w:jc w:val="left"/>
              <w:rPr/>
            </w:pPr>
            <w:r>
              <w:rPr/>
              <w:t>​</w:t>
            </w:r>
          </w:p>
        </w:tc>
        <w:tc>
          <w:tcPr>
            <w:tcW w:w="35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5,812</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property and equipment, net</w:t>
            </w:r>
          </w:p>
        </w:tc>
        <w:tc>
          <w:tcPr>
            <w:tcW w:w="326"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left"/>
              <w:rPr/>
            </w:pPr>
            <w:r>
              <w:rPr/>
              <w:t>​</w:t>
            </w:r>
          </w:p>
        </w:tc>
        <w:tc>
          <w:tcPr>
            <w:tcW w:w="125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155,746</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96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142,248</w:t>
            </w:r>
          </w:p>
        </w:tc>
      </w:tr>
      <w:tr>
        <w:trPr/>
        <w:tc>
          <w:tcPr>
            <w:tcW w:w="55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left"/>
              <w:rPr/>
            </w:pPr>
            <w:r>
              <w:rPr/>
              <w:t>​</w:t>
            </w:r>
          </w:p>
        </w:tc>
        <w:tc>
          <w:tcPr>
            <w:tcW w:w="125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964" w:type="dxa"/>
            <w:tcBorders/>
            <w:shd w:fill="CCEEFF" w:val="clear"/>
            <w:vAlign w:val="center"/>
          </w:tcPr>
          <w:p>
            <w:pPr>
              <w:pStyle w:val="TableContents"/>
              <w:bidi w:val="0"/>
              <w:spacing w:before="0" w:after="1"/>
              <w:ind w:left="0" w:right="0" w:hanging="0"/>
              <w:jc w:val="right"/>
              <w:rPr/>
            </w:pPr>
            <w:r>
              <w:rPr/>
              <w:t>​</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noncurrent assets</w:t>
            </w:r>
          </w:p>
        </w:tc>
        <w:tc>
          <w:tcPr>
            <w:tcW w:w="326"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left"/>
              <w:rPr/>
            </w:pPr>
            <w:r>
              <w:rPr/>
              <w:t>​</w:t>
            </w:r>
          </w:p>
        </w:tc>
        <w:tc>
          <w:tcPr>
            <w:tcW w:w="125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964" w:type="dxa"/>
            <w:tcBorders/>
            <w:vAlign w:val="center"/>
          </w:tcPr>
          <w:p>
            <w:pPr>
              <w:pStyle w:val="TableContents"/>
              <w:bidi w:val="0"/>
              <w:spacing w:before="0" w:after="1"/>
              <w:ind w:left="0" w:right="0" w:hanging="0"/>
              <w:jc w:val="right"/>
              <w:rPr/>
            </w:pPr>
            <w:r>
              <w:rPr/>
              <w:t>​</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Derivative contract assets</w:t>
            </w:r>
          </w:p>
        </w:tc>
        <w:tc>
          <w:tcPr>
            <w:tcW w:w="326"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left"/>
              <w:rPr/>
            </w:pPr>
            <w:r>
              <w:rPr/>
              <w:t>​</w:t>
            </w:r>
          </w:p>
        </w:tc>
        <w:tc>
          <w:tcPr>
            <w:tcW w:w="125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402</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96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198</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assets</w:t>
            </w:r>
          </w:p>
        </w:tc>
        <w:tc>
          <w:tcPr>
            <w:tcW w:w="326" w:type="dxa"/>
            <w:tcBorders/>
            <w:vAlign w:val="center"/>
          </w:tcPr>
          <w:p>
            <w:pPr>
              <w:pStyle w:val="TableContents"/>
              <w:bidi w:val="0"/>
              <w:spacing w:before="0" w:after="1"/>
              <w:ind w:left="0" w:right="0" w:hanging="0"/>
              <w:jc w:val="left"/>
              <w:rPr/>
            </w:pPr>
            <w:r>
              <w:rPr/>
              <w:t>​</w:t>
            </w:r>
          </w:p>
        </w:tc>
        <w:tc>
          <w:tcPr>
            <w:tcW w:w="35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474</w:t>
            </w:r>
          </w:p>
        </w:tc>
        <w:tc>
          <w:tcPr>
            <w:tcW w:w="326"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6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431</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assets</w:t>
            </w:r>
          </w:p>
        </w:tc>
        <w:tc>
          <w:tcPr>
            <w:tcW w:w="326" w:type="dxa"/>
            <w:tcBorders/>
            <w:shd w:fill="CCEEFF" w:val="clear"/>
            <w:vAlign w:val="center"/>
          </w:tcPr>
          <w:p>
            <w:pPr>
              <w:pStyle w:val="TableContents"/>
              <w:bidi w:val="0"/>
              <w:spacing w:before="0" w:after="1"/>
              <w:ind w:left="0" w:right="0" w:hanging="0"/>
              <w:jc w:val="left"/>
              <w:rPr/>
            </w:pPr>
            <w:r>
              <w:rPr/>
              <w:t>​</w:t>
            </w:r>
          </w:p>
        </w:tc>
        <w:tc>
          <w:tcPr>
            <w:tcW w:w="35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5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169,131</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160,252</w:t>
            </w:r>
          </w:p>
        </w:tc>
      </w:tr>
      <w:tr>
        <w:trPr/>
        <w:tc>
          <w:tcPr>
            <w:tcW w:w="558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Liabilities and Stockholders' Equity</w:t>
            </w:r>
          </w:p>
        </w:tc>
        <w:tc>
          <w:tcPr>
            <w:tcW w:w="326"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left"/>
              <w:rPr/>
            </w:pPr>
            <w:r>
              <w:rPr/>
              <w:t>​</w:t>
            </w:r>
          </w:p>
        </w:tc>
        <w:tc>
          <w:tcPr>
            <w:tcW w:w="1252"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964" w:type="dxa"/>
            <w:tcBorders/>
            <w:vAlign w:val="center"/>
          </w:tcPr>
          <w:p>
            <w:pPr>
              <w:pStyle w:val="TableContents"/>
              <w:bidi w:val="0"/>
              <w:spacing w:before="0" w:after="1"/>
              <w:ind w:left="0" w:right="0" w:hanging="0"/>
              <w:jc w:val="right"/>
              <w:rPr/>
            </w:pPr>
            <w:r>
              <w:rPr/>
              <w:t>​</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left"/>
              <w:rPr/>
            </w:pPr>
            <w:r>
              <w:rPr/>
              <w:t>​</w:t>
            </w:r>
          </w:p>
        </w:tc>
        <w:tc>
          <w:tcPr>
            <w:tcW w:w="1252"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964" w:type="dxa"/>
            <w:tcBorders/>
            <w:shd w:fill="CCEEFF" w:val="clear"/>
            <w:vAlign w:val="center"/>
          </w:tcPr>
          <w:p>
            <w:pPr>
              <w:pStyle w:val="TableContents"/>
              <w:bidi w:val="0"/>
              <w:spacing w:before="0" w:after="1"/>
              <w:ind w:left="0" w:right="0" w:hanging="0"/>
              <w:jc w:val="right"/>
              <w:rPr/>
            </w:pPr>
            <w:r>
              <w:rPr/>
              <w:t>​</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26"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5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11,167</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12,901</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liabilities and other</w:t>
            </w:r>
          </w:p>
        </w:tc>
        <w:tc>
          <w:tcPr>
            <w:tcW w:w="326"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left"/>
              <w:rPr/>
            </w:pPr>
            <w:r>
              <w:rPr/>
              <w:t>​</w:t>
            </w:r>
          </w:p>
        </w:tc>
        <w:tc>
          <w:tcPr>
            <w:tcW w:w="125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5,443</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96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6,909</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Derivative contract liabilities</w:t>
            </w:r>
          </w:p>
        </w:tc>
        <w:tc>
          <w:tcPr>
            <w:tcW w:w="326"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left"/>
              <w:rPr/>
            </w:pPr>
            <w:r>
              <w:rPr/>
              <w:t>​</w:t>
            </w:r>
          </w:p>
        </w:tc>
        <w:tc>
          <w:tcPr>
            <w:tcW w:w="125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1,216</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96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1,577</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State and federal taxes payable</w:t>
            </w:r>
          </w:p>
        </w:tc>
        <w:tc>
          <w:tcPr>
            <w:tcW w:w="326" w:type="dxa"/>
            <w:tcBorders/>
            <w:shd w:fill="CCEEFF" w:val="clear"/>
            <w:vAlign w:val="center"/>
          </w:tcPr>
          <w:p>
            <w:pPr>
              <w:pStyle w:val="TableContents"/>
              <w:bidi w:val="0"/>
              <w:spacing w:before="0" w:after="1"/>
              <w:ind w:left="0" w:right="0" w:hanging="0"/>
              <w:jc w:val="left"/>
              <w:rPr/>
            </w:pPr>
            <w:r>
              <w:rPr/>
              <w:t>​</w:t>
            </w:r>
          </w:p>
        </w:tc>
        <w:tc>
          <w:tcPr>
            <w:tcW w:w="35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current liabilities</w:t>
            </w:r>
          </w:p>
        </w:tc>
        <w:tc>
          <w:tcPr>
            <w:tcW w:w="326" w:type="dxa"/>
            <w:tcBorders/>
            <w:vAlign w:val="center"/>
          </w:tcPr>
          <w:p>
            <w:pPr>
              <w:pStyle w:val="TableContents"/>
              <w:bidi w:val="0"/>
              <w:spacing w:before="0" w:after="1"/>
              <w:ind w:left="0" w:right="0" w:hanging="0"/>
              <w:jc w:val="left"/>
              <w:rPr/>
            </w:pPr>
            <w:r>
              <w:rPr/>
              <w:t>​</w:t>
            </w:r>
          </w:p>
        </w:tc>
        <w:tc>
          <w:tcPr>
            <w:tcW w:w="35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17,881</w:t>
            </w:r>
          </w:p>
        </w:tc>
        <w:tc>
          <w:tcPr>
            <w:tcW w:w="326"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6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21,387</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Long term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left"/>
              <w:rPr/>
            </w:pPr>
            <w:r>
              <w:rPr/>
              <w:t>​</w:t>
            </w:r>
          </w:p>
        </w:tc>
        <w:tc>
          <w:tcPr>
            <w:tcW w:w="1252"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964" w:type="dxa"/>
            <w:tcBorders/>
            <w:shd w:fill="CCEEFF" w:val="clear"/>
            <w:vAlign w:val="center"/>
          </w:tcPr>
          <w:p>
            <w:pPr>
              <w:pStyle w:val="TableContents"/>
              <w:bidi w:val="0"/>
              <w:spacing w:before="0" w:after="1"/>
              <w:ind w:left="0" w:right="0" w:hanging="0"/>
              <w:jc w:val="right"/>
              <w:rPr/>
            </w:pPr>
            <w:r>
              <w:rPr/>
              <w:t>​</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Senior secured credit facility</w:t>
            </w:r>
          </w:p>
        </w:tc>
        <w:tc>
          <w:tcPr>
            <w:tcW w:w="326"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left"/>
              <w:rPr/>
            </w:pPr>
            <w:r>
              <w:rPr/>
              <w:t>​</w:t>
            </w:r>
          </w:p>
        </w:tc>
        <w:tc>
          <w:tcPr>
            <w:tcW w:w="125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53,000</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96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37,500</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Deferred income taxes</w:t>
            </w:r>
          </w:p>
        </w:tc>
        <w:tc>
          <w:tcPr>
            <w:tcW w:w="326"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left"/>
              <w:rPr/>
            </w:pPr>
            <w:r>
              <w:rPr/>
              <w:t>​</w:t>
            </w:r>
          </w:p>
        </w:tc>
        <w:tc>
          <w:tcPr>
            <w:tcW w:w="125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5,848</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96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6,234</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Asset retirement obligations</w:t>
            </w:r>
          </w:p>
        </w:tc>
        <w:tc>
          <w:tcPr>
            <w:tcW w:w="326"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left"/>
              <w:rPr/>
            </w:pPr>
            <w:r>
              <w:rPr/>
              <w:t>​</w:t>
            </w:r>
          </w:p>
        </w:tc>
        <w:tc>
          <w:tcPr>
            <w:tcW w:w="125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21,928</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96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21,535</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Derivative contract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35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1,343</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1,783</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liabilities</w:t>
            </w:r>
          </w:p>
        </w:tc>
        <w:tc>
          <w:tcPr>
            <w:tcW w:w="326" w:type="dxa"/>
            <w:tcBorders/>
            <w:vAlign w:val="center"/>
          </w:tcPr>
          <w:p>
            <w:pPr>
              <w:pStyle w:val="TableContents"/>
              <w:bidi w:val="0"/>
              <w:spacing w:before="0" w:after="1"/>
              <w:ind w:left="0" w:right="0" w:hanging="0"/>
              <w:jc w:val="left"/>
              <w:rPr/>
            </w:pPr>
            <w:r>
              <w:rPr/>
              <w:t>​</w:t>
            </w:r>
          </w:p>
        </w:tc>
        <w:tc>
          <w:tcPr>
            <w:tcW w:w="35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100,000</w:t>
            </w:r>
          </w:p>
        </w:tc>
        <w:tc>
          <w:tcPr>
            <w:tcW w:w="326"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6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88,439</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Commitments and contingencies (Note 10)</w:t>
            </w:r>
          </w:p>
        </w:tc>
        <w:tc>
          <w:tcPr>
            <w:tcW w:w="326"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left"/>
              <w:rPr/>
            </w:pPr>
            <w:r>
              <w:rPr/>
              <w:t>​</w:t>
            </w:r>
          </w:p>
        </w:tc>
        <w:tc>
          <w:tcPr>
            <w:tcW w:w="125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964" w:type="dxa"/>
            <w:tcBorders/>
            <w:shd w:fill="CCEEFF" w:val="clear"/>
            <w:vAlign w:val="center"/>
          </w:tcPr>
          <w:p>
            <w:pPr>
              <w:pStyle w:val="TableContents"/>
              <w:bidi w:val="0"/>
              <w:spacing w:before="0" w:after="1"/>
              <w:ind w:left="0" w:right="0" w:hanging="0"/>
              <w:jc w:val="right"/>
              <w:rPr/>
            </w:pPr>
            <w:r>
              <w:rPr/>
              <w:t>​</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Stockholders' equity</w:t>
            </w:r>
          </w:p>
        </w:tc>
        <w:tc>
          <w:tcPr>
            <w:tcW w:w="326"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left"/>
              <w:rPr/>
            </w:pPr>
            <w:r>
              <w:rPr/>
              <w:t>​</w:t>
            </w:r>
          </w:p>
        </w:tc>
        <w:tc>
          <w:tcPr>
            <w:tcW w:w="1252"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964" w:type="dxa"/>
            <w:tcBorders/>
            <w:vAlign w:val="center"/>
          </w:tcPr>
          <w:p>
            <w:pPr>
              <w:pStyle w:val="TableContents"/>
              <w:bidi w:val="0"/>
              <w:spacing w:before="0" w:after="1"/>
              <w:ind w:left="0" w:right="0" w:hanging="0"/>
              <w:jc w:val="right"/>
              <w:rPr/>
            </w:pPr>
            <w:r>
              <w:rPr/>
              <w:t>​</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18"/>
              </w:rPr>
              <w:t>Common stock; par value $0.001; 100,000,000</w:t>
            </w:r>
            <w:r>
              <w:rPr>
                <w:rFonts w:ascii="Times New Roman;Times;serif" w:hAnsi="Times New Roman;Times;serif"/>
                <w:sz w:val="20"/>
              </w:rPr>
              <w:t xml:space="preserve"> </w:t>
            </w:r>
            <w:r>
              <w:rPr>
                <w:rFonts w:ascii="Times New Roman;Times;serif" w:hAnsi="Times New Roman;Times;serif"/>
                <w:sz w:val="18"/>
              </w:rPr>
              <w:t xml:space="preserve">shares authorized: </w:t>
            </w:r>
            <w:r>
              <w:rPr>
                <w:rFonts w:ascii="Times New Roman;Times;serif" w:hAnsi="Times New Roman;Times;serif"/>
                <w:b w:val="false"/>
                <w:i w:val="false"/>
                <w:caps w:val="false"/>
                <w:smallCaps w:val="false"/>
                <w:sz w:val="18"/>
              </w:rPr>
              <w:t>issued</w:t>
            </w:r>
            <w:r>
              <w:rPr>
                <w:rFonts w:ascii="Times New Roman;Times;serif" w:hAnsi="Times New Roman;Times;serif"/>
                <w:sz w:val="20"/>
              </w:rPr>
              <w:t xml:space="preserve"> </w:t>
            </w:r>
            <w:r>
              <w:rPr>
                <w:rFonts w:ascii="Times New Roman;Times;serif" w:hAnsi="Times New Roman;Times;serif"/>
                <w:sz w:val="18"/>
              </w:rPr>
              <w:t>and</w:t>
            </w:r>
          </w:p>
        </w:tc>
        <w:tc>
          <w:tcPr>
            <w:tcW w:w="326"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left"/>
              <w:rPr/>
            </w:pPr>
            <w:r>
              <w:rPr/>
              <w:t>​</w:t>
            </w:r>
          </w:p>
        </w:tc>
        <w:tc>
          <w:tcPr>
            <w:tcW w:w="125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964" w:type="dxa"/>
            <w:tcBorders/>
            <w:shd w:fill="CCEEFF" w:val="clear"/>
            <w:vAlign w:val="center"/>
          </w:tcPr>
          <w:p>
            <w:pPr>
              <w:pStyle w:val="TableContents"/>
              <w:bidi w:val="0"/>
              <w:spacing w:before="0" w:after="1"/>
              <w:ind w:left="0" w:right="0" w:hanging="0"/>
              <w:jc w:val="right"/>
              <w:rPr/>
            </w:pPr>
            <w:r>
              <w:rPr/>
              <w:t>​</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8"/>
              </w:rPr>
              <w:t>outstanding</w:t>
            </w:r>
            <w:r>
              <w:rPr>
                <w:rFonts w:ascii="Times New Roman;Times;serif" w:hAnsi="Times New Roman;Times;serif"/>
                <w:sz w:val="20"/>
              </w:rPr>
              <w:t xml:space="preserve"> </w:t>
            </w:r>
            <w:r>
              <w:rPr>
                <w:rFonts w:ascii="Times New Roman;Times;serif" w:hAnsi="Times New Roman;Times;serif"/>
                <w:sz w:val="18"/>
              </w:rPr>
              <w:t>34,647,751</w:t>
            </w:r>
            <w:r>
              <w:rPr>
                <w:rFonts w:ascii="Times New Roman;Times;serif" w:hAnsi="Times New Roman;Times;serif"/>
                <w:sz w:val="20"/>
              </w:rPr>
              <w:t xml:space="preserve"> </w:t>
            </w:r>
            <w:r>
              <w:rPr>
                <w:rFonts w:ascii="Times New Roman;Times;serif" w:hAnsi="Times New Roman;Times;serif"/>
                <w:sz w:val="18"/>
              </w:rPr>
              <w:t>and 34,337,188</w:t>
            </w:r>
            <w:r>
              <w:rPr>
                <w:rFonts w:ascii="Times New Roman;Times;serif" w:hAnsi="Times New Roman;Times;serif"/>
                <w:sz w:val="20"/>
              </w:rPr>
              <w:t xml:space="preserve"> </w:t>
            </w:r>
            <w:r>
              <w:rPr>
                <w:rFonts w:ascii="Times New Roman;Times;serif" w:hAnsi="Times New Roman;Times;serif"/>
                <w:sz w:val="18"/>
              </w:rPr>
              <w:t>shares as of September 30, 2025</w:t>
            </w:r>
          </w:p>
        </w:tc>
        <w:tc>
          <w:tcPr>
            <w:tcW w:w="326"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left"/>
              <w:rPr/>
            </w:pPr>
            <w:r>
              <w:rPr/>
              <w:t>​</w:t>
            </w:r>
          </w:p>
        </w:tc>
        <w:tc>
          <w:tcPr>
            <w:tcW w:w="125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964" w:type="dxa"/>
            <w:tcBorders/>
            <w:vAlign w:val="center"/>
          </w:tcPr>
          <w:p>
            <w:pPr>
              <w:pStyle w:val="TableContents"/>
              <w:bidi w:val="0"/>
              <w:spacing w:before="0" w:after="1"/>
              <w:ind w:left="0" w:right="0" w:hanging="0"/>
              <w:jc w:val="right"/>
              <w:rPr/>
            </w:pPr>
            <w:r>
              <w:rPr/>
              <w:t>​</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and June 30, 2025, respectively</w:t>
            </w:r>
          </w:p>
        </w:tc>
        <w:tc>
          <w:tcPr>
            <w:tcW w:w="326"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left"/>
              <w:rPr/>
            </w:pPr>
            <w:r>
              <w:rPr/>
              <w:t>​</w:t>
            </w:r>
          </w:p>
        </w:tc>
        <w:tc>
          <w:tcPr>
            <w:tcW w:w="125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96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Additional paid-in capital</w:t>
            </w:r>
          </w:p>
        </w:tc>
        <w:tc>
          <w:tcPr>
            <w:tcW w:w="326"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left"/>
              <w:rPr/>
            </w:pPr>
            <w:r>
              <w:rPr/>
              <w:t>​</w:t>
            </w:r>
          </w:p>
        </w:tc>
        <w:tc>
          <w:tcPr>
            <w:tcW w:w="125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47,300</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96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46,650</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Retained earnings</w:t>
            </w:r>
          </w:p>
        </w:tc>
        <w:tc>
          <w:tcPr>
            <w:tcW w:w="326" w:type="dxa"/>
            <w:tcBorders/>
            <w:shd w:fill="CCEEFF" w:val="clear"/>
            <w:vAlign w:val="center"/>
          </w:tcPr>
          <w:p>
            <w:pPr>
              <w:pStyle w:val="TableContents"/>
              <w:bidi w:val="0"/>
              <w:spacing w:before="0" w:after="1"/>
              <w:ind w:left="0" w:right="0" w:hanging="0"/>
              <w:jc w:val="left"/>
              <w:rPr/>
            </w:pPr>
            <w:r>
              <w:rPr/>
              <w:t>​</w:t>
            </w:r>
          </w:p>
        </w:tc>
        <w:tc>
          <w:tcPr>
            <w:tcW w:w="35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21,796</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25,129</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stockholders' equity</w:t>
            </w:r>
          </w:p>
        </w:tc>
        <w:tc>
          <w:tcPr>
            <w:tcW w:w="326" w:type="dxa"/>
            <w:tcBorders/>
            <w:vAlign w:val="center"/>
          </w:tcPr>
          <w:p>
            <w:pPr>
              <w:pStyle w:val="TableContents"/>
              <w:bidi w:val="0"/>
              <w:spacing w:before="0" w:after="1"/>
              <w:ind w:left="0" w:right="0" w:hanging="0"/>
              <w:jc w:val="left"/>
              <w:rPr/>
            </w:pPr>
            <w:r>
              <w:rPr/>
              <w:t>​</w:t>
            </w:r>
          </w:p>
        </w:tc>
        <w:tc>
          <w:tcPr>
            <w:tcW w:w="35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69,131</w:t>
            </w:r>
          </w:p>
        </w:tc>
        <w:tc>
          <w:tcPr>
            <w:tcW w:w="326"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6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71,813</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liabilities and stockholders'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35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5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169,131</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160,252</w:t>
            </w:r>
          </w:p>
        </w:tc>
      </w:tr>
    </w:tbl>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153" w:name="ConsolidatedCondensedStatementsofOperati"/>
      <w:bookmarkStart w:id="154" w:name="_9dfed94b_b249_4444_a998_2411e3bf921e"/>
      <w:bookmarkStart w:id="155" w:name="_contentSection_527b9424_c234_4276_b66a_"/>
      <w:bookmarkEnd w:id="153"/>
      <w:bookmarkEnd w:id="154"/>
      <w:bookmarkEnd w:id="155"/>
      <w:r>
        <w:rPr>
          <w:rFonts w:ascii="Times New Roman;Times;serif" w:hAnsi="Times New Roman;Times;serif"/>
          <w:b/>
          <w:sz w:val="20"/>
        </w:rPr>
        <w:t>EVOLUTION PETROLEUM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OPERATIONS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amounts)</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56" w:name="Tc_D0HXqNnUE0mPA3D80JO7vA_27_0"/>
      <w:bookmarkStart w:id="157" w:name="Tc_uQZNQpYs10qwkTYzXdqKiQ_26_0"/>
      <w:bookmarkStart w:id="158" w:name="Tc_Shdmap14tUucxbkzvKSiGg_25_0"/>
      <w:bookmarkStart w:id="159" w:name="Tc_kcqcQ6FWPEGY4Qe7jNbiug_24_5"/>
      <w:bookmarkStart w:id="160" w:name="Tc_R02thBmALkWqXDcgn7ZKcQ_24_2"/>
      <w:bookmarkStart w:id="161" w:name="Tc_GS2i6XHK7EWtSoTWNI8wAQ_24_0"/>
      <w:bookmarkStart w:id="162" w:name="Tc_iXsdR0AbAkKE7ryQkqZvvQ_23_5"/>
      <w:bookmarkStart w:id="163" w:name="Tc_2YY9N1Mgz0y--PkhV5VT-g_23_2"/>
      <w:bookmarkStart w:id="164" w:name="Tc_CyDFp89mHU-IKRFcwNjDOg_23_0"/>
      <w:bookmarkStart w:id="165" w:name="Tc_If4iqEPybE6BJg9mV8RWBA_22_0"/>
      <w:bookmarkStart w:id="166" w:name="Tc_jCz6jlnKYE6Lq-BVB2gwAg_21_5"/>
      <w:bookmarkStart w:id="167" w:name="Tc_ULaGI_qkoEOpSq5wUx-VwQ_21_2"/>
      <w:bookmarkStart w:id="168" w:name="Tc_-rd7oa9zcUi0ERh4fInzLA_21_0"/>
      <w:bookmarkStart w:id="169" w:name="Tc_Xn_fpYHPvkOLlJnhGvUOeQ_20_0"/>
      <w:bookmarkStart w:id="170" w:name="Tc_bWZSTO7QFkuyM9sGPc9j5w_19_0"/>
      <w:bookmarkStart w:id="171" w:name="Tc_1r5T07e7Rki0MymAnAt7rQ_18_0"/>
      <w:bookmarkStart w:id="172" w:name="Tc_fgW_Nh_VwUS7TAwPNBoN-Q_17_0"/>
      <w:bookmarkStart w:id="173" w:name="Tc_8LXKnkt030WDJCvm3G53XQ_16_0"/>
      <w:bookmarkStart w:id="174" w:name="Tc_oIkqi7krSkmQnpQTE1-bxg_15_0"/>
      <w:bookmarkStart w:id="175" w:name="Tc_q6125rNPF0eHl7lce9GYtw_14_0"/>
      <w:bookmarkStart w:id="176" w:name="Tc_a_JLFqy78EGCrJ-YTbrQ-w_13_0"/>
      <w:bookmarkStart w:id="177" w:name="Tc_R42GN85lzkWhaYweMdUWaQ_12_0"/>
      <w:bookmarkStart w:id="178" w:name="Tc_-xz1aElGqE6SuECioCZi8Q_11_0"/>
      <w:bookmarkStart w:id="179" w:name="Tc_7d6huUj2n0iX_XJFf7UNaQ_10_0"/>
      <w:bookmarkStart w:id="180" w:name="Tc_8XI_NbCTP0urirCN-_EiHQ_9_0"/>
      <w:bookmarkStart w:id="181" w:name="Tc_y-OcjzP0tkyk5s218UHttQ_8_0"/>
      <w:bookmarkStart w:id="182" w:name="Tc_t4ACrG_vSEOUz0nAAME3Tg_7_0"/>
      <w:bookmarkStart w:id="183" w:name="Tc_jUPcbQ2MHke3PHrDVT9QDQ_6_0"/>
      <w:bookmarkStart w:id="184" w:name="Tc_K-jT7Sl6iUmKKJDNdZghOw_5_5"/>
      <w:bookmarkStart w:id="185" w:name="Tc_i_PKnAJMeke_ejQaZfjAMA_5_2"/>
      <w:bookmarkStart w:id="186" w:name="Tc_Af9x6QmIxE6xmkdqijbqRw_5_0"/>
      <w:bookmarkStart w:id="187" w:name="Tc_fxzZgOPukk6_BNflt3vy_w_4_0"/>
      <w:bookmarkStart w:id="188" w:name="Tc_CiT7f7uS5EuLU9TZ1NH9nA_3_5"/>
      <w:bookmarkStart w:id="189" w:name="Tc_R7c7BuiT4kqF1CrizUkwpA_3_2"/>
      <w:bookmarkStart w:id="190" w:name="Tc_ST8lQMomzE2rNgoC0bdMEg_2_2"/>
      <w:bookmarkStart w:id="191" w:name="Tc_0s9j9Ydf102rRr-fi5DjaA_1_2"/>
      <w:bookmarkStart w:id="192" w:name="_6efbabeb_d210_4ec8_9c0e_127462359050"/>
      <w:bookmarkStart w:id="193" w:name="Tc_D0HXqNnUE0mPA3D80JO7vA_27_0"/>
      <w:bookmarkStart w:id="194" w:name="Tc_uQZNQpYs10qwkTYzXdqKiQ_26_0"/>
      <w:bookmarkStart w:id="195" w:name="Tc_Shdmap14tUucxbkzvKSiGg_25_0"/>
      <w:bookmarkStart w:id="196" w:name="Tc_kcqcQ6FWPEGY4Qe7jNbiug_24_5"/>
      <w:bookmarkStart w:id="197" w:name="Tc_R02thBmALkWqXDcgn7ZKcQ_24_2"/>
      <w:bookmarkStart w:id="198" w:name="Tc_GS2i6XHK7EWtSoTWNI8wAQ_24_0"/>
      <w:bookmarkStart w:id="199" w:name="Tc_iXsdR0AbAkKE7ryQkqZvvQ_23_5"/>
      <w:bookmarkStart w:id="200" w:name="Tc_2YY9N1Mgz0y--PkhV5VT-g_23_2"/>
      <w:bookmarkStart w:id="201" w:name="Tc_CyDFp89mHU-IKRFcwNjDOg_23_0"/>
      <w:bookmarkStart w:id="202" w:name="Tc_If4iqEPybE6BJg9mV8RWBA_22_0"/>
      <w:bookmarkStart w:id="203" w:name="Tc_jCz6jlnKYE6Lq-BVB2gwAg_21_5"/>
      <w:bookmarkStart w:id="204" w:name="Tc_ULaGI_qkoEOpSq5wUx-VwQ_21_2"/>
      <w:bookmarkStart w:id="205" w:name="Tc_-rd7oa9zcUi0ERh4fInzLA_21_0"/>
      <w:bookmarkStart w:id="206" w:name="Tc_Xn_fpYHPvkOLlJnhGvUOeQ_20_0"/>
      <w:bookmarkStart w:id="207" w:name="Tc_bWZSTO7QFkuyM9sGPc9j5w_19_0"/>
      <w:bookmarkStart w:id="208" w:name="Tc_1r5T07e7Rki0MymAnAt7rQ_18_0"/>
      <w:bookmarkStart w:id="209" w:name="Tc_fgW_Nh_VwUS7TAwPNBoN-Q_17_0"/>
      <w:bookmarkStart w:id="210" w:name="Tc_8LXKnkt030WDJCvm3G53XQ_16_0"/>
      <w:bookmarkStart w:id="211" w:name="Tc_oIkqi7krSkmQnpQTE1-bxg_15_0"/>
      <w:bookmarkStart w:id="212" w:name="Tc_q6125rNPF0eHl7lce9GYtw_14_0"/>
      <w:bookmarkStart w:id="213" w:name="Tc_a_JLFqy78EGCrJ-YTbrQ-w_13_0"/>
      <w:bookmarkStart w:id="214" w:name="Tc_R42GN85lzkWhaYweMdUWaQ_12_0"/>
      <w:bookmarkStart w:id="215" w:name="Tc_-xz1aElGqE6SuECioCZi8Q_11_0"/>
      <w:bookmarkStart w:id="216" w:name="Tc_7d6huUj2n0iX_XJFf7UNaQ_10_0"/>
      <w:bookmarkStart w:id="217" w:name="Tc_8XI_NbCTP0urirCN-_EiHQ_9_0"/>
      <w:bookmarkStart w:id="218" w:name="Tc_y-OcjzP0tkyk5s218UHttQ_8_0"/>
      <w:bookmarkStart w:id="219" w:name="Tc_t4ACrG_vSEOUz0nAAME3Tg_7_0"/>
      <w:bookmarkStart w:id="220" w:name="Tc_jUPcbQ2MHke3PHrDVT9QDQ_6_0"/>
      <w:bookmarkStart w:id="221" w:name="Tc_K-jT7Sl6iUmKKJDNdZghOw_5_5"/>
      <w:bookmarkStart w:id="222" w:name="Tc_i_PKnAJMeke_ejQaZfjAMA_5_2"/>
      <w:bookmarkStart w:id="223" w:name="Tc_Af9x6QmIxE6xmkdqijbqRw_5_0"/>
      <w:bookmarkStart w:id="224" w:name="Tc_fxzZgOPukk6_BNflt3vy_w_4_0"/>
      <w:bookmarkStart w:id="225" w:name="Tc_CiT7f7uS5EuLU9TZ1NH9nA_3_5"/>
      <w:bookmarkStart w:id="226" w:name="Tc_R7c7BuiT4kqF1CrizUkwpA_3_2"/>
      <w:bookmarkStart w:id="227" w:name="Tc_ST8lQMomzE2rNgoC0bdMEg_2_2"/>
      <w:bookmarkStart w:id="228" w:name="Tc_0s9j9Ydf102rRr-fi5DjaA_1_2"/>
      <w:bookmarkStart w:id="229" w:name="_6efbabeb_d210_4ec8_9c0e_127462359050"/>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p>
    <w:tbl>
      <w:tblPr>
        <w:tblW w:w="6365" w:type="dxa"/>
        <w:jc w:val="left"/>
        <w:tblInd w:w="0" w:type="dxa"/>
        <w:tblLayout w:type="fixed"/>
        <w:tblCellMar>
          <w:top w:w="0" w:type="dxa"/>
          <w:left w:w="0" w:type="dxa"/>
          <w:bottom w:w="0" w:type="dxa"/>
          <w:right w:w="0" w:type="dxa"/>
        </w:tblCellMar>
      </w:tblPr>
      <w:tblGrid>
        <w:gridCol w:w="4231"/>
        <w:gridCol w:w="109"/>
        <w:gridCol w:w="196"/>
        <w:gridCol w:w="601"/>
        <w:gridCol w:w="326"/>
        <w:gridCol w:w="196"/>
        <w:gridCol w:w="706"/>
      </w:tblGrid>
      <w:tr>
        <w:trPr/>
        <w:tc>
          <w:tcPr>
            <w:tcW w:w="4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686685" cy="175260"/>
                      <wp:effectExtent l="0" t="0" r="0" b="0"/>
                      <wp:wrapNone/>
                      <wp:docPr id="24" name="Frame23"/>
                      <a:graphic xmlns:a="http://schemas.openxmlformats.org/drawingml/2006/main">
                        <a:graphicData uri="http://schemas.microsoft.com/office/word/2010/wordprocessingShape">
                          <wps:wsp>
                            <wps:cNvSpPr txBox="1"/>
                            <wps:spPr>
                              <a:xfrm>
                                <a:off x="0" y="0"/>
                                <a:ext cx="2686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9215" cy="175260"/>
                      <wp:effectExtent l="0" t="0" r="0" b="0"/>
                      <wp:wrapNone/>
                      <wp:docPr id="25" name="Frame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24460" cy="175260"/>
                      <wp:effectExtent l="0" t="0" r="0" b="0"/>
                      <wp:wrapNone/>
                      <wp:docPr id="26" name="Frame2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381635" cy="175260"/>
                      <wp:effectExtent l="0" t="0" r="0" b="0"/>
                      <wp:wrapNone/>
                      <wp:docPr id="27" name="Frame26"/>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07010" cy="175260"/>
                      <wp:effectExtent l="0" t="0" r="0" b="0"/>
                      <wp:wrapNone/>
                      <wp:docPr id="28" name="Frame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24460" cy="175260"/>
                      <wp:effectExtent l="0" t="0" r="0" b="0"/>
                      <wp:wrapNone/>
                      <wp:docPr id="29" name="Frame2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448310" cy="175260"/>
                      <wp:effectExtent l="0" t="0" r="0" b="0"/>
                      <wp:wrapNone/>
                      <wp:docPr id="30" name="Frame29"/>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31"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2025"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Three Months Ended</w:t>
            </w:r>
          </w:p>
        </w:tc>
      </w:tr>
      <w:tr>
        <w:trPr/>
        <w:tc>
          <w:tcPr>
            <w:tcW w:w="42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02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September 30, </w:t>
            </w:r>
          </w:p>
        </w:tc>
      </w:tr>
      <w:tr>
        <w:trPr/>
        <w:tc>
          <w:tcPr>
            <w:tcW w:w="4231"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26" w:type="dxa"/>
            <w:tcBorders/>
            <w:vAlign w:val="center"/>
          </w:tcPr>
          <w:p>
            <w:pPr>
              <w:pStyle w:val="TableContents"/>
              <w:bidi w:val="0"/>
              <w:spacing w:before="0" w:after="1"/>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Revenues</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left"/>
              <w:rPr/>
            </w:pPr>
            <w:r>
              <w:rPr/>
              <w:t>​</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Crude oil</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12,872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14,737</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Natural gas</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5,900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4,285</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Natural gas liquids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2,516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2,874</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revenues</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21,288</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21,896</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costs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left"/>
              <w:rPr/>
            </w:pPr>
            <w:r>
              <w:rPr/>
              <w:t> </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Lease operating costs</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13,087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11,790</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Depletion, depreciation, and accretion</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5,961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5,725</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General and administrative expenses</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2,325</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2,527</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operating costs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21,373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20,042</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Income (loss) from operations</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(85)</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1,854</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income (expense)</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left"/>
              <w:rPr/>
            </w:pPr>
            <w:r>
              <w:rPr/>
              <w:t> </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gain (loss) on derivative contracts</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2,181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1,798</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 and other income</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 expense</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(917)</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(823)</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Income (loss) before income taxes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1,189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2,886</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Income tax (expense) benefit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(365)</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(821)</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Net income (loss) </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824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2,065</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 (loss) per common share:</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left"/>
              <w:rPr/>
            </w:pPr>
            <w:r>
              <w:rPr/>
              <w:t> </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Basic</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0.06</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Diluted</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0.06</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Weighted average number of common shares outstanding:</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left"/>
              <w:rPr/>
            </w:pPr>
            <w:r>
              <w:rPr/>
              <w:t> </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Basic</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33,725</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32,722</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Diluted</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33,977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32,868</w:t>
            </w:r>
          </w:p>
        </w:tc>
      </w:tr>
    </w:tbl>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230" w:name="ConsolidatedCondensedStatementsofCashFlo"/>
      <w:bookmarkStart w:id="231" w:name="_1b8e36ff_e1c5_4880_85bc_e62604008de2"/>
      <w:bookmarkStart w:id="232" w:name="_contentSection_7407ef7c_dd08_416e_9b76_"/>
      <w:bookmarkEnd w:id="230"/>
      <w:bookmarkEnd w:id="231"/>
      <w:bookmarkEnd w:id="232"/>
      <w:r>
        <w:rPr>
          <w:rFonts w:ascii="Times New Roman;Times;serif" w:hAnsi="Times New Roman;Times;serif"/>
          <w:b/>
          <w:sz w:val="20"/>
        </w:rPr>
        <w:t>EVOLUTION PETROLEUM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CASH FLOWS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33" w:name="Tc_cV-2ysabrUuB9MH7_VHY1w_39_5"/>
      <w:bookmarkStart w:id="234" w:name="Tc_OdGsSUUZMkG5IlfUHKutkw_39_2"/>
      <w:bookmarkStart w:id="235" w:name="Tc_KNP5Vx_L3ke3401e8CdSEA_39_0"/>
      <w:bookmarkStart w:id="236" w:name="Tc_2wTFv_ru-kKAC5FVzqQAkA_38_0"/>
      <w:bookmarkStart w:id="237" w:name="Tc_oDb32fjqyE-Ft9Umn7KhZQ_37_0"/>
      <w:bookmarkStart w:id="238" w:name="Tc_PIZr3ZlLpUWlS3YvRr-W8g_35_5"/>
      <w:bookmarkStart w:id="239" w:name="Tc_s30UjurclUutXaI4cOQ29w_35_2"/>
      <w:bookmarkStart w:id="240" w:name="Tc_n7aj3qeCIki5_ckT-wPbgg_35_0"/>
      <w:bookmarkStart w:id="241" w:name="Tc_nr46gaN0eUaa-D7b_XidPA_34_0"/>
      <w:bookmarkStart w:id="242" w:name="Tc_QSe4kpacq0KKCZhGlwZI0Q_33_0"/>
      <w:bookmarkStart w:id="243" w:name="Tc_FsxlGRoU5U6YPH2jkKLlvw_32_0"/>
      <w:bookmarkStart w:id="244" w:name="Tc_SM7D0eXrH0-fnGBRJDiPzQ_31_6"/>
      <w:bookmarkStart w:id="245" w:name="Tc_MF5SzIOtBUmut2zPVl9lXA_31_0"/>
      <w:bookmarkStart w:id="246" w:name="Tc_8hwjhE6makivcpVgjzPhTQ_30_6"/>
      <w:bookmarkStart w:id="247" w:name="Tc_7e9T-WEZF06denwf9QKiKQ_30_0"/>
      <w:bookmarkStart w:id="248" w:name="Tc_vA5m7-OH_E2XeuVgglMmzg_29_6"/>
      <w:bookmarkStart w:id="249" w:name="Tc_tVi2VKtoYEiu7a_V-waqMA_29_0"/>
      <w:bookmarkStart w:id="250" w:name="Tc_rlYfSiMT1kKUUk49WPkibw_28_6"/>
      <w:bookmarkStart w:id="251" w:name="Tc_PahSI8QTf0uVWem9YKfMdQ_28_0"/>
      <w:bookmarkStart w:id="252" w:name="Tc_ohRKB9HHz0mQ-wyC1Ik1gQ_27_6"/>
      <w:bookmarkStart w:id="253" w:name="Tc_HMW5MB7azUSGy73U6SNIGA_27_0"/>
      <w:bookmarkStart w:id="254" w:name="Tc_ICy-JACGf0eZkdFwrodb0A_26_0"/>
      <w:bookmarkStart w:id="255" w:name="Tc_9PGhk4mxL0uAlu5JHtFb0g_25_0"/>
      <w:bookmarkStart w:id="256" w:name="Tc_cOtwxS99rkeJ5V7edjB9UA_24_0"/>
      <w:bookmarkStart w:id="257" w:name="Tc_8vHWGd8wr0SA-pZFHnO1AA_23_0"/>
      <w:bookmarkStart w:id="258" w:name="Tc_X9JnxpTmzEGTxuRtY7dGFA_22_0"/>
      <w:bookmarkStart w:id="259" w:name="Tc_gtnST1yGG0OMMTyMIlFHMQ_21_0"/>
      <w:bookmarkStart w:id="260" w:name="Tc_I1htJMHDfkawcNFN5JtffQ_20_0"/>
      <w:bookmarkStart w:id="261" w:name="Tc_G93FxKt3hEaIAE6Td3mv_w_19_0"/>
      <w:bookmarkStart w:id="262" w:name="Tc_hAIZiNRi1kCcVrirHmqo5A_18_0"/>
      <w:bookmarkStart w:id="263" w:name="Tc_0bA58EG7XUORxvz7VMb7jw_17_0"/>
      <w:bookmarkStart w:id="264" w:name="Tc_m6LN3j9bbEqlm4ornzF89w_16_0"/>
      <w:bookmarkStart w:id="265" w:name="Tc_zy9IBFhTZk6iMb2OD4M8pw_15_0"/>
      <w:bookmarkStart w:id="266" w:name="Tc_m0yjCnZc9ky5fHCPdTtSWA_14_0"/>
      <w:bookmarkStart w:id="267" w:name="Tc_XlvjJLYTVUqyrcX2N6nWYg_13_0"/>
      <w:bookmarkStart w:id="268" w:name="Tc_1FmM7LcWJUO_7Om0WVriaQ_12_6"/>
      <w:bookmarkStart w:id="269" w:name="Tc_Truf1POJdk-K-0VyUBjl1w_12_0"/>
      <w:bookmarkStart w:id="270" w:name="Tc_UpJwMih4e02RPBIVy2wOEQ_11_0"/>
      <w:bookmarkStart w:id="271" w:name="Tc_YtwfC2Fz3028v8Hp_WbhTw_10_0"/>
      <w:bookmarkStart w:id="272" w:name="Tc_sI9zcmNR10CZQkU4NVu_zQ_9_0"/>
      <w:bookmarkStart w:id="273" w:name="Tc_zYoK2o-WikW0OyuqGDwWkQ_8_0"/>
      <w:bookmarkStart w:id="274" w:name="Tc_VHE0oNAYlkeldGOOfE-Sog_7_0"/>
      <w:bookmarkStart w:id="275" w:name="Tc_iua193hl10q0BN_acMm4fg_6_0"/>
      <w:bookmarkStart w:id="276" w:name="Tc_RTWh20gXZkGRdqtUDIrugg_5_0"/>
      <w:bookmarkStart w:id="277" w:name="Tc_OqKjna_al0SP09ztZizJOw_4_5"/>
      <w:bookmarkStart w:id="278" w:name="Tc_WvvgZI9BVUOCfz3h2y0nNQ_4_2"/>
      <w:bookmarkStart w:id="279" w:name="Tc_gAFhK7dnBECTKSBF1uFNAw_4_0"/>
      <w:bookmarkStart w:id="280" w:name="Tc_N23Hys8Vf06LpfKFd4CbgQ_3_0"/>
      <w:bookmarkStart w:id="281" w:name="Tc_wWkm500dxkqBj_jP5EEsYA_2_5"/>
      <w:bookmarkStart w:id="282" w:name="Tc_oHvNSVRi40mGu2jTFJgeaA_2_2"/>
      <w:bookmarkStart w:id="283" w:name="Tc_9VuZfIK7CEOL5ijJA9DwRg_1_2"/>
      <w:bookmarkStart w:id="284" w:name="_014cb2cf_3a29_4038_8aee_cb5e23794f77"/>
      <w:bookmarkStart w:id="285" w:name="Tc_cV-2ysabrUuB9MH7_VHY1w_39_5"/>
      <w:bookmarkStart w:id="286" w:name="Tc_OdGsSUUZMkG5IlfUHKutkw_39_2"/>
      <w:bookmarkStart w:id="287" w:name="Tc_KNP5Vx_L3ke3401e8CdSEA_39_0"/>
      <w:bookmarkStart w:id="288" w:name="Tc_2wTFv_ru-kKAC5FVzqQAkA_38_0"/>
      <w:bookmarkStart w:id="289" w:name="Tc_oDb32fjqyE-Ft9Umn7KhZQ_37_0"/>
      <w:bookmarkStart w:id="290" w:name="Tc_PIZr3ZlLpUWlS3YvRr-W8g_35_5"/>
      <w:bookmarkStart w:id="291" w:name="Tc_s30UjurclUutXaI4cOQ29w_35_2"/>
      <w:bookmarkStart w:id="292" w:name="Tc_n7aj3qeCIki5_ckT-wPbgg_35_0"/>
      <w:bookmarkStart w:id="293" w:name="Tc_nr46gaN0eUaa-D7b_XidPA_34_0"/>
      <w:bookmarkStart w:id="294" w:name="Tc_QSe4kpacq0KKCZhGlwZI0Q_33_0"/>
      <w:bookmarkStart w:id="295" w:name="Tc_FsxlGRoU5U6YPH2jkKLlvw_32_0"/>
      <w:bookmarkStart w:id="296" w:name="Tc_SM7D0eXrH0-fnGBRJDiPzQ_31_6"/>
      <w:bookmarkStart w:id="297" w:name="Tc_MF5SzIOtBUmut2zPVl9lXA_31_0"/>
      <w:bookmarkStart w:id="298" w:name="Tc_8hwjhE6makivcpVgjzPhTQ_30_6"/>
      <w:bookmarkStart w:id="299" w:name="Tc_7e9T-WEZF06denwf9QKiKQ_30_0"/>
      <w:bookmarkStart w:id="300" w:name="Tc_vA5m7-OH_E2XeuVgglMmzg_29_6"/>
      <w:bookmarkStart w:id="301" w:name="Tc_tVi2VKtoYEiu7a_V-waqMA_29_0"/>
      <w:bookmarkStart w:id="302" w:name="Tc_rlYfSiMT1kKUUk49WPkibw_28_6"/>
      <w:bookmarkStart w:id="303" w:name="Tc_PahSI8QTf0uVWem9YKfMdQ_28_0"/>
      <w:bookmarkStart w:id="304" w:name="Tc_ohRKB9HHz0mQ-wyC1Ik1gQ_27_6"/>
      <w:bookmarkStart w:id="305" w:name="Tc_HMW5MB7azUSGy73U6SNIGA_27_0"/>
      <w:bookmarkStart w:id="306" w:name="Tc_ICy-JACGf0eZkdFwrodb0A_26_0"/>
      <w:bookmarkStart w:id="307" w:name="Tc_9PGhk4mxL0uAlu5JHtFb0g_25_0"/>
      <w:bookmarkStart w:id="308" w:name="Tc_cOtwxS99rkeJ5V7edjB9UA_24_0"/>
      <w:bookmarkStart w:id="309" w:name="Tc_8vHWGd8wr0SA-pZFHnO1AA_23_0"/>
      <w:bookmarkStart w:id="310" w:name="Tc_X9JnxpTmzEGTxuRtY7dGFA_22_0"/>
      <w:bookmarkStart w:id="311" w:name="Tc_gtnST1yGG0OMMTyMIlFHMQ_21_0"/>
      <w:bookmarkStart w:id="312" w:name="Tc_I1htJMHDfkawcNFN5JtffQ_20_0"/>
      <w:bookmarkStart w:id="313" w:name="Tc_G93FxKt3hEaIAE6Td3mv_w_19_0"/>
      <w:bookmarkStart w:id="314" w:name="Tc_hAIZiNRi1kCcVrirHmqo5A_18_0"/>
      <w:bookmarkStart w:id="315" w:name="Tc_0bA58EG7XUORxvz7VMb7jw_17_0"/>
      <w:bookmarkStart w:id="316" w:name="Tc_m6LN3j9bbEqlm4ornzF89w_16_0"/>
      <w:bookmarkStart w:id="317" w:name="Tc_zy9IBFhTZk6iMb2OD4M8pw_15_0"/>
      <w:bookmarkStart w:id="318" w:name="Tc_m0yjCnZc9ky5fHCPdTtSWA_14_0"/>
      <w:bookmarkStart w:id="319" w:name="Tc_XlvjJLYTVUqyrcX2N6nWYg_13_0"/>
      <w:bookmarkStart w:id="320" w:name="Tc_1FmM7LcWJUO_7Om0WVriaQ_12_6"/>
      <w:bookmarkStart w:id="321" w:name="Tc_Truf1POJdk-K-0VyUBjl1w_12_0"/>
      <w:bookmarkStart w:id="322" w:name="Tc_UpJwMih4e02RPBIVy2wOEQ_11_0"/>
      <w:bookmarkStart w:id="323" w:name="Tc_YtwfC2Fz3028v8Hp_WbhTw_10_0"/>
      <w:bookmarkStart w:id="324" w:name="Tc_sI9zcmNR10CZQkU4NVu_zQ_9_0"/>
      <w:bookmarkStart w:id="325" w:name="Tc_zYoK2o-WikW0OyuqGDwWkQ_8_0"/>
      <w:bookmarkStart w:id="326" w:name="Tc_VHE0oNAYlkeldGOOfE-Sog_7_0"/>
      <w:bookmarkStart w:id="327" w:name="Tc_iua193hl10q0BN_acMm4fg_6_0"/>
      <w:bookmarkStart w:id="328" w:name="Tc_RTWh20gXZkGRdqtUDIrugg_5_0"/>
      <w:bookmarkStart w:id="329" w:name="Tc_OqKjna_al0SP09ztZizJOw_4_5"/>
      <w:bookmarkStart w:id="330" w:name="Tc_WvvgZI9BVUOCfz3h2y0nNQ_4_2"/>
      <w:bookmarkStart w:id="331" w:name="Tc_gAFhK7dnBECTKSBF1uFNAw_4_0"/>
      <w:bookmarkStart w:id="332" w:name="Tc_N23Hys8Vf06LpfKFd4CbgQ_3_0"/>
      <w:bookmarkStart w:id="333" w:name="Tc_wWkm500dxkqBj_jP5EEsYA_2_5"/>
      <w:bookmarkStart w:id="334" w:name="Tc_oHvNSVRi40mGu2jTFJgeaA_2_2"/>
      <w:bookmarkStart w:id="335" w:name="Tc_9VuZfIK7CEOL5ijJA9DwRg_1_2"/>
      <w:bookmarkStart w:id="336" w:name="_014cb2cf_3a29_4038_8aee_cb5e23794f77"/>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tbl>
      <w:tblPr>
        <w:tblW w:w="9550" w:type="dxa"/>
        <w:jc w:val="left"/>
        <w:tblInd w:w="0" w:type="dxa"/>
        <w:tblLayout w:type="fixed"/>
        <w:tblCellMar>
          <w:top w:w="0" w:type="dxa"/>
          <w:left w:w="0" w:type="dxa"/>
          <w:bottom w:w="0" w:type="dxa"/>
          <w:right w:w="0" w:type="dxa"/>
        </w:tblCellMar>
      </w:tblPr>
      <w:tblGrid>
        <w:gridCol w:w="6241"/>
        <w:gridCol w:w="326"/>
        <w:gridCol w:w="276"/>
        <w:gridCol w:w="1017"/>
        <w:gridCol w:w="460"/>
        <w:gridCol w:w="276"/>
        <w:gridCol w:w="954"/>
      </w:tblGrid>
      <w:tr>
        <w:trPr/>
        <w:tc>
          <w:tcPr>
            <w:tcW w:w="6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3963035" cy="175260"/>
                      <wp:effectExtent l="0" t="0" r="0" b="0"/>
                      <wp:wrapNone/>
                      <wp:docPr id="31" name="Frame30"/>
                      <a:graphic xmlns:a="http://schemas.openxmlformats.org/drawingml/2006/main">
                        <a:graphicData uri="http://schemas.microsoft.com/office/word/2010/wordprocessingShape">
                          <wps:wsp>
                            <wps:cNvSpPr txBox="1"/>
                            <wps:spPr>
                              <a:xfrm>
                                <a:off x="0" y="0"/>
                                <a:ext cx="3963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07010" cy="175260"/>
                      <wp:effectExtent l="0" t="0" r="0" b="0"/>
                      <wp:wrapNone/>
                      <wp:docPr id="32" name="Frame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75260" cy="175260"/>
                      <wp:effectExtent l="0" t="0" r="0" b="0"/>
                      <wp:wrapNone/>
                      <wp:docPr id="33" name="Frame32"/>
                      <a:graphic xmlns:a="http://schemas.openxmlformats.org/drawingml/2006/main">
                        <a:graphicData uri="http://schemas.microsoft.com/office/word/2010/wordprocessingShape">
                          <wps:wsp>
                            <wps:cNvSpPr txBox="1"/>
                            <wps:spPr>
                              <a:xfrm>
                                <a:off x="0" y="0"/>
                                <a:ext cx="175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5795" cy="175260"/>
                      <wp:effectExtent l="0" t="0" r="0" b="0"/>
                      <wp:wrapNone/>
                      <wp:docPr id="34" name="Frame33"/>
                      <a:graphic xmlns:a="http://schemas.openxmlformats.org/drawingml/2006/main">
                        <a:graphicData uri="http://schemas.microsoft.com/office/word/2010/wordprocessingShape">
                          <wps:wsp>
                            <wps:cNvSpPr txBox="1"/>
                            <wps:spPr>
                              <a:xfrm>
                                <a:off x="0" y="0"/>
                                <a:ext cx="645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92100" cy="175260"/>
                      <wp:effectExtent l="0" t="0" r="0" b="0"/>
                      <wp:wrapNone/>
                      <wp:docPr id="35" name="Frame34"/>
                      <a:graphic xmlns:a="http://schemas.openxmlformats.org/drawingml/2006/main">
                        <a:graphicData uri="http://schemas.microsoft.com/office/word/2010/wordprocessingShape">
                          <wps:wsp>
                            <wps:cNvSpPr txBox="1"/>
                            <wps:spPr>
                              <a:xfrm>
                                <a:off x="0" y="0"/>
                                <a:ext cx="292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75260" cy="175260"/>
                      <wp:effectExtent l="0" t="0" r="0" b="0"/>
                      <wp:wrapNone/>
                      <wp:docPr id="36" name="Frame35"/>
                      <a:graphic xmlns:a="http://schemas.openxmlformats.org/drawingml/2006/main">
                        <a:graphicData uri="http://schemas.microsoft.com/office/word/2010/wordprocessingShape">
                          <wps:wsp>
                            <wps:cNvSpPr txBox="1"/>
                            <wps:spPr>
                              <a:xfrm>
                                <a:off x="0" y="0"/>
                                <a:ext cx="175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05790" cy="175260"/>
                      <wp:effectExtent l="0" t="0" r="0" b="0"/>
                      <wp:wrapNone/>
                      <wp:docPr id="37" name="Frame36"/>
                      <a:graphic xmlns:a="http://schemas.openxmlformats.org/drawingml/2006/main">
                        <a:graphicData uri="http://schemas.microsoft.com/office/word/2010/wordprocessingShape">
                          <wps:wsp>
                            <wps:cNvSpPr txBox="1"/>
                            <wps:spPr>
                              <a:xfrm>
                                <a:off x="0" y="0"/>
                                <a:ext cx="605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241" w:type="dxa"/>
            <w:tcBorders/>
            <w:vAlign w:val="center"/>
          </w:tcPr>
          <w:p>
            <w:pPr>
              <w:pStyle w:val="TableContents"/>
              <w:bidi w:val="0"/>
              <w:spacing w:before="0" w:after="1"/>
              <w:ind w:left="0" w:right="0" w:hanging="0"/>
              <w:jc w:val="left"/>
              <w:rPr>
                <w:color w:val="0563C1"/>
              </w:rPr>
            </w:pPr>
            <w:r>
              <w:rPr>
                <w:color w:val="0563C1"/>
              </w:rPr>
              <w:t>​</w:t>
            </w:r>
          </w:p>
        </w:tc>
        <w:tc>
          <w:tcPr>
            <w:tcW w:w="326" w:type="dxa"/>
            <w:tcBorders/>
            <w:vAlign w:val="center"/>
          </w:tcPr>
          <w:p>
            <w:pPr>
              <w:pStyle w:val="TableContents"/>
              <w:bidi w:val="0"/>
              <w:spacing w:before="0" w:after="1"/>
              <w:ind w:left="0" w:right="0" w:hanging="0"/>
              <w:jc w:val="left"/>
              <w:rPr/>
            </w:pPr>
            <w:r>
              <w:rPr/>
              <w:t>​</w:t>
            </w:r>
          </w:p>
        </w:tc>
        <w:tc>
          <w:tcPr>
            <w:tcW w:w="298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Three Months Ended September 30, </w:t>
            </w:r>
          </w:p>
        </w:tc>
      </w:tr>
      <w:tr>
        <w:trPr/>
        <w:tc>
          <w:tcPr>
            <w:tcW w:w="6241"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129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460" w:type="dxa"/>
            <w:tcBorders/>
            <w:vAlign w:val="center"/>
          </w:tcPr>
          <w:p>
            <w:pPr>
              <w:pStyle w:val="TableContents"/>
              <w:bidi w:val="0"/>
              <w:spacing w:before="0" w:after="1"/>
              <w:ind w:left="0" w:right="0" w:hanging="0"/>
              <w:jc w:val="left"/>
              <w:rPr/>
            </w:pPr>
            <w:r>
              <w:rPr/>
              <w:t>    </w:t>
            </w:r>
          </w:p>
        </w:tc>
        <w:tc>
          <w:tcPr>
            <w:tcW w:w="12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6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flows from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left"/>
              <w:rPr/>
            </w:pPr>
            <w:r>
              <w:rPr/>
              <w:t>​</w:t>
            </w:r>
          </w:p>
        </w:tc>
        <w:tc>
          <w:tcPr>
            <w:tcW w:w="1017" w:type="dxa"/>
            <w:tcBorders/>
            <w:shd w:fill="CCEEFF" w:val="clear"/>
            <w:vAlign w:val="center"/>
          </w:tcPr>
          <w:p>
            <w:pPr>
              <w:pStyle w:val="TableContents"/>
              <w:bidi w:val="0"/>
              <w:spacing w:before="0" w:after="1"/>
              <w:ind w:left="0" w:right="0" w:hanging="0"/>
              <w:jc w:val="left"/>
              <w:rPr/>
            </w:pPr>
            <w:r>
              <w:rPr/>
              <w:t> </w:t>
            </w:r>
          </w:p>
        </w:tc>
        <w:tc>
          <w:tcPr>
            <w:tcW w:w="460"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left"/>
              <w:rPr/>
            </w:pPr>
            <w:r>
              <w:rPr/>
              <w:t>​</w:t>
            </w:r>
          </w:p>
        </w:tc>
        <w:tc>
          <w:tcPr>
            <w:tcW w:w="954" w:type="dxa"/>
            <w:tcBorders/>
            <w:shd w:fill="CCEEFF" w:val="clear"/>
            <w:vAlign w:val="center"/>
          </w:tcPr>
          <w:p>
            <w:pPr>
              <w:pStyle w:val="TableContents"/>
              <w:bidi w:val="0"/>
              <w:spacing w:before="0" w:after="1"/>
              <w:ind w:left="0" w:right="0" w:hanging="0"/>
              <w:jc w:val="left"/>
              <w:rPr/>
            </w:pPr>
            <w:r>
              <w:rPr/>
              <w:t> </w:t>
            </w:r>
          </w:p>
        </w:tc>
      </w:tr>
      <w:tr>
        <w:trPr/>
        <w:tc>
          <w:tcPr>
            <w:tcW w:w="6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Net income (loss) </w:t>
            </w:r>
          </w:p>
        </w:tc>
        <w:tc>
          <w:tcPr>
            <w:tcW w:w="326" w:type="dxa"/>
            <w:tcBorders/>
            <w:vAlign w:val="center"/>
          </w:tcPr>
          <w:p>
            <w:pPr>
              <w:pStyle w:val="TableContents"/>
              <w:bidi w:val="0"/>
              <w:spacing w:before="0" w:after="1"/>
              <w:ind w:left="0" w:right="0" w:hanging="0"/>
              <w:jc w:val="left"/>
              <w:rPr/>
            </w:pPr>
            <w:r>
              <w:rPr/>
              <w:t>​</w:t>
            </w:r>
          </w:p>
        </w:tc>
        <w:tc>
          <w:tcPr>
            <w:tcW w:w="2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1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824</w:t>
            </w:r>
          </w:p>
        </w:tc>
        <w:tc>
          <w:tcPr>
            <w:tcW w:w="460" w:type="dxa"/>
            <w:tcBorders/>
            <w:vAlign w:val="center"/>
          </w:tcPr>
          <w:p>
            <w:pPr>
              <w:pStyle w:val="TableContents"/>
              <w:bidi w:val="0"/>
              <w:spacing w:before="0" w:after="1"/>
              <w:ind w:left="0" w:right="0" w:hanging="0"/>
              <w:jc w:val="left"/>
              <w:rPr/>
            </w:pPr>
            <w:r>
              <w:rPr/>
              <w:t>​</w:t>
            </w:r>
          </w:p>
        </w:tc>
        <w:tc>
          <w:tcPr>
            <w:tcW w:w="2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5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2,065</w:t>
            </w:r>
          </w:p>
        </w:tc>
      </w:tr>
      <w:tr>
        <w:trPr/>
        <w:tc>
          <w:tcPr>
            <w:tcW w:w="6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Adjustments to reconcile net income (loss) to net cash provided by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left"/>
              <w:rPr/>
            </w:pPr>
            <w:r>
              <w:rPr/>
              <w:t>​</w:t>
            </w:r>
          </w:p>
        </w:tc>
        <w:tc>
          <w:tcPr>
            <w:tcW w:w="1017" w:type="dxa"/>
            <w:tcBorders/>
            <w:shd w:fill="CCEEFF" w:val="clear"/>
            <w:vAlign w:val="center"/>
          </w:tcPr>
          <w:p>
            <w:pPr>
              <w:pStyle w:val="TableContents"/>
              <w:bidi w:val="0"/>
              <w:spacing w:before="0" w:after="1"/>
              <w:ind w:left="0" w:right="0" w:hanging="0"/>
              <w:jc w:val="left"/>
              <w:rPr/>
            </w:pPr>
            <w:r>
              <w:rPr/>
              <w:t> </w:t>
            </w:r>
          </w:p>
        </w:tc>
        <w:tc>
          <w:tcPr>
            <w:tcW w:w="460"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left"/>
              <w:rPr/>
            </w:pPr>
            <w:r>
              <w:rPr/>
              <w:t>​</w:t>
            </w:r>
          </w:p>
        </w:tc>
        <w:tc>
          <w:tcPr>
            <w:tcW w:w="954" w:type="dxa"/>
            <w:tcBorders/>
            <w:shd w:fill="CCEEFF" w:val="clear"/>
            <w:vAlign w:val="center"/>
          </w:tcPr>
          <w:p>
            <w:pPr>
              <w:pStyle w:val="TableContents"/>
              <w:bidi w:val="0"/>
              <w:spacing w:before="0" w:after="1"/>
              <w:ind w:left="0" w:right="0" w:hanging="0"/>
              <w:jc w:val="left"/>
              <w:rPr/>
            </w:pPr>
            <w:r>
              <w:rPr/>
              <w:t>​</w:t>
            </w:r>
          </w:p>
        </w:tc>
      </w:tr>
      <w:tr>
        <w:trPr/>
        <w:tc>
          <w:tcPr>
            <w:tcW w:w="6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Depletion, depreciation, and accretion</w:t>
            </w:r>
          </w:p>
        </w:tc>
        <w:tc>
          <w:tcPr>
            <w:tcW w:w="326" w:type="dxa"/>
            <w:tcBorders/>
            <w:vAlign w:val="center"/>
          </w:tcPr>
          <w:p>
            <w:pPr>
              <w:pStyle w:val="TableContents"/>
              <w:bidi w:val="0"/>
              <w:spacing w:before="0" w:after="1"/>
              <w:ind w:left="0" w:right="0" w:hanging="0"/>
              <w:jc w:val="left"/>
              <w:rPr/>
            </w:pPr>
            <w:r>
              <w:rPr/>
              <w:t>​</w:t>
            </w:r>
          </w:p>
        </w:tc>
        <w:tc>
          <w:tcPr>
            <w:tcW w:w="276" w:type="dxa"/>
            <w:tcBorders/>
            <w:vAlign w:val="center"/>
          </w:tcPr>
          <w:p>
            <w:pPr>
              <w:pStyle w:val="TableContents"/>
              <w:bidi w:val="0"/>
              <w:spacing w:before="0" w:after="1"/>
              <w:ind w:left="0" w:right="0" w:hanging="0"/>
              <w:jc w:val="left"/>
              <w:rPr/>
            </w:pPr>
            <w:r>
              <w:rPr/>
              <w:t>​</w:t>
            </w:r>
          </w:p>
        </w:tc>
        <w:tc>
          <w:tcPr>
            <w:tcW w:w="101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5,961</w:t>
            </w:r>
          </w:p>
        </w:tc>
        <w:tc>
          <w:tcPr>
            <w:tcW w:w="460" w:type="dxa"/>
            <w:tcBorders/>
            <w:vAlign w:val="center"/>
          </w:tcPr>
          <w:p>
            <w:pPr>
              <w:pStyle w:val="TableContents"/>
              <w:bidi w:val="0"/>
              <w:spacing w:before="0" w:after="1"/>
              <w:ind w:left="0" w:right="0" w:hanging="0"/>
              <w:jc w:val="left"/>
              <w:rPr/>
            </w:pPr>
            <w:r>
              <w:rPr/>
              <w:t>​</w:t>
            </w:r>
          </w:p>
        </w:tc>
        <w:tc>
          <w:tcPr>
            <w:tcW w:w="276" w:type="dxa"/>
            <w:tcBorders/>
            <w:vAlign w:val="center"/>
          </w:tcPr>
          <w:p>
            <w:pPr>
              <w:pStyle w:val="TableContents"/>
              <w:bidi w:val="0"/>
              <w:spacing w:before="0" w:after="1"/>
              <w:ind w:left="0" w:right="0" w:hanging="0"/>
              <w:jc w:val="left"/>
              <w:rPr/>
            </w:pPr>
            <w:r>
              <w:rPr/>
              <w:t>​</w:t>
            </w:r>
          </w:p>
        </w:tc>
        <w:tc>
          <w:tcPr>
            <w:tcW w:w="95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5,725</w:t>
            </w:r>
          </w:p>
        </w:tc>
      </w:tr>
      <w:tr>
        <w:trPr/>
        <w:tc>
          <w:tcPr>
            <w:tcW w:w="6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Stock-based compensation</w:t>
            </w:r>
          </w:p>
        </w:tc>
        <w:tc>
          <w:tcPr>
            <w:tcW w:w="326"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left"/>
              <w:rPr/>
            </w:pPr>
            <w:r>
              <w:rPr/>
              <w:t>​</w:t>
            </w:r>
          </w:p>
        </w:tc>
        <w:tc>
          <w:tcPr>
            <w:tcW w:w="101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537</w:t>
            </w:r>
          </w:p>
        </w:tc>
        <w:tc>
          <w:tcPr>
            <w:tcW w:w="460"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left"/>
              <w:rPr/>
            </w:pPr>
            <w:r>
              <w:rPr/>
              <w:t>​</w:t>
            </w:r>
          </w:p>
        </w:tc>
        <w:tc>
          <w:tcPr>
            <w:tcW w:w="95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559</w:t>
            </w:r>
          </w:p>
        </w:tc>
      </w:tr>
      <w:tr>
        <w:trPr/>
        <w:tc>
          <w:tcPr>
            <w:tcW w:w="6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Settlement of asset retirement obligations</w:t>
            </w:r>
          </w:p>
        </w:tc>
        <w:tc>
          <w:tcPr>
            <w:tcW w:w="326" w:type="dxa"/>
            <w:tcBorders/>
            <w:vAlign w:val="center"/>
          </w:tcPr>
          <w:p>
            <w:pPr>
              <w:pStyle w:val="TableContents"/>
              <w:bidi w:val="0"/>
              <w:spacing w:before="0" w:after="1"/>
              <w:ind w:left="0" w:right="0" w:hanging="0"/>
              <w:jc w:val="left"/>
              <w:rPr/>
            </w:pPr>
            <w:r>
              <w:rPr/>
              <w:t>​</w:t>
            </w:r>
          </w:p>
        </w:tc>
        <w:tc>
          <w:tcPr>
            <w:tcW w:w="276" w:type="dxa"/>
            <w:tcBorders/>
            <w:vAlign w:val="center"/>
          </w:tcPr>
          <w:p>
            <w:pPr>
              <w:pStyle w:val="TableContents"/>
              <w:bidi w:val="0"/>
              <w:spacing w:before="0" w:after="1"/>
              <w:ind w:left="0" w:right="0" w:hanging="0"/>
              <w:jc w:val="left"/>
              <w:rPr/>
            </w:pPr>
            <w:r>
              <w:rPr/>
              <w:t>​</w:t>
            </w:r>
          </w:p>
        </w:tc>
        <w:tc>
          <w:tcPr>
            <w:tcW w:w="101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w:t>
            </w:r>
          </w:p>
        </w:tc>
        <w:tc>
          <w:tcPr>
            <w:tcW w:w="460" w:type="dxa"/>
            <w:tcBorders/>
            <w:vAlign w:val="center"/>
          </w:tcPr>
          <w:p>
            <w:pPr>
              <w:pStyle w:val="TableContents"/>
              <w:bidi w:val="0"/>
              <w:spacing w:before="0" w:after="1"/>
              <w:ind w:left="0" w:right="0" w:hanging="0"/>
              <w:jc w:val="left"/>
              <w:rPr/>
            </w:pPr>
            <w:r>
              <w:rPr/>
              <w:t>​</w:t>
            </w:r>
          </w:p>
        </w:tc>
        <w:tc>
          <w:tcPr>
            <w:tcW w:w="276" w:type="dxa"/>
            <w:tcBorders/>
            <w:vAlign w:val="center"/>
          </w:tcPr>
          <w:p>
            <w:pPr>
              <w:pStyle w:val="TableContents"/>
              <w:bidi w:val="0"/>
              <w:spacing w:before="0" w:after="1"/>
              <w:ind w:left="0" w:right="0" w:hanging="0"/>
              <w:jc w:val="left"/>
              <w:rPr/>
            </w:pPr>
            <w:r>
              <w:rPr/>
              <w:t>​</w:t>
            </w:r>
          </w:p>
        </w:tc>
        <w:tc>
          <w:tcPr>
            <w:tcW w:w="95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(98)</w:t>
            </w:r>
          </w:p>
        </w:tc>
      </w:tr>
      <w:tr>
        <w:trPr/>
        <w:tc>
          <w:tcPr>
            <w:tcW w:w="6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Deferred income taxes</w:t>
            </w:r>
          </w:p>
        </w:tc>
        <w:tc>
          <w:tcPr>
            <w:tcW w:w="326"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left"/>
              <w:rPr/>
            </w:pPr>
            <w:r>
              <w:rPr/>
              <w:t>​</w:t>
            </w:r>
          </w:p>
        </w:tc>
        <w:tc>
          <w:tcPr>
            <w:tcW w:w="101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(386)</w:t>
            </w:r>
          </w:p>
        </w:tc>
        <w:tc>
          <w:tcPr>
            <w:tcW w:w="460"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left"/>
              <w:rPr/>
            </w:pPr>
            <w:r>
              <w:rPr/>
              <w:t>​</w:t>
            </w:r>
          </w:p>
        </w:tc>
        <w:tc>
          <w:tcPr>
            <w:tcW w:w="95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(281)</w:t>
            </w:r>
          </w:p>
        </w:tc>
      </w:tr>
      <w:tr>
        <w:trPr/>
        <w:tc>
          <w:tcPr>
            <w:tcW w:w="6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Unrealized (gain) loss on derivative contracts</w:t>
            </w:r>
          </w:p>
        </w:tc>
        <w:tc>
          <w:tcPr>
            <w:tcW w:w="326" w:type="dxa"/>
            <w:tcBorders/>
            <w:vAlign w:val="center"/>
          </w:tcPr>
          <w:p>
            <w:pPr>
              <w:pStyle w:val="TableContents"/>
              <w:bidi w:val="0"/>
              <w:spacing w:before="0" w:after="1"/>
              <w:ind w:left="0" w:right="0" w:hanging="0"/>
              <w:jc w:val="left"/>
              <w:rPr/>
            </w:pPr>
            <w:r>
              <w:rPr/>
              <w:t>​</w:t>
            </w:r>
          </w:p>
        </w:tc>
        <w:tc>
          <w:tcPr>
            <w:tcW w:w="276" w:type="dxa"/>
            <w:tcBorders/>
            <w:vAlign w:val="center"/>
          </w:tcPr>
          <w:p>
            <w:pPr>
              <w:pStyle w:val="TableContents"/>
              <w:bidi w:val="0"/>
              <w:spacing w:before="0" w:after="1"/>
              <w:ind w:left="0" w:right="0" w:hanging="0"/>
              <w:jc w:val="left"/>
              <w:rPr/>
            </w:pPr>
            <w:r>
              <w:rPr/>
              <w:t>​</w:t>
            </w:r>
          </w:p>
        </w:tc>
        <w:tc>
          <w:tcPr>
            <w:tcW w:w="101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(1,303)</w:t>
            </w:r>
          </w:p>
        </w:tc>
        <w:tc>
          <w:tcPr>
            <w:tcW w:w="460" w:type="dxa"/>
            <w:tcBorders/>
            <w:vAlign w:val="center"/>
          </w:tcPr>
          <w:p>
            <w:pPr>
              <w:pStyle w:val="TableContents"/>
              <w:bidi w:val="0"/>
              <w:spacing w:before="0" w:after="1"/>
              <w:ind w:left="0" w:right="0" w:hanging="0"/>
              <w:jc w:val="left"/>
              <w:rPr/>
            </w:pPr>
            <w:r>
              <w:rPr/>
              <w:t>​</w:t>
            </w:r>
          </w:p>
        </w:tc>
        <w:tc>
          <w:tcPr>
            <w:tcW w:w="276" w:type="dxa"/>
            <w:tcBorders/>
            <w:vAlign w:val="center"/>
          </w:tcPr>
          <w:p>
            <w:pPr>
              <w:pStyle w:val="TableContents"/>
              <w:bidi w:val="0"/>
              <w:spacing w:before="0" w:after="1"/>
              <w:ind w:left="0" w:right="0" w:hanging="0"/>
              <w:jc w:val="left"/>
              <w:rPr/>
            </w:pPr>
            <w:r>
              <w:rPr/>
              <w:t>​</w:t>
            </w:r>
          </w:p>
        </w:tc>
        <w:tc>
          <w:tcPr>
            <w:tcW w:w="95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(1,868)</w:t>
            </w:r>
          </w:p>
        </w:tc>
      </w:tr>
      <w:tr>
        <w:trPr/>
        <w:tc>
          <w:tcPr>
            <w:tcW w:w="6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settlements on derivative contracts</w:t>
            </w:r>
          </w:p>
        </w:tc>
        <w:tc>
          <w:tcPr>
            <w:tcW w:w="326"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left"/>
              <w:rPr/>
            </w:pPr>
            <w:r>
              <w:rPr/>
              <w:t>​</w:t>
            </w:r>
          </w:p>
        </w:tc>
        <w:tc>
          <w:tcPr>
            <w:tcW w:w="101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(385)</w:t>
            </w:r>
          </w:p>
        </w:tc>
        <w:tc>
          <w:tcPr>
            <w:tcW w:w="460"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left"/>
              <w:rPr/>
            </w:pPr>
            <w:r>
              <w:rPr/>
              <w:t>​</w:t>
            </w:r>
          </w:p>
        </w:tc>
        <w:tc>
          <w:tcPr>
            <w:tcW w:w="95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w:t>
            </w:r>
          </w:p>
        </w:tc>
      </w:tr>
      <w:tr>
        <w:trPr/>
        <w:tc>
          <w:tcPr>
            <w:tcW w:w="6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Amortization of debt issuance costs</w:t>
            </w:r>
          </w:p>
        </w:tc>
        <w:tc>
          <w:tcPr>
            <w:tcW w:w="326" w:type="dxa"/>
            <w:tcBorders/>
            <w:vAlign w:val="center"/>
          </w:tcPr>
          <w:p>
            <w:pPr>
              <w:pStyle w:val="TableContents"/>
              <w:bidi w:val="0"/>
              <w:spacing w:before="0" w:after="1"/>
              <w:ind w:left="0" w:right="0" w:hanging="0"/>
              <w:jc w:val="left"/>
              <w:rPr/>
            </w:pPr>
            <w:r>
              <w:rPr/>
              <w:t>​</w:t>
            </w:r>
          </w:p>
        </w:tc>
        <w:tc>
          <w:tcPr>
            <w:tcW w:w="276" w:type="dxa"/>
            <w:tcBorders/>
            <w:vAlign w:val="center"/>
          </w:tcPr>
          <w:p>
            <w:pPr>
              <w:pStyle w:val="TableContents"/>
              <w:bidi w:val="0"/>
              <w:spacing w:before="0" w:after="1"/>
              <w:ind w:left="0" w:right="0" w:hanging="0"/>
              <w:jc w:val="left"/>
              <w:rPr/>
            </w:pPr>
            <w:r>
              <w:rPr/>
              <w:t>​</w:t>
            </w:r>
          </w:p>
        </w:tc>
        <w:tc>
          <w:tcPr>
            <w:tcW w:w="101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w:t>
            </w:r>
          </w:p>
        </w:tc>
        <w:tc>
          <w:tcPr>
            <w:tcW w:w="460" w:type="dxa"/>
            <w:tcBorders/>
            <w:vAlign w:val="center"/>
          </w:tcPr>
          <w:p>
            <w:pPr>
              <w:pStyle w:val="TableContents"/>
              <w:bidi w:val="0"/>
              <w:spacing w:before="0" w:after="1"/>
              <w:ind w:left="0" w:right="0" w:hanging="0"/>
              <w:jc w:val="left"/>
              <w:rPr/>
            </w:pPr>
            <w:r>
              <w:rPr/>
              <w:t>​</w:t>
            </w:r>
          </w:p>
        </w:tc>
        <w:tc>
          <w:tcPr>
            <w:tcW w:w="276" w:type="dxa"/>
            <w:tcBorders/>
            <w:vAlign w:val="center"/>
          </w:tcPr>
          <w:p>
            <w:pPr>
              <w:pStyle w:val="TableContents"/>
              <w:bidi w:val="0"/>
              <w:spacing w:before="0" w:after="1"/>
              <w:ind w:left="0" w:right="0" w:hanging="0"/>
              <w:jc w:val="left"/>
              <w:rPr/>
            </w:pPr>
            <w:r>
              <w:rPr/>
              <w:t>​</w:t>
            </w:r>
          </w:p>
        </w:tc>
        <w:tc>
          <w:tcPr>
            <w:tcW w:w="954" w:type="dxa"/>
            <w:tcBorders/>
            <w:vAlign w:val="center"/>
          </w:tcPr>
          <w:p>
            <w:pPr>
              <w:pStyle w:val="TableContents"/>
              <w:bidi w:val="0"/>
              <w:spacing w:before="0" w:after="1"/>
              <w:ind w:left="0" w:right="0" w:hanging="0"/>
              <w:jc w:val="right"/>
              <w:rPr/>
            </w:pPr>
            <w:r>
              <w:rPr/>
              <w:t>—</w:t>
            </w:r>
          </w:p>
        </w:tc>
      </w:tr>
      <w:tr>
        <w:trPr/>
        <w:tc>
          <w:tcPr>
            <w:tcW w:w="6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w:t>
            </w:r>
          </w:p>
        </w:tc>
        <w:tc>
          <w:tcPr>
            <w:tcW w:w="326"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left"/>
              <w:rPr/>
            </w:pPr>
            <w:r>
              <w:rPr/>
              <w:t>​</w:t>
            </w:r>
          </w:p>
        </w:tc>
        <w:tc>
          <w:tcPr>
            <w:tcW w:w="101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w:t>
            </w:r>
          </w:p>
        </w:tc>
        <w:tc>
          <w:tcPr>
            <w:tcW w:w="460"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left"/>
              <w:rPr/>
            </w:pPr>
            <w:r>
              <w:rPr/>
              <w:t>​</w:t>
            </w:r>
          </w:p>
        </w:tc>
        <w:tc>
          <w:tcPr>
            <w:tcW w:w="95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w:t>
            </w:r>
          </w:p>
        </w:tc>
      </w:tr>
      <w:tr>
        <w:trPr/>
        <w:tc>
          <w:tcPr>
            <w:tcW w:w="6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Changes in operating assets and liabilities:</w:t>
            </w:r>
          </w:p>
        </w:tc>
        <w:tc>
          <w:tcPr>
            <w:tcW w:w="326" w:type="dxa"/>
            <w:tcBorders/>
            <w:vAlign w:val="center"/>
          </w:tcPr>
          <w:p>
            <w:pPr>
              <w:pStyle w:val="TableContents"/>
              <w:bidi w:val="0"/>
              <w:spacing w:before="0" w:after="1"/>
              <w:ind w:left="0" w:right="0" w:hanging="0"/>
              <w:jc w:val="left"/>
              <w:rPr/>
            </w:pPr>
            <w:r>
              <w:rPr/>
              <w:t>​</w:t>
            </w:r>
          </w:p>
        </w:tc>
        <w:tc>
          <w:tcPr>
            <w:tcW w:w="276" w:type="dxa"/>
            <w:tcBorders/>
            <w:vAlign w:val="center"/>
          </w:tcPr>
          <w:p>
            <w:pPr>
              <w:pStyle w:val="TableContents"/>
              <w:bidi w:val="0"/>
              <w:spacing w:before="0" w:after="1"/>
              <w:ind w:left="0" w:right="0" w:hanging="0"/>
              <w:jc w:val="left"/>
              <w:rPr/>
            </w:pPr>
            <w:r>
              <w:rPr/>
              <w:t>​</w:t>
            </w:r>
          </w:p>
        </w:tc>
        <w:tc>
          <w:tcPr>
            <w:tcW w:w="1017" w:type="dxa"/>
            <w:tcBorders/>
            <w:vAlign w:val="center"/>
          </w:tcPr>
          <w:p>
            <w:pPr>
              <w:pStyle w:val="TableContents"/>
              <w:bidi w:val="0"/>
              <w:spacing w:before="0" w:after="1"/>
              <w:ind w:left="0" w:right="0" w:hanging="0"/>
              <w:jc w:val="left"/>
              <w:rPr/>
            </w:pPr>
            <w:r>
              <w:rPr/>
              <w:t> </w:t>
            </w:r>
          </w:p>
        </w:tc>
        <w:tc>
          <w:tcPr>
            <w:tcW w:w="460" w:type="dxa"/>
            <w:tcBorders/>
            <w:vAlign w:val="center"/>
          </w:tcPr>
          <w:p>
            <w:pPr>
              <w:pStyle w:val="TableContents"/>
              <w:bidi w:val="0"/>
              <w:spacing w:before="0" w:after="1"/>
              <w:ind w:left="0" w:right="0" w:hanging="0"/>
              <w:jc w:val="left"/>
              <w:rPr/>
            </w:pPr>
            <w:r>
              <w:rPr/>
              <w:t>​</w:t>
            </w:r>
          </w:p>
        </w:tc>
        <w:tc>
          <w:tcPr>
            <w:tcW w:w="276" w:type="dxa"/>
            <w:tcBorders/>
            <w:vAlign w:val="center"/>
          </w:tcPr>
          <w:p>
            <w:pPr>
              <w:pStyle w:val="TableContents"/>
              <w:bidi w:val="0"/>
              <w:spacing w:before="0" w:after="1"/>
              <w:ind w:left="0" w:right="0" w:hanging="0"/>
              <w:jc w:val="left"/>
              <w:rPr/>
            </w:pPr>
            <w:r>
              <w:rPr/>
              <w:t>​</w:t>
            </w:r>
          </w:p>
        </w:tc>
        <w:tc>
          <w:tcPr>
            <w:tcW w:w="954" w:type="dxa"/>
            <w:tcBorders/>
            <w:vAlign w:val="center"/>
          </w:tcPr>
          <w:p>
            <w:pPr>
              <w:pStyle w:val="TableContents"/>
              <w:bidi w:val="0"/>
              <w:spacing w:before="0" w:after="1"/>
              <w:ind w:left="0" w:right="0" w:hanging="0"/>
              <w:jc w:val="left"/>
              <w:rPr/>
            </w:pPr>
            <w:r>
              <w:rPr/>
              <w:t>​</w:t>
            </w:r>
          </w:p>
        </w:tc>
      </w:tr>
      <w:tr>
        <w:trPr/>
        <w:tc>
          <w:tcPr>
            <w:tcW w:w="6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Receivables from crude oil, natural gas, and natural gas liquids revenues</w:t>
            </w:r>
          </w:p>
        </w:tc>
        <w:tc>
          <w:tcPr>
            <w:tcW w:w="326"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left"/>
              <w:rPr/>
            </w:pPr>
            <w:r>
              <w:rPr/>
              <w:t>​</w:t>
            </w:r>
          </w:p>
        </w:tc>
        <w:tc>
          <w:tcPr>
            <w:tcW w:w="101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2,555</w:t>
            </w:r>
          </w:p>
        </w:tc>
        <w:tc>
          <w:tcPr>
            <w:tcW w:w="460"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left"/>
              <w:rPr/>
            </w:pPr>
            <w:r>
              <w:rPr/>
              <w:t>​</w:t>
            </w:r>
          </w:p>
        </w:tc>
        <w:tc>
          <w:tcPr>
            <w:tcW w:w="95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w:t>
            </w:r>
          </w:p>
        </w:tc>
      </w:tr>
      <w:tr>
        <w:trPr/>
        <w:tc>
          <w:tcPr>
            <w:tcW w:w="6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26" w:type="dxa"/>
            <w:tcBorders/>
            <w:vAlign w:val="center"/>
          </w:tcPr>
          <w:p>
            <w:pPr>
              <w:pStyle w:val="TableContents"/>
              <w:bidi w:val="0"/>
              <w:spacing w:before="0" w:after="1"/>
              <w:ind w:left="0" w:right="0" w:hanging="0"/>
              <w:jc w:val="left"/>
              <w:rPr/>
            </w:pPr>
            <w:r>
              <w:rPr/>
              <w:t>​</w:t>
            </w:r>
          </w:p>
        </w:tc>
        <w:tc>
          <w:tcPr>
            <w:tcW w:w="276" w:type="dxa"/>
            <w:tcBorders/>
            <w:vAlign w:val="center"/>
          </w:tcPr>
          <w:p>
            <w:pPr>
              <w:pStyle w:val="TableContents"/>
              <w:bidi w:val="0"/>
              <w:spacing w:before="0" w:after="1"/>
              <w:ind w:left="0" w:right="0" w:hanging="0"/>
              <w:jc w:val="left"/>
              <w:rPr/>
            </w:pPr>
            <w:r>
              <w:rPr/>
              <w:t>​</w:t>
            </w:r>
          </w:p>
        </w:tc>
        <w:tc>
          <w:tcPr>
            <w:tcW w:w="101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1,202</w:t>
            </w:r>
          </w:p>
        </w:tc>
        <w:tc>
          <w:tcPr>
            <w:tcW w:w="460" w:type="dxa"/>
            <w:tcBorders/>
            <w:vAlign w:val="center"/>
          </w:tcPr>
          <w:p>
            <w:pPr>
              <w:pStyle w:val="TableContents"/>
              <w:bidi w:val="0"/>
              <w:spacing w:before="0" w:after="1"/>
              <w:ind w:left="0" w:right="0" w:hanging="0"/>
              <w:jc w:val="left"/>
              <w:rPr/>
            </w:pPr>
            <w:r>
              <w:rPr/>
              <w:t>​</w:t>
            </w:r>
          </w:p>
        </w:tc>
        <w:tc>
          <w:tcPr>
            <w:tcW w:w="276" w:type="dxa"/>
            <w:tcBorders/>
            <w:vAlign w:val="center"/>
          </w:tcPr>
          <w:p>
            <w:pPr>
              <w:pStyle w:val="TableContents"/>
              <w:bidi w:val="0"/>
              <w:spacing w:before="0" w:after="1"/>
              <w:ind w:left="0" w:right="0" w:hanging="0"/>
              <w:jc w:val="left"/>
              <w:rPr/>
            </w:pPr>
            <w:r>
              <w:rPr/>
              <w:t>​</w:t>
            </w:r>
          </w:p>
        </w:tc>
        <w:tc>
          <w:tcPr>
            <w:tcW w:w="95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1,929</w:t>
            </w:r>
          </w:p>
        </w:tc>
      </w:tr>
      <w:tr>
        <w:trPr/>
        <w:tc>
          <w:tcPr>
            <w:tcW w:w="6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Accounts payable, accrued liabilities and other</w:t>
            </w:r>
          </w:p>
        </w:tc>
        <w:tc>
          <w:tcPr>
            <w:tcW w:w="326"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left"/>
              <w:rPr/>
            </w:pPr>
            <w:r>
              <w:rPr/>
              <w:t>​</w:t>
            </w:r>
          </w:p>
        </w:tc>
        <w:tc>
          <w:tcPr>
            <w:tcW w:w="101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(1,272)</w:t>
            </w:r>
          </w:p>
        </w:tc>
        <w:tc>
          <w:tcPr>
            <w:tcW w:w="460"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left"/>
              <w:rPr/>
            </w:pPr>
            <w:r>
              <w:rPr/>
              <w:t>​</w:t>
            </w:r>
          </w:p>
        </w:tc>
        <w:tc>
          <w:tcPr>
            <w:tcW w:w="95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(238)</w:t>
            </w:r>
          </w:p>
        </w:tc>
      </w:tr>
      <w:tr>
        <w:trPr/>
        <w:tc>
          <w:tcPr>
            <w:tcW w:w="6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State and federal taxes payable</w:t>
            </w:r>
          </w:p>
        </w:tc>
        <w:tc>
          <w:tcPr>
            <w:tcW w:w="326" w:type="dxa"/>
            <w:tcBorders/>
            <w:vAlign w:val="center"/>
          </w:tcPr>
          <w:p>
            <w:pPr>
              <w:pStyle w:val="TableContents"/>
              <w:bidi w:val="0"/>
              <w:spacing w:before="0" w:after="1"/>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1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w:t>
            </w:r>
          </w:p>
        </w:tc>
        <w:tc>
          <w:tcPr>
            <w:tcW w:w="460" w:type="dxa"/>
            <w:tcBorders/>
            <w:vAlign w:val="center"/>
          </w:tcPr>
          <w:p>
            <w:pPr>
              <w:pStyle w:val="TableContents"/>
              <w:bidi w:val="0"/>
              <w:spacing w:before="0" w:after="1"/>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5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(74)</w:t>
            </w:r>
          </w:p>
        </w:tc>
      </w:tr>
      <w:tr>
        <w:trPr/>
        <w:tc>
          <w:tcPr>
            <w:tcW w:w="6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cash provided by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7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1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7,805</w:t>
            </w:r>
          </w:p>
        </w:tc>
        <w:tc>
          <w:tcPr>
            <w:tcW w:w="460" w:type="dxa"/>
            <w:tcBorders/>
            <w:shd w:fill="CCEEFF" w:val="clear"/>
            <w:vAlign w:val="center"/>
          </w:tcPr>
          <w:p>
            <w:pPr>
              <w:pStyle w:val="TableContents"/>
              <w:bidi w:val="0"/>
              <w:spacing w:before="0" w:after="1"/>
              <w:ind w:left="0" w:right="0" w:hanging="0"/>
              <w:jc w:val="left"/>
              <w:rPr/>
            </w:pPr>
            <w:r>
              <w:rPr/>
              <w:t>​</w:t>
            </w:r>
          </w:p>
        </w:tc>
        <w:tc>
          <w:tcPr>
            <w:tcW w:w="27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5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7,614</w:t>
            </w:r>
          </w:p>
        </w:tc>
      </w:tr>
      <w:tr>
        <w:trPr/>
        <w:tc>
          <w:tcPr>
            <w:tcW w:w="6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flows from investing activities:</w:t>
            </w:r>
          </w:p>
        </w:tc>
        <w:tc>
          <w:tcPr>
            <w:tcW w:w="326" w:type="dxa"/>
            <w:tcBorders/>
            <w:vAlign w:val="center"/>
          </w:tcPr>
          <w:p>
            <w:pPr>
              <w:pStyle w:val="TableContents"/>
              <w:bidi w:val="0"/>
              <w:spacing w:before="0" w:after="1"/>
              <w:ind w:left="0" w:right="0" w:hanging="0"/>
              <w:jc w:val="left"/>
              <w:rPr/>
            </w:pPr>
            <w:r>
              <w:rPr/>
              <w:t>​</w:t>
            </w:r>
          </w:p>
        </w:tc>
        <w:tc>
          <w:tcPr>
            <w:tcW w:w="276" w:type="dxa"/>
            <w:tcBorders/>
            <w:vAlign w:val="center"/>
          </w:tcPr>
          <w:p>
            <w:pPr>
              <w:pStyle w:val="TableContents"/>
              <w:bidi w:val="0"/>
              <w:spacing w:before="0" w:after="1"/>
              <w:ind w:left="0" w:right="0" w:hanging="0"/>
              <w:jc w:val="left"/>
              <w:rPr/>
            </w:pPr>
            <w:r>
              <w:rPr/>
              <w:t>​</w:t>
            </w:r>
          </w:p>
        </w:tc>
        <w:tc>
          <w:tcPr>
            <w:tcW w:w="1017" w:type="dxa"/>
            <w:tcBorders/>
            <w:vAlign w:val="center"/>
          </w:tcPr>
          <w:p>
            <w:pPr>
              <w:pStyle w:val="TableContents"/>
              <w:bidi w:val="0"/>
              <w:spacing w:before="0" w:after="1"/>
              <w:ind w:left="0" w:right="0" w:hanging="0"/>
              <w:jc w:val="left"/>
              <w:rPr/>
            </w:pPr>
            <w:r>
              <w:rPr/>
              <w:t>​</w:t>
            </w:r>
          </w:p>
        </w:tc>
        <w:tc>
          <w:tcPr>
            <w:tcW w:w="460" w:type="dxa"/>
            <w:tcBorders/>
            <w:vAlign w:val="center"/>
          </w:tcPr>
          <w:p>
            <w:pPr>
              <w:pStyle w:val="TableContents"/>
              <w:bidi w:val="0"/>
              <w:spacing w:before="0" w:after="1"/>
              <w:ind w:left="0" w:right="0" w:hanging="0"/>
              <w:jc w:val="left"/>
              <w:rPr/>
            </w:pPr>
            <w:r>
              <w:rPr/>
              <w:t>​</w:t>
            </w:r>
          </w:p>
        </w:tc>
        <w:tc>
          <w:tcPr>
            <w:tcW w:w="276" w:type="dxa"/>
            <w:tcBorders/>
            <w:vAlign w:val="center"/>
          </w:tcPr>
          <w:p>
            <w:pPr>
              <w:pStyle w:val="TableContents"/>
              <w:bidi w:val="0"/>
              <w:spacing w:before="0" w:after="1"/>
              <w:ind w:left="0" w:right="0" w:hanging="0"/>
              <w:jc w:val="left"/>
              <w:rPr/>
            </w:pPr>
            <w:r>
              <w:rPr/>
              <w:t>​</w:t>
            </w:r>
          </w:p>
        </w:tc>
        <w:tc>
          <w:tcPr>
            <w:tcW w:w="954" w:type="dxa"/>
            <w:tcBorders/>
            <w:vAlign w:val="center"/>
          </w:tcPr>
          <w:p>
            <w:pPr>
              <w:pStyle w:val="TableContents"/>
              <w:bidi w:val="0"/>
              <w:spacing w:before="0" w:after="1"/>
              <w:ind w:left="0" w:right="0" w:hanging="0"/>
              <w:jc w:val="left"/>
              <w:rPr/>
            </w:pPr>
            <w:r>
              <w:rPr/>
              <w:t>​</w:t>
            </w:r>
          </w:p>
        </w:tc>
      </w:tr>
      <w:tr>
        <w:trPr/>
        <w:tc>
          <w:tcPr>
            <w:tcW w:w="6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Acquisition of oil and natural gas properties</w:t>
            </w:r>
          </w:p>
        </w:tc>
        <w:tc>
          <w:tcPr>
            <w:tcW w:w="326"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left"/>
              <w:rPr/>
            </w:pPr>
            <w:r>
              <w:rPr/>
              <w:t>​</w:t>
            </w:r>
          </w:p>
        </w:tc>
        <w:tc>
          <w:tcPr>
            <w:tcW w:w="101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(16,867)</w:t>
            </w:r>
          </w:p>
        </w:tc>
        <w:tc>
          <w:tcPr>
            <w:tcW w:w="460"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left"/>
              <w:rPr/>
            </w:pPr>
            <w:r>
              <w:rPr/>
              <w:t>​</w:t>
            </w:r>
          </w:p>
        </w:tc>
        <w:tc>
          <w:tcPr>
            <w:tcW w:w="95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(262)</w:t>
            </w:r>
          </w:p>
        </w:tc>
      </w:tr>
      <w:tr>
        <w:trPr/>
        <w:tc>
          <w:tcPr>
            <w:tcW w:w="6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Capital expenditures for oil and natural gas properties</w:t>
            </w:r>
          </w:p>
        </w:tc>
        <w:tc>
          <w:tcPr>
            <w:tcW w:w="326" w:type="dxa"/>
            <w:tcBorders/>
            <w:vAlign w:val="center"/>
          </w:tcPr>
          <w:p>
            <w:pPr>
              <w:pStyle w:val="TableContents"/>
              <w:bidi w:val="0"/>
              <w:spacing w:before="0" w:after="1"/>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1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(3,819)</w:t>
            </w:r>
          </w:p>
        </w:tc>
        <w:tc>
          <w:tcPr>
            <w:tcW w:w="460" w:type="dxa"/>
            <w:tcBorders/>
            <w:vAlign w:val="center"/>
          </w:tcPr>
          <w:p>
            <w:pPr>
              <w:pStyle w:val="TableContents"/>
              <w:bidi w:val="0"/>
              <w:spacing w:before="0" w:after="1"/>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5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(2,740)</w:t>
            </w:r>
          </w:p>
        </w:tc>
      </w:tr>
      <w:tr>
        <w:trPr/>
        <w:tc>
          <w:tcPr>
            <w:tcW w:w="6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cash used in investing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7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1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(20,686)</w:t>
            </w:r>
          </w:p>
        </w:tc>
        <w:tc>
          <w:tcPr>
            <w:tcW w:w="460" w:type="dxa"/>
            <w:tcBorders/>
            <w:shd w:fill="CCEEFF" w:val="clear"/>
            <w:vAlign w:val="center"/>
          </w:tcPr>
          <w:p>
            <w:pPr>
              <w:pStyle w:val="TableContents"/>
              <w:bidi w:val="0"/>
              <w:spacing w:before="0" w:after="1"/>
              <w:ind w:left="0" w:right="0" w:hanging="0"/>
              <w:jc w:val="left"/>
              <w:rPr/>
            </w:pPr>
            <w:r>
              <w:rPr/>
              <w:t>​</w:t>
            </w:r>
          </w:p>
        </w:tc>
        <w:tc>
          <w:tcPr>
            <w:tcW w:w="27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5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(3,002)</w:t>
            </w:r>
          </w:p>
        </w:tc>
      </w:tr>
      <w:tr>
        <w:trPr/>
        <w:tc>
          <w:tcPr>
            <w:tcW w:w="6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flows from financing activities:</w:t>
            </w:r>
          </w:p>
        </w:tc>
        <w:tc>
          <w:tcPr>
            <w:tcW w:w="326" w:type="dxa"/>
            <w:tcBorders/>
            <w:vAlign w:val="center"/>
          </w:tcPr>
          <w:p>
            <w:pPr>
              <w:pStyle w:val="TableContents"/>
              <w:bidi w:val="0"/>
              <w:spacing w:before="0" w:after="1"/>
              <w:ind w:left="0" w:right="0" w:hanging="0"/>
              <w:jc w:val="left"/>
              <w:rPr/>
            </w:pPr>
            <w:r>
              <w:rPr/>
              <w:t>​</w:t>
            </w:r>
          </w:p>
        </w:tc>
        <w:tc>
          <w:tcPr>
            <w:tcW w:w="276" w:type="dxa"/>
            <w:tcBorders/>
            <w:vAlign w:val="center"/>
          </w:tcPr>
          <w:p>
            <w:pPr>
              <w:pStyle w:val="TableContents"/>
              <w:bidi w:val="0"/>
              <w:spacing w:before="0" w:after="1"/>
              <w:ind w:left="0" w:right="0" w:hanging="0"/>
              <w:jc w:val="left"/>
              <w:rPr/>
            </w:pPr>
            <w:r>
              <w:rPr/>
              <w:t>​</w:t>
            </w:r>
          </w:p>
        </w:tc>
        <w:tc>
          <w:tcPr>
            <w:tcW w:w="1017" w:type="dxa"/>
            <w:tcBorders/>
            <w:vAlign w:val="center"/>
          </w:tcPr>
          <w:p>
            <w:pPr>
              <w:pStyle w:val="TableContents"/>
              <w:bidi w:val="0"/>
              <w:spacing w:before="0" w:after="1"/>
              <w:ind w:left="0" w:right="0" w:hanging="0"/>
              <w:jc w:val="left"/>
              <w:rPr/>
            </w:pPr>
            <w:r>
              <w:rPr/>
              <w:t> </w:t>
            </w:r>
          </w:p>
        </w:tc>
        <w:tc>
          <w:tcPr>
            <w:tcW w:w="460" w:type="dxa"/>
            <w:tcBorders/>
            <w:vAlign w:val="center"/>
          </w:tcPr>
          <w:p>
            <w:pPr>
              <w:pStyle w:val="TableContents"/>
              <w:bidi w:val="0"/>
              <w:spacing w:before="0" w:after="1"/>
              <w:ind w:left="0" w:right="0" w:hanging="0"/>
              <w:jc w:val="left"/>
              <w:rPr/>
            </w:pPr>
            <w:r>
              <w:rPr/>
              <w:t>​</w:t>
            </w:r>
          </w:p>
        </w:tc>
        <w:tc>
          <w:tcPr>
            <w:tcW w:w="276" w:type="dxa"/>
            <w:tcBorders/>
            <w:vAlign w:val="center"/>
          </w:tcPr>
          <w:p>
            <w:pPr>
              <w:pStyle w:val="TableContents"/>
              <w:bidi w:val="0"/>
              <w:spacing w:before="0" w:after="1"/>
              <w:ind w:left="0" w:right="0" w:hanging="0"/>
              <w:jc w:val="left"/>
              <w:rPr/>
            </w:pPr>
            <w:r>
              <w:rPr/>
              <w:t>​</w:t>
            </w:r>
          </w:p>
        </w:tc>
        <w:tc>
          <w:tcPr>
            <w:tcW w:w="954" w:type="dxa"/>
            <w:tcBorders/>
            <w:vAlign w:val="center"/>
          </w:tcPr>
          <w:p>
            <w:pPr>
              <w:pStyle w:val="TableContents"/>
              <w:bidi w:val="0"/>
              <w:spacing w:before="0" w:after="1"/>
              <w:ind w:left="0" w:right="0" w:hanging="0"/>
              <w:jc w:val="left"/>
              <w:rPr/>
            </w:pPr>
            <w:r>
              <w:rPr/>
              <w:t> </w:t>
            </w:r>
          </w:p>
        </w:tc>
      </w:tr>
      <w:tr>
        <w:trPr/>
        <w:tc>
          <w:tcPr>
            <w:tcW w:w="6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Common stock dividends paid</w:t>
            </w:r>
          </w:p>
        </w:tc>
        <w:tc>
          <w:tcPr>
            <w:tcW w:w="326"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left"/>
              <w:rPr/>
            </w:pPr>
            <w:r>
              <w:rPr/>
              <w:t>​</w:t>
            </w:r>
          </w:p>
        </w:tc>
        <w:tc>
          <w:tcPr>
            <w:tcW w:w="101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(4,157)</w:t>
            </w:r>
          </w:p>
        </w:tc>
        <w:tc>
          <w:tcPr>
            <w:tcW w:w="460"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left"/>
              <w:rPr/>
            </w:pPr>
            <w:r>
              <w:rPr/>
              <w:t>​</w:t>
            </w:r>
          </w:p>
        </w:tc>
        <w:tc>
          <w:tcPr>
            <w:tcW w:w="95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(4,033)</w:t>
            </w:r>
          </w:p>
        </w:tc>
      </w:tr>
      <w:tr>
        <w:trPr/>
        <w:tc>
          <w:tcPr>
            <w:tcW w:w="6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Common stock repurchases, including stock surrendered for tax withholding</w:t>
            </w:r>
          </w:p>
        </w:tc>
        <w:tc>
          <w:tcPr>
            <w:tcW w:w="326" w:type="dxa"/>
            <w:tcBorders/>
            <w:vAlign w:val="center"/>
          </w:tcPr>
          <w:p>
            <w:pPr>
              <w:pStyle w:val="TableContents"/>
              <w:bidi w:val="0"/>
              <w:spacing w:before="0" w:after="1"/>
              <w:ind w:left="0" w:right="0" w:hanging="0"/>
              <w:jc w:val="left"/>
              <w:rPr/>
            </w:pPr>
            <w:r>
              <w:rPr/>
              <w:t>​</w:t>
            </w:r>
          </w:p>
        </w:tc>
        <w:tc>
          <w:tcPr>
            <w:tcW w:w="276" w:type="dxa"/>
            <w:tcBorders/>
            <w:vAlign w:val="center"/>
          </w:tcPr>
          <w:p>
            <w:pPr>
              <w:pStyle w:val="TableContents"/>
              <w:bidi w:val="0"/>
              <w:spacing w:before="0" w:after="1"/>
              <w:ind w:left="0" w:right="0" w:hanging="0"/>
              <w:jc w:val="left"/>
              <w:rPr/>
            </w:pPr>
            <w:r>
              <w:rPr/>
              <w:t>​</w:t>
            </w:r>
          </w:p>
        </w:tc>
        <w:tc>
          <w:tcPr>
            <w:tcW w:w="101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(132)</w:t>
            </w:r>
          </w:p>
        </w:tc>
        <w:tc>
          <w:tcPr>
            <w:tcW w:w="460" w:type="dxa"/>
            <w:tcBorders/>
            <w:vAlign w:val="center"/>
          </w:tcPr>
          <w:p>
            <w:pPr>
              <w:pStyle w:val="TableContents"/>
              <w:bidi w:val="0"/>
              <w:spacing w:before="0" w:after="1"/>
              <w:ind w:left="0" w:right="0" w:hanging="0"/>
              <w:jc w:val="left"/>
              <w:rPr/>
            </w:pPr>
            <w:r>
              <w:rPr/>
              <w:t>​</w:t>
            </w:r>
          </w:p>
        </w:tc>
        <w:tc>
          <w:tcPr>
            <w:tcW w:w="276" w:type="dxa"/>
            <w:tcBorders/>
            <w:vAlign w:val="center"/>
          </w:tcPr>
          <w:p>
            <w:pPr>
              <w:pStyle w:val="TableContents"/>
              <w:bidi w:val="0"/>
              <w:spacing w:before="0" w:after="1"/>
              <w:ind w:left="0" w:right="0" w:hanging="0"/>
              <w:jc w:val="left"/>
              <w:rPr/>
            </w:pPr>
            <w:r>
              <w:rPr/>
              <w:t>​</w:t>
            </w:r>
          </w:p>
        </w:tc>
        <w:tc>
          <w:tcPr>
            <w:tcW w:w="95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(88)</w:t>
            </w:r>
          </w:p>
        </w:tc>
      </w:tr>
      <w:tr>
        <w:trPr/>
        <w:tc>
          <w:tcPr>
            <w:tcW w:w="6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Borrowings under senior secured credit facility</w:t>
            </w:r>
          </w:p>
        </w:tc>
        <w:tc>
          <w:tcPr>
            <w:tcW w:w="326"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left"/>
              <w:rPr/>
            </w:pPr>
            <w:r>
              <w:rPr/>
              <w:t>​</w:t>
            </w:r>
          </w:p>
        </w:tc>
        <w:tc>
          <w:tcPr>
            <w:tcW w:w="101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17,500</w:t>
            </w:r>
          </w:p>
        </w:tc>
        <w:tc>
          <w:tcPr>
            <w:tcW w:w="460"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left"/>
              <w:rPr/>
            </w:pPr>
            <w:r>
              <w:rPr/>
              <w:t>​</w:t>
            </w:r>
          </w:p>
        </w:tc>
        <w:tc>
          <w:tcPr>
            <w:tcW w:w="954" w:type="dxa"/>
            <w:tcBorders/>
            <w:shd w:fill="CCEEFF" w:val="clear"/>
            <w:vAlign w:val="center"/>
          </w:tcPr>
          <w:p>
            <w:pPr>
              <w:pStyle w:val="TableContents"/>
              <w:bidi w:val="0"/>
              <w:spacing w:before="0" w:after="1"/>
              <w:ind w:left="0" w:right="0" w:hanging="0"/>
              <w:jc w:val="right"/>
              <w:rPr/>
            </w:pPr>
            <w:r>
              <w:rPr/>
              <w:t>—</w:t>
            </w:r>
          </w:p>
        </w:tc>
      </w:tr>
      <w:tr>
        <w:trPr/>
        <w:tc>
          <w:tcPr>
            <w:tcW w:w="6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Repayments of senior secured credit facility</w:t>
            </w:r>
          </w:p>
        </w:tc>
        <w:tc>
          <w:tcPr>
            <w:tcW w:w="326" w:type="dxa"/>
            <w:tcBorders/>
            <w:vAlign w:val="center"/>
          </w:tcPr>
          <w:p>
            <w:pPr>
              <w:pStyle w:val="TableContents"/>
              <w:bidi w:val="0"/>
              <w:spacing w:before="0" w:after="1"/>
              <w:ind w:left="0" w:right="0" w:hanging="0"/>
              <w:jc w:val="left"/>
              <w:rPr/>
            </w:pPr>
            <w:r>
              <w:rPr/>
              <w:t>​</w:t>
            </w:r>
          </w:p>
        </w:tc>
        <w:tc>
          <w:tcPr>
            <w:tcW w:w="276" w:type="dxa"/>
            <w:tcBorders/>
            <w:vAlign w:val="center"/>
          </w:tcPr>
          <w:p>
            <w:pPr>
              <w:pStyle w:val="TableContents"/>
              <w:bidi w:val="0"/>
              <w:spacing w:before="0" w:after="1"/>
              <w:ind w:left="0" w:right="0" w:hanging="0"/>
              <w:jc w:val="left"/>
              <w:rPr/>
            </w:pPr>
            <w:r>
              <w:rPr/>
              <w:t>​</w:t>
            </w:r>
          </w:p>
        </w:tc>
        <w:tc>
          <w:tcPr>
            <w:tcW w:w="101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(2,000)</w:t>
            </w:r>
          </w:p>
        </w:tc>
        <w:tc>
          <w:tcPr>
            <w:tcW w:w="460" w:type="dxa"/>
            <w:tcBorders/>
            <w:vAlign w:val="center"/>
          </w:tcPr>
          <w:p>
            <w:pPr>
              <w:pStyle w:val="TableContents"/>
              <w:bidi w:val="0"/>
              <w:spacing w:before="0" w:after="1"/>
              <w:ind w:left="0" w:right="0" w:hanging="0"/>
              <w:jc w:val="left"/>
              <w:rPr/>
            </w:pPr>
            <w:r>
              <w:rPr/>
              <w:t>​</w:t>
            </w:r>
          </w:p>
        </w:tc>
        <w:tc>
          <w:tcPr>
            <w:tcW w:w="276" w:type="dxa"/>
            <w:tcBorders/>
            <w:vAlign w:val="center"/>
          </w:tcPr>
          <w:p>
            <w:pPr>
              <w:pStyle w:val="TableContents"/>
              <w:bidi w:val="0"/>
              <w:spacing w:before="0" w:after="1"/>
              <w:ind w:left="0" w:right="0" w:hanging="0"/>
              <w:jc w:val="left"/>
              <w:rPr/>
            </w:pPr>
            <w:r>
              <w:rPr/>
              <w:t>​</w:t>
            </w:r>
          </w:p>
        </w:tc>
        <w:tc>
          <w:tcPr>
            <w:tcW w:w="954" w:type="dxa"/>
            <w:tcBorders/>
            <w:vAlign w:val="center"/>
          </w:tcPr>
          <w:p>
            <w:pPr>
              <w:pStyle w:val="TableContents"/>
              <w:bidi w:val="0"/>
              <w:spacing w:before="0" w:after="1"/>
              <w:ind w:left="0" w:right="0" w:hanging="0"/>
              <w:jc w:val="right"/>
              <w:rPr/>
            </w:pPr>
            <w:r>
              <w:rPr/>
              <w:t>—</w:t>
            </w:r>
          </w:p>
        </w:tc>
      </w:tr>
      <w:tr>
        <w:trPr/>
        <w:tc>
          <w:tcPr>
            <w:tcW w:w="6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Debt issuance costs</w:t>
            </w:r>
          </w:p>
        </w:tc>
        <w:tc>
          <w:tcPr>
            <w:tcW w:w="326"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left"/>
              <w:rPr/>
            </w:pPr>
            <w:r>
              <w:rPr/>
              <w:t>​</w:t>
            </w:r>
          </w:p>
        </w:tc>
        <w:tc>
          <w:tcPr>
            <w:tcW w:w="101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(379)</w:t>
            </w:r>
          </w:p>
        </w:tc>
        <w:tc>
          <w:tcPr>
            <w:tcW w:w="460"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left"/>
              <w:rPr/>
            </w:pPr>
            <w:r>
              <w:rPr/>
              <w:t>​</w:t>
            </w:r>
          </w:p>
        </w:tc>
        <w:tc>
          <w:tcPr>
            <w:tcW w:w="954" w:type="dxa"/>
            <w:tcBorders/>
            <w:shd w:fill="CCEEFF" w:val="clear"/>
            <w:vAlign w:val="center"/>
          </w:tcPr>
          <w:p>
            <w:pPr>
              <w:pStyle w:val="TableContents"/>
              <w:bidi w:val="0"/>
              <w:spacing w:before="0" w:after="1"/>
              <w:ind w:left="0" w:right="0" w:hanging="0"/>
              <w:jc w:val="right"/>
              <w:rPr/>
            </w:pPr>
            <w:r>
              <w:rPr/>
              <w:t>—</w:t>
            </w:r>
          </w:p>
        </w:tc>
      </w:tr>
      <w:tr>
        <w:trPr/>
        <w:tc>
          <w:tcPr>
            <w:tcW w:w="6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Issuance of common stock</w:t>
            </w:r>
          </w:p>
        </w:tc>
        <w:tc>
          <w:tcPr>
            <w:tcW w:w="326" w:type="dxa"/>
            <w:tcBorders/>
            <w:vAlign w:val="center"/>
          </w:tcPr>
          <w:p>
            <w:pPr>
              <w:pStyle w:val="TableContents"/>
              <w:bidi w:val="0"/>
              <w:spacing w:before="0" w:after="1"/>
              <w:ind w:left="0" w:right="0" w:hanging="0"/>
              <w:jc w:val="left"/>
              <w:rPr/>
            </w:pPr>
            <w:r>
              <w:rPr/>
              <w:t>​</w:t>
            </w:r>
          </w:p>
        </w:tc>
        <w:tc>
          <w:tcPr>
            <w:tcW w:w="276" w:type="dxa"/>
            <w:tcBorders/>
            <w:vAlign w:val="center"/>
          </w:tcPr>
          <w:p>
            <w:pPr>
              <w:pStyle w:val="TableContents"/>
              <w:bidi w:val="0"/>
              <w:spacing w:before="0" w:after="1"/>
              <w:ind w:left="0" w:right="0" w:hanging="0"/>
              <w:jc w:val="left"/>
              <w:rPr/>
            </w:pPr>
            <w:r>
              <w:rPr/>
              <w:t>​</w:t>
            </w:r>
          </w:p>
        </w:tc>
        <w:tc>
          <w:tcPr>
            <w:tcW w:w="101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266</w:t>
            </w:r>
          </w:p>
        </w:tc>
        <w:tc>
          <w:tcPr>
            <w:tcW w:w="460" w:type="dxa"/>
            <w:tcBorders/>
            <w:vAlign w:val="center"/>
          </w:tcPr>
          <w:p>
            <w:pPr>
              <w:pStyle w:val="TableContents"/>
              <w:bidi w:val="0"/>
              <w:spacing w:before="0" w:after="1"/>
              <w:ind w:left="0" w:right="0" w:hanging="0"/>
              <w:jc w:val="left"/>
              <w:rPr/>
            </w:pPr>
            <w:r>
              <w:rPr/>
              <w:t>​</w:t>
            </w:r>
          </w:p>
        </w:tc>
        <w:tc>
          <w:tcPr>
            <w:tcW w:w="276" w:type="dxa"/>
            <w:tcBorders/>
            <w:vAlign w:val="center"/>
          </w:tcPr>
          <w:p>
            <w:pPr>
              <w:pStyle w:val="TableContents"/>
              <w:bidi w:val="0"/>
              <w:spacing w:before="0" w:after="1"/>
              <w:ind w:left="0" w:right="0" w:hanging="0"/>
              <w:jc w:val="left"/>
              <w:rPr/>
            </w:pPr>
            <w:r>
              <w:rPr/>
              <w:t>​</w:t>
            </w:r>
          </w:p>
        </w:tc>
        <w:tc>
          <w:tcPr>
            <w:tcW w:w="954" w:type="dxa"/>
            <w:tcBorders/>
            <w:vAlign w:val="center"/>
          </w:tcPr>
          <w:p>
            <w:pPr>
              <w:pStyle w:val="TableContents"/>
              <w:bidi w:val="0"/>
              <w:spacing w:before="0" w:after="1"/>
              <w:ind w:left="0" w:right="0" w:hanging="0"/>
              <w:jc w:val="right"/>
              <w:rPr/>
            </w:pPr>
            <w:r>
              <w:rPr/>
              <w:t>—</w:t>
            </w:r>
          </w:p>
        </w:tc>
      </w:tr>
      <w:tr>
        <w:trPr/>
        <w:tc>
          <w:tcPr>
            <w:tcW w:w="6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Offering costs</w:t>
            </w:r>
          </w:p>
        </w:tc>
        <w:tc>
          <w:tcPr>
            <w:tcW w:w="326" w:type="dxa"/>
            <w:tcBorders/>
            <w:shd w:fill="CCEEFF" w:val="clear"/>
            <w:vAlign w:val="center"/>
          </w:tcPr>
          <w:p>
            <w:pPr>
              <w:pStyle w:val="TableContents"/>
              <w:bidi w:val="0"/>
              <w:spacing w:before="0" w:after="1"/>
              <w:ind w:left="0" w:right="0" w:hanging="0"/>
              <w:jc w:val="left"/>
              <w:rPr/>
            </w:pPr>
            <w:r>
              <w:rPr/>
              <w:t>​</w:t>
            </w:r>
          </w:p>
        </w:tc>
        <w:tc>
          <w:tcPr>
            <w:tcW w:w="27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1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w:t>
            </w:r>
          </w:p>
        </w:tc>
        <w:tc>
          <w:tcPr>
            <w:tcW w:w="460" w:type="dxa"/>
            <w:tcBorders/>
            <w:shd w:fill="CCEEFF" w:val="clear"/>
            <w:vAlign w:val="center"/>
          </w:tcPr>
          <w:p>
            <w:pPr>
              <w:pStyle w:val="TableContents"/>
              <w:bidi w:val="0"/>
              <w:spacing w:before="0" w:after="1"/>
              <w:ind w:left="0" w:right="0" w:hanging="0"/>
              <w:jc w:val="left"/>
              <w:rPr/>
            </w:pPr>
            <w:r>
              <w:rPr/>
              <w:t>​</w:t>
            </w:r>
          </w:p>
        </w:tc>
        <w:tc>
          <w:tcPr>
            <w:tcW w:w="27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5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6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cash provided by (used in) financing activities</w:t>
            </w:r>
          </w:p>
        </w:tc>
        <w:tc>
          <w:tcPr>
            <w:tcW w:w="326" w:type="dxa"/>
            <w:tcBorders/>
            <w:vAlign w:val="center"/>
          </w:tcPr>
          <w:p>
            <w:pPr>
              <w:pStyle w:val="TableContents"/>
              <w:bidi w:val="0"/>
              <w:spacing w:before="0" w:after="1"/>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1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11,088</w:t>
            </w:r>
          </w:p>
        </w:tc>
        <w:tc>
          <w:tcPr>
            <w:tcW w:w="460" w:type="dxa"/>
            <w:tcBorders/>
            <w:vAlign w:val="center"/>
          </w:tcPr>
          <w:p>
            <w:pPr>
              <w:pStyle w:val="TableContents"/>
              <w:bidi w:val="0"/>
              <w:spacing w:before="0" w:after="1"/>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5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(4,121)</w:t>
            </w:r>
          </w:p>
        </w:tc>
      </w:tr>
      <w:tr>
        <w:trPr/>
        <w:tc>
          <w:tcPr>
            <w:tcW w:w="6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increase (decrease) in cash and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left"/>
              <w:rPr/>
            </w:pPr>
            <w:r>
              <w:rPr/>
              <w:t>​</w:t>
            </w:r>
          </w:p>
        </w:tc>
        <w:tc>
          <w:tcPr>
            <w:tcW w:w="101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(1,793)</w:t>
            </w:r>
          </w:p>
        </w:tc>
        <w:tc>
          <w:tcPr>
            <w:tcW w:w="460"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left"/>
              <w:rPr/>
            </w:pPr>
            <w:r>
              <w:rPr/>
              <w:t>​</w:t>
            </w:r>
          </w:p>
        </w:tc>
        <w:tc>
          <w:tcPr>
            <w:tcW w:w="95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491</w:t>
            </w:r>
          </w:p>
        </w:tc>
      </w:tr>
      <w:tr>
        <w:trPr/>
        <w:tc>
          <w:tcPr>
            <w:tcW w:w="6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and cash equivalents, beginning of period</w:t>
            </w:r>
          </w:p>
        </w:tc>
        <w:tc>
          <w:tcPr>
            <w:tcW w:w="326" w:type="dxa"/>
            <w:tcBorders/>
            <w:vAlign w:val="center"/>
          </w:tcPr>
          <w:p>
            <w:pPr>
              <w:pStyle w:val="TableContents"/>
              <w:bidi w:val="0"/>
              <w:spacing w:before="0" w:after="1"/>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1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2,507</w:t>
            </w:r>
          </w:p>
        </w:tc>
        <w:tc>
          <w:tcPr>
            <w:tcW w:w="460" w:type="dxa"/>
            <w:tcBorders/>
            <w:vAlign w:val="center"/>
          </w:tcPr>
          <w:p>
            <w:pPr>
              <w:pStyle w:val="TableContents"/>
              <w:bidi w:val="0"/>
              <w:spacing w:before="0" w:after="1"/>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5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6,446</w:t>
            </w:r>
          </w:p>
        </w:tc>
      </w:tr>
      <w:tr>
        <w:trPr/>
        <w:tc>
          <w:tcPr>
            <w:tcW w:w="6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and cash equivalents, end of period</w:t>
            </w:r>
          </w:p>
        </w:tc>
        <w:tc>
          <w:tcPr>
            <w:tcW w:w="326" w:type="dxa"/>
            <w:tcBorders/>
            <w:shd w:fill="CCEEFF" w:val="clear"/>
            <w:vAlign w:val="center"/>
          </w:tcPr>
          <w:p>
            <w:pPr>
              <w:pStyle w:val="TableContents"/>
              <w:bidi w:val="0"/>
              <w:spacing w:before="0" w:after="1"/>
              <w:ind w:left="0" w:right="0" w:hanging="0"/>
              <w:jc w:val="left"/>
              <w:rPr/>
            </w:pPr>
            <w:r>
              <w:rPr/>
              <w:t>​</w:t>
            </w:r>
          </w:p>
        </w:tc>
        <w:tc>
          <w:tcPr>
            <w:tcW w:w="27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1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714</w:t>
            </w:r>
          </w:p>
        </w:tc>
        <w:tc>
          <w:tcPr>
            <w:tcW w:w="460" w:type="dxa"/>
            <w:tcBorders/>
            <w:shd w:fill="CCEEFF" w:val="clear"/>
            <w:vAlign w:val="center"/>
          </w:tcPr>
          <w:p>
            <w:pPr>
              <w:pStyle w:val="TableContents"/>
              <w:bidi w:val="0"/>
              <w:spacing w:before="0" w:after="1"/>
              <w:ind w:left="0" w:right="0" w:hanging="0"/>
              <w:jc w:val="left"/>
              <w:rPr/>
            </w:pPr>
            <w:r>
              <w:rPr/>
              <w:t>​</w:t>
            </w:r>
          </w:p>
        </w:tc>
        <w:tc>
          <w:tcPr>
            <w:tcW w:w="27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5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6,937</w:t>
            </w:r>
          </w:p>
        </w:tc>
      </w:tr>
      <w:tr>
        <w:trPr/>
        <w:tc>
          <w:tcPr>
            <w:tcW w:w="62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6" w:type="dxa"/>
            <w:tcBorders/>
            <w:vAlign w:val="center"/>
          </w:tcPr>
          <w:p>
            <w:pPr>
              <w:pStyle w:val="TableContents"/>
              <w:bidi w:val="0"/>
              <w:spacing w:before="0" w:after="1"/>
              <w:ind w:left="0" w:right="0" w:hanging="0"/>
              <w:jc w:val="left"/>
              <w:rPr/>
            </w:pPr>
            <w:r>
              <w:rPr/>
              <w:t>​</w:t>
            </w:r>
          </w:p>
        </w:tc>
        <w:tc>
          <w:tcPr>
            <w:tcW w:w="1017" w:type="dxa"/>
            <w:tcBorders/>
            <w:vAlign w:val="center"/>
          </w:tcPr>
          <w:p>
            <w:pPr>
              <w:pStyle w:val="TableContents"/>
              <w:bidi w:val="0"/>
              <w:spacing w:before="0" w:after="1"/>
              <w:ind w:left="0" w:right="0" w:hanging="0"/>
              <w:jc w:val="left"/>
              <w:rPr/>
            </w:pPr>
            <w:r>
              <w:rPr/>
              <w:t>​</w:t>
            </w:r>
          </w:p>
        </w:tc>
        <w:tc>
          <w:tcPr>
            <w:tcW w:w="460" w:type="dxa"/>
            <w:tcBorders/>
            <w:vAlign w:val="center"/>
          </w:tcPr>
          <w:p>
            <w:pPr>
              <w:pStyle w:val="TableContents"/>
              <w:bidi w:val="0"/>
              <w:spacing w:before="0" w:after="1"/>
              <w:ind w:left="0" w:right="0" w:hanging="0"/>
              <w:jc w:val="left"/>
              <w:rPr/>
            </w:pPr>
            <w:r>
              <w:rPr/>
              <w:t>​</w:t>
            </w:r>
          </w:p>
        </w:tc>
        <w:tc>
          <w:tcPr>
            <w:tcW w:w="276" w:type="dxa"/>
            <w:tcBorders/>
            <w:vAlign w:val="center"/>
          </w:tcPr>
          <w:p>
            <w:pPr>
              <w:pStyle w:val="TableContents"/>
              <w:bidi w:val="0"/>
              <w:spacing w:before="0" w:after="1"/>
              <w:ind w:left="0" w:right="0" w:hanging="0"/>
              <w:jc w:val="left"/>
              <w:rPr/>
            </w:pPr>
            <w:r>
              <w:rPr/>
              <w:t>​</w:t>
            </w:r>
          </w:p>
        </w:tc>
        <w:tc>
          <w:tcPr>
            <w:tcW w:w="954" w:type="dxa"/>
            <w:tcBorders/>
            <w:vAlign w:val="center"/>
          </w:tcPr>
          <w:p>
            <w:pPr>
              <w:pStyle w:val="TableContents"/>
              <w:bidi w:val="0"/>
              <w:spacing w:before="0" w:after="1"/>
              <w:ind w:left="0" w:right="0" w:hanging="0"/>
              <w:jc w:val="left"/>
              <w:rPr/>
            </w:pPr>
            <w:r>
              <w:rPr/>
              <w:t>​</w:t>
            </w:r>
          </w:p>
        </w:tc>
      </w:tr>
      <w:tr>
        <w:trPr/>
        <w:tc>
          <w:tcPr>
            <w:tcW w:w="624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Supplemental disclosures of cash flow information:</w:t>
            </w:r>
          </w:p>
        </w:tc>
        <w:tc>
          <w:tcPr>
            <w:tcW w:w="326"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left"/>
              <w:rPr/>
            </w:pPr>
            <w:r>
              <w:rPr/>
              <w:t>​</w:t>
            </w:r>
          </w:p>
        </w:tc>
        <w:tc>
          <w:tcPr>
            <w:tcW w:w="1017" w:type="dxa"/>
            <w:tcBorders/>
            <w:shd w:fill="CCEEFF" w:val="clear"/>
            <w:vAlign w:val="center"/>
          </w:tcPr>
          <w:p>
            <w:pPr>
              <w:pStyle w:val="TableContents"/>
              <w:bidi w:val="0"/>
              <w:spacing w:before="0" w:after="1"/>
              <w:ind w:left="0" w:right="0" w:hanging="0"/>
              <w:jc w:val="left"/>
              <w:rPr/>
            </w:pPr>
            <w:r>
              <w:rPr/>
              <w:t>​</w:t>
            </w:r>
          </w:p>
        </w:tc>
        <w:tc>
          <w:tcPr>
            <w:tcW w:w="460"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left"/>
              <w:rPr/>
            </w:pPr>
            <w:r>
              <w:rPr/>
              <w:t>​</w:t>
            </w:r>
          </w:p>
        </w:tc>
        <w:tc>
          <w:tcPr>
            <w:tcW w:w="954" w:type="dxa"/>
            <w:tcBorders/>
            <w:shd w:fill="CCEEFF" w:val="clear"/>
            <w:vAlign w:val="center"/>
          </w:tcPr>
          <w:p>
            <w:pPr>
              <w:pStyle w:val="TableContents"/>
              <w:bidi w:val="0"/>
              <w:spacing w:before="0" w:after="1"/>
              <w:ind w:left="0" w:right="0" w:hanging="0"/>
              <w:jc w:val="left"/>
              <w:rPr/>
            </w:pPr>
            <w:r>
              <w:rPr/>
              <w:t>​</w:t>
            </w:r>
          </w:p>
        </w:tc>
      </w:tr>
      <w:tr>
        <w:trPr/>
        <w:tc>
          <w:tcPr>
            <w:tcW w:w="6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Non-cash investing and financing transactions:</w:t>
            </w:r>
          </w:p>
        </w:tc>
        <w:tc>
          <w:tcPr>
            <w:tcW w:w="326" w:type="dxa"/>
            <w:tcBorders/>
            <w:vAlign w:val="center"/>
          </w:tcPr>
          <w:p>
            <w:pPr>
              <w:pStyle w:val="TableContents"/>
              <w:bidi w:val="0"/>
              <w:spacing w:before="0" w:after="1"/>
              <w:ind w:left="0" w:right="0" w:hanging="0"/>
              <w:jc w:val="left"/>
              <w:rPr/>
            </w:pPr>
            <w:r>
              <w:rPr/>
              <w:t>​</w:t>
            </w:r>
          </w:p>
        </w:tc>
        <w:tc>
          <w:tcPr>
            <w:tcW w:w="276" w:type="dxa"/>
            <w:tcBorders/>
            <w:vAlign w:val="center"/>
          </w:tcPr>
          <w:p>
            <w:pPr>
              <w:pStyle w:val="TableContents"/>
              <w:bidi w:val="0"/>
              <w:spacing w:before="0" w:after="1"/>
              <w:ind w:left="0" w:right="0" w:hanging="0"/>
              <w:jc w:val="left"/>
              <w:rPr/>
            </w:pPr>
            <w:r>
              <w:rPr/>
              <w:t>​</w:t>
            </w:r>
          </w:p>
        </w:tc>
        <w:tc>
          <w:tcPr>
            <w:tcW w:w="1017" w:type="dxa"/>
            <w:tcBorders/>
            <w:vAlign w:val="center"/>
          </w:tcPr>
          <w:p>
            <w:pPr>
              <w:pStyle w:val="TableContents"/>
              <w:bidi w:val="0"/>
              <w:spacing w:before="0" w:after="1"/>
              <w:ind w:left="0" w:right="0" w:hanging="0"/>
              <w:jc w:val="left"/>
              <w:rPr/>
            </w:pPr>
            <w:r>
              <w:rPr/>
              <w:t>​</w:t>
            </w:r>
          </w:p>
        </w:tc>
        <w:tc>
          <w:tcPr>
            <w:tcW w:w="460" w:type="dxa"/>
            <w:tcBorders/>
            <w:vAlign w:val="center"/>
          </w:tcPr>
          <w:p>
            <w:pPr>
              <w:pStyle w:val="TableContents"/>
              <w:bidi w:val="0"/>
              <w:spacing w:before="0" w:after="1"/>
              <w:ind w:left="0" w:right="0" w:hanging="0"/>
              <w:jc w:val="left"/>
              <w:rPr/>
            </w:pPr>
            <w:r>
              <w:rPr/>
              <w:t>​</w:t>
            </w:r>
          </w:p>
        </w:tc>
        <w:tc>
          <w:tcPr>
            <w:tcW w:w="276" w:type="dxa"/>
            <w:tcBorders/>
            <w:vAlign w:val="center"/>
          </w:tcPr>
          <w:p>
            <w:pPr>
              <w:pStyle w:val="TableContents"/>
              <w:bidi w:val="0"/>
              <w:spacing w:before="0" w:after="1"/>
              <w:ind w:left="0" w:right="0" w:hanging="0"/>
              <w:jc w:val="left"/>
              <w:rPr/>
            </w:pPr>
            <w:r>
              <w:rPr/>
              <w:t>​</w:t>
            </w:r>
          </w:p>
        </w:tc>
        <w:tc>
          <w:tcPr>
            <w:tcW w:w="954" w:type="dxa"/>
            <w:tcBorders/>
            <w:vAlign w:val="center"/>
          </w:tcPr>
          <w:p>
            <w:pPr>
              <w:pStyle w:val="TableContents"/>
              <w:bidi w:val="0"/>
              <w:spacing w:before="0" w:after="1"/>
              <w:ind w:left="0" w:right="0" w:hanging="0"/>
              <w:jc w:val="left"/>
              <w:rPr/>
            </w:pPr>
            <w:r>
              <w:rPr/>
              <w:t>​</w:t>
            </w:r>
          </w:p>
        </w:tc>
      </w:tr>
      <w:tr>
        <w:trPr/>
        <w:tc>
          <w:tcPr>
            <w:tcW w:w="6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Increase (decrease) in accrued capital expenditures for oil and natural gas properties</w:t>
            </w:r>
          </w:p>
        </w:tc>
        <w:tc>
          <w:tcPr>
            <w:tcW w:w="326"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1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1,604</w:t>
            </w:r>
          </w:p>
        </w:tc>
        <w:tc>
          <w:tcPr>
            <w:tcW w:w="460"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54" w:type="dxa"/>
            <w:tcBorders/>
            <w:shd w:fill="CCEEFF" w:val="cle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2,014</w:t>
            </w:r>
          </w:p>
        </w:tc>
      </w:tr>
    </w:tbl>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337" w:name="ConsolidatedCondensedStatementsofSHE"/>
      <w:bookmarkStart w:id="338" w:name="_c258fe9a_1bde_4991_8c5e_3d0e085e4656"/>
      <w:bookmarkEnd w:id="337"/>
      <w:bookmarkEnd w:id="338"/>
      <w:r>
        <w:rPr>
          <w:rFonts w:ascii="Times New Roman;Times;serif" w:hAnsi="Times New Roman;Times;serif"/>
          <w:b/>
          <w:sz w:val="20"/>
        </w:rPr>
        <w:t>EVOLUTION PETROLEUM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CHANGES IN STOCKHOLDERS’ EQUITY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339" w:name="Tc_NrzMo8nGV0unwUCUDmvxOw_24_16"/>
      <w:bookmarkStart w:id="340" w:name="Tc_R3VEUdOgH0GBFAtQ40fBwg_24_14"/>
      <w:bookmarkStart w:id="341" w:name="Tc_qvnZAI-3yES7vNNZFtCWHg_24_13"/>
      <w:bookmarkStart w:id="342" w:name="Tc_G8Wpwv-_RUyx4jFNFgQ3wQ_24_10"/>
      <w:bookmarkStart w:id="343" w:name="Tc_ShCJ9unINECdQILUnEkdXA_24_7"/>
      <w:bookmarkStart w:id="344" w:name="Tc_h0yOx5OplUuv_9P0_QQz1Q_24_4"/>
      <w:bookmarkStart w:id="345" w:name="Tc_0Ai7Lu6q40CrTXBZyaZzPA_24_0"/>
      <w:bookmarkStart w:id="346" w:name="Tc_pKharlQtKUax057C8IbWbw_23_14"/>
      <w:bookmarkStart w:id="347" w:name="Tc_wQmnUtDZr0a1PlLuWNAnDA_23_8"/>
      <w:bookmarkStart w:id="348" w:name="Tc_8H41rKRVmEyC2LENZLhQFg_23_5"/>
      <w:bookmarkStart w:id="349" w:name="Tc_ncsp99KdF0qceGas4tQHOg_23_2"/>
      <w:bookmarkStart w:id="350" w:name="Tc_2SbJwj79pEOzFXTwVq3Rqg_23_0"/>
      <w:bookmarkStart w:id="351" w:name="Tc_Nux0R_FbkkCh04RcVcldxQ_22_14"/>
      <w:bookmarkStart w:id="352" w:name="Tc_kUTapU0q3keUPOhn46xJpw_22_8"/>
      <w:bookmarkStart w:id="353" w:name="Tc_U5nPE4aX5ESvBTPUL4Cv3Q_22_5"/>
      <w:bookmarkStart w:id="354" w:name="Tc_EKcyoRP7cU6F5Kbnh-UWQw_22_2"/>
      <w:bookmarkStart w:id="355" w:name="Tc_7XVi92FVp0mycZd7jXJKUA_22_0"/>
      <w:bookmarkStart w:id="356" w:name="Tc_EwdfcUpbbEqjJTeUsm8Eww_21_14"/>
      <w:bookmarkStart w:id="357" w:name="Tc_cU_k53oi2Eqtmto4z_PR9w_21_11"/>
      <w:bookmarkStart w:id="358" w:name="Tc_aWadIY7PxEW_yOre6jRYCQ_21_5"/>
      <w:bookmarkStart w:id="359" w:name="Tc_olslg9osXECrwalcq17lLA_21_2"/>
      <w:bookmarkStart w:id="360" w:name="Tc_ZqEKBhd5f0CGQOnwpDaNgQ_21_0"/>
      <w:bookmarkStart w:id="361" w:name="Tc_W84kfhn-SU6S4fGSdvkq1Q_20_17"/>
      <w:bookmarkStart w:id="362" w:name="Tc_0guBVuarOUKAtIT6VYrLuw_20_11"/>
      <w:bookmarkStart w:id="363" w:name="Tc_hcUngHE78067XXnaNkoZmQ_20_5"/>
      <w:bookmarkStart w:id="364" w:name="Tc_ScS7GR2F70O7QohTYfiMZA_20_0"/>
      <w:bookmarkStart w:id="365" w:name="Tc_hiCgxru19EOzvLeANXn8Yg_19_11"/>
      <w:bookmarkStart w:id="366" w:name="Tc_9av-Rtj2nU-PPAJhahCm_A_19_8"/>
      <w:bookmarkStart w:id="367" w:name="Tc_61SH_788-UeBYE6s_Tuakw_19_5"/>
      <w:bookmarkStart w:id="368" w:name="Tc_Xr8pjAhzF0-TaEYwqCVCqg_19_2"/>
      <w:bookmarkStart w:id="369" w:name="Tc_I_oVgcVEgU2aRaX0q1Gf2A_19_0"/>
      <w:bookmarkStart w:id="370" w:name="Tc_j5fiADr7i0CbvIz8dbDrKA_18_17"/>
      <w:bookmarkStart w:id="371" w:name="Tc_obTzsSbvvEuWBSXZ5XL4bA_18_14"/>
      <w:bookmarkStart w:id="372" w:name="Tc_CewZjJcGd06sso9ewUmP2Q_18_11"/>
      <w:bookmarkStart w:id="373" w:name="Tc_SIdLapU3Q0GiLBC309wg2g_18_0"/>
      <w:bookmarkStart w:id="374" w:name="Tc_WvvCWBbeDUS3c-a8TShlIQ_17_16"/>
      <w:bookmarkStart w:id="375" w:name="Tc_MRLe8EJewEOTjNj-HVFsJA_17_14"/>
      <w:bookmarkStart w:id="376" w:name="Tc_2Jgps4Ul20Oe0FHSl2o3UA_17_13"/>
      <w:bookmarkStart w:id="377" w:name="Tc_ep5B3I3XfUWlJTDKXi0wMA_17_10"/>
      <w:bookmarkStart w:id="378" w:name="Tc_seIYh64ckECMvd9hqlnTlA_17_7"/>
      <w:bookmarkStart w:id="379" w:name="Tc_7swB5VuNrkKxY17NPWM1UQ_17_4"/>
      <w:bookmarkStart w:id="380" w:name="Tc_FBqyZUWyTEmDqZS70Tnb7A_17_0"/>
      <w:bookmarkStart w:id="381" w:name="Tc_31BX1JISRk6U7vTc6m-ItQ_16_0"/>
      <w:bookmarkStart w:id="382" w:name="Tc_l_eYL7ElOEG6mrfVVeCL1g_14_16"/>
      <w:bookmarkStart w:id="383" w:name="Tc_xA980NIdUEelRmOQar6k2Q_14_14"/>
      <w:bookmarkStart w:id="384" w:name="Tc_-iC4WpIrv0Orvg-MS5THiw_14_13"/>
      <w:bookmarkStart w:id="385" w:name="Tc_sJIyafqhsUGXQFOo2yunjg_14_10"/>
      <w:bookmarkStart w:id="386" w:name="Tc_VmTNTRlxtUqtkWFY8LOtVw_14_7"/>
      <w:bookmarkStart w:id="387" w:name="Tc_5rALOfmRf06fBQseDI7pRA_14_4"/>
      <w:bookmarkStart w:id="388" w:name="Tc_w7vJ7ISzG0SV-d3n0b-Ebg_14_0"/>
      <w:bookmarkStart w:id="389" w:name="Tc_QdhrlLcQKkeKrp9J1L81EA_13_14"/>
      <w:bookmarkStart w:id="390" w:name="Tc_yP6tBC3BYk6aclm4CiIrFQ_13_8"/>
      <w:bookmarkStart w:id="391" w:name="Tc_F0B_EoT_j0eNA2dr7brv0w_13_5"/>
      <w:bookmarkStart w:id="392" w:name="Tc_Q1ZI1J0Vo0S_yv4eHkMviw_13_2"/>
      <w:bookmarkStart w:id="393" w:name="Tc_f_wvKQPehE-1ZtTM40M0sA_13_0"/>
      <w:bookmarkStart w:id="394" w:name="Tc_IMY3QphI5E2WjBe0d6F68g_12_14"/>
      <w:bookmarkStart w:id="395" w:name="Tc_-Y6JsYbwrESIL0vaqnTXfw_12_8"/>
      <w:bookmarkStart w:id="396" w:name="Tc_cj5rpdgT4EOxJtVqYzt4PQ_12_5"/>
      <w:bookmarkStart w:id="397" w:name="Tc_qwlcEqvyYUizjqy4dW6iFQ_12_2"/>
      <w:bookmarkStart w:id="398" w:name="Tc_Rjs_fBClJkuSkj6hiBIJRg_12_0"/>
      <w:bookmarkStart w:id="399" w:name="Tc_OG83fRpeV0i1iyvXYlxZHA_11_14"/>
      <w:bookmarkStart w:id="400" w:name="Tc_7Jg350cMe0CxdCYnOF_jzg_11_11"/>
      <w:bookmarkStart w:id="401" w:name="Tc_SDB-g7wCT0SZ6L77GZ7aXg_11_5"/>
      <w:bookmarkStart w:id="402" w:name="Tc_0gWiMPjOBkSBXqS_o7rqoA_11_2"/>
      <w:bookmarkStart w:id="403" w:name="Tc_AxXGqIf45UK_2bYn6h0jAQ_11_0"/>
      <w:bookmarkStart w:id="404" w:name="Tc_4iplOTRAxkOSPZA2bWCafQ_10_14"/>
      <w:bookmarkStart w:id="405" w:name="Tc_O3Gjo_P8fU6SjUFsI-HR2Q_10_11"/>
      <w:bookmarkStart w:id="406" w:name="Tc_KmA9KhcySEG87XQcSGz8ag_10_5"/>
      <w:bookmarkStart w:id="407" w:name="Tc_I6ediENgKEOKJd_STG9nbQ_10_2"/>
      <w:bookmarkStart w:id="408" w:name="Tc_dWzMdVz9W0q6vuR8hitA9w_10_0"/>
      <w:bookmarkStart w:id="409" w:name="Tc_6n4s29T2bUKEGa4I4gIGQw_9_14"/>
      <w:bookmarkStart w:id="410" w:name="Tc_bcyW8hi3rkS5szHEmNZ8zw_9_11"/>
      <w:bookmarkStart w:id="411" w:name="Tc_Fi3S_bc8ZUmWgskc4ZeKzQ_9_5"/>
      <w:bookmarkStart w:id="412" w:name="Tc_189Poik3Zk-GMKhfgGhg3Q_9_0"/>
      <w:bookmarkStart w:id="413" w:name="Tc_HsBx7Buy60q7-v9MT3qGdg_8_17"/>
      <w:bookmarkStart w:id="414" w:name="Tc_3lZ3hhdC202WucG_1k-Sqw_8_11"/>
      <w:bookmarkStart w:id="415" w:name="Tc_4y1idjL9mUm1gEj90LhBuw_8_5"/>
      <w:bookmarkStart w:id="416" w:name="Tc_vBHgY_20m0a4Bj3TiRccZQ_8_0"/>
      <w:bookmarkStart w:id="417" w:name="Tc_hzxpHHKd5EmBT6uFS_V7vw_7_11"/>
      <w:bookmarkStart w:id="418" w:name="Tc_4C_wfGJuFkmCABYkfbe83Q_7_8"/>
      <w:bookmarkStart w:id="419" w:name="Tc_X_IlEStOUki2XEbyvX5ujA_7_5"/>
      <w:bookmarkStart w:id="420" w:name="Tc_RGni3vEwWEmoITvUy76yfA_7_2"/>
      <w:bookmarkStart w:id="421" w:name="Tc_W6PwCrpYN06SEQLGUwtg9w_7_0"/>
      <w:bookmarkStart w:id="422" w:name="Tc_2DR4Od0-a0OWwYmkTeMCHQ_6_17"/>
      <w:bookmarkStart w:id="423" w:name="Tc__1xlWiOh4EW8e_DuVWADpw_6_14"/>
      <w:bookmarkStart w:id="424" w:name="Tc_IDsp9-1vTES8aurbaH09rQ_6_11"/>
      <w:bookmarkStart w:id="425" w:name="Tc_LP4ljCX8y0eW6KjN6v9KgA_6_0"/>
      <w:bookmarkStart w:id="426" w:name="Tc_GpTmgu-LrEq4SxdUBZbkmA_5_16"/>
      <w:bookmarkStart w:id="427" w:name="Tc_lhwulqKxhEClxkVzJCAvOw_5_14"/>
      <w:bookmarkStart w:id="428" w:name="Tc_oJ-N3a5thEiwvME64vT3hg_5_13"/>
      <w:bookmarkStart w:id="429" w:name="Tc_CxEoZezrYkSK9vVwFEmhpw_5_10"/>
      <w:bookmarkStart w:id="430" w:name="Tc_jYc3geg25UaNWF5GgPmEqQ_5_7"/>
      <w:bookmarkStart w:id="431" w:name="Tc_869dwN2XDEqSw0T6gGEL7w_5_4"/>
      <w:bookmarkStart w:id="432" w:name="Tc_GIkouZPQT0mVzdm3kGyCkg_5_0"/>
      <w:bookmarkStart w:id="433" w:name="Tc_R-4-VzSC_kO5ZJoFAHlKyQ_4_0"/>
      <w:bookmarkStart w:id="434" w:name="Tc_LZyAO18fpEmJuOCTigYpuw_3_16"/>
      <w:bookmarkStart w:id="435" w:name="Tc_RIJ30tykBEiAFwY9BoXx1g_3_13"/>
      <w:bookmarkStart w:id="436" w:name="Tc_vXQnb312RUW2puvAPYd6cQ_3_10"/>
      <w:bookmarkStart w:id="437" w:name="Tc_yKYlfdYKEU-gaDNdoVGDsA_3_7"/>
      <w:bookmarkStart w:id="438" w:name="Tc_v2oanehnIUiAXmIsArancQ_3_4"/>
      <w:bookmarkStart w:id="439" w:name="Tc_Q3E82dOzXkqR5FH5FDdUTg_3_2"/>
      <w:bookmarkStart w:id="440" w:name="Tc_ocol-wqBq0a8xW3s_CT8Kg_2_16"/>
      <w:bookmarkStart w:id="441" w:name="Tc_zq1qn3zaVk-2tophgTgaFg_2_13"/>
      <w:bookmarkStart w:id="442" w:name="Tc_rkJTRO3RBkeb8wD5PNpICQ_2_10"/>
      <w:bookmarkStart w:id="443" w:name="Tc_M_FgMuxj_UmOCuNoGtgV0g_2_7"/>
      <w:bookmarkStart w:id="444" w:name="Tc_6ZovO-o0kkOMsoBEGGxaqQ_2_2"/>
      <w:bookmarkStart w:id="445" w:name="Tc_h-Jn5CmWo0W-Nm087Aa5Gw_1_16"/>
      <w:bookmarkStart w:id="446" w:name="Tc_NXkS-cK7M0eiTq8HljrKMg_1_7"/>
      <w:bookmarkStart w:id="447" w:name="_06ea1a7d_4c1b_4643_b930_3fb3fce994fd"/>
      <w:bookmarkStart w:id="448" w:name="Tc_NrzMo8nGV0unwUCUDmvxOw_24_16"/>
      <w:bookmarkStart w:id="449" w:name="Tc_R3VEUdOgH0GBFAtQ40fBwg_24_14"/>
      <w:bookmarkStart w:id="450" w:name="Tc_qvnZAI-3yES7vNNZFtCWHg_24_13"/>
      <w:bookmarkStart w:id="451" w:name="Tc_G8Wpwv-_RUyx4jFNFgQ3wQ_24_10"/>
      <w:bookmarkStart w:id="452" w:name="Tc_ShCJ9unINECdQILUnEkdXA_24_7"/>
      <w:bookmarkStart w:id="453" w:name="Tc_h0yOx5OplUuv_9P0_QQz1Q_24_4"/>
      <w:bookmarkStart w:id="454" w:name="Tc_0Ai7Lu6q40CrTXBZyaZzPA_24_0"/>
      <w:bookmarkStart w:id="455" w:name="Tc_pKharlQtKUax057C8IbWbw_23_14"/>
      <w:bookmarkStart w:id="456" w:name="Tc_wQmnUtDZr0a1PlLuWNAnDA_23_8"/>
      <w:bookmarkStart w:id="457" w:name="Tc_8H41rKRVmEyC2LENZLhQFg_23_5"/>
      <w:bookmarkStart w:id="458" w:name="Tc_ncsp99KdF0qceGas4tQHOg_23_2"/>
      <w:bookmarkStart w:id="459" w:name="Tc_2SbJwj79pEOzFXTwVq3Rqg_23_0"/>
      <w:bookmarkStart w:id="460" w:name="Tc_Nux0R_FbkkCh04RcVcldxQ_22_14"/>
      <w:bookmarkStart w:id="461" w:name="Tc_kUTapU0q3keUPOhn46xJpw_22_8"/>
      <w:bookmarkStart w:id="462" w:name="Tc_U5nPE4aX5ESvBTPUL4Cv3Q_22_5"/>
      <w:bookmarkStart w:id="463" w:name="Tc_EKcyoRP7cU6F5Kbnh-UWQw_22_2"/>
      <w:bookmarkStart w:id="464" w:name="Tc_7XVi92FVp0mycZd7jXJKUA_22_0"/>
      <w:bookmarkStart w:id="465" w:name="Tc_EwdfcUpbbEqjJTeUsm8Eww_21_14"/>
      <w:bookmarkStart w:id="466" w:name="Tc_cU_k53oi2Eqtmto4z_PR9w_21_11"/>
      <w:bookmarkStart w:id="467" w:name="Tc_aWadIY7PxEW_yOre6jRYCQ_21_5"/>
      <w:bookmarkStart w:id="468" w:name="Tc_olslg9osXECrwalcq17lLA_21_2"/>
      <w:bookmarkStart w:id="469" w:name="Tc_ZqEKBhd5f0CGQOnwpDaNgQ_21_0"/>
      <w:bookmarkStart w:id="470" w:name="Tc_W84kfhn-SU6S4fGSdvkq1Q_20_17"/>
      <w:bookmarkStart w:id="471" w:name="Tc_0guBVuarOUKAtIT6VYrLuw_20_11"/>
      <w:bookmarkStart w:id="472" w:name="Tc_hcUngHE78067XXnaNkoZmQ_20_5"/>
      <w:bookmarkStart w:id="473" w:name="Tc_ScS7GR2F70O7QohTYfiMZA_20_0"/>
      <w:bookmarkStart w:id="474" w:name="Tc_hiCgxru19EOzvLeANXn8Yg_19_11"/>
      <w:bookmarkStart w:id="475" w:name="Tc_9av-Rtj2nU-PPAJhahCm_A_19_8"/>
      <w:bookmarkStart w:id="476" w:name="Tc_61SH_788-UeBYE6s_Tuakw_19_5"/>
      <w:bookmarkStart w:id="477" w:name="Tc_Xr8pjAhzF0-TaEYwqCVCqg_19_2"/>
      <w:bookmarkStart w:id="478" w:name="Tc_I_oVgcVEgU2aRaX0q1Gf2A_19_0"/>
      <w:bookmarkStart w:id="479" w:name="Tc_j5fiADr7i0CbvIz8dbDrKA_18_17"/>
      <w:bookmarkStart w:id="480" w:name="Tc_obTzsSbvvEuWBSXZ5XL4bA_18_14"/>
      <w:bookmarkStart w:id="481" w:name="Tc_CewZjJcGd06sso9ewUmP2Q_18_11"/>
      <w:bookmarkStart w:id="482" w:name="Tc_SIdLapU3Q0GiLBC309wg2g_18_0"/>
      <w:bookmarkStart w:id="483" w:name="Tc_WvvCWBbeDUS3c-a8TShlIQ_17_16"/>
      <w:bookmarkStart w:id="484" w:name="Tc_MRLe8EJewEOTjNj-HVFsJA_17_14"/>
      <w:bookmarkStart w:id="485" w:name="Tc_2Jgps4Ul20Oe0FHSl2o3UA_17_13"/>
      <w:bookmarkStart w:id="486" w:name="Tc_ep5B3I3XfUWlJTDKXi0wMA_17_10"/>
      <w:bookmarkStart w:id="487" w:name="Tc_seIYh64ckECMvd9hqlnTlA_17_7"/>
      <w:bookmarkStart w:id="488" w:name="Tc_7swB5VuNrkKxY17NPWM1UQ_17_4"/>
      <w:bookmarkStart w:id="489" w:name="Tc_FBqyZUWyTEmDqZS70Tnb7A_17_0"/>
      <w:bookmarkStart w:id="490" w:name="Tc_31BX1JISRk6U7vTc6m-ItQ_16_0"/>
      <w:bookmarkStart w:id="491" w:name="Tc_l_eYL7ElOEG6mrfVVeCL1g_14_16"/>
      <w:bookmarkStart w:id="492" w:name="Tc_xA980NIdUEelRmOQar6k2Q_14_14"/>
      <w:bookmarkStart w:id="493" w:name="Tc_-iC4WpIrv0Orvg-MS5THiw_14_13"/>
      <w:bookmarkStart w:id="494" w:name="Tc_sJIyafqhsUGXQFOo2yunjg_14_10"/>
      <w:bookmarkStart w:id="495" w:name="Tc_VmTNTRlxtUqtkWFY8LOtVw_14_7"/>
      <w:bookmarkStart w:id="496" w:name="Tc_5rALOfmRf06fBQseDI7pRA_14_4"/>
      <w:bookmarkStart w:id="497" w:name="Tc_w7vJ7ISzG0SV-d3n0b-Ebg_14_0"/>
      <w:bookmarkStart w:id="498" w:name="Tc_QdhrlLcQKkeKrp9J1L81EA_13_14"/>
      <w:bookmarkStart w:id="499" w:name="Tc_yP6tBC3BYk6aclm4CiIrFQ_13_8"/>
      <w:bookmarkStart w:id="500" w:name="Tc_F0B_EoT_j0eNA2dr7brv0w_13_5"/>
      <w:bookmarkStart w:id="501" w:name="Tc_Q1ZI1J0Vo0S_yv4eHkMviw_13_2"/>
      <w:bookmarkStart w:id="502" w:name="Tc_f_wvKQPehE-1ZtTM40M0sA_13_0"/>
      <w:bookmarkStart w:id="503" w:name="Tc_IMY3QphI5E2WjBe0d6F68g_12_14"/>
      <w:bookmarkStart w:id="504" w:name="Tc_-Y6JsYbwrESIL0vaqnTXfw_12_8"/>
      <w:bookmarkStart w:id="505" w:name="Tc_cj5rpdgT4EOxJtVqYzt4PQ_12_5"/>
      <w:bookmarkStart w:id="506" w:name="Tc_qwlcEqvyYUizjqy4dW6iFQ_12_2"/>
      <w:bookmarkStart w:id="507" w:name="Tc_Rjs_fBClJkuSkj6hiBIJRg_12_0"/>
      <w:bookmarkStart w:id="508" w:name="Tc_OG83fRpeV0i1iyvXYlxZHA_11_14"/>
      <w:bookmarkStart w:id="509" w:name="Tc_7Jg350cMe0CxdCYnOF_jzg_11_11"/>
      <w:bookmarkStart w:id="510" w:name="Tc_SDB-g7wCT0SZ6L77GZ7aXg_11_5"/>
      <w:bookmarkStart w:id="511" w:name="Tc_0gWiMPjOBkSBXqS_o7rqoA_11_2"/>
      <w:bookmarkStart w:id="512" w:name="Tc_AxXGqIf45UK_2bYn6h0jAQ_11_0"/>
      <w:bookmarkStart w:id="513" w:name="Tc_4iplOTRAxkOSPZA2bWCafQ_10_14"/>
      <w:bookmarkStart w:id="514" w:name="Tc_O3Gjo_P8fU6SjUFsI-HR2Q_10_11"/>
      <w:bookmarkStart w:id="515" w:name="Tc_KmA9KhcySEG87XQcSGz8ag_10_5"/>
      <w:bookmarkStart w:id="516" w:name="Tc_I6ediENgKEOKJd_STG9nbQ_10_2"/>
      <w:bookmarkStart w:id="517" w:name="Tc_dWzMdVz9W0q6vuR8hitA9w_10_0"/>
      <w:bookmarkStart w:id="518" w:name="Tc_6n4s29T2bUKEGa4I4gIGQw_9_14"/>
      <w:bookmarkStart w:id="519" w:name="Tc_bcyW8hi3rkS5szHEmNZ8zw_9_11"/>
      <w:bookmarkStart w:id="520" w:name="Tc_Fi3S_bc8ZUmWgskc4ZeKzQ_9_5"/>
      <w:bookmarkStart w:id="521" w:name="Tc_189Poik3Zk-GMKhfgGhg3Q_9_0"/>
      <w:bookmarkStart w:id="522" w:name="Tc_HsBx7Buy60q7-v9MT3qGdg_8_17"/>
      <w:bookmarkStart w:id="523" w:name="Tc_3lZ3hhdC202WucG_1k-Sqw_8_11"/>
      <w:bookmarkStart w:id="524" w:name="Tc_4y1idjL9mUm1gEj90LhBuw_8_5"/>
      <w:bookmarkStart w:id="525" w:name="Tc_vBHgY_20m0a4Bj3TiRccZQ_8_0"/>
      <w:bookmarkStart w:id="526" w:name="Tc_hzxpHHKd5EmBT6uFS_V7vw_7_11"/>
      <w:bookmarkStart w:id="527" w:name="Tc_4C_wfGJuFkmCABYkfbe83Q_7_8"/>
      <w:bookmarkStart w:id="528" w:name="Tc_X_IlEStOUki2XEbyvX5ujA_7_5"/>
      <w:bookmarkStart w:id="529" w:name="Tc_RGni3vEwWEmoITvUy76yfA_7_2"/>
      <w:bookmarkStart w:id="530" w:name="Tc_W6PwCrpYN06SEQLGUwtg9w_7_0"/>
      <w:bookmarkStart w:id="531" w:name="Tc_2DR4Od0-a0OWwYmkTeMCHQ_6_17"/>
      <w:bookmarkStart w:id="532" w:name="Tc__1xlWiOh4EW8e_DuVWADpw_6_14"/>
      <w:bookmarkStart w:id="533" w:name="Tc_IDsp9-1vTES8aurbaH09rQ_6_11"/>
      <w:bookmarkStart w:id="534" w:name="Tc_LP4ljCX8y0eW6KjN6v9KgA_6_0"/>
      <w:bookmarkStart w:id="535" w:name="Tc_GpTmgu-LrEq4SxdUBZbkmA_5_16"/>
      <w:bookmarkStart w:id="536" w:name="Tc_lhwulqKxhEClxkVzJCAvOw_5_14"/>
      <w:bookmarkStart w:id="537" w:name="Tc_oJ-N3a5thEiwvME64vT3hg_5_13"/>
      <w:bookmarkStart w:id="538" w:name="Tc_CxEoZezrYkSK9vVwFEmhpw_5_10"/>
      <w:bookmarkStart w:id="539" w:name="Tc_jYc3geg25UaNWF5GgPmEqQ_5_7"/>
      <w:bookmarkStart w:id="540" w:name="Tc_869dwN2XDEqSw0T6gGEL7w_5_4"/>
      <w:bookmarkStart w:id="541" w:name="Tc_GIkouZPQT0mVzdm3kGyCkg_5_0"/>
      <w:bookmarkStart w:id="542" w:name="Tc_R-4-VzSC_kO5ZJoFAHlKyQ_4_0"/>
      <w:bookmarkStart w:id="543" w:name="Tc_LZyAO18fpEmJuOCTigYpuw_3_16"/>
      <w:bookmarkStart w:id="544" w:name="Tc_RIJ30tykBEiAFwY9BoXx1g_3_13"/>
      <w:bookmarkStart w:id="545" w:name="Tc_vXQnb312RUW2puvAPYd6cQ_3_10"/>
      <w:bookmarkStart w:id="546" w:name="Tc_yKYlfdYKEU-gaDNdoVGDsA_3_7"/>
      <w:bookmarkStart w:id="547" w:name="Tc_v2oanehnIUiAXmIsArancQ_3_4"/>
      <w:bookmarkStart w:id="548" w:name="Tc_Q3E82dOzXkqR5FH5FDdUTg_3_2"/>
      <w:bookmarkStart w:id="549" w:name="Tc_ocol-wqBq0a8xW3s_CT8Kg_2_16"/>
      <w:bookmarkStart w:id="550" w:name="Tc_zq1qn3zaVk-2tophgTgaFg_2_13"/>
      <w:bookmarkStart w:id="551" w:name="Tc_rkJTRO3RBkeb8wD5PNpICQ_2_10"/>
      <w:bookmarkStart w:id="552" w:name="Tc_M_FgMuxj_UmOCuNoGtgV0g_2_7"/>
      <w:bookmarkStart w:id="553" w:name="Tc_6ZovO-o0kkOMsoBEGGxaqQ_2_2"/>
      <w:bookmarkStart w:id="554" w:name="Tc_h-Jn5CmWo0W-Nm087Aa5Gw_1_16"/>
      <w:bookmarkStart w:id="555" w:name="Tc_NXkS-cK7M0eiTq8HljrKMg_1_7"/>
      <w:bookmarkStart w:id="556" w:name="_06ea1a7d_4c1b_4643_b930_3fb3fce994fd"/>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p>
    <w:tbl>
      <w:tblPr>
        <w:tblW w:w="10205" w:type="dxa"/>
        <w:jc w:val="left"/>
        <w:tblInd w:w="0" w:type="dxa"/>
        <w:tblLayout w:type="fixed"/>
        <w:tblCellMar>
          <w:top w:w="0" w:type="dxa"/>
          <w:left w:w="0" w:type="dxa"/>
          <w:bottom w:w="0" w:type="dxa"/>
          <w:right w:w="0" w:type="dxa"/>
        </w:tblCellMar>
      </w:tblPr>
      <w:tblGrid>
        <w:gridCol w:w="3413"/>
        <w:gridCol w:w="326"/>
        <w:gridCol w:w="601"/>
        <w:gridCol w:w="326"/>
        <w:gridCol w:w="247"/>
        <w:gridCol w:w="436"/>
        <w:gridCol w:w="326"/>
        <w:gridCol w:w="214"/>
        <w:gridCol w:w="657"/>
        <w:gridCol w:w="326"/>
        <w:gridCol w:w="196"/>
        <w:gridCol w:w="615"/>
        <w:gridCol w:w="326"/>
        <w:gridCol w:w="237"/>
        <w:gridCol w:w="529"/>
        <w:gridCol w:w="326"/>
        <w:gridCol w:w="238"/>
        <w:gridCol w:w="866"/>
      </w:tblGrid>
      <w:tr>
        <w:trPr/>
        <w:tc>
          <w:tcPr>
            <w:tcW w:w="34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167255" cy="175260"/>
                      <wp:effectExtent l="0" t="0" r="0" b="0"/>
                      <wp:wrapNone/>
                      <wp:docPr id="38" name="Frame37"/>
                      <a:graphic xmlns:a="http://schemas.openxmlformats.org/drawingml/2006/main">
                        <a:graphicData uri="http://schemas.microsoft.com/office/word/2010/wordprocessingShape">
                          <wps:wsp>
                            <wps:cNvSpPr txBox="1"/>
                            <wps:spPr>
                              <a:xfrm>
                                <a:off x="0" y="0"/>
                                <a:ext cx="2167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07010" cy="175260"/>
                      <wp:effectExtent l="0" t="0" r="0" b="0"/>
                      <wp:wrapNone/>
                      <wp:docPr id="39" name="Frame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381635" cy="175260"/>
                      <wp:effectExtent l="0" t="0" r="0" b="0"/>
                      <wp:wrapNone/>
                      <wp:docPr id="40" name="Frame39"/>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7010" cy="175260"/>
                      <wp:effectExtent l="0" t="0" r="0" b="0"/>
                      <wp:wrapNone/>
                      <wp:docPr id="41" name="Frame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56845" cy="175260"/>
                      <wp:effectExtent l="0" t="0" r="0" b="0"/>
                      <wp:wrapNone/>
                      <wp:docPr id="42" name="Frame41"/>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76860" cy="175260"/>
                      <wp:effectExtent l="0" t="0" r="0" b="0"/>
                      <wp:wrapNone/>
                      <wp:docPr id="43" name="Frame42"/>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7010" cy="175260"/>
                      <wp:effectExtent l="0" t="0" r="0" b="0"/>
                      <wp:wrapNone/>
                      <wp:docPr id="44" name="Frame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35890" cy="175260"/>
                      <wp:effectExtent l="0" t="0" r="0" b="0"/>
                      <wp:wrapNone/>
                      <wp:docPr id="45" name="Frame44"/>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417195" cy="175260"/>
                      <wp:effectExtent l="0" t="0" r="0" b="0"/>
                      <wp:wrapNone/>
                      <wp:docPr id="46" name="Frame45"/>
                      <a:graphic xmlns:a="http://schemas.openxmlformats.org/drawingml/2006/main">
                        <a:graphicData uri="http://schemas.microsoft.com/office/word/2010/wordprocessingShape">
                          <wps:wsp>
                            <wps:cNvSpPr txBox="1"/>
                            <wps:spPr>
                              <a:xfrm>
                                <a:off x="0" y="0"/>
                                <a:ext cx="417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7010" cy="175260"/>
                      <wp:effectExtent l="0" t="0" r="0" b="0"/>
                      <wp:wrapNone/>
                      <wp:docPr id="47" name="Frame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24460" cy="175260"/>
                      <wp:effectExtent l="0" t="0" r="0" b="0"/>
                      <wp:wrapNone/>
                      <wp:docPr id="48" name="Frame4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390525" cy="175260"/>
                      <wp:effectExtent l="0" t="0" r="0" b="0"/>
                      <wp:wrapNone/>
                      <wp:docPr id="49" name="Frame48"/>
                      <a:graphic xmlns:a="http://schemas.openxmlformats.org/drawingml/2006/main">
                        <a:graphicData uri="http://schemas.microsoft.com/office/word/2010/wordprocessingShape">
                          <wps:wsp>
                            <wps:cNvSpPr txBox="1"/>
                            <wps:spPr>
                              <a:xfrm>
                                <a:off x="0" y="0"/>
                                <a:ext cx="390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07010" cy="175260"/>
                      <wp:effectExtent l="0" t="0" r="0" b="0"/>
                      <wp:wrapNone/>
                      <wp:docPr id="50" name="Frame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50495" cy="175260"/>
                      <wp:effectExtent l="0" t="0" r="0" b="0"/>
                      <wp:wrapNone/>
                      <wp:docPr id="51" name="Frame50"/>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335915" cy="175260"/>
                      <wp:effectExtent l="0" t="0" r="0" b="0"/>
                      <wp:wrapNone/>
                      <wp:docPr id="52" name="Frame51"/>
                      <a:graphic xmlns:a="http://schemas.openxmlformats.org/drawingml/2006/main">
                        <a:graphicData uri="http://schemas.microsoft.com/office/word/2010/wordprocessingShape">
                          <wps:wsp>
                            <wps:cNvSpPr txBox="1"/>
                            <wps:spPr>
                              <a:xfrm>
                                <a:off x="0" y="0"/>
                                <a:ext cx="335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07010" cy="175260"/>
                      <wp:effectExtent l="0" t="0" r="0" b="0"/>
                      <wp:wrapNone/>
                      <wp:docPr id="53" name="Frame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51130" cy="175260"/>
                      <wp:effectExtent l="0" t="0" r="0" b="0"/>
                      <wp:wrapNone/>
                      <wp:docPr id="54" name="Frame53"/>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549910" cy="175260"/>
                      <wp:effectExtent l="0" t="0" r="0" b="0"/>
                      <wp:wrapNone/>
                      <wp:docPr id="55" name="Frame54"/>
                      <a:graphic xmlns:a="http://schemas.openxmlformats.org/drawingml/2006/main">
                        <a:graphicData uri="http://schemas.microsoft.com/office/word/2010/wordprocessingShape">
                          <wps:wsp>
                            <wps:cNvSpPr txBox="1"/>
                            <wps:spPr>
                              <a:xfrm>
                                <a:off x="0" y="0"/>
                                <a:ext cx="549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13"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5"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529"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w:t>
            </w:r>
          </w:p>
        </w:tc>
        <w:tc>
          <w:tcPr>
            <w:tcW w:w="110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413"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w:t>
            </w:r>
          </w:p>
        </w:tc>
        <w:tc>
          <w:tcPr>
            <w:tcW w:w="1610"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left"/>
              <w:rPr/>
            </w:pPr>
            <w:r>
              <w:rPr/>
              <w:t>​</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1"/>
              <w:ind w:left="0" w:right="0" w:hanging="0"/>
              <w:jc w:val="left"/>
              <w:rPr/>
            </w:pPr>
            <w:r>
              <w:rPr/>
              <w:t>​</w:t>
            </w:r>
          </w:p>
        </w:tc>
        <w:tc>
          <w:tcPr>
            <w:tcW w:w="81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26" w:type="dxa"/>
            <w:tcBorders/>
            <w:vAlign w:val="center"/>
          </w:tcPr>
          <w:p>
            <w:pPr>
              <w:pStyle w:val="TableContents"/>
              <w:bidi w:val="0"/>
              <w:spacing w:before="0" w:after="1"/>
              <w:ind w:left="0" w:right="0" w:hanging="0"/>
              <w:jc w:val="left"/>
              <w:rPr/>
            </w:pPr>
            <w:r>
              <w:rPr/>
              <w:t>​</w:t>
            </w:r>
          </w:p>
        </w:tc>
        <w:tc>
          <w:tcPr>
            <w:tcW w:w="76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326" w:type="dxa"/>
            <w:tcBorders/>
            <w:vAlign w:val="center"/>
          </w:tcPr>
          <w:p>
            <w:pPr>
              <w:pStyle w:val="TableContents"/>
              <w:bidi w:val="0"/>
              <w:spacing w:before="0" w:after="1"/>
              <w:ind w:left="0" w:right="0" w:hanging="0"/>
              <w:jc w:val="left"/>
              <w:rPr/>
            </w:pPr>
            <w:r>
              <w:rPr/>
              <w:t>​</w:t>
            </w:r>
          </w:p>
        </w:tc>
        <w:tc>
          <w:tcPr>
            <w:tcW w:w="110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341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68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Par Value</w:t>
            </w:r>
          </w:p>
        </w:tc>
        <w:tc>
          <w:tcPr>
            <w:tcW w:w="326" w:type="dxa"/>
            <w:tcBorders/>
            <w:vAlign w:val="center"/>
          </w:tcPr>
          <w:p>
            <w:pPr>
              <w:pStyle w:val="TableContents"/>
              <w:bidi w:val="0"/>
              <w:spacing w:before="0" w:after="1"/>
              <w:ind w:left="0" w:right="0" w:hanging="0"/>
              <w:jc w:val="left"/>
              <w:rPr/>
            </w:pPr>
            <w:r>
              <w:rPr/>
              <w:t>    </w:t>
            </w:r>
          </w:p>
        </w:tc>
        <w:tc>
          <w:tcPr>
            <w:tcW w:w="8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1"/>
              <w:ind w:left="0" w:right="0" w:hanging="0"/>
              <w:jc w:val="left"/>
              <w:rPr/>
            </w:pPr>
            <w:r>
              <w:rPr/>
              <w:t>    </w:t>
            </w:r>
          </w:p>
        </w:tc>
        <w:tc>
          <w:tcPr>
            <w:tcW w:w="8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26" w:type="dxa"/>
            <w:tcBorders/>
            <w:vAlign w:val="center"/>
          </w:tcPr>
          <w:p>
            <w:pPr>
              <w:pStyle w:val="TableContents"/>
              <w:bidi w:val="0"/>
              <w:spacing w:before="0" w:after="1"/>
              <w:ind w:left="0" w:right="0" w:hanging="0"/>
              <w:jc w:val="left"/>
              <w:rPr/>
            </w:pPr>
            <w:r>
              <w:rPr/>
              <w:t>    </w:t>
            </w:r>
          </w:p>
        </w:tc>
        <w:tc>
          <w:tcPr>
            <w:tcW w:w="7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26" w:type="dxa"/>
            <w:tcBorders/>
            <w:vAlign w:val="center"/>
          </w:tcPr>
          <w:p>
            <w:pPr>
              <w:pStyle w:val="TableContents"/>
              <w:bidi w:val="0"/>
              <w:spacing w:before="0" w:after="1"/>
              <w:ind w:left="0" w:right="0" w:hanging="0"/>
              <w:jc w:val="left"/>
              <w:rPr/>
            </w:pPr>
            <w:r>
              <w:rPr/>
              <w:t>    </w:t>
            </w:r>
          </w:p>
        </w:tc>
        <w:tc>
          <w:tcPr>
            <w:tcW w:w="110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3413"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For the Three Months Ended September 30, 2025</w:t>
            </w:r>
          </w:p>
        </w:tc>
        <w:tc>
          <w:tcPr>
            <w:tcW w:w="32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center"/>
              <w:rPr/>
            </w:pPr>
            <w:r>
              <w:rPr/>
              <w:t>​</w:t>
            </w:r>
          </w:p>
        </w:tc>
        <w:tc>
          <w:tcPr>
            <w:tcW w:w="4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center"/>
              <w:rPr/>
            </w:pPr>
            <w:r>
              <w:rPr/>
              <w:t>​</w:t>
            </w:r>
          </w:p>
        </w:tc>
        <w:tc>
          <w:tcPr>
            <w:tcW w:w="65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61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center"/>
              <w:rPr/>
            </w:pPr>
            <w:r>
              <w:rPr/>
              <w:t>​</w:t>
            </w:r>
          </w:p>
        </w:tc>
        <w:tc>
          <w:tcPr>
            <w:tcW w:w="52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center"/>
              <w:rPr/>
            </w:pPr>
            <w:r>
              <w:rPr/>
              <w:t>​</w:t>
            </w:r>
          </w:p>
        </w:tc>
        <w:tc>
          <w:tcPr>
            <w:tcW w:w="866" w:type="dxa"/>
            <w:tcBorders/>
            <w:vAlign w:val="center"/>
          </w:tcPr>
          <w:p>
            <w:pPr>
              <w:pStyle w:val="TableContents"/>
              <w:bidi w:val="0"/>
              <w:spacing w:before="0" w:after="1"/>
              <w:ind w:left="0" w:right="0" w:hanging="0"/>
              <w:jc w:val="center"/>
              <w:rPr/>
            </w:pPr>
            <w:r>
              <w:rPr/>
              <w:t>​</w:t>
            </w:r>
          </w:p>
        </w:tc>
      </w:tr>
      <w:tr>
        <w:trPr/>
        <w:tc>
          <w:tcPr>
            <w:tcW w:w="341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Balances at June 30, 2025</w:t>
            </w:r>
          </w:p>
        </w:tc>
        <w:tc>
          <w:tcPr>
            <w:tcW w:w="32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34,337</w:t>
            </w:r>
          </w:p>
        </w:tc>
        <w:tc>
          <w:tcPr>
            <w:tcW w:w="32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46,650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1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25,129</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2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71,813</w:t>
            </w:r>
          </w:p>
        </w:tc>
      </w:tr>
      <w:tr>
        <w:trPr/>
        <w:tc>
          <w:tcPr>
            <w:tcW w:w="341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restricted common stock</w:t>
            </w:r>
          </w:p>
        </w:tc>
        <w:tc>
          <w:tcPr>
            <w:tcW w:w="32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280</w:t>
            </w:r>
          </w:p>
        </w:tc>
        <w:tc>
          <w:tcPr>
            <w:tcW w:w="32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52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38" w:type="dxa"/>
            <w:tcBorders/>
            <w:vAlign w:val="center"/>
          </w:tcPr>
          <w:p>
            <w:pPr>
              <w:pStyle w:val="TableContents"/>
              <w:bidi w:val="0"/>
              <w:spacing w:before="0" w:after="1"/>
              <w:ind w:left="0" w:right="0" w:hanging="0"/>
              <w:jc w:val="right"/>
              <w:rPr/>
            </w:pPr>
            <w:r>
              <w:rPr/>
              <w:t>​</w:t>
            </w:r>
          </w:p>
        </w:tc>
        <w:tc>
          <w:tcPr>
            <w:tcW w:w="866" w:type="dxa"/>
            <w:tcBorders/>
            <w:vAlign w:val="center"/>
          </w:tcPr>
          <w:p>
            <w:pPr>
              <w:pStyle w:val="TableContents"/>
              <w:bidi w:val="0"/>
              <w:spacing w:before="0" w:after="1"/>
              <w:ind w:left="0" w:right="0" w:hanging="0"/>
              <w:jc w:val="right"/>
              <w:rPr/>
            </w:pPr>
            <w:r>
              <w:rPr/>
              <w:t>—</w:t>
            </w:r>
          </w:p>
        </w:tc>
      </w:tr>
      <w:tr>
        <w:trPr/>
        <w:tc>
          <w:tcPr>
            <w:tcW w:w="341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Common stock repurchases, including stock surrendered for tax withholding</w:t>
            </w:r>
          </w:p>
        </w:tc>
        <w:tc>
          <w:tcPr>
            <w:tcW w:w="32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5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52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(132)</w:t>
            </w:r>
          </w:p>
        </w:tc>
        <w:tc>
          <w:tcPr>
            <w:tcW w:w="326" w:type="dxa"/>
            <w:tcBorders/>
            <w:shd w:fill="CCEEFF" w:val="clear"/>
            <w:vAlign w:val="center"/>
          </w:tcPr>
          <w:p>
            <w:pPr>
              <w:pStyle w:val="TableContents"/>
              <w:bidi w:val="0"/>
              <w:spacing w:before="0" w:after="1"/>
              <w:ind w:left="0" w:right="0" w:hanging="0"/>
              <w:jc w:val="right"/>
              <w:rPr/>
            </w:pPr>
            <w:r>
              <w:rPr/>
              <w:t>​</w:t>
            </w:r>
          </w:p>
        </w:tc>
        <w:tc>
          <w:tcPr>
            <w:tcW w:w="238" w:type="dxa"/>
            <w:tcBorders/>
            <w:shd w:fill="CCEEFF" w:val="clear"/>
            <w:vAlign w:val="center"/>
          </w:tcPr>
          <w:p>
            <w:pPr>
              <w:pStyle w:val="TableContents"/>
              <w:bidi w:val="0"/>
              <w:spacing w:before="0" w:after="1"/>
              <w:ind w:left="0" w:right="0" w:hanging="0"/>
              <w:jc w:val="right"/>
              <w:rPr/>
            </w:pPr>
            <w:r>
              <w:rPr/>
              <w:t>​</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(132)</w:t>
            </w:r>
          </w:p>
        </w:tc>
      </w:tr>
      <w:tr>
        <w:trPr/>
        <w:tc>
          <w:tcPr>
            <w:tcW w:w="341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Retirements of treasury stock</w:t>
            </w:r>
          </w:p>
        </w:tc>
        <w:tc>
          <w:tcPr>
            <w:tcW w:w="32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w:t>
            </w:r>
          </w:p>
        </w:tc>
        <w:tc>
          <w:tcPr>
            <w:tcW w:w="32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52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132</w:t>
            </w:r>
          </w:p>
        </w:tc>
        <w:tc>
          <w:tcPr>
            <w:tcW w:w="326" w:type="dxa"/>
            <w:tcBorders/>
            <w:vAlign w:val="center"/>
          </w:tcPr>
          <w:p>
            <w:pPr>
              <w:pStyle w:val="TableContents"/>
              <w:bidi w:val="0"/>
              <w:spacing w:before="0" w:after="1"/>
              <w:ind w:left="0" w:right="0" w:hanging="0"/>
              <w:jc w:val="right"/>
              <w:rPr/>
            </w:pPr>
            <w:r>
              <w:rPr/>
              <w:t>​</w:t>
            </w:r>
          </w:p>
        </w:tc>
        <w:tc>
          <w:tcPr>
            <w:tcW w:w="238" w:type="dxa"/>
            <w:tcBorders/>
            <w:vAlign w:val="center"/>
          </w:tcPr>
          <w:p>
            <w:pPr>
              <w:pStyle w:val="TableContents"/>
              <w:bidi w:val="0"/>
              <w:spacing w:before="0" w:after="1"/>
              <w:ind w:left="0" w:right="0" w:hanging="0"/>
              <w:jc w:val="right"/>
              <w:rPr/>
            </w:pPr>
            <w:r>
              <w:rPr/>
              <w:t>​</w:t>
            </w:r>
          </w:p>
        </w:tc>
        <w:tc>
          <w:tcPr>
            <w:tcW w:w="866" w:type="dxa"/>
            <w:tcBorders/>
            <w:vAlign w:val="center"/>
          </w:tcPr>
          <w:p>
            <w:pPr>
              <w:pStyle w:val="TableContents"/>
              <w:bidi w:val="0"/>
              <w:spacing w:before="0" w:after="1"/>
              <w:ind w:left="0" w:right="0" w:hanging="0"/>
              <w:jc w:val="right"/>
              <w:rPr/>
            </w:pPr>
            <w:r>
              <w:rPr/>
              <w:t>—</w:t>
            </w:r>
          </w:p>
        </w:tc>
      </w:tr>
      <w:tr>
        <w:trPr/>
        <w:tc>
          <w:tcPr>
            <w:tcW w:w="341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common stock</w:t>
            </w:r>
          </w:p>
        </w:tc>
        <w:tc>
          <w:tcPr>
            <w:tcW w:w="32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w:t>
            </w:r>
          </w:p>
        </w:tc>
        <w:tc>
          <w:tcPr>
            <w:tcW w:w="32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5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52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38" w:type="dxa"/>
            <w:tcBorders/>
            <w:shd w:fill="CCEEFF" w:val="clear"/>
            <w:vAlign w:val="center"/>
          </w:tcPr>
          <w:p>
            <w:pPr>
              <w:pStyle w:val="TableContents"/>
              <w:bidi w:val="0"/>
              <w:spacing w:before="0" w:after="1"/>
              <w:ind w:left="0" w:right="0" w:hanging="0"/>
              <w:jc w:val="right"/>
              <w:rPr/>
            </w:pPr>
            <w:r>
              <w:rPr/>
              <w:t>​</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266</w:t>
            </w:r>
          </w:p>
        </w:tc>
      </w:tr>
      <w:tr>
        <w:trPr/>
        <w:tc>
          <w:tcPr>
            <w:tcW w:w="341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Offering costs</w:t>
            </w:r>
          </w:p>
        </w:tc>
        <w:tc>
          <w:tcPr>
            <w:tcW w:w="32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52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38" w:type="dxa"/>
            <w:tcBorders/>
            <w:vAlign w:val="center"/>
          </w:tcPr>
          <w:p>
            <w:pPr>
              <w:pStyle w:val="TableContents"/>
              <w:bidi w:val="0"/>
              <w:spacing w:before="0" w:after="1"/>
              <w:ind w:left="0" w:right="0" w:hanging="0"/>
              <w:jc w:val="right"/>
              <w:rPr/>
            </w:pPr>
            <w:r>
              <w:rPr/>
              <w:t>​</w:t>
            </w:r>
          </w:p>
        </w:tc>
        <w:tc>
          <w:tcPr>
            <w:tcW w:w="86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w:t>
            </w:r>
          </w:p>
        </w:tc>
      </w:tr>
      <w:tr>
        <w:trPr/>
        <w:tc>
          <w:tcPr>
            <w:tcW w:w="341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2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5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52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537</w:t>
            </w:r>
          </w:p>
        </w:tc>
      </w:tr>
      <w:tr>
        <w:trPr/>
        <w:tc>
          <w:tcPr>
            <w:tcW w:w="341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Net income (loss) </w:t>
            </w:r>
          </w:p>
        </w:tc>
        <w:tc>
          <w:tcPr>
            <w:tcW w:w="32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824</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52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86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824</w:t>
            </w:r>
          </w:p>
        </w:tc>
      </w:tr>
      <w:tr>
        <w:trPr/>
        <w:tc>
          <w:tcPr>
            <w:tcW w:w="341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Common stock dividends paid</w:t>
            </w:r>
          </w:p>
        </w:tc>
        <w:tc>
          <w:tcPr>
            <w:tcW w:w="326" w:type="dxa"/>
            <w:tcBorders/>
            <w:shd w:fill="CCEEFF" w:val="cle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(4,157)</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(4,157)</w:t>
            </w:r>
          </w:p>
        </w:tc>
      </w:tr>
      <w:tr>
        <w:trPr/>
        <w:tc>
          <w:tcPr>
            <w:tcW w:w="341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Balances at September 30, 2025</w:t>
            </w:r>
          </w:p>
        </w:tc>
        <w:tc>
          <w:tcPr>
            <w:tcW w:w="326" w:type="dxa"/>
            <w:tcBorders/>
            <w:vAlign w:val="center"/>
          </w:tcPr>
          <w:p>
            <w:pPr>
              <w:pStyle w:val="TableContents"/>
              <w:bidi w:val="0"/>
              <w:spacing w:before="0" w:after="1"/>
              <w:ind w:left="0" w:right="0" w:hanging="0"/>
              <w:jc w:val="left"/>
              <w:rPr/>
            </w:pPr>
            <w:r>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34,648</w:t>
            </w:r>
          </w:p>
        </w:tc>
        <w:tc>
          <w:tcPr>
            <w:tcW w:w="326" w:type="dxa"/>
            <w:tcBorders/>
            <w:vAlign w:val="center"/>
          </w:tcPr>
          <w:p>
            <w:pPr>
              <w:pStyle w:val="TableContents"/>
              <w:bidi w:val="0"/>
              <w:spacing w:before="0" w:after="1"/>
              <w:ind w:left="0" w:right="0" w:hanging="0"/>
              <w:jc w:val="left"/>
              <w:rPr/>
            </w:pPr>
            <w:r>
              <w:rPr/>
              <w:t>​</w:t>
            </w:r>
          </w:p>
        </w:tc>
        <w:tc>
          <w:tcPr>
            <w:tcW w:w="24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w:t>
            </w:r>
          </w:p>
        </w:tc>
        <w:tc>
          <w:tcPr>
            <w:tcW w:w="326" w:type="dxa"/>
            <w:tcBorders/>
            <w:vAlign w:val="center"/>
          </w:tcPr>
          <w:p>
            <w:pPr>
              <w:pStyle w:val="TableContents"/>
              <w:bidi w:val="0"/>
              <w:spacing w:before="0" w:after="1"/>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47,300</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1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21,796</w:t>
            </w:r>
          </w:p>
        </w:tc>
        <w:tc>
          <w:tcPr>
            <w:tcW w:w="326" w:type="dxa"/>
            <w:tcBorders/>
            <w:vAlign w:val="center"/>
          </w:tcPr>
          <w:p>
            <w:pPr>
              <w:pStyle w:val="TableContents"/>
              <w:bidi w:val="0"/>
              <w:spacing w:before="0" w:after="1"/>
              <w:ind w:left="0" w:right="0" w:hanging="0"/>
              <w:jc w:val="left"/>
              <w:rPr/>
            </w:pPr>
            <w:r>
              <w:rPr/>
              <w:t>​</w:t>
            </w:r>
          </w:p>
        </w:tc>
        <w:tc>
          <w:tcPr>
            <w:tcW w:w="23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29"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69,131</w:t>
            </w:r>
          </w:p>
        </w:tc>
      </w:tr>
      <w:tr>
        <w:trPr/>
        <w:tc>
          <w:tcPr>
            <w:tcW w:w="3413"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5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52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866" w:type="dxa"/>
            <w:tcBorders/>
            <w:shd w:fill="CCEEFF" w:val="clear"/>
            <w:vAlign w:val="center"/>
          </w:tcPr>
          <w:p>
            <w:pPr>
              <w:pStyle w:val="TableContents"/>
              <w:bidi w:val="0"/>
              <w:spacing w:before="0" w:after="1"/>
              <w:ind w:left="0" w:right="0" w:hanging="0"/>
              <w:jc w:val="right"/>
              <w:rPr/>
            </w:pPr>
            <w:r>
              <w:rPr/>
              <w:t>​</w:t>
            </w:r>
          </w:p>
        </w:tc>
      </w:tr>
      <w:tr>
        <w:trPr/>
        <w:tc>
          <w:tcPr>
            <w:tcW w:w="3413"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For the Three Months Ended September 30, 2024</w:t>
            </w:r>
          </w:p>
        </w:tc>
        <w:tc>
          <w:tcPr>
            <w:tcW w:w="32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52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866" w:type="dxa"/>
            <w:tcBorders/>
            <w:vAlign w:val="center"/>
          </w:tcPr>
          <w:p>
            <w:pPr>
              <w:pStyle w:val="TableContents"/>
              <w:bidi w:val="0"/>
              <w:spacing w:before="0" w:after="1"/>
              <w:ind w:left="0" w:right="0" w:hanging="0"/>
              <w:jc w:val="right"/>
              <w:rPr/>
            </w:pPr>
            <w:r>
              <w:rPr/>
              <w:t>​</w:t>
            </w:r>
          </w:p>
        </w:tc>
      </w:tr>
      <w:tr>
        <w:trPr/>
        <w:tc>
          <w:tcPr>
            <w:tcW w:w="341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Balances at June 30, 2024</w:t>
            </w:r>
          </w:p>
        </w:tc>
        <w:tc>
          <w:tcPr>
            <w:tcW w:w="32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33,340</w:t>
            </w:r>
          </w:p>
        </w:tc>
        <w:tc>
          <w:tcPr>
            <w:tcW w:w="32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41,091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1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40,003</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2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81,127</w:t>
            </w:r>
          </w:p>
        </w:tc>
      </w:tr>
      <w:tr>
        <w:trPr/>
        <w:tc>
          <w:tcPr>
            <w:tcW w:w="341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restricted common stock</w:t>
            </w:r>
          </w:p>
        </w:tc>
        <w:tc>
          <w:tcPr>
            <w:tcW w:w="32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284</w:t>
            </w:r>
          </w:p>
        </w:tc>
        <w:tc>
          <w:tcPr>
            <w:tcW w:w="32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52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866" w:type="dxa"/>
            <w:tcBorders/>
            <w:vAlign w:val="center"/>
          </w:tcPr>
          <w:p>
            <w:pPr>
              <w:pStyle w:val="TableContents"/>
              <w:bidi w:val="0"/>
              <w:spacing w:before="0" w:after="1"/>
              <w:ind w:left="0" w:right="0" w:hanging="0"/>
              <w:jc w:val="right"/>
              <w:rPr/>
            </w:pPr>
            <w:r>
              <w:rPr/>
              <w:t>—</w:t>
            </w:r>
          </w:p>
        </w:tc>
      </w:tr>
      <w:tr>
        <w:trPr/>
        <w:tc>
          <w:tcPr>
            <w:tcW w:w="341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Common stock repurchases, including stock surrendered for tax withholding</w:t>
            </w:r>
          </w:p>
        </w:tc>
        <w:tc>
          <w:tcPr>
            <w:tcW w:w="32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5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52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(88)</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(88)</w:t>
            </w:r>
          </w:p>
        </w:tc>
      </w:tr>
      <w:tr>
        <w:trPr/>
        <w:tc>
          <w:tcPr>
            <w:tcW w:w="341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Retirements of treasury stock</w:t>
            </w:r>
          </w:p>
        </w:tc>
        <w:tc>
          <w:tcPr>
            <w:tcW w:w="32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w:t>
            </w:r>
          </w:p>
        </w:tc>
        <w:tc>
          <w:tcPr>
            <w:tcW w:w="32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(88)</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52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88</w:t>
            </w:r>
          </w:p>
        </w:tc>
        <w:tc>
          <w:tcPr>
            <w:tcW w:w="32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866" w:type="dxa"/>
            <w:tcBorders/>
            <w:vAlign w:val="center"/>
          </w:tcPr>
          <w:p>
            <w:pPr>
              <w:pStyle w:val="TableContents"/>
              <w:bidi w:val="0"/>
              <w:spacing w:before="0" w:after="1"/>
              <w:ind w:left="0" w:right="0" w:hanging="0"/>
              <w:jc w:val="right"/>
              <w:rPr/>
            </w:pPr>
            <w:r>
              <w:rPr/>
              <w:t>—</w:t>
            </w:r>
          </w:p>
        </w:tc>
      </w:tr>
      <w:tr>
        <w:trPr/>
        <w:tc>
          <w:tcPr>
            <w:tcW w:w="341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2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5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52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559</w:t>
            </w:r>
          </w:p>
        </w:tc>
      </w:tr>
      <w:tr>
        <w:trPr/>
        <w:tc>
          <w:tcPr>
            <w:tcW w:w="341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Net income (loss) </w:t>
            </w:r>
          </w:p>
        </w:tc>
        <w:tc>
          <w:tcPr>
            <w:tcW w:w="32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2,065</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52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86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2,065</w:t>
            </w:r>
          </w:p>
        </w:tc>
      </w:tr>
      <w:tr>
        <w:trPr/>
        <w:tc>
          <w:tcPr>
            <w:tcW w:w="341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Common stock dividends paid</w:t>
            </w:r>
          </w:p>
        </w:tc>
        <w:tc>
          <w:tcPr>
            <w:tcW w:w="326" w:type="dxa"/>
            <w:tcBorders/>
            <w:shd w:fill="CCEEFF" w:val="cle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(4,033)</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(4,033)</w:t>
            </w:r>
          </w:p>
        </w:tc>
      </w:tr>
      <w:tr>
        <w:trPr/>
        <w:tc>
          <w:tcPr>
            <w:tcW w:w="341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Balances at September 30, 2024</w:t>
            </w:r>
          </w:p>
        </w:tc>
        <w:tc>
          <w:tcPr>
            <w:tcW w:w="326" w:type="dxa"/>
            <w:tcBorders/>
            <w:vAlign w:val="center"/>
          </w:tcPr>
          <w:p>
            <w:pPr>
              <w:pStyle w:val="TableContents"/>
              <w:bidi w:val="0"/>
              <w:spacing w:before="0" w:after="1"/>
              <w:ind w:left="0" w:right="0" w:hanging="0"/>
              <w:jc w:val="left"/>
              <w:rPr/>
            </w:pPr>
            <w:r>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33,607</w:t>
            </w:r>
          </w:p>
        </w:tc>
        <w:tc>
          <w:tcPr>
            <w:tcW w:w="326" w:type="dxa"/>
            <w:tcBorders/>
            <w:vAlign w:val="center"/>
          </w:tcPr>
          <w:p>
            <w:pPr>
              <w:pStyle w:val="TableContents"/>
              <w:bidi w:val="0"/>
              <w:spacing w:before="0" w:after="1"/>
              <w:ind w:left="0" w:right="0" w:hanging="0"/>
              <w:jc w:val="left"/>
              <w:rPr/>
            </w:pPr>
            <w:r>
              <w:rPr/>
              <w:t>​</w:t>
            </w:r>
          </w:p>
        </w:tc>
        <w:tc>
          <w:tcPr>
            <w:tcW w:w="24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w:t>
            </w:r>
          </w:p>
        </w:tc>
        <w:tc>
          <w:tcPr>
            <w:tcW w:w="326" w:type="dxa"/>
            <w:tcBorders/>
            <w:vAlign w:val="center"/>
          </w:tcPr>
          <w:p>
            <w:pPr>
              <w:pStyle w:val="TableContents"/>
              <w:bidi w:val="0"/>
              <w:spacing w:before="0" w:after="1"/>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41,561</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1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38,035</w:t>
            </w:r>
          </w:p>
        </w:tc>
        <w:tc>
          <w:tcPr>
            <w:tcW w:w="326" w:type="dxa"/>
            <w:tcBorders/>
            <w:vAlign w:val="center"/>
          </w:tcPr>
          <w:p>
            <w:pPr>
              <w:pStyle w:val="TableContents"/>
              <w:bidi w:val="0"/>
              <w:spacing w:before="0" w:after="1"/>
              <w:ind w:left="0" w:right="0" w:hanging="0"/>
              <w:jc w:val="left"/>
              <w:rPr/>
            </w:pPr>
            <w:r>
              <w:rPr/>
              <w:t>​</w:t>
            </w:r>
          </w:p>
        </w:tc>
        <w:tc>
          <w:tcPr>
            <w:tcW w:w="23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29"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6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79,630</w:t>
            </w:r>
          </w:p>
        </w:tc>
      </w:tr>
    </w:tbl>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EVOLUTION PETROLEUM CORPORATION</w:t>
      </w:r>
    </w:p>
    <w:p>
      <w:pPr>
        <w:pStyle w:val="TextBody"/>
        <w:shd w:fill="FFFFFF" w:val="clear"/>
        <w:bidi w:val="0"/>
        <w:spacing w:lineRule="auto" w:line="429" w:before="0" w:after="24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b/>
          <w:sz w:val="20"/>
        </w:rPr>
      </w:pPr>
      <w:bookmarkStart w:id="557" w:name="_Hlk179297242"/>
      <w:bookmarkStart w:id="558" w:name="Note_to_Unaudited_Condensed"/>
      <w:bookmarkStart w:id="559" w:name="_Hlk117605630"/>
      <w:bookmarkStart w:id="560" w:name="Note1SummaryofSignificantEventsandAccoun"/>
      <w:bookmarkEnd w:id="557"/>
      <w:bookmarkEnd w:id="558"/>
      <w:bookmarkEnd w:id="559"/>
      <w:bookmarkEnd w:id="560"/>
      <w:r>
        <w:rPr>
          <w:rFonts w:ascii="Times New Roman;Times;serif" w:hAnsi="Times New Roman;Times;serif"/>
          <w:b/>
          <w:sz w:val="20"/>
        </w:rPr>
        <w:t>Note 1. Financial Statement Presentation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 xml:space="preserve">Nature of Operations. </w:t>
      </w:r>
      <w:r>
        <w:rPr>
          <w:rFonts w:ascii="Times New Roman;Times;serif" w:hAnsi="Times New Roman;Times;serif"/>
          <w:sz w:val="20"/>
        </w:rPr>
        <w:t>  Evolution Petroleum Corporation (“Evolution,” and together with its consolidated subsidiaries, the “Company”) is an independent energy company focused on maximizing returns to shareholders through the ownership of and investment in onshore oil and natural gas properties in the United States. The Company’s long-term goal is to maximize total shareholder return from a diversified portfolio of long-life oil and natural gas properties, built through acquisitions and through selective development opportunities, production enhancement, and other exploitation efforts on its oil and natural gas properties.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Company’s oil and natural gas properties consist of non-operated working and mineral interests in </w:t>
      </w:r>
      <w:r>
        <w:rPr>
          <w:rFonts w:ascii="Times New Roman;Times;serif" w:hAnsi="Times New Roman;Times;serif"/>
          <w:color w:val="333333"/>
          <w:sz w:val="20"/>
        </w:rPr>
        <w:t xml:space="preserve">the following areas: the SCOOP and STACK plays of the Anadarko Basin located in central Oklahoma; </w:t>
      </w:r>
      <w:r>
        <w:rPr>
          <w:rFonts w:ascii="Times New Roman;Times;serif" w:hAnsi="Times New Roman;Times;serif"/>
          <w:sz w:val="20"/>
        </w:rPr>
        <w:t xml:space="preserve">the Chaveroo Field in Chaves and Roosevelt Counties of New Mexico; the </w:t>
      </w:r>
      <w:r>
        <w:rPr>
          <w:rFonts w:ascii="Times New Roman;Times;serif" w:hAnsi="Times New Roman;Times;serif"/>
          <w:color w:val="333333"/>
          <w:sz w:val="20"/>
        </w:rPr>
        <w:t xml:space="preserve">Jonah </w:t>
      </w:r>
      <w:r>
        <w:rPr>
          <w:rFonts w:ascii="Times New Roman;Times;serif" w:hAnsi="Times New Roman;Times;serif"/>
          <w:sz w:val="20"/>
        </w:rPr>
        <w:t>Field in Sublette County, Wyoming; the Williston Basin in North Dakota; the Barnett Shale located in North Texas; the Hamilton Dome Field located in Hot Springs County, Wyoming, a secondary oil recovery field utilizing water injection wells to pressurize the reservoir; the Delhi Holt-Bryant Unit in the Delhi Field in Northeast Louisiana, a CO</w:t>
      </w:r>
      <w:r>
        <w:rPr>
          <w:rFonts w:ascii="Times New Roman;Times;serif" w:hAnsi="Times New Roman;Times;serif"/>
          <w:sz w:val="15"/>
        </w:rPr>
        <w:t>2</w:t>
      </w:r>
      <w:r>
        <w:rPr>
          <w:rFonts w:ascii="Times New Roman;Times;serif" w:hAnsi="Times New Roman;Times;serif"/>
          <w:sz w:val="20"/>
        </w:rPr>
        <w:t xml:space="preserve"> enhanced oil recovery project; the TexMex interests located in Lea, Eddy and Chaves Counties, New Mexico and Stephens County, Texas; as well as small overriding royalty interests in four onshore Texas wells.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 xml:space="preserve">Interim Financial Statements. </w:t>
      </w:r>
      <w:r>
        <w:rPr>
          <w:rFonts w:ascii="Times New Roman;Times;serif" w:hAnsi="Times New Roman;Times;serif"/>
          <w:sz w:val="20"/>
        </w:rPr>
        <w:t>  The accompanying unaudited condensed consolidated financial statements have been prepared in accordance with generally accepted accounting principles in the United States of America (“GAAP”) for interim financial information and the appropriate rules and regulations of the Securities and Exchange Commission (“SEC”). Accordingly, certain information and footnote disclosures normally included in financial statements prepared in accordance with GAAP have been condensed or omitted pursuant to such rules and regulations. All adjustments (consisting of normal recurring accruals) which are, in the opinion of management, necessary for a fair presentation of the financial position and results of operations for the interim periods presented have been included. The interim financial information and notes hereto should be read in conjunction with the Company’s 2025 Annual Report on Form 10-K for the fiscal year ended June 30, 2025, as filed with the SEC on September 17, 2025. The results of operations for interim periods are not necessarily indicative of results to be expected for a full fiscal year. The Company has evaluated events and transactions through the date of issuance of these unaudited condensed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 xml:space="preserve">Principles of Consolidation and Reporting. </w:t>
      </w:r>
      <w:r>
        <w:rPr>
          <w:rFonts w:ascii="Times New Roman;Times;serif" w:hAnsi="Times New Roman;Times;serif"/>
          <w:sz w:val="20"/>
        </w:rPr>
        <w:t xml:space="preserve">  The unaudited condensed consolidated financial statements include the accounts of Evolution Petroleum Corporation and its wholly-owned subsidiaries. All significant intercompany transactions have been eliminated in consolidation. The unaudited condensed consolidated financial statements for the previous year may be condensed or include certain reclassifications to conform to the current presentation. </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 xml:space="preserve">Risk and Uncertainties. </w:t>
      </w:r>
      <w:r>
        <w:rPr>
          <w:rFonts w:ascii="Times New Roman;Times;serif" w:hAnsi="Times New Roman;Times;serif"/>
          <w:sz w:val="20"/>
        </w:rPr>
        <w:t>The Company’s oil and natural gas interests are operated by third-party operators and involve other third-party working interest owners. As a result, the Company has limited ability to influence the operation or future development of such properties. However, the Company proactively works with its third-party operators to review the management of capital expenditures for its non-operated working interests.</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Oil and Natural Gas Properties.</w:t>
      </w:r>
      <w:r>
        <w:rPr>
          <w:rFonts w:ascii="Times New Roman;Times;serif" w:hAnsi="Times New Roman;Times;serif"/>
          <w:sz w:val="20"/>
        </w:rPr>
        <w:t xml:space="preserve">   The Company uses the full-cost method of accounting for its investments in oil and natural gas properties. Under this method of accounting, all costs incurred in the acquisition, exploration, and development of oil and natural gas properties, including unproductive wells, are capitalized. This includes any internal costs that are directly related to property acquisition, exploration, and development activities, but does not include any costs related to production, general corporate overhead, or similar activities. Oil and natural gas properties include costs that are excluded from depletion and amortization, which represent investments in unproved and unevaluated properties and include non-producing leasehold, geologic and geophysical costs associated with leasehold or drilling interests, and exploration drilling costs. These costs are excluded until the project is evaluated and proved reserves are established or impairment is determined.</w:t>
      </w:r>
    </w:p>
    <w:p>
      <w:pPr>
        <w:pStyle w:val="TextBody"/>
        <w:shd w:fill="FFFFFF" w:val="clear"/>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 xml:space="preserve">Use of Estimates. </w:t>
      </w:r>
      <w:r>
        <w:rPr>
          <w:rFonts w:ascii="Times New Roman;Times;serif" w:hAnsi="Times New Roman;Times;serif"/>
          <w:sz w:val="20"/>
        </w:rPr>
        <w:t xml:space="preserve">  The preparation of the Company’s unaudited condensed consolidated financial statements in conformity with GAAP requires the Company to make estimates and assumptions that affect the reported amounts of assets and liabilities and the disclosure of contingent assets and liabilities, if any, at the date of the consolidated financial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EVOLUTION PETROLEUM CORPORATION</w:t>
      </w:r>
    </w:p>
    <w:p>
      <w:pPr>
        <w:pStyle w:val="TextBody"/>
        <w:shd w:fill="FFFFFF" w:val="clear"/>
        <w:bidi w:val="0"/>
        <w:spacing w:lineRule="auto" w:line="429" w:before="0" w:after="24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sz w:val="20"/>
        </w:rPr>
      </w:pPr>
      <w:bookmarkStart w:id="561" w:name="_Hlk181869506"/>
      <w:bookmarkStart w:id="562" w:name="_Hlk179297254"/>
      <w:bookmarkStart w:id="563" w:name="_Hlk181868819"/>
      <w:bookmarkEnd w:id="561"/>
      <w:bookmarkEnd w:id="562"/>
      <w:bookmarkEnd w:id="563"/>
      <w:r>
        <w:rPr>
          <w:rFonts w:ascii="Times New Roman;Times;serif" w:hAnsi="Times New Roman;Times;serif"/>
          <w:sz w:val="20"/>
        </w:rPr>
        <w:t>statements and the reported amounts of revenues and expenses during the respective reporting periods. Significant estimates include (a) reserve quantities and estimated future cash flows associated with proved reserves, which may significantly impact depletion expense and potential impairments of oil and natural gas properties, (b) asset retirement obligations, (c) stock-based compensation, (d) fair values of derivative contract assets and liabilities, (e) income taxes and the valuation of deferred income tax assets, (f) commitments and contingencies, and (g) accruals of crude oil, natural gas, and NGL revenues and operating expenses. The Company analyzes estimates and judgments based on historical experience and various other assumptions and information that are believed to be reasonable. Estimates and assumptions about future events and their effects cannot be predicted with certainty and, accordingly, these estimates may change as additional information is obtained, as new events occur, and as the Company’s environment changes. Actual results may differ from the estimates and assumptions used in the preparation of the Company’s unaudited condensed consolidated financial statements.</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Segment Information.</w:t>
      </w:r>
      <w:r>
        <w:rPr>
          <w:rFonts w:ascii="Times New Roman;Times;serif" w:hAnsi="Times New Roman;Times;serif"/>
          <w:sz w:val="20"/>
        </w:rPr>
        <w:t xml:space="preserve"> The Company has one reportable segment, which focuses on the ownership of and investment in onshore oil and natural gas properties in the United States. The segment’s revenues are derived from the Company’s interests in the sales of crude oil, natural gas, and NGL production to customers in the United States. The Company evaluates performance based on various financial metrics, including but not limited to consolidated income or loss from operations, net revenue, and cash flow from operations. The Company’s chief executive officer, chief operating officer, and chief financial officer together function as the chief operating decision maker (“CODM”). The CODM manages the Company’s business activities as a single operating segment. </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accounting policies of the one reportable segment are identical to accounting policies described for the consolidated Company. The CODM uses income (loss), as reported in the unaudited condensed consolidated statement of operations to measure segment profitability, assess performance, and manage strategic capital resources allocations. The measure of segment assets is reported as “Total assets” on the unaudited condensed consolidated balance sheets. The significant expense categories regularly provided to and reviewed by the CODM are the expenses categories as noted on the unaudited condensed consolidated statements of operations.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Recently Issued Accounting Pronouncements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July 2025, the FASB issued ASU 2025-05, </w:t>
      </w:r>
      <w:r>
        <w:rPr>
          <w:rFonts w:ascii="Times New Roman;Times;serif" w:hAnsi="Times New Roman;Times;serif"/>
          <w:i/>
          <w:sz w:val="20"/>
        </w:rPr>
        <w:t>Financial Instruments – Credit Losses (Topic 326): Measurement of Credit Losses for Accounts Receivable and Contract Assets</w:t>
      </w:r>
      <w:r>
        <w:rPr>
          <w:rFonts w:ascii="Times New Roman;Times;serif" w:hAnsi="Times New Roman;Times;serif"/>
          <w:sz w:val="20"/>
        </w:rPr>
        <w:t xml:space="preserve"> (“ASU 2025-05”). ASU 2025-05 permits companies to apply a practical expedient which assumes that current conditions as of the balance sheet date do not change for the remaining life of the asset when developing estimates for credit losses for accounts receivable and contract assets under Topic 606, </w:t>
      </w:r>
      <w:r>
        <w:rPr>
          <w:rFonts w:ascii="Times New Roman;Times;serif" w:hAnsi="Times New Roman;Times;serif"/>
          <w:i/>
          <w:sz w:val="20"/>
        </w:rPr>
        <w:t>Revenue from Contracts with Customers</w:t>
      </w:r>
      <w:r>
        <w:rPr>
          <w:rFonts w:ascii="Times New Roman;Times;serif" w:hAnsi="Times New Roman;Times;serif"/>
          <w:sz w:val="20"/>
        </w:rPr>
        <w:t>. ASU 2025-05 is effective prospectively for annual reporting periods beginning after December 15, 2025, and interim reporting periods within those annual reporting periods, with early adoption permitted. The Company is currently evaluating ASU 2025-05 and the impact it may have on the Company’s financial position, results of operations, cash flow, or disclosures.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November 2024, the FASB issued ASU 2024-03, </w:t>
      </w:r>
      <w:r>
        <w:rPr>
          <w:rFonts w:ascii="Times New Roman;Times;serif" w:hAnsi="Times New Roman;Times;serif"/>
          <w:i/>
          <w:sz w:val="20"/>
        </w:rPr>
        <w:t>Disaggregation of Income Statement Expenses</w:t>
      </w:r>
      <w:r>
        <w:rPr>
          <w:rFonts w:ascii="Times New Roman;Times;serif" w:hAnsi="Times New Roman;Times;serif"/>
          <w:sz w:val="20"/>
        </w:rPr>
        <w:t xml:space="preserve"> (“ASU 2024-03”). ASU 2024-03 increases the transparency of expense information presented in the statement of operations through disclosures of expanded disaggregation of relevant expense captions, including purchases of inventory, employee compensation, depletion, depreciation, and amortization. ASU 2024-03 is effective for annual periods beginning after December 15, 2026, and interim periods within fiscal years beginning after December 15, 2027, with early adoption permitted. The Company is currently evaluating ASU 2024-03 and the impact it may have to the Company’s disclosures.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December 2023, the FASB issued ASU 2023-09, Improvements to </w:t>
      </w:r>
      <w:r>
        <w:rPr>
          <w:rFonts w:ascii="Times New Roman;Times;serif" w:hAnsi="Times New Roman;Times;serif"/>
          <w:i/>
          <w:sz w:val="20"/>
        </w:rPr>
        <w:t xml:space="preserve">Income Tax Disclosures </w:t>
      </w:r>
      <w:r>
        <w:rPr>
          <w:rFonts w:ascii="Times New Roman;Times;serif" w:hAnsi="Times New Roman;Times;serif"/>
          <w:sz w:val="20"/>
        </w:rPr>
        <w:t>(“ASU 2023-09”). ASU 2023-09 enhances the transparency of income tax disclosures by expanding the income tax rate reconciliation disclosure and income taxes paid information. ASU 2023-09 also includes certain other amendments to improve the effectiveness of income tax disclosures. ASU 2023-09 is effective for annual periods beginning after December 15, 2024, and can be implemented either prospectively or retrospectively. As such, the Company adopted ASU 2023-09 effective July 1, 2025. The Company will include the applicable enhanced disclosures in its annual financial statements for the fiscal year ended June 30,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EVOLUTION PETROLEUM CORPORATION</w:t>
      </w:r>
    </w:p>
    <w:p>
      <w:pPr>
        <w:pStyle w:val="TextBody"/>
        <w:shd w:fill="FFFFFF" w:val="clear"/>
        <w:bidi w:val="0"/>
        <w:spacing w:lineRule="auto" w:line="429" w:before="0" w:after="24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Other accounting pronouncements that have recently been issued by the FASB or other standards-setting bodies are not expected to have a material impact on the Company’s financial position, results of operations, cash flows, or disclosures.</w:t>
      </w:r>
    </w:p>
    <w:p>
      <w:pPr>
        <w:pStyle w:val="TextBody"/>
        <w:bidi w:val="0"/>
        <w:spacing w:before="0" w:after="240"/>
        <w:ind w:left="0" w:right="0" w:hanging="0"/>
        <w:jc w:val="left"/>
        <w:rPr>
          <w:rFonts w:ascii="Times New Roman;Times;serif" w:hAnsi="Times New Roman;Times;serif"/>
          <w:b/>
          <w:sz w:val="20"/>
        </w:rPr>
      </w:pPr>
      <w:bookmarkStart w:id="564" w:name="Tc_qVaPaoa1OkKvTTDeeSy_ZQ_8_5"/>
      <w:bookmarkStart w:id="565" w:name="Tc_cxvWnCSbck2fWneIXwPi8g_8_2"/>
      <w:bookmarkStart w:id="566" w:name="Tc_B5PSsbH7NUeCOUa_Dn-LJw_8_0"/>
      <w:bookmarkStart w:id="567" w:name="Tc_WYYBlIUOvk2dGO_kWopWBw_7_0"/>
      <w:bookmarkStart w:id="568" w:name="Tc_lDIocTl85k2bk2NsWXN2GA_6_0"/>
      <w:bookmarkStart w:id="569" w:name="Tc_o_iOW0lj9kmIlLFZhWbeOA_5_5"/>
      <w:bookmarkStart w:id="570" w:name="Tc_Bz_d7v3XkESdPMWT0Ge_9A_5_2"/>
      <w:bookmarkStart w:id="571" w:name="Tc_XSeDud3Ydkq_Nn-nSE4fAw_5_0"/>
      <w:bookmarkStart w:id="572" w:name="Tc_CEXT4o8QHESyFpUhC9n-lA_4_0"/>
      <w:bookmarkStart w:id="573" w:name="Tc_dHrj0c8vw0qpMCajGbcGgw_3_5"/>
      <w:bookmarkStart w:id="574" w:name="Tc_mB8eWifa3UuoYJmYGAE2pw_3_2"/>
      <w:bookmarkStart w:id="575" w:name="Tc_2yw4kdStIkWOluSCrBOCwQ_2_2"/>
      <w:bookmarkStart w:id="576" w:name="Tc_IPNjhmYVtEiCFpf9LXd0Og_1_2"/>
      <w:bookmarkStart w:id="577" w:name="_8e7fea18_aa70_49c8_9123_44c6a85de2d6"/>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r>
        <w:rPr>
          <w:rFonts w:ascii="Times New Roman;Times;serif" w:hAnsi="Times New Roman;Times;serif"/>
          <w:b/>
          <w:sz w:val="20"/>
        </w:rPr>
        <w:t>Note 2. Revenue Recognition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Company’s revenues are primarily generated from its crude oil, natural gas and NGL production from </w:t>
      </w:r>
      <w:r>
        <w:rPr>
          <w:rFonts w:ascii="Times New Roman;Times;serif" w:hAnsi="Times New Roman;Times;serif"/>
          <w:color w:val="333333"/>
          <w:sz w:val="20"/>
        </w:rPr>
        <w:t>the SCOOP and STACK plays in central Oklahoma; t</w:t>
      </w:r>
      <w:r>
        <w:rPr>
          <w:rFonts w:ascii="Times New Roman;Times;serif" w:hAnsi="Times New Roman;Times;serif"/>
          <w:sz w:val="20"/>
        </w:rPr>
        <w:t xml:space="preserve">he Chaveroo Field in Chaves and Roosevelt Counties of New Mexico; the </w:t>
      </w:r>
      <w:r>
        <w:rPr>
          <w:rFonts w:ascii="Times New Roman;Times;serif" w:hAnsi="Times New Roman;Times;serif"/>
          <w:color w:val="333333"/>
          <w:sz w:val="20"/>
        </w:rPr>
        <w:t xml:space="preserve">Jonah </w:t>
      </w:r>
      <w:r>
        <w:rPr>
          <w:rFonts w:ascii="Times New Roman;Times;serif" w:hAnsi="Times New Roman;Times;serif"/>
          <w:sz w:val="20"/>
        </w:rPr>
        <w:t>Field in Sublette County, Wyoming; the Williston Basin in North Dakota; the Barnett Shale located in North Texas; the Hamilton Dome Field in Wyoming; the Delhi Field in Northeast Louisiana; and the TexMex interests located in Lea, Eddy and Chaves Counties, New Mexico and Stephens County, Texas. Additionally, an overriding royalty interest retained in a past divestiture of Texas properties provides de minimis revenue. The following table disaggregates the Company’s revenues by major product for the three months ended September 30, 2025 and 2024 (in thousands):</w:t>
      </w:r>
    </w:p>
    <w:tbl>
      <w:tblPr>
        <w:tblW w:w="3590" w:type="dxa"/>
        <w:jc w:val="left"/>
        <w:tblInd w:w="0" w:type="dxa"/>
        <w:tblLayout w:type="fixed"/>
        <w:tblCellMar>
          <w:top w:w="0" w:type="dxa"/>
          <w:left w:w="0" w:type="dxa"/>
          <w:bottom w:w="0" w:type="dxa"/>
          <w:right w:w="0" w:type="dxa"/>
        </w:tblCellMar>
      </w:tblPr>
      <w:tblGrid>
        <w:gridCol w:w="1456"/>
        <w:gridCol w:w="109"/>
        <w:gridCol w:w="196"/>
        <w:gridCol w:w="601"/>
        <w:gridCol w:w="326"/>
        <w:gridCol w:w="196"/>
        <w:gridCol w:w="706"/>
      </w:tblGrid>
      <w:tr>
        <w:trPr/>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924560" cy="175260"/>
                      <wp:effectExtent l="0" t="0" r="0" b="0"/>
                      <wp:wrapNone/>
                      <wp:docPr id="56" name="Frame55"/>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9215" cy="175260"/>
                      <wp:effectExtent l="0" t="0" r="0" b="0"/>
                      <wp:wrapNone/>
                      <wp:docPr id="57" name="Frame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24460" cy="175260"/>
                      <wp:effectExtent l="0" t="0" r="0" b="0"/>
                      <wp:wrapNone/>
                      <wp:docPr id="58" name="Frame5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381635" cy="175260"/>
                      <wp:effectExtent l="0" t="0" r="0" b="0"/>
                      <wp:wrapNone/>
                      <wp:docPr id="59" name="Frame58"/>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07010" cy="175260"/>
                      <wp:effectExtent l="0" t="0" r="0" b="0"/>
                      <wp:wrapNone/>
                      <wp:docPr id="60" name="Frame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24460" cy="175260"/>
                      <wp:effectExtent l="0" t="0" r="0" b="0"/>
                      <wp:wrapNone/>
                      <wp:docPr id="61" name="Frame6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448310" cy="175260"/>
                      <wp:effectExtent l="0" t="0" r="0" b="0"/>
                      <wp:wrapNone/>
                      <wp:docPr id="62" name="Frame61"/>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56"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2025"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Three Months Ended</w:t>
            </w:r>
          </w:p>
        </w:tc>
      </w:tr>
      <w:tr>
        <w:trPr/>
        <w:tc>
          <w:tcPr>
            <w:tcW w:w="145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02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September 30, </w:t>
            </w:r>
          </w:p>
        </w:tc>
      </w:tr>
      <w:tr>
        <w:trPr/>
        <w:tc>
          <w:tcPr>
            <w:tcW w:w="1456"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26" w:type="dxa"/>
            <w:tcBorders/>
            <w:vAlign w:val="center"/>
          </w:tcPr>
          <w:p>
            <w:pPr>
              <w:pStyle w:val="TableContents"/>
              <w:bidi w:val="0"/>
              <w:spacing w:before="0" w:after="1"/>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14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Revenues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left"/>
              <w:rPr/>
            </w:pPr>
            <w:r>
              <w:rPr/>
              <w:t>​</w:t>
            </w:r>
          </w:p>
        </w:tc>
      </w:tr>
      <w:tr>
        <w:trPr/>
        <w:tc>
          <w:tcPr>
            <w:tcW w:w="14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Crude oil</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12,872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14,737</w:t>
            </w:r>
          </w:p>
        </w:tc>
      </w:tr>
      <w:tr>
        <w:trPr/>
        <w:tc>
          <w:tcPr>
            <w:tcW w:w="14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Natural gas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5,900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4,285</w:t>
            </w:r>
          </w:p>
        </w:tc>
      </w:tr>
      <w:tr>
        <w:trPr/>
        <w:tc>
          <w:tcPr>
            <w:tcW w:w="14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Natural gas liquids</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2,516</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2,874</w:t>
            </w:r>
          </w:p>
        </w:tc>
      </w:tr>
      <w:tr>
        <w:trPr/>
        <w:tc>
          <w:tcPr>
            <w:tcW w:w="14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revenues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21,288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21,896</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the Jonah Field, the Company has elected to take its natural gas and NGL working interest production in-kind and markets its NGL production to Enterprise Products Partners L.P. (“Enterprise”) and its natural gas production to different purchasers.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 does not take production in-kind at any of its other properties and does not negotiate contracts with customers for such production. The Company recognizes crude oil, natural gas, and NGL production revenue at the point in time when custody and title (“control”) of the product transfers to the customer. The sales of oil and natural gas are made under contracts which the Company’s third-party operators of its wells have negotiated with customers, which typically include variable consideration that is based on pricing tied to local indices and volumes delivered in the current month. The Company typically receives payment from the sale of oil and natural gas production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two months after delivery.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Judgments made in applying the guidance in ASC 606, </w:t>
      </w:r>
      <w:r>
        <w:rPr>
          <w:rFonts w:ascii="Times New Roman;Times;serif" w:hAnsi="Times New Roman;Times;serif"/>
          <w:i/>
          <w:sz w:val="20"/>
        </w:rPr>
        <w:t>Revenue from Contracts with Customers</w:t>
      </w:r>
      <w:r>
        <w:rPr>
          <w:rFonts w:ascii="Times New Roman;Times;serif" w:hAnsi="Times New Roman;Times;serif"/>
          <w:sz w:val="20"/>
        </w:rPr>
        <w:t>, relate primarily to determining the point in time when control of products transfers to the customer. The Company does not believe that significant judgments are required with respect to the determination of the transaction price, including amounts that represent variable consideration, as volume and price carry a low level of estimation uncertainty given the precision of volumetric measurements and the use of index pricing with predictable differentials. Accordingly, the Company does not consider estimates of variable consideration to be constrained.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Company’s contractual performance obligations arise upon the production of hydrocarbons from wells in which the Company has an ownership interest. The performance obligations are considered satisfied upon the transfer of control of produced hydrocarbons to a customer at a specified delivery point. Consideration is allocated to completed performance obligations at the end of an accounting period.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Revenue is recorded in the month when contractual performance obligations are satisfied. However, settlement statements from the purchasers of hydrocarbons and the related cash consideration are received by field operators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two months before the Company receives payment and documentation from the operator, which is typical in the oil and natural gas industry. As a result, the Company must estimate the amount of production delivered to the customer and the consideration that will ultimately be received for the sale of the product. To estimate accounts receivable from operators’ contracts with customers, the Company uses knowledge of its properties, information from field operators, historical performance, contractual arrangements, index pricing, quality and transportation differentials, and other factors. Because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EVOLUTION PETROLEUM CORPORATION</w:t>
      </w:r>
    </w:p>
    <w:p>
      <w:pPr>
        <w:pStyle w:val="TextBody"/>
        <w:shd w:fill="FFFFFF" w:val="clear"/>
        <w:bidi w:val="0"/>
        <w:spacing w:lineRule="auto" w:line="429" w:before="0" w:after="24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contractual performance obligations have been satisfied and an unconditional right to consideration exists as of the balance sheet date, the Company recognized amounts due from contracts with field operators as “</w:t>
      </w:r>
      <w:r>
        <w:rPr>
          <w:rFonts w:ascii="Times New Roman;Times;serif" w:hAnsi="Times New Roman;Times;serif"/>
          <w:i/>
          <w:sz w:val="20"/>
        </w:rPr>
        <w:t>Receivables from crude oil, natural gas, and natural gas liquids revenues”</w:t>
      </w:r>
      <w:r>
        <w:rPr>
          <w:rFonts w:ascii="Times New Roman;Times;serif" w:hAnsi="Times New Roman;Times;serif"/>
          <w:sz w:val="20"/>
        </w:rPr>
        <w:t xml:space="preserve"> on the unaudited condensed consolidated balance sheets. Differences between estimates and actual amounts received for product sales are recorded in the month that payments received from purchasers are remitted to the Company by field operators.</w:t>
      </w:r>
    </w:p>
    <w:p>
      <w:pPr>
        <w:pStyle w:val="TextBody"/>
        <w:bidi w:val="0"/>
        <w:spacing w:before="0" w:after="240"/>
        <w:ind w:left="0" w:right="0" w:hanging="0"/>
        <w:jc w:val="left"/>
        <w:rPr>
          <w:rFonts w:ascii="Times New Roman;Times;serif" w:hAnsi="Times New Roman;Times;serif"/>
          <w:b/>
          <w:sz w:val="20"/>
        </w:rPr>
      </w:pPr>
      <w:bookmarkStart w:id="578" w:name="_Hlk212710081"/>
      <w:bookmarkEnd w:id="578"/>
      <w:r>
        <w:rPr>
          <w:rFonts w:ascii="Times New Roman;Times;serif" w:hAnsi="Times New Roman;Times;serif"/>
          <w:b/>
          <w:sz w:val="20"/>
        </w:rPr>
        <w:t>Note 3. Acquisitions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Purchase of SCOOP/STACK Minerals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On August 4, 2025, the Company </w:t>
      </w:r>
      <w:r>
        <w:rPr>
          <w:rFonts w:ascii="Times New Roman;Times;serif" w:hAnsi="Times New Roman;Times;serif"/>
          <w:sz w:val="20"/>
          <w:shd w:fill="FFFFFF" w:val="clear"/>
        </w:rPr>
        <w:t>completed the acquisition of certain mineral and royalty interests in the SCOOP and STACK plays in of Oklahoma from a non-affiliated private seller (the “Minerals Acquisition”) in a cash transaction valued at approximately $16.9 million, subject to customary post-closing adjustments. The Minerals Acquisition has an effective date of May 1, 2025. The Company accounted for the transaction as an asset acquisition, allocating $11.1 million of the purchase price to proved oil and natural gas properties, subject to amortization, and $5.8 million to unproved properties. The Company funded the purchase price for the Minerals Acquisition with a combination of $15.0 million in borrowings under its Senior Secured Credit Facility and cash on hand. The acquired assets include an average royalty interest of 0.6% across approximately 5,500 net royalty acres located primarily in Grady and Canadian Counties, Oklahoma</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TexMex Acquisition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April 14, 2025, the Company closed the acquisition of non-operated working interests in certain oil and natural gas wells located primarily in Lea, Eddy, and Chaves Counties, New Mexico, and Stephens County, Texas (the “TexMex Acquisition”) from a private seller. The total purchase price for the TexMex Acquisition was approximately $9.0 million before customary post-closing adjustments, with an effective date of February 1, 2025. The Company funded the purchase price for the TexMex Acquisition through a combination of cash on hand and borrowings under its Senior Secured Credit Facility. The TexMex Acquisition includes an average working interest of 42% and an average revenue interest of 35% in approximately 600 gross wells. </w:t>
      </w:r>
    </w:p>
    <w:p>
      <w:pPr>
        <w:pStyle w:val="TextBody"/>
        <w:shd w:fill="FFFFFF" w:val="clear"/>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579" w:name="_Hlk212710108"/>
      <w:bookmarkStart w:id="580" w:name="Tc_RUU8i-zRxUqYGpStGpgkKw_6_5"/>
      <w:bookmarkStart w:id="581" w:name="Tc_Vh2ZnVErBkeATYbDqu8tqg_6_2"/>
      <w:bookmarkStart w:id="582" w:name="Tc_5h34B7mDr0qoyoaRrYL0yg_6_0"/>
      <w:bookmarkStart w:id="583" w:name="Tc_3wTB31aLv06xm3JSQCA6-Q_5_0"/>
      <w:bookmarkStart w:id="584" w:name="Tc_ObEMxeTUbUytVU7dH-Adqg_4_6"/>
      <w:bookmarkStart w:id="585" w:name="Tc_0AJIiA0oE0qjfGENU0PRfA_4_0"/>
      <w:bookmarkStart w:id="586" w:name="Tc_1-cdGfAra0mb78246h4SgQ_3_5"/>
      <w:bookmarkStart w:id="587" w:name="Tc_bQWhMVVXYU-gJmkIIL11eg_3_2"/>
      <w:bookmarkStart w:id="588" w:name="Tc_SVJp5BFn6EisYJIlUGS2Kg_3_0"/>
      <w:bookmarkStart w:id="589" w:name="Tc_wmyd-Ikwmk2lXBVC7CToSw_2_0"/>
      <w:bookmarkStart w:id="590" w:name="Tc_yaVXZBNNb0aWI4uYqSTqMw_1_5"/>
      <w:bookmarkStart w:id="591" w:name="Tc_rex4s3frQEWd9wsu9cqqgQ_1_2"/>
      <w:bookmarkStart w:id="592" w:name="_bb6f76be_405b_431f_a9f2_efc06cd04540"/>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r>
        <w:rPr>
          <w:rFonts w:ascii="Times New Roman;Times;serif" w:hAnsi="Times New Roman;Times;serif"/>
          <w:b/>
          <w:sz w:val="20"/>
        </w:rPr>
        <w:t>Note 4. Property and Equipment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consisted of the following for the periods presented (in thousands):</w:t>
      </w:r>
    </w:p>
    <w:p>
      <w:pPr>
        <w:pStyle w:val="TextBody"/>
        <w:bidi w:val="0"/>
        <w:spacing w:before="0" w:after="240"/>
        <w:ind w:left="0" w:right="0" w:hanging="0"/>
        <w:jc w:val="left"/>
        <w:rPr/>
      </w:pPr>
      <w:r>
        <w:rPr/>
        <w:t>​</w:t>
      </w:r>
    </w:p>
    <w:tbl>
      <w:tblPr>
        <w:tblW w:w="7750" w:type="dxa"/>
        <w:jc w:val="left"/>
        <w:tblInd w:w="0" w:type="dxa"/>
        <w:tblLayout w:type="fixed"/>
        <w:tblCellMar>
          <w:top w:w="0" w:type="dxa"/>
          <w:left w:w="0" w:type="dxa"/>
          <w:bottom w:w="0" w:type="dxa"/>
          <w:right w:w="0" w:type="dxa"/>
        </w:tblCellMar>
      </w:tblPr>
      <w:tblGrid>
        <w:gridCol w:w="4291"/>
        <w:gridCol w:w="326"/>
        <w:gridCol w:w="332"/>
        <w:gridCol w:w="1274"/>
        <w:gridCol w:w="326"/>
        <w:gridCol w:w="237"/>
        <w:gridCol w:w="964"/>
      </w:tblGrid>
      <w:tr>
        <w:trPr/>
        <w:tc>
          <w:tcPr>
            <w:tcW w:w="4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724785" cy="175260"/>
                      <wp:effectExtent l="0" t="0" r="0" b="0"/>
                      <wp:wrapNone/>
                      <wp:docPr id="63" name="Frame62"/>
                      <a:graphic xmlns:a="http://schemas.openxmlformats.org/drawingml/2006/main">
                        <a:graphicData uri="http://schemas.microsoft.com/office/word/2010/wordprocessingShape">
                          <wps:wsp>
                            <wps:cNvSpPr txBox="1"/>
                            <wps:spPr>
                              <a:xfrm>
                                <a:off x="0" y="0"/>
                                <a:ext cx="2724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7010" cy="175260"/>
                      <wp:effectExtent l="0" t="0" r="0" b="0"/>
                      <wp:wrapNone/>
                      <wp:docPr id="64" name="Frame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10820" cy="175260"/>
                      <wp:effectExtent l="0" t="0" r="0" b="0"/>
                      <wp:wrapNone/>
                      <wp:docPr id="65" name="Frame64"/>
                      <a:graphic xmlns:a="http://schemas.openxmlformats.org/drawingml/2006/main">
                        <a:graphicData uri="http://schemas.microsoft.com/office/word/2010/wordprocessingShape">
                          <wps:wsp>
                            <wps:cNvSpPr txBox="1"/>
                            <wps:spPr>
                              <a:xfrm>
                                <a:off x="0" y="0"/>
                                <a:ext cx="210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808990" cy="175260"/>
                      <wp:effectExtent l="0" t="0" r="0" b="0"/>
                      <wp:wrapNone/>
                      <wp:docPr id="66" name="Frame65"/>
                      <a:graphic xmlns:a="http://schemas.openxmlformats.org/drawingml/2006/main">
                        <a:graphicData uri="http://schemas.microsoft.com/office/word/2010/wordprocessingShape">
                          <wps:wsp>
                            <wps:cNvSpPr txBox="1"/>
                            <wps:spPr>
                              <a:xfrm>
                                <a:off x="0" y="0"/>
                                <a:ext cx="808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07010" cy="175260"/>
                      <wp:effectExtent l="0" t="0" r="0" b="0"/>
                      <wp:wrapNone/>
                      <wp:docPr id="67" name="Frame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50495" cy="175260"/>
                      <wp:effectExtent l="0" t="0" r="0" b="0"/>
                      <wp:wrapNone/>
                      <wp:docPr id="68" name="Frame67"/>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12140" cy="175260"/>
                      <wp:effectExtent l="0" t="0" r="0" b="0"/>
                      <wp:wrapNone/>
                      <wp:docPr id="69" name="Frame68"/>
                      <a:graphic xmlns:a="http://schemas.openxmlformats.org/drawingml/2006/main">
                        <a:graphicData uri="http://schemas.microsoft.com/office/word/2010/wordprocessingShape">
                          <wps:wsp>
                            <wps:cNvSpPr txBox="1"/>
                            <wps:spPr>
                              <a:xfrm>
                                <a:off x="0" y="0"/>
                                <a:ext cx="6121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6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September 30, 2025</w:t>
            </w:r>
          </w:p>
        </w:tc>
        <w:tc>
          <w:tcPr>
            <w:tcW w:w="326" w:type="dxa"/>
            <w:tcBorders/>
            <w:vAlign w:val="center"/>
          </w:tcPr>
          <w:p>
            <w:pPr>
              <w:pStyle w:val="TableContents"/>
              <w:bidi w:val="0"/>
              <w:spacing w:before="0" w:after="1"/>
              <w:ind w:left="0" w:right="0" w:hanging="0"/>
              <w:jc w:val="left"/>
              <w:rPr/>
            </w:pPr>
            <w:r>
              <w:rPr/>
              <w:t>    </w:t>
            </w:r>
          </w:p>
        </w:tc>
        <w:tc>
          <w:tcPr>
            <w:tcW w:w="12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2025</w:t>
            </w:r>
          </w:p>
        </w:tc>
      </w:tr>
      <w:tr>
        <w:trPr/>
        <w:tc>
          <w:tcPr>
            <w:tcW w:w="429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Oil and natural gas properties</w:t>
            </w:r>
          </w:p>
        </w:tc>
        <w:tc>
          <w:tcPr>
            <w:tcW w:w="326" w:type="dxa"/>
            <w:tcBorders/>
            <w:shd w:fill="CCEEFF" w:val="clear"/>
            <w:vAlign w:val="center"/>
          </w:tcPr>
          <w:p>
            <w:pPr>
              <w:pStyle w:val="TableContents"/>
              <w:bidi w:val="0"/>
              <w:spacing w:before="0" w:after="1"/>
              <w:ind w:left="0" w:right="0" w:hanging="0"/>
              <w:jc w:val="left"/>
              <w:rPr/>
            </w:pPr>
            <w:r>
              <w:rPr/>
              <w:t>​</w:t>
            </w:r>
          </w:p>
        </w:tc>
        <w:tc>
          <w:tcPr>
            <w:tcW w:w="332" w:type="dxa"/>
            <w:tcBorders/>
            <w:shd w:fill="CCEEFF" w:val="clear"/>
            <w:vAlign w:val="center"/>
          </w:tcPr>
          <w:p>
            <w:pPr>
              <w:pStyle w:val="TableContents"/>
              <w:bidi w:val="0"/>
              <w:spacing w:before="0" w:after="1"/>
              <w:ind w:left="0" w:right="0" w:hanging="0"/>
              <w:jc w:val="left"/>
              <w:rPr/>
            </w:pPr>
            <w:r>
              <w:rPr/>
              <w:t>​</w:t>
            </w:r>
          </w:p>
        </w:tc>
        <w:tc>
          <w:tcPr>
            <w:tcW w:w="1274"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964" w:type="dxa"/>
            <w:tcBorders/>
            <w:shd w:fill="CCEEFF" w:val="clear"/>
            <w:vAlign w:val="center"/>
          </w:tcPr>
          <w:p>
            <w:pPr>
              <w:pStyle w:val="TableContents"/>
              <w:bidi w:val="0"/>
              <w:spacing w:before="0" w:after="1"/>
              <w:ind w:left="0" w:right="0" w:hanging="0"/>
              <w:jc w:val="left"/>
              <w:rPr/>
            </w:pPr>
            <w:r>
              <w:rPr/>
              <w:t> </w:t>
            </w:r>
          </w:p>
        </w:tc>
      </w:tr>
      <w:tr>
        <w:trPr/>
        <w:tc>
          <w:tcPr>
            <w:tcW w:w="42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Property costs subject to amortization</w:t>
            </w:r>
          </w:p>
        </w:tc>
        <w:tc>
          <w:tcPr>
            <w:tcW w:w="326" w:type="dxa"/>
            <w:tcBorders/>
            <w:vAlign w:val="center"/>
          </w:tcPr>
          <w:p>
            <w:pPr>
              <w:pStyle w:val="TableContents"/>
              <w:bidi w:val="0"/>
              <w:spacing w:before="0" w:after="1"/>
              <w:ind w:left="0" w:right="0" w:hanging="0"/>
              <w:jc w:val="left"/>
              <w:rPr/>
            </w:pPr>
            <w:r>
              <w:rPr/>
              <w:t>​</w:t>
            </w:r>
          </w:p>
        </w:tc>
        <w:tc>
          <w:tcPr>
            <w:tcW w:w="33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7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285,742</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272,496</w:t>
            </w:r>
          </w:p>
        </w:tc>
      </w:tr>
      <w:tr>
        <w:trPr/>
        <w:tc>
          <w:tcPr>
            <w:tcW w:w="42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Property costs not subject to amortization</w:t>
            </w:r>
          </w:p>
        </w:tc>
        <w:tc>
          <w:tcPr>
            <w:tcW w:w="326" w:type="dxa"/>
            <w:tcBorders/>
            <w:shd w:fill="CCEEFF" w:val="clear"/>
            <w:vAlign w:val="center"/>
          </w:tcPr>
          <w:p>
            <w:pPr>
              <w:pStyle w:val="TableContents"/>
              <w:bidi w:val="0"/>
              <w:spacing w:before="0" w:after="1"/>
              <w:ind w:left="0" w:right="0" w:hanging="0"/>
              <w:jc w:val="left"/>
              <w:rPr/>
            </w:pPr>
            <w:r>
              <w:rPr/>
              <w:t>​</w:t>
            </w:r>
          </w:p>
        </w:tc>
        <w:tc>
          <w:tcPr>
            <w:tcW w:w="332" w:type="dxa"/>
            <w:tcBorders/>
            <w:shd w:fill="CCEEFF" w:val="clear"/>
            <w:vAlign w:val="center"/>
          </w:tcPr>
          <w:p>
            <w:pPr>
              <w:pStyle w:val="TableContents"/>
              <w:bidi w:val="0"/>
              <w:spacing w:before="0" w:after="1"/>
              <w:ind w:left="0" w:right="0" w:hanging="0"/>
              <w:jc w:val="left"/>
              <w:rPr/>
            </w:pPr>
            <w:r>
              <w:rPr/>
              <w:t>​</w:t>
            </w:r>
          </w:p>
        </w:tc>
        <w:tc>
          <w:tcPr>
            <w:tcW w:w="127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5,812</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964" w:type="dxa"/>
            <w:tcBorders/>
            <w:shd w:fill="CCEEFF" w:val="clear"/>
            <w:vAlign w:val="center"/>
          </w:tcPr>
          <w:p>
            <w:pPr>
              <w:pStyle w:val="TableContents"/>
              <w:bidi w:val="0"/>
              <w:spacing w:before="0" w:after="1"/>
              <w:ind w:left="0" w:right="0" w:hanging="0"/>
              <w:jc w:val="right"/>
              <w:rPr/>
            </w:pPr>
            <w:r>
              <w:rPr/>
              <w:t>—</w:t>
            </w:r>
          </w:p>
        </w:tc>
      </w:tr>
      <w:tr>
        <w:trPr/>
        <w:tc>
          <w:tcPr>
            <w:tcW w:w="42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Less: Accumulated depletion, depreciation, and impairment</w:t>
            </w:r>
          </w:p>
        </w:tc>
        <w:tc>
          <w:tcPr>
            <w:tcW w:w="326" w:type="dxa"/>
            <w:tcBorders/>
            <w:vAlign w:val="center"/>
          </w:tcPr>
          <w:p>
            <w:pPr>
              <w:pStyle w:val="TableContents"/>
              <w:bidi w:val="0"/>
              <w:spacing w:before="0" w:after="1"/>
              <w:ind w:left="0" w:right="0" w:hanging="0"/>
              <w:jc w:val="left"/>
              <w:rPr/>
            </w:pPr>
            <w:r>
              <w:rPr/>
              <w:t>​</w:t>
            </w:r>
          </w:p>
        </w:tc>
        <w:tc>
          <w:tcPr>
            <w:tcW w:w="33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7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(135,808)</w:t>
            </w:r>
          </w:p>
        </w:tc>
        <w:tc>
          <w:tcPr>
            <w:tcW w:w="326"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6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(130,248)</w:t>
            </w:r>
          </w:p>
        </w:tc>
      </w:tr>
      <w:tr>
        <w:trPr/>
        <w:tc>
          <w:tcPr>
            <w:tcW w:w="42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Oil and natural gas properties, net</w:t>
            </w:r>
          </w:p>
        </w:tc>
        <w:tc>
          <w:tcPr>
            <w:tcW w:w="326" w:type="dxa"/>
            <w:tcBorders/>
            <w:shd w:fill="CCEEFF" w:val="clear"/>
            <w:vAlign w:val="center"/>
          </w:tcPr>
          <w:p>
            <w:pPr>
              <w:pStyle w:val="TableContents"/>
              <w:bidi w:val="0"/>
              <w:spacing w:before="0" w:after="1"/>
              <w:ind w:left="0" w:right="0" w:hanging="0"/>
              <w:jc w:val="left"/>
              <w:rPr/>
            </w:pPr>
            <w:r>
              <w:rPr/>
              <w:t>​</w:t>
            </w:r>
          </w:p>
        </w:tc>
        <w:tc>
          <w:tcPr>
            <w:tcW w:w="33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7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155,746</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142,248</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September 30, 2025, $5.8 million of oil and natural gas property costs were not subject to amortization. These costs related to mineral and royalty interests acquired as part of the Company’s Minerals Acquisition described in Note 3, “</w:t>
      </w:r>
      <w:r>
        <w:rPr>
          <w:rFonts w:ascii="Times New Roman;Times;serif" w:hAnsi="Times New Roman;Times;serif"/>
          <w:i/>
          <w:sz w:val="20"/>
        </w:rPr>
        <w:t>Acquisitions”</w:t>
      </w:r>
      <w:r>
        <w:rPr>
          <w:rFonts w:ascii="Times New Roman;Times;serif" w:hAnsi="Times New Roman;Times;serif"/>
          <w:sz w:val="20"/>
        </w:rPr>
        <w:t xml:space="preserve"> above. The mineral and royalty interests include approximately 3,600 net royalty acres for unproved locations. Property costs identified at the Minerals Acquisition associated with proved reserves were recorded to evaluated oil and natural gas properties and subject to amortization.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uses the full cost method of accounting for its investments in oil and natural gas properties. All costs of acquisition, exploration, and development of oil and natural gas reserves are capitalized as the cost of oil and natural gas properties when incurred. To the extent capitalized costs of evaluated oil and natural gas properties, net of accumulated depletion, exceed the discounted future net revenues of proved oil and natural gas reserves, net of deferred taxes, such excess capitalized costs would be charged to expense as a write-down of oil and natural gas properties.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EVOLUTION PETROLEUM CORPORATION</w:t>
      </w:r>
    </w:p>
    <w:p>
      <w:pPr>
        <w:pStyle w:val="TextBody"/>
        <w:shd w:fill="FFFFFF" w:val="clear"/>
        <w:bidi w:val="0"/>
        <w:spacing w:lineRule="auto" w:line="429" w:before="0" w:after="24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Additionally, the Company assesses all properties classified as unproved property on a quarterly basis for possible impairment. The Company assesses properties on an individual basis or as a group, if properties are individually insignificant. The assessment includes consideration of the following factors, among others: intent to drill; remaining lease term; geological and geophysical evaluations; drilling results and activity; the assignment of proved reserves; and the economic viability of development if proved reserves are assigned. During any period in which these factors indicate impairment, the cumulative drilling costs incurred to date for such property and all or a portion of the associated leasehold costs are transferred to the full cost pool and are then subject to depletion and the full cost ceiling test limitation.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Depletion on oil and natural gas properties was $5.6 million and $5.3 million for the three months ended September 30, 2025 and 2024, respectively. During the three months ended September 30, 2025 and 2024, the Company incurred development capital expenditures of $1.9 million and $1.0 million, respectively.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At September 30, 2025, the ceiling test value of the Company’s reserves was calculated based on the first-day-of-the-month average for the 12-months ended September 30, 2025 of the West Texas Intermediate (“WTI”) crude oil spot price of $68.07 per barrel and Henry Hub natural gas spot price of $3.11 per MMBtu, adjusted by market differentials by field. The net price per barrel of NGLs was $23.89, which was based on historical differentials to WTI as NGLs do not have any single comparable reference index price. Using these prices, at September 30, 2025 the cost center ceiling was higher than the capitalized costs of oil and natural gas properties, subject to amortization, and, as a result, no write-down was applicable.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At September 30, 2024, the ceiling test value of the Company’s reserves was calculated based on the first-day-of the month average for the 12-months ended September 30, 2024 of the WTI crude oil spot price of $79.40 per barrel and Henry Hub natural gas spot price of $2.21 per MMBtu, adjusted by market differentials by field. The net price per barrel of NGLs was $23.63, which was based on historical prices received as NGLs do not have any single comparable reference index price. Using these prices, at September 30, 2024 the cost center ceiling was higher than the capitalized costs of oil and natural gas properties, subject to amortization, and, as a result, no write-down was applicable.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5. Senior Secured Credit Facility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April 11, 2016, the Company entered into a senior secured reserve-based credit facility with MidFirst Bank in an amount up to $50.0 million. On June 30, 2025, the Company entered into a syndicated amended and restated senior secured reserve-based credit facility (the “Senior Secured Credit Facility”) with MidFirst Bank, as administrative agent for the lenders party, thereto, in an amount up to $200.0 million with an initial and current borrowing base of $65.0 million, maturing on June 30, 2028</w:t>
      </w:r>
      <w:r>
        <w:rPr>
          <w:rFonts w:ascii="Times New Roman;Times;serif" w:hAnsi="Times New Roman;Times;serif"/>
          <w:sz w:val="20"/>
          <w:shd w:fill="FFFFFF" w:val="clear"/>
        </w:rPr>
        <w:t>.</w:t>
      </w:r>
      <w:r>
        <w:rPr>
          <w:rFonts w:ascii="Times New Roman;Times;serif" w:hAnsi="Times New Roman;Times;serif"/>
          <w:sz w:val="20"/>
        </w:rPr>
        <w:t xml:space="preserve"> The borrowing base will be redetermined semiannually, with the lenders and the Company each having the right to one interim unscheduled redetermination between any two consecutive semi-annual redeterminations. The borrowing base takes into account the estimated value of the Company’s oil and natural gas properties, proved reserves, total indebtedness, and other relevant factors consistent with customary oil and natural gas lending criteria. The Senior Secured Credit Facility carries a commitment fee of 0.25% per annum on the undrawn portion of the borrowing base. Any borrowings under the Senior Secured Credit Facility will bear interest, at the Company’s option, at either (i) the Secured Overnight Financing Rate (“SOFR”), subject to a minimum SOFR of 3.25%, plus a credit spread adjustment of 0.05%, or (ii) the Prime Rate, as defined under the Senior Secured Credit Facility, plus 1.00%, plus, in either case of (i) or (ii), an applicable margin of 2.75%</w:t>
      </w:r>
      <w:r>
        <w:rPr>
          <w:rFonts w:ascii="Times New Roman;Times;serif" w:hAnsi="Times New Roman;Times;serif"/>
          <w:sz w:val="20"/>
          <w:shd w:fill="FFFFFF" w:val="clear"/>
        </w:rPr>
        <w:t>.</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may elect, at its option, to prepay any borrowings outstanding under the Senior Secured Credit Facility without premium or penalty. Amounts outstanding under the Senior Secured Credit Facility are guaranteed by the Company’s direct and indirect subsidiaries and secured by a security interest in substantially all of the properties of the Company and its subsidiaries. Borrowings under the Senior Secured Credit Facility may be used for the acquisition and for the drilling and development of oil and natural gas properties, investments in cash flow generating properties complimentary to the production of oil and natural gas, and for letters of credit or other general corporate purposes.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Senior Secured Credit Facility contains certain events of default, including non-payment; breaches of representation and warranties; non-compliance with covenants; cross-defaults to material indebtedness; voluntary or involuntary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EVOLUTION PETROLEUM CORPORATION</w:t>
      </w:r>
    </w:p>
    <w:p>
      <w:pPr>
        <w:pStyle w:val="TextBody"/>
        <w:shd w:fill="FFFFFF" w:val="clear"/>
        <w:bidi w:val="0"/>
        <w:spacing w:lineRule="auto" w:line="429" w:before="0" w:after="24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bankruptcy; judgments and change in control. The Senior Secured Credit Facility also contains financial covenants including a requirement that the Company maintain, as of the last day of each fiscal quarter, (i) a maximum total leverage ratio of not more than 3.00 to 1.00, (ii) a current ratio of not less than 1.00 to 1.00, and (iii) a consolidated tangible net worth of not less than $40.0 million, each as defined in the Senior Secured Credit Facility. </w:t>
      </w:r>
      <w:r>
        <w:rPr>
          <w:rFonts w:ascii="Times New Roman;Times;serif" w:hAnsi="Times New Roman;Times;serif"/>
          <w:sz w:val="20"/>
          <w:shd w:fill="FFFFFF" w:val="clear"/>
        </w:rPr>
        <w:t>In addition, the Senior Secured Credit Facility contains hedging requirements that apply when utilization is greater than 25% of (x) the Margined Collateral Value, as defined under the Senior Secured Credit Facility, at any time when the leverage ratio is less than 2.25 to 1.00, or (y) the borrowing base, at any time when the leverage ratio is greater than or equal to 2.25 to 1.00.</w:t>
      </w:r>
      <w:r>
        <w:rPr>
          <w:rFonts w:ascii="Times New Roman;Times;serif" w:hAnsi="Times New Roman;Times;serif"/>
          <w:sz w:val="20"/>
        </w:rPr>
        <w:t xml:space="preserve"> As of September 30, 2025, the Company had $53.0 million borrowings outstanding and $0.8 million of letters of credit outstanding under its Senior Secured Credit Facility, resulting in $11.2 million of available borrowing capacity. </w:t>
      </w:r>
      <w:r>
        <w:rPr>
          <w:rFonts w:ascii="Times New Roman;Times;serif" w:hAnsi="Times New Roman;Times;serif"/>
          <w:sz w:val="20"/>
          <w:shd w:fill="FFFFFF" w:val="clear"/>
        </w:rPr>
        <w:t>For the three months ended September 30, 2025 and 2024, the weighted average interest on borrowings under the Senior Secured Credit Facility was 7.12% and 8.09%, respectively. </w:t>
      </w:r>
      <w:r>
        <w:rPr>
          <w:rFonts w:ascii="Times New Roman;Times;serif" w:hAnsi="Times New Roman;Times;serif"/>
          <w:sz w:val="20"/>
        </w:rPr>
        <w:t>As of September 30, 2025, the Company is in compliance with all covenants under the Senior Secured Credit Facility.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August 29, 2025, the Company entered into an amendment of its Senior Secured Credit Facility with MidFirst Bank, wherein it was determined for purposes of the hedge covenant that total crude oil and natural gas volumes from proved developed producing reserves will be combined on a barrels of oil equivalent basis to determine compliance with the required hedging covenant.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capitalizes certain direct costs associated with its Senior Secured Credit Facility and amortizes these costs over the life of the facility. For the three months ended September 30, 2025, the Company amortized less than $0.1 million and capitalized $0.1 million of debt issuance costs in conjunction with amending and restating the Senior Secured Credit Facility. The debt issuance costs are presented in "Other Assets" on the unaudited condensed consolidated balance sheets.</w:t>
      </w:r>
    </w:p>
    <w:p>
      <w:pPr>
        <w:pStyle w:val="TextBody"/>
        <w:bidi w:val="0"/>
        <w:spacing w:before="0" w:after="240"/>
        <w:ind w:left="0" w:right="0" w:hanging="0"/>
        <w:jc w:val="left"/>
        <w:rPr>
          <w:rFonts w:ascii="Times New Roman;Times;serif" w:hAnsi="Times New Roman;Times;serif"/>
          <w:b/>
          <w:sz w:val="20"/>
        </w:rPr>
      </w:pPr>
      <w:bookmarkStart w:id="593" w:name="_Hlk134092921"/>
      <w:bookmarkEnd w:id="593"/>
      <w:r>
        <w:rPr>
          <w:rFonts w:ascii="Times New Roman;Times;serif" w:hAnsi="Times New Roman;Times;serif"/>
          <w:b/>
          <w:sz w:val="20"/>
        </w:rPr>
        <w:t>Note 6. Income Taxes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files a consolidated federal income tax return in the United States and various combined and separate filings in several state and local jurisdictions.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There were no unrecognized tax benefits, nor any accrued interest or penalties associated with unrecognized tax benefits during the periods presented in the unaudited condensed consolidated financial statements. The Company believes that it has appropriate support for the income tax positions taken and to be taken on the Company’s tax returns and that the accruals for tax liabilities are adequate for all open years based on its assessment of many factors including past experience and interpretations of tax law applied to the facts of each matter. The Company’s federal and state income tax returns are open to audit under the statute of limitations for the fiscal years ended June 30, 2021 through June 30, 2024 for federal tax purposes and for the fiscal years ended June 30, 2020 through June 30, 2024 for state tax purposes. To the extent the Company utilizes net operating losses (“NOLs”) generated in earlier years, such earlier years may also be subject to audit.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July 4, 2025, President Trump signed into law the One Big Beautiful Bill Act ("OBBBA"). The OBBBA makes permanent key elements of the Tax Cuts and Jobs Act of 2017, including 100% bonus depreciation and the business interest expense limitation, as well as other provisions. The Company’s consolidated financial statements for the three months ended September 30, 2025, include the OBBBA’s effect for the period beginning July 1, 2025, through September 30, 2025. Some of the provisions in the OBBBA are effective for periods before July 1, 2025. The Company plans to file its June 30, 2025 tax return on or before April 15, 2026, and thus any tax effects related to prior periods will be recorded in the financial statements as a return to provision adjustment once identified and quantifiable. While the Company does not expect the OBBBA to have a material impact on its results of operations, it does expect the OBBBA to provide a benefit to its cash flows from operating activities.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For the three months ended September 30, 2025, the Company recognized an income tax expense of $0.4 million and had an effective tax rate of 30.7% compared to income tax expense of $0.8 million and an effective tax rate of 28.4% for the three months ended September 30, 2024.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EVOLUTION PETROLEUM CORPORATION</w:t>
      </w:r>
    </w:p>
    <w:p>
      <w:pPr>
        <w:pStyle w:val="TextBody"/>
        <w:shd w:fill="FFFFFF" w:val="clear"/>
        <w:bidi w:val="0"/>
        <w:spacing w:lineRule="auto" w:line="429" w:before="0" w:after="24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NOTES TO UNAUDITED CONDENSED CONSOLIDATED FINANCIAL STATEMENTS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Company’s effective tax rate will typically differ from the statutory federal rate as a result of state income taxes, primarily in the states of Louisiana, North Dakota, Oklahoma and Texas, due to percentage depletion in excess of basis, and other permanent differences. For both periods, the respective statutory federal tax rate was 21%.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Deferred income taxes primarily represent the net tax effect of temporary differences between the carrying amounts of assets and liabilities for financial reporting purposes and the amounts used for income tax purposes.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7. Derivatives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is exposed to certain risks relating to its ongoing business operations, including commodity price risk and interest rate risk. In accordance with the Company’s strategy and the requirements under the Senior Secured Credit Facility (as discussed in Note 5, “</w:t>
      </w:r>
      <w:r>
        <w:rPr>
          <w:rFonts w:ascii="Times New Roman;Times;serif" w:hAnsi="Times New Roman;Times;serif"/>
          <w:i/>
          <w:sz w:val="20"/>
        </w:rPr>
        <w:t>Senior Secured Credit Facility”</w:t>
      </w:r>
      <w:r>
        <w:rPr>
          <w:rFonts w:ascii="Times New Roman;Times;serif" w:hAnsi="Times New Roman;Times;serif"/>
          <w:sz w:val="20"/>
        </w:rPr>
        <w:t>), it may hedge or may be required to hedge a varying portion of anticipated oil and natural gas production for future periods. Derivatives are carried at fair value on the unaudited condensed consolidated balance sheets as assets or liabilities, with the changes in the fair value included in the unaudited condensed consolidated statements of operations for the period in which the change occurs. The Company’s hedge strategies and objectives may change significantly as its operational profile changes or as required under the Senior Secured Credit Facility. The Company does not enter into derivative contracts for speculative trading purposes.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It is the Company’s policy to enter into derivative contracts only with counterparties that are creditworthy financial or commodity hedging institutions deemed by management as competent and competitive market makers. As of September 30, 2025, the Company did not post collateral under any of its derivative contracts during the periods in which contracts were open as they were secured under the Company’s Senior Secured Credit Facility.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When the Company utilizes commodity derivative contracts, it expects to enter into deferred premium puts, costless put/call collars including two-way and three-way collars, fixed-price swaps, and/or basis swaps to hedge a portion of its anticipated future production. A two-way costless collar consists of a sold call, which establishes a maximum price the Company will receive for the volumes under contract, and a purchased put that establishes a minimum price. Three-way collars are designed to establish a minimum price (floor), unless the market price falls below the sold put (sub-floor), at which point the minimum price would be the index price plus the difference between the purchased put and the sold put strike price. The sold call establishes a maximum price (ceiling) for the volumes under contract. Fixed-price swaps are designed so that the Company receives or makes payments based on a differential between fixed and variable prices for the volumes under contract. Basis swaps effectively lock in a price differential between regional prices (i.e., Inside FERC’s Northwest Pipeline Corp Rocky Mountains) where the product is sold and the relevant pricing index under which the natural gas production is hedged (i.e., NYMEX Henry Hub). The Company may, from time to time, restructure existing derivative contracts or enter into new transactions to effectively modify the terms of current contracts in order to improve the pricing parameters in existing contracts. The Company has elected not to designate its open derivative contracts for hedge accounting. Accordingly, the Company records the net change in the mark-to-market valuation of the derivative contracts and all payments and receipts on settled derivative contracts in “</w:t>
      </w:r>
      <w:r>
        <w:rPr>
          <w:rFonts w:ascii="Times New Roman;Times;serif" w:hAnsi="Times New Roman;Times;serif"/>
          <w:i/>
          <w:sz w:val="20"/>
        </w:rPr>
        <w:t>Net gain (loss) on derivative contracts</w:t>
      </w:r>
      <w:r>
        <w:rPr>
          <w:rFonts w:ascii="Times New Roman;Times;serif" w:hAnsi="Times New Roman;Times;serif"/>
          <w:sz w:val="20"/>
        </w:rPr>
        <w:t>” on the unaudited condensed consolidated statements of operations.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All derivative contracts are recorded at fair market value in accordance with ASC 815, </w:t>
      </w:r>
      <w:r>
        <w:rPr>
          <w:rFonts w:ascii="Times New Roman;Times;serif" w:hAnsi="Times New Roman;Times;serif"/>
          <w:i/>
          <w:sz w:val="20"/>
        </w:rPr>
        <w:t>Derivatives and Hedging</w:t>
      </w:r>
      <w:r>
        <w:rPr>
          <w:rFonts w:ascii="Times New Roman;Times;serif" w:hAnsi="Times New Roman;Times;serif"/>
          <w:sz w:val="20"/>
        </w:rPr>
        <w:t xml:space="preserve"> (“ASC 815”) and ASC 820, </w:t>
      </w:r>
      <w:r>
        <w:rPr>
          <w:rFonts w:ascii="Times New Roman;Times;serif" w:hAnsi="Times New Roman;Times;serif"/>
          <w:i/>
          <w:sz w:val="20"/>
        </w:rPr>
        <w:t>Fair Value Measurement</w:t>
      </w:r>
      <w:r>
        <w:rPr>
          <w:rFonts w:ascii="Times New Roman;Times;serif" w:hAnsi="Times New Roman;Times;serif"/>
          <w:sz w:val="20"/>
        </w:rPr>
        <w:t xml:space="preserve"> (“ASC 820”)</w:t>
      </w:r>
      <w:r>
        <w:rPr>
          <w:rFonts w:ascii="Times New Roman;Times;serif" w:hAnsi="Times New Roman;Times;serif"/>
          <w:sz w:val="20"/>
          <w:shd w:fill="FFFFFF" w:val="clear"/>
        </w:rPr>
        <w:t xml:space="preserve"> and included in the unaudited condensed consolidated balance sheets as assets or liabilities. The “</w:t>
      </w:r>
      <w:r>
        <w:rPr>
          <w:rFonts w:ascii="Times New Roman;Times;serif" w:hAnsi="Times New Roman;Times;serif"/>
          <w:i/>
          <w:sz w:val="20"/>
          <w:shd w:fill="FFFFFF" w:val="clear"/>
        </w:rPr>
        <w:t>Derivative contract assets”</w:t>
      </w:r>
      <w:r>
        <w:rPr>
          <w:rFonts w:ascii="Times New Roman;Times;serif" w:hAnsi="Times New Roman;Times;serif"/>
          <w:sz w:val="20"/>
          <w:shd w:fill="FFFFFF" w:val="clear"/>
        </w:rPr>
        <w:t> and “</w:t>
      </w:r>
      <w:r>
        <w:rPr>
          <w:rFonts w:ascii="Times New Roman;Times;serif" w:hAnsi="Times New Roman;Times;serif"/>
          <w:i/>
          <w:sz w:val="20"/>
          <w:shd w:fill="FFFFFF" w:val="clear"/>
        </w:rPr>
        <w:t>Derivative contract liabilities”</w:t>
      </w:r>
      <w:r>
        <w:rPr>
          <w:rFonts w:ascii="Times New Roman;Times;serif" w:hAnsi="Times New Roman;Times;serif"/>
          <w:sz w:val="20"/>
          <w:shd w:fill="FFFFFF" w:val="clear"/>
        </w:rPr>
        <w:t> represent the difference between the market commodity prices and the hedged prices for the remaining volumes of production hedges as of September 30, 2025 and June 30, 2025 (the “mark-to-market valuation”).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EVOLUTION PETROLEUM CORPORATION</w:t>
      </w:r>
    </w:p>
    <w:p>
      <w:pPr>
        <w:pStyle w:val="TextBody"/>
        <w:shd w:fill="FFFFFF" w:val="clear"/>
        <w:bidi w:val="0"/>
        <w:spacing w:lineRule="auto" w:line="429" w:before="0" w:after="24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sz w:val="20"/>
        </w:rPr>
      </w:pPr>
      <w:bookmarkStart w:id="594" w:name="Tc_AffDt1jzyEed7kxEWvO49A_7_7"/>
      <w:bookmarkStart w:id="595" w:name="Tc_makghrMaKUej-B_X7EQA9g_7_4"/>
      <w:bookmarkStart w:id="596" w:name="Tc_2NE7b0aD3ESmH-5WqyejUg_7_0"/>
      <w:bookmarkStart w:id="597" w:name="Tc_Itqg-7r6z0e4GFHKJknTVw_6_2"/>
      <w:bookmarkStart w:id="598" w:name="Tc_hHWre6fHPk6-phl262MBGA_6_0"/>
      <w:bookmarkStart w:id="599" w:name="Tc_9W9jPxtc7UGDF7uA41r4gg_5_7"/>
      <w:bookmarkStart w:id="600" w:name="Tc_b6J_n1e0Zk2hNEsVAgU6vA_5_4"/>
      <w:bookmarkStart w:id="601" w:name="Tc_TGB7ydecSkmJp0R55P_PWg_5_2"/>
      <w:bookmarkStart w:id="602" w:name="Tc_k2YSKQzCD0qDLvP71hI4uw_5_0"/>
      <w:bookmarkStart w:id="603" w:name="Tc_IhzvLvsNnUi1gEBj6wJ2sA_4_0"/>
      <w:bookmarkStart w:id="604" w:name="Tc_nhtW1VGYC0GvoSPuZ1i_Vw_3_7"/>
      <w:bookmarkStart w:id="605" w:name="Tc_lNKiyvzJtUOEK3HJDmBDKQ_3_4"/>
      <w:bookmarkStart w:id="606" w:name="Tc_G16W-ka9AkmX_zCxCVwA2A_3_2"/>
      <w:bookmarkStart w:id="607" w:name="Tc_2ReIzSblh0qV_bRbTlOKCw_3_0"/>
      <w:bookmarkStart w:id="608" w:name="Tc_7iUItkb7QkS7m3mV6LnUcw_2_4"/>
      <w:bookmarkStart w:id="609" w:name="Tc_Wb_ilJ1PpkSgvNTYhlfQLg_2_2"/>
      <w:bookmarkStart w:id="610" w:name="Tc_hJh-uzPJTkS9tMar1WVJNQ_2_0"/>
      <w:bookmarkStart w:id="611" w:name="Tc_yimn9Pm8jk2-G8M5zmAUiQ_1_4"/>
      <w:bookmarkStart w:id="612" w:name="Tc_hG6InHDC9ECzCJa-h5bveg_1_2"/>
      <w:bookmarkStart w:id="613" w:name="Tc_HMyulJyHgEqrK0XkseXMVw_1_0"/>
      <w:bookmarkStart w:id="614" w:name="_9d6eb02c_4362_4afa_9b80_7d5a6a691dc6"/>
      <w:bookmarkStart w:id="615" w:name="Tc_bDu9EaN-akOIyt8kkcooLw_6_15"/>
      <w:bookmarkStart w:id="616" w:name="Tc_sXKNjRrLekOgRLjRTzrQwA_6_12"/>
      <w:bookmarkStart w:id="617" w:name="Tc_XJyXi-s-90GlVPCLIGKwtw_6_7"/>
      <w:bookmarkStart w:id="618" w:name="Tc_-pnypYa5MUSzxx9LTwbDZQ_6_4"/>
      <w:bookmarkStart w:id="619" w:name="Tc_FzAOhNNo3kWrgyNTXincUA_6_0"/>
      <w:bookmarkStart w:id="620" w:name="Tc_gn9S9IEEkUaAU_WASrnbYg_5_10"/>
      <w:bookmarkStart w:id="621" w:name="Tc_wds5t6Ek_0-ZFUFT6fSPNg_5_2"/>
      <w:bookmarkStart w:id="622" w:name="Tc_9pUpf1HTmUK78VAPVVfCIg_5_0"/>
      <w:bookmarkStart w:id="623" w:name="Tc_F7qCubDpukm_BvkkfqEGXA_4_15"/>
      <w:bookmarkStart w:id="624" w:name="Tc_mT0TXVptcEmblQfSMQ5Yuw_4_12"/>
      <w:bookmarkStart w:id="625" w:name="Tc_wX8EQSXVvEmC5v8IO8Y7OA_4_10"/>
      <w:bookmarkStart w:id="626" w:name="Tc_OfSphyVBLkuelbhHX4XpYQ_4_7"/>
      <w:bookmarkStart w:id="627" w:name="Tc_6Zm2d4wnc0SiX7Q1d-A4ww_4_4"/>
      <w:bookmarkStart w:id="628" w:name="Tc_OiRtBUlizky5Vprfy-Xe1w_4_2"/>
      <w:bookmarkStart w:id="629" w:name="Tc_jJSWQ1ZM90S43-TqGlfDeA_4_0"/>
      <w:bookmarkStart w:id="630" w:name="Tc_VLiVwZ-WpE2bz9E_HDJS2Q_3_15"/>
      <w:bookmarkStart w:id="631" w:name="Tc_uNJwrFZa20qJLYGHX-Jfpw_3_12"/>
      <w:bookmarkStart w:id="632" w:name="Tc_I2Px9rSuy0COegXBL7HqdQ_3_10"/>
      <w:bookmarkStart w:id="633" w:name="Tc_8e-H472XTkWbXRW5SURpCQ_3_7"/>
      <w:bookmarkStart w:id="634" w:name="Tc_GyKqBMXFVEyquS9kguMbeA_3_4"/>
      <w:bookmarkStart w:id="635" w:name="Tc_HMjWArKKRUGY4OG0LzJC8A_3_2"/>
      <w:bookmarkStart w:id="636" w:name="Tc_JOKagYp6-kWWFQQxsuTMaA_3_0"/>
      <w:bookmarkStart w:id="637" w:name="Tc_ZvFvr3Z8iEiBG-aSNcN_LA_2_12"/>
      <w:bookmarkStart w:id="638" w:name="Tc_-SEcxcHkWkKB4NsMnYih_Q_2_10"/>
      <w:bookmarkStart w:id="639" w:name="Tc_xL2U3Cf7EEKNo0IGn9h8cA_2_4"/>
      <w:bookmarkStart w:id="640" w:name="Tc_p4-azDY1vkiH-B0hPwrtGw_2_2"/>
      <w:bookmarkStart w:id="641" w:name="Tc_CyAX3lhdJUqrfJIKFREJXQ_2_0"/>
      <w:bookmarkStart w:id="642" w:name="Tc_iRKyehmiAkSuTQ6KrGqCgw_1_0"/>
      <w:bookmarkStart w:id="643" w:name="_88f33886_f2f0_4dc5_84fb_944f1b6536f6"/>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r>
        <w:rPr>
          <w:rFonts w:ascii="Times New Roman;Times;serif" w:hAnsi="Times New Roman;Times;serif"/>
          <w:sz w:val="20"/>
          <w:shd w:fill="FFFFFF" w:val="clear"/>
        </w:rPr>
        <w:t>The following table summarizes the location and fair value amounts of all derivative contracts in the unaudited condensed consolidated balance sheets as of September 30, 2025 and June 30, 2025 (in thousands):</w:t>
      </w:r>
      <w:r>
        <w:rPr>
          <w:rFonts w:ascii="'Times New Roman','Times','serif'" w:hAnsi="'Times New Roman','Times','serif'"/>
          <w:sz w:val="20"/>
        </w:rPr>
        <w:t xml:space="preserve">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92"/>
        <w:gridCol w:w="326"/>
        <w:gridCol w:w="932"/>
        <w:gridCol w:w="326"/>
        <w:gridCol w:w="428"/>
        <w:gridCol w:w="1118"/>
        <w:gridCol w:w="326"/>
        <w:gridCol w:w="312"/>
        <w:gridCol w:w="814"/>
        <w:gridCol w:w="326"/>
        <w:gridCol w:w="932"/>
        <w:gridCol w:w="326"/>
        <w:gridCol w:w="428"/>
        <w:gridCol w:w="1118"/>
        <w:gridCol w:w="327"/>
        <w:gridCol w:w="282"/>
        <w:gridCol w:w="892"/>
      </w:tblGrid>
      <w:tr>
        <w:trPr/>
        <w:tc>
          <w:tcPr>
            <w:tcW w:w="9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29920" cy="175260"/>
                      <wp:effectExtent l="0" t="0" r="0" b="0"/>
                      <wp:wrapNone/>
                      <wp:docPr id="70" name="Frame69"/>
                      <a:graphic xmlns:a="http://schemas.openxmlformats.org/drawingml/2006/main">
                        <a:graphicData uri="http://schemas.microsoft.com/office/word/2010/wordprocessingShape">
                          <wps:wsp>
                            <wps:cNvSpPr txBox="1"/>
                            <wps:spPr>
                              <a:xfrm>
                                <a:off x="0" y="0"/>
                                <a:ext cx="629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260"/>
                      <wp:effectExtent l="0" t="0" r="0" b="0"/>
                      <wp:wrapNone/>
                      <wp:docPr id="71" name="Frame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591820" cy="175260"/>
                      <wp:effectExtent l="0" t="0" r="0" b="0"/>
                      <wp:wrapNone/>
                      <wp:docPr id="72" name="Frame71"/>
                      <a:graphic xmlns:a="http://schemas.openxmlformats.org/drawingml/2006/main">
                        <a:graphicData uri="http://schemas.microsoft.com/office/word/2010/wordprocessingShape">
                          <wps:wsp>
                            <wps:cNvSpPr txBox="1"/>
                            <wps:spPr>
                              <a:xfrm>
                                <a:off x="0" y="0"/>
                                <a:ext cx="591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07010" cy="175260"/>
                      <wp:effectExtent l="0" t="0" r="0" b="0"/>
                      <wp:wrapNone/>
                      <wp:docPr id="73" name="Frame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71780" cy="175260"/>
                      <wp:effectExtent l="0" t="0" r="0" b="0"/>
                      <wp:wrapNone/>
                      <wp:docPr id="74" name="Frame73"/>
                      <a:graphic xmlns:a="http://schemas.openxmlformats.org/drawingml/2006/main">
                        <a:graphicData uri="http://schemas.microsoft.com/office/word/2010/wordprocessingShape">
                          <wps:wsp>
                            <wps:cNvSpPr txBox="1"/>
                            <wps:spPr>
                              <a:xfrm>
                                <a:off x="0" y="0"/>
                                <a:ext cx="271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709930" cy="175260"/>
                      <wp:effectExtent l="0" t="0" r="0" b="0"/>
                      <wp:wrapNone/>
                      <wp:docPr id="75" name="Frame74"/>
                      <a:graphic xmlns:a="http://schemas.openxmlformats.org/drawingml/2006/main">
                        <a:graphicData uri="http://schemas.microsoft.com/office/word/2010/wordprocessingShape">
                          <wps:wsp>
                            <wps:cNvSpPr txBox="1"/>
                            <wps:spPr>
                              <a:xfrm>
                                <a:off x="0" y="0"/>
                                <a:ext cx="709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07010" cy="175260"/>
                      <wp:effectExtent l="0" t="0" r="0" b="0"/>
                      <wp:wrapNone/>
                      <wp:docPr id="76" name="Frame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98120" cy="175260"/>
                      <wp:effectExtent l="0" t="0" r="0" b="0"/>
                      <wp:wrapNone/>
                      <wp:docPr id="77" name="Frame76"/>
                      <a:graphic xmlns:a="http://schemas.openxmlformats.org/drawingml/2006/main">
                        <a:graphicData uri="http://schemas.microsoft.com/office/word/2010/wordprocessingShape">
                          <wps:wsp>
                            <wps:cNvSpPr txBox="1"/>
                            <wps:spPr>
                              <a:xfrm>
                                <a:off x="0" y="0"/>
                                <a:ext cx="198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516890" cy="175260"/>
                      <wp:effectExtent l="0" t="0" r="0" b="0"/>
                      <wp:wrapNone/>
                      <wp:docPr id="78" name="Frame77"/>
                      <a:graphic xmlns:a="http://schemas.openxmlformats.org/drawingml/2006/main">
                        <a:graphicData uri="http://schemas.microsoft.com/office/word/2010/wordprocessingShape">
                          <wps:wsp>
                            <wps:cNvSpPr txBox="1"/>
                            <wps:spPr>
                              <a:xfrm>
                                <a:off x="0" y="0"/>
                                <a:ext cx="516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07010" cy="175260"/>
                      <wp:effectExtent l="0" t="0" r="0" b="0"/>
                      <wp:wrapNone/>
                      <wp:docPr id="79" name="Frame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591820" cy="175260"/>
                      <wp:effectExtent l="0" t="0" r="0" b="0"/>
                      <wp:wrapNone/>
                      <wp:docPr id="80" name="Frame79"/>
                      <a:graphic xmlns:a="http://schemas.openxmlformats.org/drawingml/2006/main">
                        <a:graphicData uri="http://schemas.microsoft.com/office/word/2010/wordprocessingShape">
                          <wps:wsp>
                            <wps:cNvSpPr txBox="1"/>
                            <wps:spPr>
                              <a:xfrm>
                                <a:off x="0" y="0"/>
                                <a:ext cx="591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7010" cy="175260"/>
                      <wp:effectExtent l="0" t="0" r="0" b="0"/>
                      <wp:wrapNone/>
                      <wp:docPr id="81" name="Frame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71780" cy="175260"/>
                      <wp:effectExtent l="0" t="0" r="0" b="0"/>
                      <wp:wrapNone/>
                      <wp:docPr id="82" name="Frame81"/>
                      <a:graphic xmlns:a="http://schemas.openxmlformats.org/drawingml/2006/main">
                        <a:graphicData uri="http://schemas.microsoft.com/office/word/2010/wordprocessingShape">
                          <wps:wsp>
                            <wps:cNvSpPr txBox="1"/>
                            <wps:spPr>
                              <a:xfrm>
                                <a:off x="0" y="0"/>
                                <a:ext cx="271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709930" cy="175260"/>
                      <wp:effectExtent l="0" t="0" r="0" b="0"/>
                      <wp:wrapNone/>
                      <wp:docPr id="83" name="Frame82"/>
                      <a:graphic xmlns:a="http://schemas.openxmlformats.org/drawingml/2006/main">
                        <a:graphicData uri="http://schemas.microsoft.com/office/word/2010/wordprocessingShape">
                          <wps:wsp>
                            <wps:cNvSpPr txBox="1"/>
                            <wps:spPr>
                              <a:xfrm>
                                <a:off x="0" y="0"/>
                                <a:ext cx="709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07645" cy="175260"/>
                      <wp:effectExtent l="0" t="0" r="0" b="0"/>
                      <wp:wrapNone/>
                      <wp:docPr id="84" name="Frame83"/>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79070" cy="175260"/>
                      <wp:effectExtent l="0" t="0" r="0" b="0"/>
                      <wp:wrapNone/>
                      <wp:docPr id="85" name="Frame84"/>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566420" cy="175260"/>
                      <wp:effectExtent l="0" t="0" r="0" b="0"/>
                      <wp:wrapNone/>
                      <wp:docPr id="86" name="Frame85"/>
                      <a:graphic xmlns:a="http://schemas.openxmlformats.org/drawingml/2006/main">
                        <a:graphicData uri="http://schemas.microsoft.com/office/word/2010/wordprocessingShape">
                          <wps:wsp>
                            <wps:cNvSpPr txBox="1"/>
                            <wps:spPr>
                              <a:xfrm>
                                <a:off x="0" y="0"/>
                                <a:ext cx="566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992"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 xml:space="preserve">Derivatives not designated </w:t>
            </w:r>
          </w:p>
        </w:tc>
        <w:tc>
          <w:tcPr>
            <w:tcW w:w="326" w:type="dxa"/>
            <w:tcBorders/>
            <w:vAlign w:val="center"/>
          </w:tcPr>
          <w:p>
            <w:pPr>
              <w:pStyle w:val="TableContents"/>
              <w:bidi w:val="0"/>
              <w:spacing w:before="0" w:after="1"/>
              <w:ind w:left="0" w:right="0" w:hanging="0"/>
              <w:jc w:val="left"/>
              <w:rPr/>
            </w:pPr>
            <w:r>
              <w:rPr/>
              <w:t>​</w:t>
            </w:r>
          </w:p>
        </w:tc>
        <w:tc>
          <w:tcPr>
            <w:tcW w:w="93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998" w:type="dxa"/>
            <w:gridSpan w:val="5"/>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3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3047" w:type="dxa"/>
            <w:gridSpan w:val="5"/>
            <w:tcBorders/>
            <w:vAlign w:val="center"/>
          </w:tcPr>
          <w:p>
            <w:pPr>
              <w:pStyle w:val="TableContents"/>
              <w:bidi w:val="0"/>
              <w:spacing w:before="0" w:after="1"/>
              <w:ind w:left="0" w:right="0" w:hanging="0"/>
              <w:jc w:val="center"/>
              <w:rPr/>
            </w:pPr>
            <w:r>
              <w:rPr/>
              <w:t>​</w:t>
            </w:r>
          </w:p>
        </w:tc>
      </w:tr>
      <w:tr>
        <w:trPr/>
        <w:tc>
          <w:tcPr>
            <w:tcW w:w="992"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as hedging contracts</w:t>
            </w:r>
          </w:p>
        </w:tc>
        <w:tc>
          <w:tcPr>
            <w:tcW w:w="326" w:type="dxa"/>
            <w:tcBorders/>
            <w:vAlign w:val="center"/>
          </w:tcPr>
          <w:p>
            <w:pPr>
              <w:pStyle w:val="TableContents"/>
              <w:bidi w:val="0"/>
              <w:spacing w:before="0" w:after="1"/>
              <w:ind w:left="0" w:right="0" w:hanging="0"/>
              <w:jc w:val="left"/>
              <w:rPr/>
            </w:pPr>
            <w:r>
              <w:rPr/>
              <w:t>​</w:t>
            </w:r>
          </w:p>
        </w:tc>
        <w:tc>
          <w:tcPr>
            <w:tcW w:w="93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 sheet</w:t>
            </w:r>
          </w:p>
        </w:tc>
        <w:tc>
          <w:tcPr>
            <w:tcW w:w="326" w:type="dxa"/>
            <w:tcBorders/>
            <w:vAlign w:val="center"/>
          </w:tcPr>
          <w:p>
            <w:pPr>
              <w:pStyle w:val="TableContents"/>
              <w:bidi w:val="0"/>
              <w:spacing w:before="0" w:after="1"/>
              <w:ind w:left="0" w:right="0" w:hanging="0"/>
              <w:jc w:val="left"/>
              <w:rPr/>
            </w:pPr>
            <w:r>
              <w:rPr/>
              <w:t>​</w:t>
            </w:r>
          </w:p>
        </w:tc>
        <w:tc>
          <w:tcPr>
            <w:tcW w:w="299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Derivative Contract Assets</w:t>
            </w:r>
          </w:p>
        </w:tc>
        <w:tc>
          <w:tcPr>
            <w:tcW w:w="326" w:type="dxa"/>
            <w:tcBorders/>
            <w:vAlign w:val="center"/>
          </w:tcPr>
          <w:p>
            <w:pPr>
              <w:pStyle w:val="TableContents"/>
              <w:bidi w:val="0"/>
              <w:spacing w:before="0" w:after="1"/>
              <w:ind w:left="0" w:right="0" w:hanging="0"/>
              <w:jc w:val="left"/>
              <w:rPr/>
            </w:pPr>
            <w:r>
              <w:rPr/>
              <w:t>​</w:t>
            </w:r>
          </w:p>
        </w:tc>
        <w:tc>
          <w:tcPr>
            <w:tcW w:w="93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 sheet</w:t>
            </w:r>
          </w:p>
        </w:tc>
        <w:tc>
          <w:tcPr>
            <w:tcW w:w="326" w:type="dxa"/>
            <w:tcBorders/>
            <w:vAlign w:val="center"/>
          </w:tcPr>
          <w:p>
            <w:pPr>
              <w:pStyle w:val="TableContents"/>
              <w:bidi w:val="0"/>
              <w:spacing w:before="0" w:after="1"/>
              <w:ind w:left="0" w:right="0" w:hanging="0"/>
              <w:jc w:val="left"/>
              <w:rPr/>
            </w:pPr>
            <w:r>
              <w:rPr/>
              <w:t>​</w:t>
            </w:r>
          </w:p>
        </w:tc>
        <w:tc>
          <w:tcPr>
            <w:tcW w:w="304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Derivative Contract Liabilities</w:t>
            </w:r>
          </w:p>
        </w:tc>
      </w:tr>
      <w:tr>
        <w:trPr/>
        <w:tc>
          <w:tcPr>
            <w:tcW w:w="992"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under ASC 815</w:t>
            </w:r>
          </w:p>
        </w:tc>
        <w:tc>
          <w:tcPr>
            <w:tcW w:w="326" w:type="dxa"/>
            <w:tcBorders/>
            <w:vAlign w:val="center"/>
          </w:tcPr>
          <w:p>
            <w:pPr>
              <w:pStyle w:val="TableContents"/>
              <w:bidi w:val="0"/>
              <w:spacing w:before="0" w:after="1"/>
              <w:ind w:left="0" w:right="0" w:hanging="0"/>
              <w:jc w:val="left"/>
              <w:rPr/>
            </w:pPr>
            <w:r>
              <w:rPr/>
              <w:t>    </w:t>
            </w:r>
          </w:p>
        </w:tc>
        <w:tc>
          <w:tcPr>
            <w:tcW w:w="93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location</w:t>
            </w:r>
          </w:p>
        </w:tc>
        <w:tc>
          <w:tcPr>
            <w:tcW w:w="326" w:type="dxa"/>
            <w:tcBorders/>
            <w:vAlign w:val="center"/>
          </w:tcPr>
          <w:p>
            <w:pPr>
              <w:pStyle w:val="TableContents"/>
              <w:bidi w:val="0"/>
              <w:spacing w:before="0" w:after="1"/>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c>
          <w:tcPr>
            <w:tcW w:w="326" w:type="dxa"/>
            <w:tcBorders/>
            <w:vAlign w:val="center"/>
          </w:tcPr>
          <w:p>
            <w:pPr>
              <w:pStyle w:val="TableContents"/>
              <w:bidi w:val="0"/>
              <w:spacing w:before="0" w:after="1"/>
              <w:ind w:left="0" w:right="0" w:hanging="0"/>
              <w:jc w:val="left"/>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326" w:type="dxa"/>
            <w:tcBorders/>
            <w:vAlign w:val="center"/>
          </w:tcPr>
          <w:p>
            <w:pPr>
              <w:pStyle w:val="TableContents"/>
              <w:bidi w:val="0"/>
              <w:spacing w:before="0" w:after="1"/>
              <w:ind w:left="0" w:right="0" w:hanging="0"/>
              <w:jc w:val="left"/>
              <w:rPr/>
            </w:pPr>
            <w:r>
              <w:rPr/>
              <w:t>    </w:t>
            </w:r>
          </w:p>
        </w:tc>
        <w:tc>
          <w:tcPr>
            <w:tcW w:w="93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location</w:t>
            </w:r>
          </w:p>
        </w:tc>
        <w:tc>
          <w:tcPr>
            <w:tcW w:w="326" w:type="dxa"/>
            <w:tcBorders/>
            <w:vAlign w:val="center"/>
          </w:tcPr>
          <w:p>
            <w:pPr>
              <w:pStyle w:val="TableContents"/>
              <w:bidi w:val="0"/>
              <w:spacing w:before="0" w:after="1"/>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c>
          <w:tcPr>
            <w:tcW w:w="327" w:type="dxa"/>
            <w:tcBorders/>
            <w:vAlign w:val="center"/>
          </w:tcPr>
          <w:p>
            <w:pPr>
              <w:pStyle w:val="TableContents"/>
              <w:bidi w:val="0"/>
              <w:spacing w:before="0" w:after="1"/>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2025</w:t>
            </w:r>
          </w:p>
        </w:tc>
      </w:tr>
      <w:tr>
        <w:trPr/>
        <w:tc>
          <w:tcPr>
            <w:tcW w:w="99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Commodity contracts</w:t>
            </w:r>
          </w:p>
        </w:tc>
        <w:tc>
          <w:tcPr>
            <w:tcW w:w="326" w:type="dxa"/>
            <w:tcBorders/>
            <w:shd w:fill="CCEEFF" w:val="clear"/>
            <w:vAlign w:val="center"/>
          </w:tcPr>
          <w:p>
            <w:pPr>
              <w:pStyle w:val="TableContents"/>
              <w:bidi w:val="0"/>
              <w:spacing w:before="0" w:after="1"/>
              <w:ind w:left="0" w:right="0" w:hanging="0"/>
              <w:jc w:val="left"/>
              <w:rPr/>
            </w:pPr>
            <w:r>
              <w:rPr/>
              <w:t>​</w:t>
            </w:r>
          </w:p>
        </w:tc>
        <w:tc>
          <w:tcPr>
            <w:tcW w:w="93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assets - derivative contract assets</w:t>
            </w:r>
          </w:p>
        </w:tc>
        <w:tc>
          <w:tcPr>
            <w:tcW w:w="326" w:type="dxa"/>
            <w:tcBorders/>
            <w:shd w:fill="CCEEFF" w:val="clear"/>
            <w:vAlign w:val="center"/>
          </w:tcPr>
          <w:p>
            <w:pPr>
              <w:pStyle w:val="TableContents"/>
              <w:bidi w:val="0"/>
              <w:spacing w:before="0" w:after="1"/>
              <w:ind w:left="0" w:right="0" w:hanging="0"/>
              <w:jc w:val="left"/>
              <w:rPr/>
            </w:pPr>
            <w:r>
              <w:rPr/>
              <w:t>​</w:t>
            </w:r>
          </w:p>
        </w:tc>
        <w:tc>
          <w:tcPr>
            <w:tcW w:w="42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11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2,075</w:t>
            </w:r>
          </w:p>
        </w:tc>
        <w:tc>
          <w:tcPr>
            <w:tcW w:w="326" w:type="dxa"/>
            <w:tcBorders/>
            <w:shd w:fill="CCEEFF" w:val="clear"/>
            <w:vAlign w:val="center"/>
          </w:tcPr>
          <w:p>
            <w:pPr>
              <w:pStyle w:val="TableContents"/>
              <w:bidi w:val="0"/>
              <w:spacing w:before="0" w:after="1"/>
              <w:ind w:left="0" w:right="0" w:hanging="0"/>
              <w:jc w:val="left"/>
              <w:rPr/>
            </w:pPr>
            <w:r>
              <w:rPr/>
              <w:t>​</w:t>
            </w:r>
          </w:p>
        </w:tc>
        <w:tc>
          <w:tcPr>
            <w:tcW w:w="31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1,777</w:t>
            </w:r>
          </w:p>
        </w:tc>
        <w:tc>
          <w:tcPr>
            <w:tcW w:w="326" w:type="dxa"/>
            <w:tcBorders/>
            <w:shd w:fill="CCEEFF" w:val="clear"/>
            <w:vAlign w:val="center"/>
          </w:tcPr>
          <w:p>
            <w:pPr>
              <w:pStyle w:val="TableContents"/>
              <w:bidi w:val="0"/>
              <w:spacing w:before="0" w:after="1"/>
              <w:ind w:left="0" w:right="0" w:hanging="0"/>
              <w:jc w:val="left"/>
              <w:rPr/>
            </w:pPr>
            <w:r>
              <w:rPr/>
              <w:t>​</w:t>
            </w:r>
          </w:p>
        </w:tc>
        <w:tc>
          <w:tcPr>
            <w:tcW w:w="93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liabilities - derivative contract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42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11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1,216</w:t>
            </w:r>
          </w:p>
        </w:tc>
        <w:tc>
          <w:tcPr>
            <w:tcW w:w="327" w:type="dxa"/>
            <w:tcBorders/>
            <w:shd w:fill="CCEEFF" w:val="clear"/>
            <w:vAlign w:val="center"/>
          </w:tcPr>
          <w:p>
            <w:pPr>
              <w:pStyle w:val="TableContents"/>
              <w:bidi w:val="0"/>
              <w:spacing w:before="0" w:after="1"/>
              <w:ind w:left="0" w:right="0" w:hanging="0"/>
              <w:jc w:val="left"/>
              <w:rPr/>
            </w:pPr>
            <w:r>
              <w:rPr/>
              <w:t>​</w:t>
            </w:r>
          </w:p>
        </w:tc>
        <w:tc>
          <w:tcPr>
            <w:tcW w:w="28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9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1,577</w:t>
            </w:r>
          </w:p>
        </w:tc>
      </w:tr>
      <w:tr>
        <w:trPr/>
        <w:tc>
          <w:tcPr>
            <w:tcW w:w="99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Commodity contracts</w:t>
            </w:r>
          </w:p>
        </w:tc>
        <w:tc>
          <w:tcPr>
            <w:tcW w:w="326" w:type="dxa"/>
            <w:tcBorders/>
            <w:vAlign w:val="center"/>
          </w:tcPr>
          <w:p>
            <w:pPr>
              <w:pStyle w:val="TableContents"/>
              <w:bidi w:val="0"/>
              <w:spacing w:before="0" w:after="1"/>
              <w:ind w:left="0" w:right="0" w:hanging="0"/>
              <w:jc w:val="left"/>
              <w:rPr/>
            </w:pPr>
            <w:r>
              <w:rPr/>
              <w:t>​</w:t>
            </w:r>
          </w:p>
        </w:tc>
        <w:tc>
          <w:tcPr>
            <w:tcW w:w="93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noncurrent assets - derivative contract assets</w:t>
            </w:r>
          </w:p>
        </w:tc>
        <w:tc>
          <w:tcPr>
            <w:tcW w:w="326" w:type="dxa"/>
            <w:tcBorders/>
            <w:vAlign w:val="center"/>
          </w:tcPr>
          <w:p>
            <w:pPr>
              <w:pStyle w:val="TableContents"/>
              <w:bidi w:val="0"/>
              <w:spacing w:before="0" w:after="1"/>
              <w:ind w:left="0" w:right="0" w:hanging="0"/>
              <w:jc w:val="left"/>
              <w:rPr/>
            </w:pPr>
            <w:r>
              <w:rPr/>
              <w:t>​</w:t>
            </w:r>
          </w:p>
        </w:tc>
        <w:tc>
          <w:tcPr>
            <w:tcW w:w="42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402</w:t>
            </w:r>
          </w:p>
        </w:tc>
        <w:tc>
          <w:tcPr>
            <w:tcW w:w="326" w:type="dxa"/>
            <w:tcBorders/>
            <w:vAlign w:val="center"/>
          </w:tcPr>
          <w:p>
            <w:pPr>
              <w:pStyle w:val="TableContents"/>
              <w:bidi w:val="0"/>
              <w:spacing w:before="0" w:after="1"/>
              <w:ind w:left="0" w:right="0" w:hanging="0"/>
              <w:jc w:val="left"/>
              <w:rPr/>
            </w:pPr>
            <w:r>
              <w:rPr/>
              <w:t>​</w:t>
            </w:r>
          </w:p>
        </w:tc>
        <w:tc>
          <w:tcPr>
            <w:tcW w:w="31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198</w:t>
            </w:r>
          </w:p>
        </w:tc>
        <w:tc>
          <w:tcPr>
            <w:tcW w:w="326" w:type="dxa"/>
            <w:tcBorders/>
            <w:vAlign w:val="center"/>
          </w:tcPr>
          <w:p>
            <w:pPr>
              <w:pStyle w:val="TableContents"/>
              <w:bidi w:val="0"/>
              <w:spacing w:before="0" w:after="1"/>
              <w:ind w:left="0" w:right="0" w:hanging="0"/>
              <w:jc w:val="left"/>
              <w:rPr/>
            </w:pPr>
            <w:r>
              <w:rPr/>
              <w:t>​</w:t>
            </w:r>
          </w:p>
        </w:tc>
        <w:tc>
          <w:tcPr>
            <w:tcW w:w="93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Long term liabilities - derivative contract liabilities</w:t>
            </w:r>
          </w:p>
        </w:tc>
        <w:tc>
          <w:tcPr>
            <w:tcW w:w="326" w:type="dxa"/>
            <w:tcBorders/>
            <w:vAlign w:val="center"/>
          </w:tcPr>
          <w:p>
            <w:pPr>
              <w:pStyle w:val="TableContents"/>
              <w:bidi w:val="0"/>
              <w:spacing w:before="0" w:after="1"/>
              <w:ind w:left="0" w:right="0" w:hanging="0"/>
              <w:jc w:val="left"/>
              <w:rPr/>
            </w:pPr>
            <w:r>
              <w:rPr/>
              <w:t>​</w:t>
            </w:r>
          </w:p>
        </w:tc>
        <w:tc>
          <w:tcPr>
            <w:tcW w:w="42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1,343</w:t>
            </w:r>
          </w:p>
        </w:tc>
        <w:tc>
          <w:tcPr>
            <w:tcW w:w="327" w:type="dxa"/>
            <w:tcBorders/>
            <w:vAlign w:val="center"/>
          </w:tcPr>
          <w:p>
            <w:pPr>
              <w:pStyle w:val="TableContents"/>
              <w:bidi w:val="0"/>
              <w:spacing w:before="0" w:after="1"/>
              <w:ind w:left="0" w:right="0" w:hanging="0"/>
              <w:jc w:val="left"/>
              <w:rPr/>
            </w:pPr>
            <w:r>
              <w:rPr/>
              <w:t>​</w:t>
            </w:r>
          </w:p>
        </w:tc>
        <w:tc>
          <w:tcPr>
            <w:tcW w:w="28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1,783</w:t>
            </w:r>
          </w:p>
        </w:tc>
      </w:tr>
      <w:tr>
        <w:trPr/>
        <w:tc>
          <w:tcPr>
            <w:tcW w:w="99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derivatives not designated as hedging contracts under ASC 815</w:t>
            </w:r>
          </w:p>
        </w:tc>
        <w:tc>
          <w:tcPr>
            <w:tcW w:w="326" w:type="dxa"/>
            <w:tcBorders/>
            <w:shd w:fill="CCEEFF" w:val="clear"/>
            <w:vAlign w:val="center"/>
          </w:tcPr>
          <w:p>
            <w:pPr>
              <w:pStyle w:val="TableContents"/>
              <w:bidi w:val="0"/>
              <w:spacing w:before="0" w:after="1"/>
              <w:ind w:left="0" w:right="0" w:hanging="0"/>
              <w:jc w:val="left"/>
              <w:rPr/>
            </w:pPr>
            <w:r>
              <w:rPr/>
              <w:t>​</w:t>
            </w:r>
          </w:p>
        </w:tc>
        <w:tc>
          <w:tcPr>
            <w:tcW w:w="93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11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2,477</w:t>
            </w:r>
          </w:p>
        </w:tc>
        <w:tc>
          <w:tcPr>
            <w:tcW w:w="326" w:type="dxa"/>
            <w:tcBorders/>
            <w:shd w:fill="CCEEFF" w:val="clear"/>
            <w:vAlign w:val="center"/>
          </w:tcPr>
          <w:p>
            <w:pPr>
              <w:pStyle w:val="TableContents"/>
              <w:bidi w:val="0"/>
              <w:spacing w:before="0" w:after="1"/>
              <w:ind w:left="0" w:right="0" w:hanging="0"/>
              <w:jc w:val="left"/>
              <w:rPr/>
            </w:pPr>
            <w:r>
              <w:rPr/>
              <w:t>​</w:t>
            </w:r>
          </w:p>
        </w:tc>
        <w:tc>
          <w:tcPr>
            <w:tcW w:w="31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1,975</w:t>
            </w:r>
          </w:p>
        </w:tc>
        <w:tc>
          <w:tcPr>
            <w:tcW w:w="326" w:type="dxa"/>
            <w:tcBorders/>
            <w:shd w:fill="CCEEFF" w:val="clear"/>
            <w:vAlign w:val="center"/>
          </w:tcPr>
          <w:p>
            <w:pPr>
              <w:pStyle w:val="TableContents"/>
              <w:bidi w:val="0"/>
              <w:spacing w:before="0" w:after="1"/>
              <w:ind w:left="0" w:right="0" w:hanging="0"/>
              <w:jc w:val="left"/>
              <w:rPr/>
            </w:pPr>
            <w:r>
              <w:rPr/>
              <w:t>​</w:t>
            </w:r>
          </w:p>
        </w:tc>
        <w:tc>
          <w:tcPr>
            <w:tcW w:w="93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11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2,559</w:t>
            </w:r>
          </w:p>
        </w:tc>
        <w:tc>
          <w:tcPr>
            <w:tcW w:w="327" w:type="dxa"/>
            <w:tcBorders/>
            <w:shd w:fill="CCEEFF" w:val="clear"/>
            <w:vAlign w:val="center"/>
          </w:tcPr>
          <w:p>
            <w:pPr>
              <w:pStyle w:val="TableContents"/>
              <w:bidi w:val="0"/>
              <w:spacing w:before="0" w:after="1"/>
              <w:ind w:left="0" w:right="0" w:hanging="0"/>
              <w:jc w:val="left"/>
              <w:rPr/>
            </w:pPr>
            <w:r>
              <w:rPr/>
              <w:t>​</w:t>
            </w:r>
          </w:p>
        </w:tc>
        <w:tc>
          <w:tcPr>
            <w:tcW w:w="28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92"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3,360</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the location and amounts of the Company’s realized and unrealized gains and losses on derivative contracts in the Company’s unaudited condensed consolidated statements of operations for the three months ended September 30, 2025 and 2024 (in thousands). “</w:t>
      </w:r>
      <w:r>
        <w:rPr>
          <w:rFonts w:ascii="Times New Roman;Times;serif" w:hAnsi="Times New Roman;Times;serif"/>
          <w:i/>
          <w:sz w:val="20"/>
        </w:rPr>
        <w:t>Realized gain (loss) on derivative contracts”</w:t>
      </w:r>
      <w:r>
        <w:rPr>
          <w:rFonts w:ascii="Times New Roman;Times;serif" w:hAnsi="Times New Roman;Times;serif"/>
          <w:sz w:val="20"/>
        </w:rPr>
        <w:t xml:space="preserve"> represents all receipts (payments) on derivative contracts settled during the period. “</w:t>
      </w:r>
      <w:r>
        <w:rPr>
          <w:rFonts w:ascii="Times New Roman;Times;serif" w:hAnsi="Times New Roman;Times;serif"/>
          <w:i/>
          <w:sz w:val="20"/>
        </w:rPr>
        <w:t xml:space="preserve">Unrealized gain (loss) on derivative contracts” </w:t>
      </w:r>
      <w:r>
        <w:rPr>
          <w:rFonts w:ascii="Times New Roman;Times;serif" w:hAnsi="Times New Roman;Times;serif"/>
          <w:sz w:val="20"/>
        </w:rPr>
        <w:t>represents the net change in the mark-to-market valuation of the derivative contracts.</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223"/>
        <w:gridCol w:w="326"/>
        <w:gridCol w:w="4701"/>
        <w:gridCol w:w="109"/>
        <w:gridCol w:w="196"/>
        <w:gridCol w:w="511"/>
        <w:gridCol w:w="326"/>
        <w:gridCol w:w="196"/>
        <w:gridCol w:w="617"/>
      </w:tblGrid>
      <w:tr>
        <w:trPr/>
        <w:tc>
          <w:tcPr>
            <w:tcW w:w="3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046605" cy="175260"/>
                      <wp:effectExtent l="0" t="0" r="0" b="0"/>
                      <wp:wrapNone/>
                      <wp:docPr id="87" name="Frame86"/>
                      <a:graphic xmlns:a="http://schemas.openxmlformats.org/drawingml/2006/main">
                        <a:graphicData uri="http://schemas.microsoft.com/office/word/2010/wordprocessingShape">
                          <wps:wsp>
                            <wps:cNvSpPr txBox="1"/>
                            <wps:spPr>
                              <a:xfrm>
                                <a:off x="0" y="0"/>
                                <a:ext cx="2046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010" cy="175260"/>
                      <wp:effectExtent l="0" t="0" r="0" b="0"/>
                      <wp:wrapNone/>
                      <wp:docPr id="88" name="Frame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985135" cy="175260"/>
                      <wp:effectExtent l="0" t="0" r="0" b="0"/>
                      <wp:wrapNone/>
                      <wp:docPr id="89" name="Frame88"/>
                      <a:graphic xmlns:a="http://schemas.openxmlformats.org/drawingml/2006/main">
                        <a:graphicData uri="http://schemas.microsoft.com/office/word/2010/wordprocessingShape">
                          <wps:wsp>
                            <wps:cNvSpPr txBox="1"/>
                            <wps:spPr>
                              <a:xfrm>
                                <a:off x="0" y="0"/>
                                <a:ext cx="2985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9215" cy="175260"/>
                      <wp:effectExtent l="0" t="0" r="0" b="0"/>
                      <wp:wrapNone/>
                      <wp:docPr id="90" name="Frame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24460" cy="175260"/>
                      <wp:effectExtent l="0" t="0" r="0" b="0"/>
                      <wp:wrapNone/>
                      <wp:docPr id="91" name="Frame9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324485" cy="175260"/>
                      <wp:effectExtent l="0" t="0" r="0" b="0"/>
                      <wp:wrapNone/>
                      <wp:docPr id="92" name="Frame91"/>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07010" cy="175260"/>
                      <wp:effectExtent l="0" t="0" r="0" b="0"/>
                      <wp:wrapNone/>
                      <wp:docPr id="93" name="Frame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24460" cy="175260"/>
                      <wp:effectExtent l="0" t="0" r="0" b="0"/>
                      <wp:wrapNone/>
                      <wp:docPr id="94" name="Frame9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391795" cy="175260"/>
                      <wp:effectExtent l="0" t="0" r="0" b="0"/>
                      <wp:wrapNone/>
                      <wp:docPr id="95" name="Frame94"/>
                      <a:graphic xmlns:a="http://schemas.openxmlformats.org/drawingml/2006/main">
                        <a:graphicData uri="http://schemas.microsoft.com/office/word/2010/wordprocessingShape">
                          <wps:wsp>
                            <wps:cNvSpPr txBox="1"/>
                            <wps:spPr>
                              <a:xfrm>
                                <a:off x="0" y="0"/>
                                <a:ext cx="391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23"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xml:space="preserve">Derivatives not designated </w:t>
            </w:r>
          </w:p>
        </w:tc>
        <w:tc>
          <w:tcPr>
            <w:tcW w:w="326" w:type="dxa"/>
            <w:tcBorders/>
            <w:vAlign w:val="center"/>
          </w:tcPr>
          <w:p>
            <w:pPr>
              <w:pStyle w:val="TableContents"/>
              <w:bidi w:val="0"/>
              <w:spacing w:before="0" w:after="0"/>
              <w:ind w:left="0" w:right="0" w:hanging="0"/>
              <w:jc w:val="left"/>
              <w:rPr/>
            </w:pPr>
            <w:r>
              <w:rPr/>
              <w:t>​</w:t>
            </w:r>
          </w:p>
        </w:tc>
        <w:tc>
          <w:tcPr>
            <w:tcW w:w="470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Location of gain (loss)</w:t>
            </w:r>
          </w:p>
        </w:tc>
        <w:tc>
          <w:tcPr>
            <w:tcW w:w="109" w:type="dxa"/>
            <w:tcBorders/>
            <w:vAlign w:val="center"/>
          </w:tcPr>
          <w:p>
            <w:pPr>
              <w:pStyle w:val="TableContents"/>
              <w:bidi w:val="0"/>
              <w:spacing w:before="0" w:after="0"/>
              <w:ind w:left="0" w:right="0" w:hanging="0"/>
              <w:jc w:val="left"/>
              <w:rPr/>
            </w:pPr>
            <w:r>
              <w:rPr/>
              <w:t>​</w:t>
            </w:r>
          </w:p>
        </w:tc>
        <w:tc>
          <w:tcPr>
            <w:tcW w:w="1846"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r>
      <w:tr>
        <w:trPr/>
        <w:tc>
          <w:tcPr>
            <w:tcW w:w="3223"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as hedging contracts</w:t>
            </w:r>
          </w:p>
        </w:tc>
        <w:tc>
          <w:tcPr>
            <w:tcW w:w="326" w:type="dxa"/>
            <w:tcBorders/>
            <w:vAlign w:val="center"/>
          </w:tcPr>
          <w:p>
            <w:pPr>
              <w:pStyle w:val="TableContents"/>
              <w:bidi w:val="0"/>
              <w:spacing w:before="0" w:after="0"/>
              <w:ind w:left="0" w:right="0" w:hanging="0"/>
              <w:jc w:val="left"/>
              <w:rPr/>
            </w:pPr>
            <w:r>
              <w:rPr/>
              <w:t>​</w:t>
            </w:r>
          </w:p>
        </w:tc>
        <w:tc>
          <w:tcPr>
            <w:tcW w:w="470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xml:space="preserve">recognized in income on </w:t>
            </w:r>
          </w:p>
        </w:tc>
        <w:tc>
          <w:tcPr>
            <w:tcW w:w="109" w:type="dxa"/>
            <w:tcBorders/>
            <w:vAlign w:val="center"/>
          </w:tcPr>
          <w:p>
            <w:pPr>
              <w:pStyle w:val="TableContents"/>
              <w:bidi w:val="0"/>
              <w:spacing w:before="0" w:after="0"/>
              <w:ind w:left="0" w:right="0" w:hanging="0"/>
              <w:jc w:val="left"/>
              <w:rPr/>
            </w:pPr>
            <w:r>
              <w:rPr/>
              <w:t>​</w:t>
            </w:r>
          </w:p>
        </w:tc>
        <w:tc>
          <w:tcPr>
            <w:tcW w:w="184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322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under ASC 815</w:t>
            </w:r>
          </w:p>
        </w:tc>
        <w:tc>
          <w:tcPr>
            <w:tcW w:w="326" w:type="dxa"/>
            <w:tcBorders/>
            <w:vAlign w:val="center"/>
          </w:tcPr>
          <w:p>
            <w:pPr>
              <w:pStyle w:val="TableContents"/>
              <w:bidi w:val="0"/>
              <w:spacing w:before="0" w:after="0"/>
              <w:ind w:left="0" w:right="0" w:hanging="0"/>
              <w:jc w:val="left"/>
              <w:rPr/>
            </w:pPr>
            <w:r>
              <w:rPr/>
              <w:t>    </w:t>
            </w:r>
          </w:p>
        </w:tc>
        <w:tc>
          <w:tcPr>
            <w:tcW w:w="47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derivative contracts</w:t>
            </w:r>
          </w:p>
        </w:tc>
        <w:tc>
          <w:tcPr>
            <w:tcW w:w="109" w:type="dxa"/>
            <w:tcBorders/>
            <w:vAlign w:val="center"/>
          </w:tcPr>
          <w:p>
            <w:pPr>
              <w:pStyle w:val="TableContents"/>
              <w:bidi w:val="0"/>
              <w:spacing w:before="0" w:after="0"/>
              <w:ind w:left="0" w:right="0" w:hanging="0"/>
              <w:jc w:val="left"/>
              <w:rPr/>
            </w:pPr>
            <w:r>
              <w:rPr/>
              <w:t>​</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8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223"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Commodity contracts:</w:t>
            </w:r>
          </w:p>
        </w:tc>
        <w:tc>
          <w:tcPr>
            <w:tcW w:w="326" w:type="dxa"/>
            <w:tcBorders/>
            <w:vAlign w:val="center"/>
          </w:tcPr>
          <w:p>
            <w:pPr>
              <w:pStyle w:val="TableContents"/>
              <w:bidi w:val="0"/>
              <w:spacing w:before="0" w:after="0"/>
              <w:ind w:left="0" w:right="0" w:hanging="0"/>
              <w:jc w:val="left"/>
              <w:rPr/>
            </w:pPr>
            <w:r>
              <w:rPr/>
              <w:t>​</w:t>
            </w:r>
          </w:p>
        </w:tc>
        <w:tc>
          <w:tcPr>
            <w:tcW w:w="47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left"/>
              <w:rPr/>
            </w:pPr>
            <w:r>
              <w:rPr/>
              <w:t>​</w:t>
            </w:r>
          </w:p>
        </w:tc>
      </w:tr>
      <w:tr>
        <w:trPr/>
        <w:tc>
          <w:tcPr>
            <w:tcW w:w="322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Realized gain (loss) on derivative contracts </w:t>
            </w:r>
          </w:p>
        </w:tc>
        <w:tc>
          <w:tcPr>
            <w:tcW w:w="326" w:type="dxa"/>
            <w:tcBorders/>
            <w:shd w:fill="CCEEFF" w:val="clear"/>
            <w:vAlign w:val="center"/>
          </w:tcPr>
          <w:p>
            <w:pPr>
              <w:pStyle w:val="TableContents"/>
              <w:bidi w:val="0"/>
              <w:spacing w:before="0" w:after="0"/>
              <w:ind w:left="0" w:right="0" w:hanging="0"/>
              <w:jc w:val="left"/>
              <w:rPr/>
            </w:pPr>
            <w:r>
              <w:rPr/>
              <w:t>​</w:t>
            </w:r>
          </w:p>
        </w:tc>
        <w:tc>
          <w:tcPr>
            <w:tcW w:w="47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income and expenses - net gain (loss) on derivative contracts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w:t>
            </w:r>
          </w:p>
        </w:tc>
      </w:tr>
      <w:tr>
        <w:trPr/>
        <w:tc>
          <w:tcPr>
            <w:tcW w:w="322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Unrealized gain (loss) on derivative contracts</w:t>
            </w:r>
          </w:p>
        </w:tc>
        <w:tc>
          <w:tcPr>
            <w:tcW w:w="326" w:type="dxa"/>
            <w:tcBorders/>
            <w:vAlign w:val="center"/>
          </w:tcPr>
          <w:p>
            <w:pPr>
              <w:pStyle w:val="TableContents"/>
              <w:bidi w:val="0"/>
              <w:spacing w:before="0" w:after="0"/>
              <w:ind w:left="0" w:right="0" w:hanging="0"/>
              <w:jc w:val="left"/>
              <w:rPr/>
            </w:pPr>
            <w:r>
              <w:rPr/>
              <w:t>​</w:t>
            </w:r>
          </w:p>
        </w:tc>
        <w:tc>
          <w:tcPr>
            <w:tcW w:w="47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income and expenses - net gain (loss) on derivative contracts</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1,303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1,868</w:t>
            </w:r>
          </w:p>
        </w:tc>
      </w:tr>
      <w:tr>
        <w:trPr/>
        <w:tc>
          <w:tcPr>
            <w:tcW w:w="322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net gain (loss) on derivative contracts</w:t>
            </w:r>
          </w:p>
        </w:tc>
        <w:tc>
          <w:tcPr>
            <w:tcW w:w="326" w:type="dxa"/>
            <w:tcBorders/>
            <w:shd w:fill="CCEEFF" w:val="clear"/>
            <w:vAlign w:val="center"/>
          </w:tcPr>
          <w:p>
            <w:pPr>
              <w:pStyle w:val="TableContents"/>
              <w:bidi w:val="0"/>
              <w:spacing w:before="0" w:after="0"/>
              <w:ind w:left="0" w:right="0" w:hanging="0"/>
              <w:jc w:val="left"/>
              <w:rPr/>
            </w:pPr>
            <w:r>
              <w:rPr/>
              <w:t>​</w:t>
            </w:r>
          </w:p>
        </w:tc>
        <w:tc>
          <w:tcPr>
            <w:tcW w:w="470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2,181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1,798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EVOLUTION PETROLEUM CORPORATION</w:t>
      </w:r>
    </w:p>
    <w:p>
      <w:pPr>
        <w:pStyle w:val="TextBody"/>
        <w:shd w:fill="FFFFFF" w:val="clear"/>
        <w:bidi w:val="0"/>
        <w:spacing w:lineRule="auto" w:line="429" w:before="0" w:after="24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NOTES TO UNAUDITED CONDENSED CONSOLIDATED FINANCIAL STATEMENTS</w:t>
      </w:r>
    </w:p>
    <w:p>
      <w:pPr>
        <w:pStyle w:val="TextBody"/>
        <w:bidi w:val="0"/>
        <w:spacing w:before="0" w:after="0"/>
        <w:ind w:left="0" w:right="0" w:hanging="0"/>
        <w:jc w:val="left"/>
        <w:rPr>
          <w:rFonts w:ascii="Times New Roman;Times;serif" w:hAnsi="Times New Roman;Times;serif"/>
          <w:sz w:val="20"/>
        </w:rPr>
      </w:pPr>
      <w:bookmarkStart w:id="644" w:name="Tc_zSujuTe0jEGb0jOGEcmFKA_8_4"/>
      <w:bookmarkStart w:id="645" w:name="Tc_ycCP1FcjZkqrMvHR-YA_EQ_8_2"/>
      <w:bookmarkStart w:id="646" w:name="Tc_2XFr7FWyvUyaK9S-2IjU2w_8_0"/>
      <w:bookmarkStart w:id="647" w:name="Tc_0k-8Yr3nHEuZV3U6Y-HiLg_7_11"/>
      <w:bookmarkStart w:id="648" w:name="Tc_sX-q2lwV7kODFm_LBRJgug_7_4"/>
      <w:bookmarkStart w:id="649" w:name="Tc_FdsxohGxH0q3ppTQnnkq9A_7_2"/>
      <w:bookmarkStart w:id="650" w:name="Tc_Hc3SeN8XnEeyFKdF5JGfXw_7_0"/>
      <w:bookmarkStart w:id="651" w:name="Tc_q-hF2PnDDkefdgFS2FSzZQ_6_4"/>
      <w:bookmarkStart w:id="652" w:name="Tc_-YMyGmwCJkK2UO-tnAooSA_6_2"/>
      <w:bookmarkStart w:id="653" w:name="Tc_McOxRxE_PUeYNNzM4R87HA_6_0"/>
      <w:bookmarkStart w:id="654" w:name="Tc_8Oc57kvim02p6Caxm8WoJg_5_17"/>
      <w:bookmarkStart w:id="655" w:name="Tc_sdagaqkYvEOnytM6Rt8p4Q_5_14"/>
      <w:bookmarkStart w:id="656" w:name="Tc_KfWOtnYRjU-GOFroWZGkiw_5_4"/>
      <w:bookmarkStart w:id="657" w:name="Tc_eCemYOCCL0WRmEL89Vo84g_5_2"/>
      <w:bookmarkStart w:id="658" w:name="Tc_8IQpxDpfiUu_3krTZY31cA_5_0"/>
      <w:bookmarkStart w:id="659" w:name="Tc_PA0w8E5bLU6dTIOLmD7vKQ_4_8"/>
      <w:bookmarkStart w:id="660" w:name="Tc_4HJzkT1ez0eal1uG2sPGug_4_4"/>
      <w:bookmarkStart w:id="661" w:name="Tc_ClCDJW0Tp0eLjd9p6I_djw_4_2"/>
      <w:bookmarkStart w:id="662" w:name="Tc_F5IsVWCY5kGTkgd-al0R8g_4_0"/>
      <w:bookmarkStart w:id="663" w:name="Tc_gNdMQSY--0eiGvUPqzV9RQ_3_17"/>
      <w:bookmarkStart w:id="664" w:name="Tc_7De-prkW0UCGed__uKRkdA_3_14"/>
      <w:bookmarkStart w:id="665" w:name="Tc_uV4cOtp0dk2Up8y3Aq-8pg_3_11"/>
      <w:bookmarkStart w:id="666" w:name="Tc_NwdagPS3p0aiM_1E1IKPbw_3_8"/>
      <w:bookmarkStart w:id="667" w:name="Tc_GAMAVK40GUmPiH1av5Np9Q_3_6"/>
      <w:bookmarkStart w:id="668" w:name="Tc_mK6ozkoQcEuOTDj5cepvGQ_3_4"/>
      <w:bookmarkStart w:id="669" w:name="Tc_RnpVC4eVc06fHHMMwV5UJw_3_2"/>
      <w:bookmarkStart w:id="670" w:name="Tc_tm5yC5AsdkOaLbKIrsBdiw_3_0"/>
      <w:bookmarkStart w:id="671" w:name="Tc_-HeZwuQlf0yBra1kHhys0A_2_17"/>
      <w:bookmarkStart w:id="672" w:name="Tc_3lme516BBUuSr2UVQfWPgA_2_14"/>
      <w:bookmarkStart w:id="673" w:name="Tc_t46b6iTOTUisWxBbHJOxog_2_11"/>
      <w:bookmarkStart w:id="674" w:name="Tc_wTqEepSzEUm1Z0iY72v34g_2_9"/>
      <w:bookmarkStart w:id="675" w:name="Tc_bkE-LYklw0CnMcFPCil_GA_2_6"/>
      <w:bookmarkStart w:id="676" w:name="Tc_A5n7zMQMy0ihxwMCjt0tLA_1_17"/>
      <w:bookmarkStart w:id="677" w:name="Tc_U8TUBUl8nEGxcCWDtD5_rQ_1_14"/>
      <w:bookmarkStart w:id="678" w:name="Tc_NfyHj_eP6EalTYh2Ag2gxg_1_11"/>
      <w:bookmarkStart w:id="679" w:name="Tc_ntB3w2UKbEWUUjFL1HcHMQ_1_8"/>
      <w:bookmarkStart w:id="680" w:name="_a7eb3e52_8991_47a8_a6e0_63ef6ba25b6e"/>
      <w:bookmarkStart w:id="681" w:name="Tc_iKhN4Ap--E6Sbr0eewMbxg_24_4"/>
      <w:bookmarkStart w:id="682" w:name="Tc_rTeOdxSQ202RngkRZ5ziAA_24_2"/>
      <w:bookmarkStart w:id="683" w:name="Tc_PhATHZPRd0-i34XNyt-GXw_24_0"/>
      <w:bookmarkStart w:id="684" w:name="Tc_gMOjQqy4PkKDuNdErj1Igg_23_4"/>
      <w:bookmarkStart w:id="685" w:name="Tc_hQ9kebCNtUeaUgWTtQxvtA_23_2"/>
      <w:bookmarkStart w:id="686" w:name="Tc_Upc0gUND-Uer22Tma49QIg_23_0"/>
      <w:bookmarkStart w:id="687" w:name="Tc_qo9BrrKl6Ue8CJPsngqkIQ_22_4"/>
      <w:bookmarkStart w:id="688" w:name="Tc_7EgnIqohBkW6qENJaJG3Hw_22_2"/>
      <w:bookmarkStart w:id="689" w:name="Tc_4ZNPLPGqw0ubywCAmeamKw_22_0"/>
      <w:bookmarkStart w:id="690" w:name="Tc_7bozcxd6qESc0wPWd2LJ8Q_21_4"/>
      <w:bookmarkStart w:id="691" w:name="Tc_SPdxXnGRoE6L72XGVSJWBQ_21_2"/>
      <w:bookmarkStart w:id="692" w:name="Tc_BOc7RPLjpUy5LaM8qRHt-Q_21_0"/>
      <w:bookmarkStart w:id="693" w:name="Tc_wswM2-n1cked6OLX30lxog_20_4"/>
      <w:bookmarkStart w:id="694" w:name="Tc_8DmyGHI6pUCMbSzwO2izpg_20_2"/>
      <w:bookmarkStart w:id="695" w:name="Tc_UIsRRcxebEGOuydLJR_poQ_20_0"/>
      <w:bookmarkStart w:id="696" w:name="Tc_x-hr1xDYsEGT9oxOqppFiQ_19_4"/>
      <w:bookmarkStart w:id="697" w:name="Tc_edr8DcGY-k2qPfcYTZbb8g_19_2"/>
      <w:bookmarkStart w:id="698" w:name="Tc_8-U51UIsjUi33QxwzqXZ_A_19_0"/>
      <w:bookmarkStart w:id="699" w:name="Tc_lIp8Q-KZgUqxiJ-CUH-8zQ_18_4"/>
      <w:bookmarkStart w:id="700" w:name="Tc__nuP4OkvRkWpbvM7_7wN1w_18_2"/>
      <w:bookmarkStart w:id="701" w:name="Tc_-_PhsVtPyk-1HungQ_FA7Q_18_0"/>
      <w:bookmarkStart w:id="702" w:name="Tc_Yv-3vVgWaUybDeGILLRmzA_17_4"/>
      <w:bookmarkStart w:id="703" w:name="Tc_EBLpSeZutESlATiVgz5Neg_17_2"/>
      <w:bookmarkStart w:id="704" w:name="Tc_YmuZMEkTzEi1bZdnww3yvQ_17_0"/>
      <w:bookmarkStart w:id="705" w:name="Tc_MmhhOQXe90SN5-CItlF_7A_16_4"/>
      <w:bookmarkStart w:id="706" w:name="Tc__uWK3h-AvUGpb0jvkzCKLQ_16_2"/>
      <w:bookmarkStart w:id="707" w:name="Tc_nq5zrPtlQkys9SntN2zkxA_16_0"/>
      <w:bookmarkStart w:id="708" w:name="Tc_iUbSHpLf6kaaw6eYQosdEQ_15_4"/>
      <w:bookmarkStart w:id="709" w:name="Tc_BljSscYt_kqDVGEM_oi9zg_15_2"/>
      <w:bookmarkStart w:id="710" w:name="Tc_vw4u_nQwtEa5xrjM04b6Jg_15_0"/>
      <w:bookmarkStart w:id="711" w:name="Tc_9zSunl8_vkOuUXoM0j_lEg_14_11"/>
      <w:bookmarkStart w:id="712" w:name="Tc_oMaVbXXXUUm_h3hCiAp7sA_14_4"/>
      <w:bookmarkStart w:id="713" w:name="Tc_5hN5qTGwq06czinfPfKNlA_14_2"/>
      <w:bookmarkStart w:id="714" w:name="Tc_QLahrHyxc0CBIioLlhVqUw_14_0"/>
      <w:bookmarkStart w:id="715" w:name="Tc_d1uE6fZMMU2RLljerGoT0w_13_4"/>
      <w:bookmarkStart w:id="716" w:name="Tc_Ts4G3sNx30OY2Nb1RVk5Xg_13_2"/>
      <w:bookmarkStart w:id="717" w:name="Tc_h2bvIEdeRkaIo7yZWyv__A_13_0"/>
      <w:bookmarkStart w:id="718" w:name="Tc_93SSGhEvikO0kxxiL2nVTA_12_4"/>
      <w:bookmarkStart w:id="719" w:name="Tc_HKlYq_6xNEOGxJHvewnDaA_12_2"/>
      <w:bookmarkStart w:id="720" w:name="Tc_nJ8vBdF5Mk-T1456ZdLTEQ_12_0"/>
      <w:bookmarkStart w:id="721" w:name="Tc_c81HI6AS20qfzJeSnTmQiQ_11_4"/>
      <w:bookmarkStart w:id="722" w:name="Tc_o_VV92Jr0EuzobVXmHSYsg_11_2"/>
      <w:bookmarkStart w:id="723" w:name="Tc_k7_jMYN85ESXks20zcsUHw_11_0"/>
      <w:bookmarkStart w:id="724" w:name="Tc_qTwbwBfdY0u09F2EjXUsuw_10_17"/>
      <w:bookmarkStart w:id="725" w:name="Tc_8UdsGNpDykKkd1xeRuk_fg_10_14"/>
      <w:bookmarkStart w:id="726" w:name="Tc_pJ44HdOJWUWUPYfadey2Zg_10_4"/>
      <w:bookmarkStart w:id="727" w:name="Tc_PM9QTOw8H0iOgCg0xuUmCg_10_2"/>
      <w:bookmarkStart w:id="728" w:name="Tc_FLC8m16PBk2B0DU8_D_X8w_10_0"/>
      <w:bookmarkStart w:id="729" w:name="Tc_TVgIP_beWkm49GB8RgvVKw_9_4"/>
      <w:bookmarkStart w:id="730" w:name="Tc_ZDrO1sCRV0yn9q8D_1FVTg_9_2"/>
      <w:bookmarkStart w:id="731" w:name="Tc_uLGe_auOVUCehKiMjzQDzA_9_0"/>
      <w:bookmarkStart w:id="732" w:name="Tc_J294-iCEVk-U2XGgBTj-2w_8_4"/>
      <w:bookmarkStart w:id="733" w:name="Tc_PNcvCgDOOk-YMENUs2lRAQ_8_2"/>
      <w:bookmarkStart w:id="734" w:name="Tc_umanaRcuj0aCdLCxn8AE8w_8_0"/>
      <w:bookmarkStart w:id="735" w:name="Tc_yiei14pBPEOM75Ebar-L8w_7_4"/>
      <w:bookmarkStart w:id="736" w:name="Tc_XavC7YSqMkiKfwPqBE5ZPA_7_2"/>
      <w:bookmarkStart w:id="737" w:name="Tc_r559ZzlcRECPQdsWOXqnZg_7_0"/>
      <w:bookmarkStart w:id="738" w:name="Tc_1LXXCqCszU6593SGPO8bDg_6_4"/>
      <w:bookmarkStart w:id="739" w:name="Tc_m4HrhpnIhEC1Hnhz73zzBg_6_2"/>
      <w:bookmarkStart w:id="740" w:name="Tc_CXRv-JTW3UCbcRXGLFIaDQ_6_0"/>
      <w:bookmarkStart w:id="741" w:name="Tc_wNljjKE_CkifiniGKJZBuA_5_4"/>
      <w:bookmarkStart w:id="742" w:name="Tc_IEycIVt-B06-0tpqATK_bA_5_2"/>
      <w:bookmarkStart w:id="743" w:name="Tc_eXZRny8N-0WiN67r1VP2Ng_5_0"/>
      <w:bookmarkStart w:id="744" w:name="Tc_mc1KeLzry0Kl0wsElCYKEw_4_8"/>
      <w:bookmarkStart w:id="745" w:name="Tc_d6eU88q9EEuJC7qL0ZuI-w_4_4"/>
      <w:bookmarkStart w:id="746" w:name="Tc_gRFAD6kh5E21XufEpNTtfw_4_2"/>
      <w:bookmarkStart w:id="747" w:name="Tc_2cFiD9yfqkuOyw279qPo0A_4_0"/>
      <w:bookmarkStart w:id="748" w:name="Tc_oKDEDBftrkWbJ7fiqkHGvw_3_17"/>
      <w:bookmarkStart w:id="749" w:name="Tc_QDtT6cBzNkW2Uogo8Ifwow_3_14"/>
      <w:bookmarkStart w:id="750" w:name="Tc_e75hVPGlt0WJp7RF3_0TGw_3_11"/>
      <w:bookmarkStart w:id="751" w:name="Tc_qQ1mOD3M10ex8dh0xSN7Rg_3_8"/>
      <w:bookmarkStart w:id="752" w:name="Tc_UY2G-iisZkm9lgA_QuopVQ_3_6"/>
      <w:bookmarkStart w:id="753" w:name="Tc_HXiDJF36W0iE0algtuUTrA_3_4"/>
      <w:bookmarkStart w:id="754" w:name="Tc_t-YiBrYK8UykYy7jGAq6iQ_3_2"/>
      <w:bookmarkStart w:id="755" w:name="Tc_z3c31q7sIUKKfZAjEsf0Aw_3_0"/>
      <w:bookmarkStart w:id="756" w:name="Tc_mloswGbiyUihXciVtClqZg_2_17"/>
      <w:bookmarkStart w:id="757" w:name="Tc_rT7-ZTYk00-cXN9MkKlC7g_2_14"/>
      <w:bookmarkStart w:id="758" w:name="Tc_XQ4-3xXzjEOeL9a1C5GRhQ_2_11"/>
      <w:bookmarkStart w:id="759" w:name="Tc_DiTZcd_1tkiRbmvf3JFQaA_2_9"/>
      <w:bookmarkStart w:id="760" w:name="Tc_-SyoYOhlakyKXXJIcG7Pgw_2_6"/>
      <w:bookmarkStart w:id="761" w:name="Tc_FoZ4Gxps106JSY_F4QetAA_1_17"/>
      <w:bookmarkStart w:id="762" w:name="Tc_tCJM4lX-uk-1CYiBdIMS1g_1_14"/>
      <w:bookmarkStart w:id="763" w:name="Tc_NKADRSRpaEOxxp-w9Iuf2Q_1_11"/>
      <w:bookmarkStart w:id="764" w:name="Tc_tuYAYd4PBEi0nqU8eFZrbw_1_8"/>
      <w:bookmarkStart w:id="765" w:name="_54de0322_cf00_4a29_abe1_f46fea67f0cd"/>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r>
        <w:rPr>
          <w:rFonts w:ascii="Times New Roman;Times;serif" w:hAnsi="Times New Roman;Times;serif"/>
          <w:sz w:val="20"/>
        </w:rPr>
        <w:t>As of September 30, 2025, the Company had the following open crude oil and natural gas derivative contracts: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612"/>
        <w:gridCol w:w="326"/>
        <w:gridCol w:w="856"/>
        <w:gridCol w:w="326"/>
        <w:gridCol w:w="1027"/>
        <w:gridCol w:w="326"/>
        <w:gridCol w:w="920"/>
        <w:gridCol w:w="109"/>
        <w:gridCol w:w="273"/>
        <w:gridCol w:w="646"/>
        <w:gridCol w:w="326"/>
        <w:gridCol w:w="266"/>
        <w:gridCol w:w="653"/>
        <w:gridCol w:w="326"/>
        <w:gridCol w:w="272"/>
        <w:gridCol w:w="647"/>
        <w:gridCol w:w="326"/>
        <w:gridCol w:w="278"/>
        <w:gridCol w:w="690"/>
      </w:tblGrid>
      <w:tr>
        <w:trPr/>
        <w:tc>
          <w:tcPr>
            <w:tcW w:w="16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023620" cy="175260"/>
                      <wp:effectExtent l="0" t="0" r="0" b="0"/>
                      <wp:wrapNone/>
                      <wp:docPr id="96" name="Frame95"/>
                      <a:graphic xmlns:a="http://schemas.openxmlformats.org/drawingml/2006/main">
                        <a:graphicData uri="http://schemas.microsoft.com/office/word/2010/wordprocessingShape">
                          <wps:wsp>
                            <wps:cNvSpPr txBox="1"/>
                            <wps:spPr>
                              <a:xfrm>
                                <a:off x="0" y="0"/>
                                <a:ext cx="1023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07010" cy="175260"/>
                      <wp:effectExtent l="0" t="0" r="0" b="0"/>
                      <wp:wrapNone/>
                      <wp:docPr id="97" name="Frame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543560" cy="175260"/>
                      <wp:effectExtent l="0" t="0" r="0" b="0"/>
                      <wp:wrapNone/>
                      <wp:docPr id="98" name="Frame97"/>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07010" cy="175260"/>
                      <wp:effectExtent l="0" t="0" r="0" b="0"/>
                      <wp:wrapNone/>
                      <wp:docPr id="99" name="Frame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52145" cy="175260"/>
                      <wp:effectExtent l="0" t="0" r="0" b="0"/>
                      <wp:wrapNone/>
                      <wp:docPr id="100" name="Frame99"/>
                      <a:graphic xmlns:a="http://schemas.openxmlformats.org/drawingml/2006/main">
                        <a:graphicData uri="http://schemas.microsoft.com/office/word/2010/wordprocessingShape">
                          <wps:wsp>
                            <wps:cNvSpPr txBox="1"/>
                            <wps:spPr>
                              <a:xfrm>
                                <a:off x="0" y="0"/>
                                <a:ext cx="652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07010" cy="175260"/>
                      <wp:effectExtent l="0" t="0" r="0" b="0"/>
                      <wp:wrapNone/>
                      <wp:docPr id="101" name="Frame1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584200" cy="175260"/>
                      <wp:effectExtent l="0" t="0" r="0" b="0"/>
                      <wp:wrapNone/>
                      <wp:docPr id="102" name="Frame101"/>
                      <a:graphic xmlns:a="http://schemas.openxmlformats.org/drawingml/2006/main">
                        <a:graphicData uri="http://schemas.microsoft.com/office/word/2010/wordprocessingShape">
                          <wps:wsp>
                            <wps:cNvSpPr txBox="1"/>
                            <wps:spPr>
                              <a:xfrm>
                                <a:off x="0" y="0"/>
                                <a:ext cx="5842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9215" cy="175260"/>
                      <wp:effectExtent l="0" t="0" r="0" b="0"/>
                      <wp:wrapNone/>
                      <wp:docPr id="103" name="Frame1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73355" cy="175260"/>
                      <wp:effectExtent l="0" t="0" r="0" b="0"/>
                      <wp:wrapNone/>
                      <wp:docPr id="104" name="Frame103"/>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410210" cy="175260"/>
                      <wp:effectExtent l="0" t="0" r="0" b="0"/>
                      <wp:wrapNone/>
                      <wp:docPr id="105" name="Frame104"/>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7010" cy="175260"/>
                      <wp:effectExtent l="0" t="0" r="0" b="0"/>
                      <wp:wrapNone/>
                      <wp:docPr id="106" name="Frame1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68910" cy="175260"/>
                      <wp:effectExtent l="0" t="0" r="0" b="0"/>
                      <wp:wrapNone/>
                      <wp:docPr id="107" name="Frame106"/>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414655" cy="175260"/>
                      <wp:effectExtent l="0" t="0" r="0" b="0"/>
                      <wp:wrapNone/>
                      <wp:docPr id="108" name="Frame107"/>
                      <a:graphic xmlns:a="http://schemas.openxmlformats.org/drawingml/2006/main">
                        <a:graphicData uri="http://schemas.microsoft.com/office/word/2010/wordprocessingShape">
                          <wps:wsp>
                            <wps:cNvSpPr txBox="1"/>
                            <wps:spPr>
                              <a:xfrm>
                                <a:off x="0" y="0"/>
                                <a:ext cx="414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07010" cy="175260"/>
                      <wp:effectExtent l="0" t="0" r="0" b="0"/>
                      <wp:wrapNone/>
                      <wp:docPr id="109" name="Frame1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72720" cy="175260"/>
                      <wp:effectExtent l="0" t="0" r="0" b="0"/>
                      <wp:wrapNone/>
                      <wp:docPr id="110" name="Frame109"/>
                      <a:graphic xmlns:a="http://schemas.openxmlformats.org/drawingml/2006/main">
                        <a:graphicData uri="http://schemas.microsoft.com/office/word/2010/wordprocessingShape">
                          <wps:wsp>
                            <wps:cNvSpPr txBox="1"/>
                            <wps:spPr>
                              <a:xfrm>
                                <a:off x="0" y="0"/>
                                <a:ext cx="1727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410845" cy="175260"/>
                      <wp:effectExtent l="0" t="0" r="0" b="0"/>
                      <wp:wrapNone/>
                      <wp:docPr id="111" name="Frame110"/>
                      <a:graphic xmlns:a="http://schemas.openxmlformats.org/drawingml/2006/main">
                        <a:graphicData uri="http://schemas.microsoft.com/office/word/2010/wordprocessingShape">
                          <wps:wsp>
                            <wps:cNvSpPr txBox="1"/>
                            <wps:spPr>
                              <a:xfrm>
                                <a:off x="0" y="0"/>
                                <a:ext cx="4108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07010" cy="175260"/>
                      <wp:effectExtent l="0" t="0" r="0" b="0"/>
                      <wp:wrapNone/>
                      <wp:docPr id="112" name="Frame1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76530" cy="175260"/>
                      <wp:effectExtent l="0" t="0" r="0" b="0"/>
                      <wp:wrapNone/>
                      <wp:docPr id="113" name="Frame112"/>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438150" cy="175260"/>
                      <wp:effectExtent l="0" t="0" r="0" b="0"/>
                      <wp:wrapNone/>
                      <wp:docPr id="114" name="Frame113"/>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1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02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20"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919"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Swap Price</w:t>
            </w:r>
          </w:p>
        </w:tc>
        <w:tc>
          <w:tcPr>
            <w:tcW w:w="326" w:type="dxa"/>
            <w:tcBorders/>
            <w:vAlign w:val="center"/>
          </w:tcPr>
          <w:p>
            <w:pPr>
              <w:pStyle w:val="TableContents"/>
              <w:bidi w:val="0"/>
              <w:spacing w:before="0" w:after="1"/>
              <w:ind w:left="0" w:right="0" w:hanging="0"/>
              <w:jc w:val="left"/>
              <w:rPr/>
            </w:pPr>
            <w:r>
              <w:rPr/>
              <w:t>​</w:t>
            </w:r>
          </w:p>
        </w:tc>
        <w:tc>
          <w:tcPr>
            <w:tcW w:w="919"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Sub Floor</w:t>
            </w:r>
          </w:p>
        </w:tc>
        <w:tc>
          <w:tcPr>
            <w:tcW w:w="326" w:type="dxa"/>
            <w:tcBorders/>
            <w:vAlign w:val="center"/>
          </w:tcPr>
          <w:p>
            <w:pPr>
              <w:pStyle w:val="TableContents"/>
              <w:bidi w:val="0"/>
              <w:spacing w:before="0" w:after="1"/>
              <w:ind w:left="0" w:right="0" w:hanging="0"/>
              <w:jc w:val="left"/>
              <w:rPr/>
            </w:pPr>
            <w:r>
              <w:rPr/>
              <w:t>​</w:t>
            </w:r>
          </w:p>
        </w:tc>
        <w:tc>
          <w:tcPr>
            <w:tcW w:w="919"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Floor Price</w:t>
            </w:r>
          </w:p>
        </w:tc>
        <w:tc>
          <w:tcPr>
            <w:tcW w:w="326" w:type="dxa"/>
            <w:tcBorders/>
            <w:vAlign w:val="center"/>
          </w:tcPr>
          <w:p>
            <w:pPr>
              <w:pStyle w:val="TableContents"/>
              <w:bidi w:val="0"/>
              <w:spacing w:before="0" w:after="1"/>
              <w:ind w:left="0" w:right="0" w:hanging="0"/>
              <w:jc w:val="left"/>
              <w:rPr/>
            </w:pPr>
            <w:r>
              <w:rPr/>
              <w:t>​</w:t>
            </w:r>
          </w:p>
        </w:tc>
        <w:tc>
          <w:tcPr>
            <w:tcW w:w="968"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Ceiling Price</w:t>
            </w:r>
          </w:p>
        </w:tc>
      </w:tr>
      <w:tr>
        <w:trPr/>
        <w:tc>
          <w:tcPr>
            <w:tcW w:w="161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02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20"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Volumes in</w:t>
            </w:r>
          </w:p>
        </w:tc>
        <w:tc>
          <w:tcPr>
            <w:tcW w:w="109"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center"/>
              <w:rPr/>
            </w:pPr>
            <w:r>
              <w:rPr/>
              <w:t>​</w:t>
            </w:r>
          </w:p>
        </w:tc>
        <w:tc>
          <w:tcPr>
            <w:tcW w:w="646"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per</w:t>
            </w:r>
          </w:p>
        </w:tc>
        <w:tc>
          <w:tcPr>
            <w:tcW w:w="326" w:type="dxa"/>
            <w:tcBorders/>
            <w:vAlign w:val="center"/>
          </w:tcPr>
          <w:p>
            <w:pPr>
              <w:pStyle w:val="TableContents"/>
              <w:bidi w:val="0"/>
              <w:spacing w:before="0" w:after="1"/>
              <w:ind w:left="0" w:right="0" w:hanging="0"/>
              <w:jc w:val="left"/>
              <w:rPr/>
            </w:pPr>
            <w:r>
              <w:rPr/>
              <w:t>​</w:t>
            </w:r>
          </w:p>
        </w:tc>
        <w:tc>
          <w:tcPr>
            <w:tcW w:w="919"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Price per</w:t>
            </w:r>
          </w:p>
        </w:tc>
        <w:tc>
          <w:tcPr>
            <w:tcW w:w="326" w:type="dxa"/>
            <w:tcBorders/>
            <w:vAlign w:val="center"/>
          </w:tcPr>
          <w:p>
            <w:pPr>
              <w:pStyle w:val="TableContents"/>
              <w:bidi w:val="0"/>
              <w:spacing w:before="0" w:after="1"/>
              <w:ind w:left="0" w:right="0" w:hanging="0"/>
              <w:jc w:val="left"/>
              <w:rPr/>
            </w:pPr>
            <w:r>
              <w:rPr/>
              <w:t>​</w:t>
            </w:r>
          </w:p>
        </w:tc>
        <w:tc>
          <w:tcPr>
            <w:tcW w:w="919"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per</w:t>
            </w:r>
          </w:p>
        </w:tc>
        <w:tc>
          <w:tcPr>
            <w:tcW w:w="326" w:type="dxa"/>
            <w:tcBorders/>
            <w:vAlign w:val="center"/>
          </w:tcPr>
          <w:p>
            <w:pPr>
              <w:pStyle w:val="TableContents"/>
              <w:bidi w:val="0"/>
              <w:spacing w:before="0" w:after="1"/>
              <w:ind w:left="0" w:right="0" w:hanging="0"/>
              <w:jc w:val="left"/>
              <w:rPr/>
            </w:pPr>
            <w:r>
              <w:rPr/>
              <w:t>​</w:t>
            </w:r>
          </w:p>
        </w:tc>
        <w:tc>
          <w:tcPr>
            <w:tcW w:w="968"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per</w:t>
            </w:r>
          </w:p>
        </w:tc>
      </w:tr>
      <w:tr>
        <w:trPr/>
        <w:tc>
          <w:tcPr>
            <w:tcW w:w="161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Period</w:t>
            </w:r>
          </w:p>
        </w:tc>
        <w:tc>
          <w:tcPr>
            <w:tcW w:w="326" w:type="dxa"/>
            <w:tcBorders/>
            <w:vAlign w:val="center"/>
          </w:tcPr>
          <w:p>
            <w:pPr>
              <w:pStyle w:val="TableContents"/>
              <w:bidi w:val="0"/>
              <w:spacing w:before="0" w:after="1"/>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Commodity</w:t>
            </w:r>
          </w:p>
        </w:tc>
        <w:tc>
          <w:tcPr>
            <w:tcW w:w="326" w:type="dxa"/>
            <w:tcBorders/>
            <w:vAlign w:val="center"/>
          </w:tcPr>
          <w:p>
            <w:pPr>
              <w:pStyle w:val="TableContents"/>
              <w:bidi w:val="0"/>
              <w:spacing w:before="0" w:after="1"/>
              <w:ind w:left="0" w:right="0" w:hanging="0"/>
              <w:jc w:val="left"/>
              <w:rPr/>
            </w:pPr>
            <w:r>
              <w:rPr/>
              <w:t>    </w:t>
            </w:r>
          </w:p>
        </w:tc>
        <w:tc>
          <w:tcPr>
            <w:tcW w:w="102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Instrument</w:t>
            </w:r>
          </w:p>
        </w:tc>
        <w:tc>
          <w:tcPr>
            <w:tcW w:w="326" w:type="dxa"/>
            <w:tcBorders/>
            <w:vAlign w:val="center"/>
          </w:tcPr>
          <w:p>
            <w:pPr>
              <w:pStyle w:val="TableContents"/>
              <w:bidi w:val="0"/>
              <w:spacing w:before="0" w:after="1"/>
              <w:ind w:left="0" w:right="0" w:hanging="0"/>
              <w:jc w:val="left"/>
              <w:rPr/>
            </w:pPr>
            <w:r>
              <w:rPr/>
              <w:t>    </w:t>
            </w:r>
          </w:p>
        </w:tc>
        <w:tc>
          <w:tcPr>
            <w:tcW w:w="92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MMBTU/BBL</w:t>
            </w:r>
          </w:p>
        </w:tc>
        <w:tc>
          <w:tcPr>
            <w:tcW w:w="109" w:type="dxa"/>
            <w:tcBorders/>
            <w:vAlign w:val="center"/>
          </w:tcPr>
          <w:p>
            <w:pPr>
              <w:pStyle w:val="TableContents"/>
              <w:bidi w:val="0"/>
              <w:spacing w:before="0" w:after="1"/>
              <w:ind w:left="0" w:right="0" w:hanging="0"/>
              <w:jc w:val="left"/>
              <w:rPr/>
            </w:pPr>
            <w:r>
              <w:rPr/>
              <w:t>​</w:t>
            </w:r>
          </w:p>
        </w:tc>
        <w:tc>
          <w:tcPr>
            <w:tcW w:w="91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MMBTU/BBL</w:t>
            </w:r>
          </w:p>
        </w:tc>
        <w:tc>
          <w:tcPr>
            <w:tcW w:w="326" w:type="dxa"/>
            <w:tcBorders/>
            <w:vAlign w:val="center"/>
          </w:tcPr>
          <w:p>
            <w:pPr>
              <w:pStyle w:val="TableContents"/>
              <w:bidi w:val="0"/>
              <w:spacing w:before="0" w:after="1"/>
              <w:ind w:left="0" w:right="0" w:hanging="0"/>
              <w:jc w:val="left"/>
              <w:rPr/>
            </w:pPr>
            <w:r>
              <w:rPr/>
              <w:t>    </w:t>
            </w:r>
          </w:p>
        </w:tc>
        <w:tc>
          <w:tcPr>
            <w:tcW w:w="91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MMBTU/BBL</w:t>
            </w:r>
          </w:p>
        </w:tc>
        <w:tc>
          <w:tcPr>
            <w:tcW w:w="326" w:type="dxa"/>
            <w:tcBorders/>
            <w:vAlign w:val="center"/>
          </w:tcPr>
          <w:p>
            <w:pPr>
              <w:pStyle w:val="TableContents"/>
              <w:bidi w:val="0"/>
              <w:spacing w:before="0" w:after="1"/>
              <w:ind w:left="0" w:right="0" w:hanging="0"/>
              <w:jc w:val="left"/>
              <w:rPr/>
            </w:pPr>
            <w:r>
              <w:rPr/>
              <w:t>    </w:t>
            </w:r>
          </w:p>
        </w:tc>
        <w:tc>
          <w:tcPr>
            <w:tcW w:w="91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MMBTU/BBL</w:t>
            </w:r>
          </w:p>
        </w:tc>
        <w:tc>
          <w:tcPr>
            <w:tcW w:w="326" w:type="dxa"/>
            <w:tcBorders/>
            <w:vAlign w:val="center"/>
          </w:tcPr>
          <w:p>
            <w:pPr>
              <w:pStyle w:val="TableContents"/>
              <w:bidi w:val="0"/>
              <w:spacing w:before="0" w:after="1"/>
              <w:ind w:left="0" w:right="0" w:hanging="0"/>
              <w:jc w:val="left"/>
              <w:rPr/>
            </w:pPr>
            <w:r>
              <w:rPr/>
              <w:t>    </w:t>
            </w:r>
          </w:p>
        </w:tc>
        <w:tc>
          <w:tcPr>
            <w:tcW w:w="96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MMBTU/BBL</w:t>
            </w:r>
          </w:p>
        </w:tc>
      </w:tr>
      <w:tr>
        <w:trPr/>
        <w:tc>
          <w:tcPr>
            <w:tcW w:w="1612"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October 2025 - December 2025</w:t>
            </w:r>
          </w:p>
        </w:tc>
        <w:tc>
          <w:tcPr>
            <w:tcW w:w="32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Crude Oil</w:t>
            </w:r>
          </w:p>
        </w:tc>
        <w:tc>
          <w:tcPr>
            <w:tcW w:w="326" w:type="dxa"/>
            <w:tcBorders/>
            <w:shd w:fill="CCEEFF" w:val="clear"/>
            <w:vAlign w:val="center"/>
          </w:tcPr>
          <w:p>
            <w:pPr>
              <w:pStyle w:val="TableContents"/>
              <w:bidi w:val="0"/>
              <w:spacing w:before="0" w:after="1"/>
              <w:ind w:left="0" w:right="0" w:hanging="0"/>
              <w:jc w:val="left"/>
              <w:rPr/>
            </w:pPr>
            <w:r>
              <w:rPr/>
              <w:t>​</w:t>
            </w:r>
          </w:p>
        </w:tc>
        <w:tc>
          <w:tcPr>
            <w:tcW w:w="1027"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Fixed-Price Swap</w:t>
            </w:r>
          </w:p>
        </w:tc>
        <w:tc>
          <w:tcPr>
            <w:tcW w:w="326" w:type="dxa"/>
            <w:tcBorders/>
            <w:shd w:fill="CCEEFF" w:val="clear"/>
            <w:vAlign w:val="center"/>
          </w:tcPr>
          <w:p>
            <w:pPr>
              <w:pStyle w:val="TableContents"/>
              <w:bidi w:val="0"/>
              <w:spacing w:before="0" w:after="1"/>
              <w:ind w:left="0" w:right="0" w:hanging="0"/>
              <w:jc w:val="left"/>
              <w:rPr/>
            </w:pPr>
            <w:r>
              <w:rPr/>
              <w:t>​</w:t>
            </w:r>
          </w:p>
        </w:tc>
        <w:tc>
          <w:tcPr>
            <w:tcW w:w="920"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5,895</w:t>
            </w:r>
          </w:p>
        </w:tc>
        <w:tc>
          <w:tcPr>
            <w:tcW w:w="109"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72.00</w:t>
            </w:r>
          </w:p>
        </w:tc>
        <w:tc>
          <w:tcPr>
            <w:tcW w:w="3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653"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2" w:type="dxa"/>
            <w:tcBorders/>
            <w:shd w:fill="CCEEFF" w:val="clear"/>
            <w:vAlign w:val="center"/>
          </w:tcPr>
          <w:p>
            <w:pPr>
              <w:pStyle w:val="TableContents"/>
              <w:bidi w:val="0"/>
              <w:spacing w:before="0" w:after="1"/>
              <w:ind w:left="0" w:right="0" w:hanging="0"/>
              <w:jc w:val="left"/>
              <w:rPr/>
            </w:pPr>
            <w:r>
              <w:rPr/>
              <w:t>​</w:t>
            </w:r>
          </w:p>
        </w:tc>
        <w:tc>
          <w:tcPr>
            <w:tcW w:w="647"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left"/>
              <w:rPr/>
            </w:pPr>
            <w:r>
              <w:rPr/>
              <w:t>​</w:t>
            </w:r>
          </w:p>
        </w:tc>
      </w:tr>
      <w:tr>
        <w:trPr/>
        <w:tc>
          <w:tcPr>
            <w:tcW w:w="1612" w:type="dxa"/>
            <w:tcBorders/>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October 2025 - December 2025</w:t>
            </w:r>
          </w:p>
        </w:tc>
        <w:tc>
          <w:tcPr>
            <w:tcW w:w="32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Crude Oil</w:t>
            </w:r>
          </w:p>
        </w:tc>
        <w:tc>
          <w:tcPr>
            <w:tcW w:w="326" w:type="dxa"/>
            <w:tcBorders/>
            <w:vAlign w:val="center"/>
          </w:tcPr>
          <w:p>
            <w:pPr>
              <w:pStyle w:val="TableContents"/>
              <w:bidi w:val="0"/>
              <w:spacing w:before="0" w:after="1"/>
              <w:ind w:left="0" w:right="0" w:hanging="0"/>
              <w:jc w:val="left"/>
              <w:rPr/>
            </w:pPr>
            <w:r>
              <w:rPr/>
              <w:t>​</w:t>
            </w:r>
          </w:p>
        </w:tc>
        <w:tc>
          <w:tcPr>
            <w:tcW w:w="1027" w:type="dxa"/>
            <w:tcBorders/>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Fixed-Price Swap</w:t>
            </w:r>
          </w:p>
        </w:tc>
        <w:tc>
          <w:tcPr>
            <w:tcW w:w="326" w:type="dxa"/>
            <w:tcBorders/>
            <w:vAlign w:val="center"/>
          </w:tcPr>
          <w:p>
            <w:pPr>
              <w:pStyle w:val="TableContents"/>
              <w:bidi w:val="0"/>
              <w:spacing w:before="0" w:after="1"/>
              <w:ind w:left="0" w:right="0" w:hanging="0"/>
              <w:jc w:val="left"/>
              <w:rPr/>
            </w:pPr>
            <w:r>
              <w:rPr/>
              <w:t>​</w:t>
            </w:r>
          </w:p>
        </w:tc>
        <w:tc>
          <w:tcPr>
            <w:tcW w:w="920"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39,893</w:t>
            </w:r>
          </w:p>
        </w:tc>
        <w:tc>
          <w:tcPr>
            <w:tcW w:w="109"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71.40</w:t>
            </w:r>
          </w:p>
        </w:tc>
        <w:tc>
          <w:tcPr>
            <w:tcW w:w="3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65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2" w:type="dxa"/>
            <w:tcBorders/>
            <w:vAlign w:val="center"/>
          </w:tcPr>
          <w:p>
            <w:pPr>
              <w:pStyle w:val="TableContents"/>
              <w:bidi w:val="0"/>
              <w:spacing w:before="0" w:after="1"/>
              <w:ind w:left="0" w:right="0" w:hanging="0"/>
              <w:jc w:val="left"/>
              <w:rPr/>
            </w:pPr>
            <w:r>
              <w:rPr/>
              <w:t>​</w:t>
            </w:r>
          </w:p>
        </w:tc>
        <w:tc>
          <w:tcPr>
            <w:tcW w:w="64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left"/>
              <w:rPr/>
            </w:pPr>
            <w:r>
              <w:rPr/>
              <w:t>​</w:t>
            </w:r>
          </w:p>
        </w:tc>
      </w:tr>
      <w:tr>
        <w:trPr/>
        <w:tc>
          <w:tcPr>
            <w:tcW w:w="1612"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October 2025 - December 2025</w:t>
            </w:r>
          </w:p>
        </w:tc>
        <w:tc>
          <w:tcPr>
            <w:tcW w:w="32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Crude Oil</w:t>
            </w:r>
          </w:p>
        </w:tc>
        <w:tc>
          <w:tcPr>
            <w:tcW w:w="326" w:type="dxa"/>
            <w:tcBorders/>
            <w:shd w:fill="CCEEFF" w:val="clear"/>
            <w:vAlign w:val="center"/>
          </w:tcPr>
          <w:p>
            <w:pPr>
              <w:pStyle w:val="TableContents"/>
              <w:bidi w:val="0"/>
              <w:spacing w:before="0" w:after="1"/>
              <w:ind w:left="0" w:right="0" w:hanging="0"/>
              <w:jc w:val="left"/>
              <w:rPr/>
            </w:pPr>
            <w:r>
              <w:rPr/>
              <w:t>​</w:t>
            </w:r>
          </w:p>
        </w:tc>
        <w:tc>
          <w:tcPr>
            <w:tcW w:w="1027"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Fixed-Price Swap</w:t>
            </w:r>
          </w:p>
        </w:tc>
        <w:tc>
          <w:tcPr>
            <w:tcW w:w="326" w:type="dxa"/>
            <w:tcBorders/>
            <w:shd w:fill="CCEEFF" w:val="clear"/>
            <w:vAlign w:val="center"/>
          </w:tcPr>
          <w:p>
            <w:pPr>
              <w:pStyle w:val="TableContents"/>
              <w:bidi w:val="0"/>
              <w:spacing w:before="0" w:after="1"/>
              <w:ind w:left="0" w:right="0" w:hanging="0"/>
              <w:jc w:val="left"/>
              <w:rPr/>
            </w:pPr>
            <w:r>
              <w:rPr/>
              <w:t>​</w:t>
            </w:r>
          </w:p>
        </w:tc>
        <w:tc>
          <w:tcPr>
            <w:tcW w:w="920"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9,157</w:t>
            </w:r>
          </w:p>
        </w:tc>
        <w:tc>
          <w:tcPr>
            <w:tcW w:w="109"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61.02</w:t>
            </w:r>
          </w:p>
        </w:tc>
        <w:tc>
          <w:tcPr>
            <w:tcW w:w="3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653"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2" w:type="dxa"/>
            <w:tcBorders/>
            <w:shd w:fill="CCEEFF" w:val="clear"/>
            <w:vAlign w:val="center"/>
          </w:tcPr>
          <w:p>
            <w:pPr>
              <w:pStyle w:val="TableContents"/>
              <w:bidi w:val="0"/>
              <w:spacing w:before="0" w:after="1"/>
              <w:ind w:left="0" w:right="0" w:hanging="0"/>
              <w:jc w:val="left"/>
              <w:rPr/>
            </w:pPr>
            <w:r>
              <w:rPr/>
              <w:t>​</w:t>
            </w:r>
          </w:p>
        </w:tc>
        <w:tc>
          <w:tcPr>
            <w:tcW w:w="647"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left"/>
              <w:rPr/>
            </w:pPr>
            <w:r>
              <w:rPr/>
              <w:t>​</w:t>
            </w:r>
          </w:p>
        </w:tc>
      </w:tr>
      <w:tr>
        <w:trPr/>
        <w:tc>
          <w:tcPr>
            <w:tcW w:w="1612" w:type="dxa"/>
            <w:tcBorders/>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October 2025 - June 2026</w:t>
            </w:r>
          </w:p>
        </w:tc>
        <w:tc>
          <w:tcPr>
            <w:tcW w:w="32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Crude Oil</w:t>
            </w:r>
          </w:p>
        </w:tc>
        <w:tc>
          <w:tcPr>
            <w:tcW w:w="326" w:type="dxa"/>
            <w:tcBorders/>
            <w:vAlign w:val="center"/>
          </w:tcPr>
          <w:p>
            <w:pPr>
              <w:pStyle w:val="TableContents"/>
              <w:bidi w:val="0"/>
              <w:spacing w:before="0" w:after="1"/>
              <w:ind w:left="0" w:right="0" w:hanging="0"/>
              <w:jc w:val="left"/>
              <w:rPr/>
            </w:pPr>
            <w:r>
              <w:rPr/>
              <w:t>​</w:t>
            </w:r>
          </w:p>
        </w:tc>
        <w:tc>
          <w:tcPr>
            <w:tcW w:w="1027" w:type="dxa"/>
            <w:tcBorders/>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Fixed-Price Swap</w:t>
            </w:r>
          </w:p>
        </w:tc>
        <w:tc>
          <w:tcPr>
            <w:tcW w:w="326" w:type="dxa"/>
            <w:tcBorders/>
            <w:vAlign w:val="center"/>
          </w:tcPr>
          <w:p>
            <w:pPr>
              <w:pStyle w:val="TableContents"/>
              <w:bidi w:val="0"/>
              <w:spacing w:before="0" w:after="1"/>
              <w:ind w:left="0" w:right="0" w:hanging="0"/>
              <w:jc w:val="left"/>
              <w:rPr/>
            </w:pPr>
            <w:r>
              <w:rPr/>
              <w:t>​</w:t>
            </w:r>
          </w:p>
        </w:tc>
        <w:tc>
          <w:tcPr>
            <w:tcW w:w="920"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43,656</w:t>
            </w:r>
          </w:p>
        </w:tc>
        <w:tc>
          <w:tcPr>
            <w:tcW w:w="109"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61.00</w:t>
            </w:r>
          </w:p>
        </w:tc>
        <w:tc>
          <w:tcPr>
            <w:tcW w:w="3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65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2" w:type="dxa"/>
            <w:tcBorders/>
            <w:vAlign w:val="center"/>
          </w:tcPr>
          <w:p>
            <w:pPr>
              <w:pStyle w:val="TableContents"/>
              <w:bidi w:val="0"/>
              <w:spacing w:before="0" w:after="1"/>
              <w:ind w:left="0" w:right="0" w:hanging="0"/>
              <w:jc w:val="left"/>
              <w:rPr/>
            </w:pPr>
            <w:r>
              <w:rPr/>
              <w:t>​</w:t>
            </w:r>
          </w:p>
        </w:tc>
        <w:tc>
          <w:tcPr>
            <w:tcW w:w="64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left"/>
              <w:rPr/>
            </w:pPr>
            <w:r>
              <w:rPr/>
              <w:t>​</w:t>
            </w:r>
          </w:p>
        </w:tc>
      </w:tr>
      <w:tr>
        <w:trPr/>
        <w:tc>
          <w:tcPr>
            <w:tcW w:w="1612"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April 2026 - June 2026</w:t>
            </w:r>
          </w:p>
        </w:tc>
        <w:tc>
          <w:tcPr>
            <w:tcW w:w="32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Crude Oil</w:t>
            </w:r>
          </w:p>
        </w:tc>
        <w:tc>
          <w:tcPr>
            <w:tcW w:w="326" w:type="dxa"/>
            <w:tcBorders/>
            <w:shd w:fill="CCEEFF" w:val="clear"/>
            <w:vAlign w:val="center"/>
          </w:tcPr>
          <w:p>
            <w:pPr>
              <w:pStyle w:val="TableContents"/>
              <w:bidi w:val="0"/>
              <w:spacing w:before="0" w:after="1"/>
              <w:ind w:left="0" w:right="0" w:hanging="0"/>
              <w:jc w:val="left"/>
              <w:rPr/>
            </w:pPr>
            <w:r>
              <w:rPr/>
              <w:t>​</w:t>
            </w:r>
          </w:p>
        </w:tc>
        <w:tc>
          <w:tcPr>
            <w:tcW w:w="1027"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Fixed-Price Swap</w:t>
            </w:r>
          </w:p>
        </w:tc>
        <w:tc>
          <w:tcPr>
            <w:tcW w:w="326" w:type="dxa"/>
            <w:tcBorders/>
            <w:shd w:fill="CCEEFF" w:val="clear"/>
            <w:vAlign w:val="center"/>
          </w:tcPr>
          <w:p>
            <w:pPr>
              <w:pStyle w:val="TableContents"/>
              <w:bidi w:val="0"/>
              <w:spacing w:before="0" w:after="1"/>
              <w:ind w:left="0" w:right="0" w:hanging="0"/>
              <w:jc w:val="left"/>
              <w:rPr/>
            </w:pPr>
            <w:r>
              <w:rPr/>
              <w:t>​</w:t>
            </w:r>
          </w:p>
        </w:tc>
        <w:tc>
          <w:tcPr>
            <w:tcW w:w="920"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17,106</w:t>
            </w:r>
          </w:p>
        </w:tc>
        <w:tc>
          <w:tcPr>
            <w:tcW w:w="109"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60.40</w:t>
            </w:r>
          </w:p>
        </w:tc>
        <w:tc>
          <w:tcPr>
            <w:tcW w:w="3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653"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2" w:type="dxa"/>
            <w:tcBorders/>
            <w:shd w:fill="CCEEFF" w:val="clear"/>
            <w:vAlign w:val="center"/>
          </w:tcPr>
          <w:p>
            <w:pPr>
              <w:pStyle w:val="TableContents"/>
              <w:bidi w:val="0"/>
              <w:spacing w:before="0" w:after="1"/>
              <w:ind w:left="0" w:right="0" w:hanging="0"/>
              <w:jc w:val="left"/>
              <w:rPr/>
            </w:pPr>
            <w:r>
              <w:rPr/>
              <w:t>​</w:t>
            </w:r>
          </w:p>
        </w:tc>
        <w:tc>
          <w:tcPr>
            <w:tcW w:w="647"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left"/>
              <w:rPr/>
            </w:pPr>
            <w:r>
              <w:rPr/>
              <w:t>​</w:t>
            </w:r>
          </w:p>
        </w:tc>
      </w:tr>
      <w:tr>
        <w:trPr/>
        <w:tc>
          <w:tcPr>
            <w:tcW w:w="1612" w:type="dxa"/>
            <w:tcBorders/>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April 2026 - September 2026</w:t>
            </w:r>
          </w:p>
        </w:tc>
        <w:tc>
          <w:tcPr>
            <w:tcW w:w="32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Crude Oil</w:t>
            </w:r>
          </w:p>
        </w:tc>
        <w:tc>
          <w:tcPr>
            <w:tcW w:w="326" w:type="dxa"/>
            <w:tcBorders/>
            <w:vAlign w:val="center"/>
          </w:tcPr>
          <w:p>
            <w:pPr>
              <w:pStyle w:val="TableContents"/>
              <w:bidi w:val="0"/>
              <w:spacing w:before="0" w:after="1"/>
              <w:ind w:left="0" w:right="0" w:hanging="0"/>
              <w:jc w:val="left"/>
              <w:rPr/>
            </w:pPr>
            <w:r>
              <w:rPr/>
              <w:t>​</w:t>
            </w:r>
          </w:p>
        </w:tc>
        <w:tc>
          <w:tcPr>
            <w:tcW w:w="1027" w:type="dxa"/>
            <w:tcBorders/>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Fixed-Price Swap</w:t>
            </w:r>
          </w:p>
        </w:tc>
        <w:tc>
          <w:tcPr>
            <w:tcW w:w="326" w:type="dxa"/>
            <w:tcBorders/>
            <w:vAlign w:val="center"/>
          </w:tcPr>
          <w:p>
            <w:pPr>
              <w:pStyle w:val="TableContents"/>
              <w:bidi w:val="0"/>
              <w:spacing w:before="0" w:after="1"/>
              <w:ind w:left="0" w:right="0" w:hanging="0"/>
              <w:jc w:val="left"/>
              <w:rPr/>
            </w:pPr>
            <w:r>
              <w:rPr/>
              <w:t>​</w:t>
            </w:r>
          </w:p>
        </w:tc>
        <w:tc>
          <w:tcPr>
            <w:tcW w:w="920"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25,412</w:t>
            </w:r>
          </w:p>
        </w:tc>
        <w:tc>
          <w:tcPr>
            <w:tcW w:w="109"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62.00</w:t>
            </w:r>
          </w:p>
        </w:tc>
        <w:tc>
          <w:tcPr>
            <w:tcW w:w="3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65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2" w:type="dxa"/>
            <w:tcBorders/>
            <w:vAlign w:val="center"/>
          </w:tcPr>
          <w:p>
            <w:pPr>
              <w:pStyle w:val="TableContents"/>
              <w:bidi w:val="0"/>
              <w:spacing w:before="0" w:after="1"/>
              <w:ind w:left="0" w:right="0" w:hanging="0"/>
              <w:jc w:val="left"/>
              <w:rPr/>
            </w:pPr>
            <w:r>
              <w:rPr/>
              <w:t>​</w:t>
            </w:r>
          </w:p>
        </w:tc>
        <w:tc>
          <w:tcPr>
            <w:tcW w:w="64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left"/>
              <w:rPr/>
            </w:pPr>
            <w:r>
              <w:rPr/>
              <w:t>​</w:t>
            </w:r>
          </w:p>
        </w:tc>
      </w:tr>
      <w:tr>
        <w:trPr/>
        <w:tc>
          <w:tcPr>
            <w:tcW w:w="1612"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October 2025 - December 2025</w:t>
            </w:r>
          </w:p>
        </w:tc>
        <w:tc>
          <w:tcPr>
            <w:tcW w:w="32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Crude Oil</w:t>
            </w:r>
          </w:p>
        </w:tc>
        <w:tc>
          <w:tcPr>
            <w:tcW w:w="326" w:type="dxa"/>
            <w:tcBorders/>
            <w:shd w:fill="CCEEFF" w:val="clear"/>
            <w:vAlign w:val="center"/>
          </w:tcPr>
          <w:p>
            <w:pPr>
              <w:pStyle w:val="TableContents"/>
              <w:bidi w:val="0"/>
              <w:spacing w:before="0" w:after="1"/>
              <w:ind w:left="0" w:right="0" w:hanging="0"/>
              <w:jc w:val="left"/>
              <w:rPr/>
            </w:pPr>
            <w:r>
              <w:rPr/>
              <w:t>​</w:t>
            </w:r>
          </w:p>
        </w:tc>
        <w:tc>
          <w:tcPr>
            <w:tcW w:w="1027"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Two-Way Collar</w:t>
            </w:r>
          </w:p>
        </w:tc>
        <w:tc>
          <w:tcPr>
            <w:tcW w:w="326" w:type="dxa"/>
            <w:tcBorders/>
            <w:shd w:fill="CCEEFF" w:val="clear"/>
            <w:vAlign w:val="center"/>
          </w:tcPr>
          <w:p>
            <w:pPr>
              <w:pStyle w:val="TableContents"/>
              <w:bidi w:val="0"/>
              <w:spacing w:before="0" w:after="1"/>
              <w:ind w:left="0" w:right="0" w:hanging="0"/>
              <w:jc w:val="left"/>
              <w:rPr/>
            </w:pPr>
            <w:r>
              <w:rPr/>
              <w:t>​</w:t>
            </w:r>
          </w:p>
        </w:tc>
        <w:tc>
          <w:tcPr>
            <w:tcW w:w="920"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10,258</w:t>
            </w:r>
          </w:p>
        </w:tc>
        <w:tc>
          <w:tcPr>
            <w:tcW w:w="109"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653"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2"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47"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60.00</w:t>
            </w:r>
          </w:p>
        </w:tc>
        <w:tc>
          <w:tcPr>
            <w:tcW w:w="32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63.00</w:t>
            </w:r>
          </w:p>
        </w:tc>
      </w:tr>
      <w:tr>
        <w:trPr/>
        <w:tc>
          <w:tcPr>
            <w:tcW w:w="1612" w:type="dxa"/>
            <w:tcBorders/>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October 2025 - December 2025</w:t>
            </w:r>
          </w:p>
        </w:tc>
        <w:tc>
          <w:tcPr>
            <w:tcW w:w="32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Crude Oil</w:t>
            </w:r>
          </w:p>
        </w:tc>
        <w:tc>
          <w:tcPr>
            <w:tcW w:w="326" w:type="dxa"/>
            <w:tcBorders/>
            <w:vAlign w:val="center"/>
          </w:tcPr>
          <w:p>
            <w:pPr>
              <w:pStyle w:val="TableContents"/>
              <w:bidi w:val="0"/>
              <w:spacing w:before="0" w:after="1"/>
              <w:ind w:left="0" w:right="0" w:hanging="0"/>
              <w:jc w:val="left"/>
              <w:rPr/>
            </w:pPr>
            <w:r>
              <w:rPr/>
              <w:t>​</w:t>
            </w:r>
          </w:p>
        </w:tc>
        <w:tc>
          <w:tcPr>
            <w:tcW w:w="1027" w:type="dxa"/>
            <w:tcBorders/>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Two-Way Collar</w:t>
            </w:r>
          </w:p>
        </w:tc>
        <w:tc>
          <w:tcPr>
            <w:tcW w:w="326" w:type="dxa"/>
            <w:tcBorders/>
            <w:vAlign w:val="center"/>
          </w:tcPr>
          <w:p>
            <w:pPr>
              <w:pStyle w:val="TableContents"/>
              <w:bidi w:val="0"/>
              <w:spacing w:before="0" w:after="1"/>
              <w:ind w:left="0" w:right="0" w:hanging="0"/>
              <w:jc w:val="left"/>
              <w:rPr/>
            </w:pPr>
            <w:r>
              <w:rPr/>
              <w:t>​</w:t>
            </w:r>
          </w:p>
        </w:tc>
        <w:tc>
          <w:tcPr>
            <w:tcW w:w="920"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2,404</w:t>
            </w:r>
          </w:p>
        </w:tc>
        <w:tc>
          <w:tcPr>
            <w:tcW w:w="109"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65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2" w:type="dxa"/>
            <w:tcBorders/>
            <w:vAlign w:val="center"/>
          </w:tcPr>
          <w:p>
            <w:pPr>
              <w:pStyle w:val="TableContents"/>
              <w:bidi w:val="0"/>
              <w:spacing w:before="0" w:after="1"/>
              <w:ind w:left="0" w:right="0" w:hanging="0"/>
              <w:jc w:val="left"/>
              <w:rPr/>
            </w:pPr>
            <w:r>
              <w:rPr/>
              <w:t>​</w:t>
            </w:r>
          </w:p>
        </w:tc>
        <w:tc>
          <w:tcPr>
            <w:tcW w:w="647"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60.00</w:t>
            </w:r>
          </w:p>
        </w:tc>
        <w:tc>
          <w:tcPr>
            <w:tcW w:w="326"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63.50</w:t>
            </w:r>
          </w:p>
        </w:tc>
      </w:tr>
      <w:tr>
        <w:trPr/>
        <w:tc>
          <w:tcPr>
            <w:tcW w:w="1612"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October 2025 - August 2026</w:t>
            </w:r>
          </w:p>
        </w:tc>
        <w:tc>
          <w:tcPr>
            <w:tcW w:w="32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Crude Oil</w:t>
            </w:r>
          </w:p>
        </w:tc>
        <w:tc>
          <w:tcPr>
            <w:tcW w:w="326" w:type="dxa"/>
            <w:tcBorders/>
            <w:shd w:fill="CCEEFF" w:val="clear"/>
            <w:vAlign w:val="center"/>
          </w:tcPr>
          <w:p>
            <w:pPr>
              <w:pStyle w:val="TableContents"/>
              <w:bidi w:val="0"/>
              <w:spacing w:before="0" w:after="1"/>
              <w:ind w:left="0" w:right="0" w:hanging="0"/>
              <w:jc w:val="left"/>
              <w:rPr/>
            </w:pPr>
            <w:r>
              <w:rPr/>
              <w:t>​</w:t>
            </w:r>
          </w:p>
        </w:tc>
        <w:tc>
          <w:tcPr>
            <w:tcW w:w="1027"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Two-Way Collar</w:t>
            </w:r>
          </w:p>
        </w:tc>
        <w:tc>
          <w:tcPr>
            <w:tcW w:w="326" w:type="dxa"/>
            <w:tcBorders/>
            <w:shd w:fill="CCEEFF" w:val="clear"/>
            <w:vAlign w:val="center"/>
          </w:tcPr>
          <w:p>
            <w:pPr>
              <w:pStyle w:val="TableContents"/>
              <w:bidi w:val="0"/>
              <w:spacing w:before="0" w:after="1"/>
              <w:ind w:left="0" w:right="0" w:hanging="0"/>
              <w:jc w:val="left"/>
              <w:rPr/>
            </w:pPr>
            <w:r>
              <w:rPr/>
              <w:t>​</w:t>
            </w:r>
          </w:p>
        </w:tc>
        <w:tc>
          <w:tcPr>
            <w:tcW w:w="920"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69,646</w:t>
            </w:r>
          </w:p>
        </w:tc>
        <w:tc>
          <w:tcPr>
            <w:tcW w:w="109"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653"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2" w:type="dxa"/>
            <w:tcBorders/>
            <w:shd w:fill="CCEEFF" w:val="clear"/>
            <w:vAlign w:val="center"/>
          </w:tcPr>
          <w:p>
            <w:pPr>
              <w:pStyle w:val="TableContents"/>
              <w:bidi w:val="0"/>
              <w:spacing w:before="0" w:after="1"/>
              <w:ind w:left="0" w:right="0" w:hanging="0"/>
              <w:jc w:val="left"/>
              <w:rPr/>
            </w:pPr>
            <w:r>
              <w:rPr/>
              <w:t>​</w:t>
            </w:r>
          </w:p>
        </w:tc>
        <w:tc>
          <w:tcPr>
            <w:tcW w:w="647"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60.00</w:t>
            </w:r>
          </w:p>
        </w:tc>
        <w:tc>
          <w:tcPr>
            <w:tcW w:w="32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65.55</w:t>
            </w:r>
          </w:p>
        </w:tc>
      </w:tr>
      <w:tr>
        <w:trPr/>
        <w:tc>
          <w:tcPr>
            <w:tcW w:w="1612" w:type="dxa"/>
            <w:tcBorders/>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January 2026 - March 2026</w:t>
            </w:r>
          </w:p>
        </w:tc>
        <w:tc>
          <w:tcPr>
            <w:tcW w:w="32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Crude Oil</w:t>
            </w:r>
          </w:p>
        </w:tc>
        <w:tc>
          <w:tcPr>
            <w:tcW w:w="326" w:type="dxa"/>
            <w:tcBorders/>
            <w:vAlign w:val="center"/>
          </w:tcPr>
          <w:p>
            <w:pPr>
              <w:pStyle w:val="TableContents"/>
              <w:bidi w:val="0"/>
              <w:spacing w:before="0" w:after="1"/>
              <w:ind w:left="0" w:right="0" w:hanging="0"/>
              <w:jc w:val="left"/>
              <w:rPr/>
            </w:pPr>
            <w:r>
              <w:rPr/>
              <w:t>​</w:t>
            </w:r>
          </w:p>
        </w:tc>
        <w:tc>
          <w:tcPr>
            <w:tcW w:w="1027" w:type="dxa"/>
            <w:tcBorders/>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Two-Way Collar</w:t>
            </w:r>
          </w:p>
        </w:tc>
        <w:tc>
          <w:tcPr>
            <w:tcW w:w="326" w:type="dxa"/>
            <w:tcBorders/>
            <w:vAlign w:val="center"/>
          </w:tcPr>
          <w:p>
            <w:pPr>
              <w:pStyle w:val="TableContents"/>
              <w:bidi w:val="0"/>
              <w:spacing w:before="0" w:after="1"/>
              <w:ind w:left="0" w:right="0" w:hanging="0"/>
              <w:jc w:val="left"/>
              <w:rPr/>
            </w:pPr>
            <w:r>
              <w:rPr/>
              <w:t>​</w:t>
            </w:r>
          </w:p>
        </w:tc>
        <w:tc>
          <w:tcPr>
            <w:tcW w:w="920"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43,493</w:t>
            </w:r>
          </w:p>
        </w:tc>
        <w:tc>
          <w:tcPr>
            <w:tcW w:w="109"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65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2" w:type="dxa"/>
            <w:tcBorders/>
            <w:vAlign w:val="center"/>
          </w:tcPr>
          <w:p>
            <w:pPr>
              <w:pStyle w:val="TableContents"/>
              <w:bidi w:val="0"/>
              <w:spacing w:before="0" w:after="1"/>
              <w:ind w:left="0" w:right="0" w:hanging="0"/>
              <w:jc w:val="left"/>
              <w:rPr/>
            </w:pPr>
            <w:r>
              <w:rPr/>
              <w:t>​</w:t>
            </w:r>
          </w:p>
        </w:tc>
        <w:tc>
          <w:tcPr>
            <w:tcW w:w="647"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60.00</w:t>
            </w:r>
          </w:p>
        </w:tc>
        <w:tc>
          <w:tcPr>
            <w:tcW w:w="326"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75.80</w:t>
            </w:r>
          </w:p>
        </w:tc>
      </w:tr>
      <w:tr>
        <w:trPr/>
        <w:tc>
          <w:tcPr>
            <w:tcW w:w="1612"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September 2026 - December 2026</w:t>
            </w:r>
          </w:p>
        </w:tc>
        <w:tc>
          <w:tcPr>
            <w:tcW w:w="32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Crude Oil</w:t>
            </w:r>
          </w:p>
        </w:tc>
        <w:tc>
          <w:tcPr>
            <w:tcW w:w="326" w:type="dxa"/>
            <w:tcBorders/>
            <w:shd w:fill="CCEEFF" w:val="clear"/>
            <w:vAlign w:val="center"/>
          </w:tcPr>
          <w:p>
            <w:pPr>
              <w:pStyle w:val="TableContents"/>
              <w:bidi w:val="0"/>
              <w:spacing w:before="0" w:after="1"/>
              <w:ind w:left="0" w:right="0" w:hanging="0"/>
              <w:jc w:val="left"/>
              <w:rPr/>
            </w:pPr>
            <w:r>
              <w:rPr/>
              <w:t>​</w:t>
            </w:r>
          </w:p>
        </w:tc>
        <w:tc>
          <w:tcPr>
            <w:tcW w:w="1027"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Three-Way Collar</w:t>
            </w:r>
          </w:p>
        </w:tc>
        <w:tc>
          <w:tcPr>
            <w:tcW w:w="326" w:type="dxa"/>
            <w:tcBorders/>
            <w:shd w:fill="CCEEFF" w:val="clear"/>
            <w:vAlign w:val="center"/>
          </w:tcPr>
          <w:p>
            <w:pPr>
              <w:pStyle w:val="TableContents"/>
              <w:bidi w:val="0"/>
              <w:spacing w:before="0" w:after="1"/>
              <w:ind w:left="0" w:right="0" w:hanging="0"/>
              <w:jc w:val="left"/>
              <w:rPr/>
            </w:pPr>
            <w:r>
              <w:rPr/>
              <w:t>​</w:t>
            </w:r>
          </w:p>
        </w:tc>
        <w:tc>
          <w:tcPr>
            <w:tcW w:w="920"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40,872</w:t>
            </w:r>
          </w:p>
        </w:tc>
        <w:tc>
          <w:tcPr>
            <w:tcW w:w="109"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53"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50.00</w:t>
            </w:r>
          </w:p>
        </w:tc>
        <w:tc>
          <w:tcPr>
            <w:tcW w:w="326" w:type="dxa"/>
            <w:tcBorders/>
            <w:shd w:fill="CCEEFF" w:val="clear"/>
            <w:vAlign w:val="center"/>
          </w:tcPr>
          <w:p>
            <w:pPr>
              <w:pStyle w:val="TableContents"/>
              <w:bidi w:val="0"/>
              <w:spacing w:before="0" w:after="1"/>
              <w:ind w:left="0" w:right="0" w:hanging="0"/>
              <w:jc w:val="left"/>
              <w:rPr/>
            </w:pPr>
            <w:r>
              <w:rPr/>
              <w:t>​</w:t>
            </w:r>
          </w:p>
        </w:tc>
        <w:tc>
          <w:tcPr>
            <w:tcW w:w="272" w:type="dxa"/>
            <w:tcBorders/>
            <w:shd w:fill="CCEEFF" w:val="clear"/>
            <w:vAlign w:val="center"/>
          </w:tcPr>
          <w:p>
            <w:pPr>
              <w:pStyle w:val="TableContents"/>
              <w:bidi w:val="0"/>
              <w:spacing w:before="0" w:after="1"/>
              <w:ind w:left="0" w:right="0" w:hanging="0"/>
              <w:jc w:val="left"/>
              <w:rPr/>
            </w:pPr>
            <w:r>
              <w:rPr/>
              <w:t>​</w:t>
            </w:r>
          </w:p>
        </w:tc>
        <w:tc>
          <w:tcPr>
            <w:tcW w:w="647"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60.00</w:t>
            </w:r>
          </w:p>
        </w:tc>
        <w:tc>
          <w:tcPr>
            <w:tcW w:w="32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70.45</w:t>
            </w:r>
          </w:p>
        </w:tc>
      </w:tr>
      <w:tr>
        <w:trPr/>
        <w:tc>
          <w:tcPr>
            <w:tcW w:w="1612" w:type="dxa"/>
            <w:tcBorders/>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October 2025 - December 2026</w:t>
            </w:r>
          </w:p>
        </w:tc>
        <w:tc>
          <w:tcPr>
            <w:tcW w:w="32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Natural Gas</w:t>
            </w:r>
          </w:p>
        </w:tc>
        <w:tc>
          <w:tcPr>
            <w:tcW w:w="326" w:type="dxa"/>
            <w:tcBorders/>
            <w:vAlign w:val="center"/>
          </w:tcPr>
          <w:p>
            <w:pPr>
              <w:pStyle w:val="TableContents"/>
              <w:bidi w:val="0"/>
              <w:spacing w:before="0" w:after="1"/>
              <w:ind w:left="0" w:right="0" w:hanging="0"/>
              <w:jc w:val="left"/>
              <w:rPr/>
            </w:pPr>
            <w:r>
              <w:rPr/>
              <w:t>​</w:t>
            </w:r>
          </w:p>
        </w:tc>
        <w:tc>
          <w:tcPr>
            <w:tcW w:w="1027" w:type="dxa"/>
            <w:tcBorders/>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Fixed-Price Swap</w:t>
            </w:r>
          </w:p>
        </w:tc>
        <w:tc>
          <w:tcPr>
            <w:tcW w:w="326" w:type="dxa"/>
            <w:tcBorders/>
            <w:vAlign w:val="center"/>
          </w:tcPr>
          <w:p>
            <w:pPr>
              <w:pStyle w:val="TableContents"/>
              <w:bidi w:val="0"/>
              <w:spacing w:before="0" w:after="1"/>
              <w:ind w:left="0" w:right="0" w:hanging="0"/>
              <w:jc w:val="left"/>
              <w:rPr/>
            </w:pPr>
            <w:r>
              <w:rPr/>
              <w:t>​</w:t>
            </w:r>
          </w:p>
        </w:tc>
        <w:tc>
          <w:tcPr>
            <w:tcW w:w="920"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2,090,828</w:t>
            </w:r>
          </w:p>
        </w:tc>
        <w:tc>
          <w:tcPr>
            <w:tcW w:w="109"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3.60</w:t>
            </w:r>
          </w:p>
        </w:tc>
        <w:tc>
          <w:tcPr>
            <w:tcW w:w="3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65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2" w:type="dxa"/>
            <w:tcBorders/>
            <w:vAlign w:val="center"/>
          </w:tcPr>
          <w:p>
            <w:pPr>
              <w:pStyle w:val="TableContents"/>
              <w:bidi w:val="0"/>
              <w:spacing w:before="0" w:after="1"/>
              <w:ind w:left="0" w:right="0" w:hanging="0"/>
              <w:jc w:val="left"/>
              <w:rPr/>
            </w:pPr>
            <w:r>
              <w:rPr/>
              <w:t>​</w:t>
            </w:r>
          </w:p>
        </w:tc>
        <w:tc>
          <w:tcPr>
            <w:tcW w:w="64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left"/>
              <w:rPr/>
            </w:pPr>
            <w:r>
              <w:rPr/>
              <w:t>​</w:t>
            </w:r>
          </w:p>
        </w:tc>
      </w:tr>
      <w:tr>
        <w:trPr/>
        <w:tc>
          <w:tcPr>
            <w:tcW w:w="1612"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October 2025 - December 2027</w:t>
            </w:r>
          </w:p>
        </w:tc>
        <w:tc>
          <w:tcPr>
            <w:tcW w:w="32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Natural Gas</w:t>
            </w:r>
          </w:p>
        </w:tc>
        <w:tc>
          <w:tcPr>
            <w:tcW w:w="326" w:type="dxa"/>
            <w:tcBorders/>
            <w:shd w:fill="CCEEFF" w:val="clear"/>
            <w:vAlign w:val="center"/>
          </w:tcPr>
          <w:p>
            <w:pPr>
              <w:pStyle w:val="TableContents"/>
              <w:bidi w:val="0"/>
              <w:spacing w:before="0" w:after="1"/>
              <w:ind w:left="0" w:right="0" w:hanging="0"/>
              <w:jc w:val="left"/>
              <w:rPr/>
            </w:pPr>
            <w:r>
              <w:rPr/>
              <w:t>​</w:t>
            </w:r>
          </w:p>
        </w:tc>
        <w:tc>
          <w:tcPr>
            <w:tcW w:w="1027"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Fixed-Price Swap</w:t>
            </w:r>
          </w:p>
        </w:tc>
        <w:tc>
          <w:tcPr>
            <w:tcW w:w="326" w:type="dxa"/>
            <w:tcBorders/>
            <w:shd w:fill="CCEEFF" w:val="clear"/>
            <w:vAlign w:val="center"/>
          </w:tcPr>
          <w:p>
            <w:pPr>
              <w:pStyle w:val="TableContents"/>
              <w:bidi w:val="0"/>
              <w:spacing w:before="0" w:after="1"/>
              <w:ind w:left="0" w:right="0" w:hanging="0"/>
              <w:jc w:val="left"/>
              <w:rPr/>
            </w:pPr>
            <w:r>
              <w:rPr/>
              <w:t>​</w:t>
            </w:r>
          </w:p>
        </w:tc>
        <w:tc>
          <w:tcPr>
            <w:tcW w:w="920"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2,921,728</w:t>
            </w:r>
          </w:p>
        </w:tc>
        <w:tc>
          <w:tcPr>
            <w:tcW w:w="109"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3.57</w:t>
            </w:r>
          </w:p>
        </w:tc>
        <w:tc>
          <w:tcPr>
            <w:tcW w:w="3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653"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2" w:type="dxa"/>
            <w:tcBorders/>
            <w:shd w:fill="CCEEFF" w:val="clear"/>
            <w:vAlign w:val="center"/>
          </w:tcPr>
          <w:p>
            <w:pPr>
              <w:pStyle w:val="TableContents"/>
              <w:bidi w:val="0"/>
              <w:spacing w:before="0" w:after="1"/>
              <w:ind w:left="0" w:right="0" w:hanging="0"/>
              <w:jc w:val="left"/>
              <w:rPr/>
            </w:pPr>
            <w:r>
              <w:rPr/>
              <w:t>​</w:t>
            </w:r>
          </w:p>
        </w:tc>
        <w:tc>
          <w:tcPr>
            <w:tcW w:w="647"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left"/>
              <w:rPr/>
            </w:pPr>
            <w:r>
              <w:rPr/>
              <w:t>​</w:t>
            </w:r>
          </w:p>
        </w:tc>
      </w:tr>
      <w:tr>
        <w:trPr/>
        <w:tc>
          <w:tcPr>
            <w:tcW w:w="1612" w:type="dxa"/>
            <w:tcBorders/>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July 2026 - December 2026</w:t>
            </w:r>
          </w:p>
        </w:tc>
        <w:tc>
          <w:tcPr>
            <w:tcW w:w="32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Natural Gas</w:t>
            </w:r>
          </w:p>
        </w:tc>
        <w:tc>
          <w:tcPr>
            <w:tcW w:w="326" w:type="dxa"/>
            <w:tcBorders/>
            <w:vAlign w:val="center"/>
          </w:tcPr>
          <w:p>
            <w:pPr>
              <w:pStyle w:val="TableContents"/>
              <w:bidi w:val="0"/>
              <w:spacing w:before="0" w:after="1"/>
              <w:ind w:left="0" w:right="0" w:hanging="0"/>
              <w:jc w:val="left"/>
              <w:rPr/>
            </w:pPr>
            <w:r>
              <w:rPr/>
              <w:t>​</w:t>
            </w:r>
          </w:p>
        </w:tc>
        <w:tc>
          <w:tcPr>
            <w:tcW w:w="1027" w:type="dxa"/>
            <w:tcBorders/>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Fixed-Price Swap</w:t>
            </w:r>
          </w:p>
        </w:tc>
        <w:tc>
          <w:tcPr>
            <w:tcW w:w="326" w:type="dxa"/>
            <w:tcBorders/>
            <w:vAlign w:val="center"/>
          </w:tcPr>
          <w:p>
            <w:pPr>
              <w:pStyle w:val="TableContents"/>
              <w:bidi w:val="0"/>
              <w:spacing w:before="0" w:after="1"/>
              <w:ind w:left="0" w:right="0" w:hanging="0"/>
              <w:jc w:val="left"/>
              <w:rPr/>
            </w:pPr>
            <w:r>
              <w:rPr/>
              <w:t>​</w:t>
            </w:r>
          </w:p>
        </w:tc>
        <w:tc>
          <w:tcPr>
            <w:tcW w:w="920"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207,366</w:t>
            </w:r>
          </w:p>
        </w:tc>
        <w:tc>
          <w:tcPr>
            <w:tcW w:w="109"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3.98</w:t>
            </w:r>
          </w:p>
        </w:tc>
        <w:tc>
          <w:tcPr>
            <w:tcW w:w="3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65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2" w:type="dxa"/>
            <w:tcBorders/>
            <w:vAlign w:val="center"/>
          </w:tcPr>
          <w:p>
            <w:pPr>
              <w:pStyle w:val="TableContents"/>
              <w:bidi w:val="0"/>
              <w:spacing w:before="0" w:after="1"/>
              <w:ind w:left="0" w:right="0" w:hanging="0"/>
              <w:jc w:val="left"/>
              <w:rPr/>
            </w:pPr>
            <w:r>
              <w:rPr/>
              <w:t>​</w:t>
            </w:r>
          </w:p>
        </w:tc>
        <w:tc>
          <w:tcPr>
            <w:tcW w:w="64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left"/>
              <w:rPr/>
            </w:pPr>
            <w:r>
              <w:rPr/>
              <w:t>​</w:t>
            </w:r>
          </w:p>
        </w:tc>
      </w:tr>
      <w:tr>
        <w:trPr/>
        <w:tc>
          <w:tcPr>
            <w:tcW w:w="1612"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October 2025 - December 2025</w:t>
            </w:r>
          </w:p>
        </w:tc>
        <w:tc>
          <w:tcPr>
            <w:tcW w:w="32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Natural Gas</w:t>
            </w:r>
          </w:p>
        </w:tc>
        <w:tc>
          <w:tcPr>
            <w:tcW w:w="326" w:type="dxa"/>
            <w:tcBorders/>
            <w:shd w:fill="CCEEFF" w:val="clear"/>
            <w:vAlign w:val="center"/>
          </w:tcPr>
          <w:p>
            <w:pPr>
              <w:pStyle w:val="TableContents"/>
              <w:bidi w:val="0"/>
              <w:spacing w:before="0" w:after="1"/>
              <w:ind w:left="0" w:right="0" w:hanging="0"/>
              <w:jc w:val="left"/>
              <w:rPr/>
            </w:pPr>
            <w:r>
              <w:rPr/>
              <w:t>​</w:t>
            </w:r>
          </w:p>
        </w:tc>
        <w:tc>
          <w:tcPr>
            <w:tcW w:w="1027"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Two-Way Collar</w:t>
            </w:r>
          </w:p>
        </w:tc>
        <w:tc>
          <w:tcPr>
            <w:tcW w:w="326" w:type="dxa"/>
            <w:tcBorders/>
            <w:shd w:fill="CCEEFF" w:val="clear"/>
            <w:vAlign w:val="center"/>
          </w:tcPr>
          <w:p>
            <w:pPr>
              <w:pStyle w:val="TableContents"/>
              <w:bidi w:val="0"/>
              <w:spacing w:before="0" w:after="1"/>
              <w:ind w:left="0" w:right="0" w:hanging="0"/>
              <w:jc w:val="left"/>
              <w:rPr/>
            </w:pPr>
            <w:r>
              <w:rPr/>
              <w:t>​</w:t>
            </w:r>
          </w:p>
        </w:tc>
        <w:tc>
          <w:tcPr>
            <w:tcW w:w="920"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222,725</w:t>
            </w:r>
          </w:p>
        </w:tc>
        <w:tc>
          <w:tcPr>
            <w:tcW w:w="109"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653"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2" w:type="dxa"/>
            <w:tcBorders/>
            <w:shd w:fill="CCEEFF" w:val="clear"/>
            <w:vAlign w:val="center"/>
          </w:tcPr>
          <w:p>
            <w:pPr>
              <w:pStyle w:val="TableContents"/>
              <w:bidi w:val="0"/>
              <w:spacing w:before="0" w:after="1"/>
              <w:ind w:left="0" w:right="0" w:hanging="0"/>
              <w:jc w:val="left"/>
              <w:rPr/>
            </w:pPr>
            <w:r>
              <w:rPr/>
              <w:t>​</w:t>
            </w:r>
          </w:p>
        </w:tc>
        <w:tc>
          <w:tcPr>
            <w:tcW w:w="647"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4.00</w:t>
            </w:r>
          </w:p>
        </w:tc>
        <w:tc>
          <w:tcPr>
            <w:tcW w:w="32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4.95</w:t>
            </w:r>
          </w:p>
        </w:tc>
      </w:tr>
      <w:tr>
        <w:trPr/>
        <w:tc>
          <w:tcPr>
            <w:tcW w:w="1612" w:type="dxa"/>
            <w:tcBorders/>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October 2025 - December 2025</w:t>
            </w:r>
          </w:p>
        </w:tc>
        <w:tc>
          <w:tcPr>
            <w:tcW w:w="32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Natural Gas</w:t>
            </w:r>
          </w:p>
        </w:tc>
        <w:tc>
          <w:tcPr>
            <w:tcW w:w="326" w:type="dxa"/>
            <w:tcBorders/>
            <w:vAlign w:val="center"/>
          </w:tcPr>
          <w:p>
            <w:pPr>
              <w:pStyle w:val="TableContents"/>
              <w:bidi w:val="0"/>
              <w:spacing w:before="0" w:after="1"/>
              <w:ind w:left="0" w:right="0" w:hanging="0"/>
              <w:jc w:val="left"/>
              <w:rPr/>
            </w:pPr>
            <w:r>
              <w:rPr/>
              <w:t>​</w:t>
            </w:r>
          </w:p>
        </w:tc>
        <w:tc>
          <w:tcPr>
            <w:tcW w:w="1027" w:type="dxa"/>
            <w:tcBorders/>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Two-Way Collar</w:t>
            </w:r>
          </w:p>
        </w:tc>
        <w:tc>
          <w:tcPr>
            <w:tcW w:w="326" w:type="dxa"/>
            <w:tcBorders/>
            <w:vAlign w:val="center"/>
          </w:tcPr>
          <w:p>
            <w:pPr>
              <w:pStyle w:val="TableContents"/>
              <w:bidi w:val="0"/>
              <w:spacing w:before="0" w:after="1"/>
              <w:ind w:left="0" w:right="0" w:hanging="0"/>
              <w:jc w:val="left"/>
              <w:rPr/>
            </w:pPr>
            <w:r>
              <w:rPr/>
              <w:t>​</w:t>
            </w:r>
          </w:p>
        </w:tc>
        <w:tc>
          <w:tcPr>
            <w:tcW w:w="920"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25,028</w:t>
            </w:r>
          </w:p>
        </w:tc>
        <w:tc>
          <w:tcPr>
            <w:tcW w:w="109"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65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2" w:type="dxa"/>
            <w:tcBorders/>
            <w:vAlign w:val="center"/>
          </w:tcPr>
          <w:p>
            <w:pPr>
              <w:pStyle w:val="TableContents"/>
              <w:bidi w:val="0"/>
              <w:spacing w:before="0" w:after="1"/>
              <w:ind w:left="0" w:right="0" w:hanging="0"/>
              <w:jc w:val="left"/>
              <w:rPr/>
            </w:pPr>
            <w:r>
              <w:rPr/>
              <w:t>​</w:t>
            </w:r>
          </w:p>
        </w:tc>
        <w:tc>
          <w:tcPr>
            <w:tcW w:w="647"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2.90</w:t>
            </w:r>
          </w:p>
        </w:tc>
        <w:tc>
          <w:tcPr>
            <w:tcW w:w="326"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3.50</w:t>
            </w:r>
          </w:p>
        </w:tc>
      </w:tr>
      <w:tr>
        <w:trPr/>
        <w:tc>
          <w:tcPr>
            <w:tcW w:w="1612"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January 2026 - March 2026</w:t>
            </w:r>
          </w:p>
        </w:tc>
        <w:tc>
          <w:tcPr>
            <w:tcW w:w="32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Natural Gas</w:t>
            </w:r>
          </w:p>
        </w:tc>
        <w:tc>
          <w:tcPr>
            <w:tcW w:w="326" w:type="dxa"/>
            <w:tcBorders/>
            <w:shd w:fill="CCEEFF" w:val="clear"/>
            <w:vAlign w:val="center"/>
          </w:tcPr>
          <w:p>
            <w:pPr>
              <w:pStyle w:val="TableContents"/>
              <w:bidi w:val="0"/>
              <w:spacing w:before="0" w:after="1"/>
              <w:ind w:left="0" w:right="0" w:hanging="0"/>
              <w:jc w:val="left"/>
              <w:rPr/>
            </w:pPr>
            <w:r>
              <w:rPr/>
              <w:t>​</w:t>
            </w:r>
          </w:p>
        </w:tc>
        <w:tc>
          <w:tcPr>
            <w:tcW w:w="1027"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Two-Way Collar</w:t>
            </w:r>
          </w:p>
        </w:tc>
        <w:tc>
          <w:tcPr>
            <w:tcW w:w="326" w:type="dxa"/>
            <w:tcBorders/>
            <w:shd w:fill="CCEEFF" w:val="clear"/>
            <w:vAlign w:val="center"/>
          </w:tcPr>
          <w:p>
            <w:pPr>
              <w:pStyle w:val="TableContents"/>
              <w:bidi w:val="0"/>
              <w:spacing w:before="0" w:after="1"/>
              <w:ind w:left="0" w:right="0" w:hanging="0"/>
              <w:jc w:val="left"/>
              <w:rPr/>
            </w:pPr>
            <w:r>
              <w:rPr/>
              <w:t>​</w:t>
            </w:r>
          </w:p>
        </w:tc>
        <w:tc>
          <w:tcPr>
            <w:tcW w:w="920"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213,251</w:t>
            </w:r>
          </w:p>
        </w:tc>
        <w:tc>
          <w:tcPr>
            <w:tcW w:w="109"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653"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2" w:type="dxa"/>
            <w:tcBorders/>
            <w:shd w:fill="CCEEFF" w:val="clear"/>
            <w:vAlign w:val="center"/>
          </w:tcPr>
          <w:p>
            <w:pPr>
              <w:pStyle w:val="TableContents"/>
              <w:bidi w:val="0"/>
              <w:spacing w:before="0" w:after="1"/>
              <w:ind w:left="0" w:right="0" w:hanging="0"/>
              <w:jc w:val="left"/>
              <w:rPr/>
            </w:pPr>
            <w:r>
              <w:rPr/>
              <w:t>​</w:t>
            </w:r>
          </w:p>
        </w:tc>
        <w:tc>
          <w:tcPr>
            <w:tcW w:w="647"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4.00</w:t>
            </w:r>
          </w:p>
        </w:tc>
        <w:tc>
          <w:tcPr>
            <w:tcW w:w="32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5.39</w:t>
            </w:r>
          </w:p>
        </w:tc>
      </w:tr>
      <w:tr>
        <w:trPr/>
        <w:tc>
          <w:tcPr>
            <w:tcW w:w="1612" w:type="dxa"/>
            <w:tcBorders/>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January 2026 - March 2026</w:t>
            </w:r>
          </w:p>
        </w:tc>
        <w:tc>
          <w:tcPr>
            <w:tcW w:w="32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Natural Gas</w:t>
            </w:r>
          </w:p>
        </w:tc>
        <w:tc>
          <w:tcPr>
            <w:tcW w:w="326" w:type="dxa"/>
            <w:tcBorders/>
            <w:vAlign w:val="center"/>
          </w:tcPr>
          <w:p>
            <w:pPr>
              <w:pStyle w:val="TableContents"/>
              <w:bidi w:val="0"/>
              <w:spacing w:before="0" w:after="1"/>
              <w:ind w:left="0" w:right="0" w:hanging="0"/>
              <w:jc w:val="left"/>
              <w:rPr/>
            </w:pPr>
            <w:r>
              <w:rPr/>
              <w:t>​</w:t>
            </w:r>
          </w:p>
        </w:tc>
        <w:tc>
          <w:tcPr>
            <w:tcW w:w="1027" w:type="dxa"/>
            <w:tcBorders/>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Two-Way Collar</w:t>
            </w:r>
          </w:p>
        </w:tc>
        <w:tc>
          <w:tcPr>
            <w:tcW w:w="326" w:type="dxa"/>
            <w:tcBorders/>
            <w:vAlign w:val="center"/>
          </w:tcPr>
          <w:p>
            <w:pPr>
              <w:pStyle w:val="TableContents"/>
              <w:bidi w:val="0"/>
              <w:spacing w:before="0" w:after="1"/>
              <w:ind w:left="0" w:right="0" w:hanging="0"/>
              <w:jc w:val="left"/>
              <w:rPr/>
            </w:pPr>
            <w:r>
              <w:rPr/>
              <w:t>​</w:t>
            </w:r>
          </w:p>
        </w:tc>
        <w:tc>
          <w:tcPr>
            <w:tcW w:w="920"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375,481</w:t>
            </w:r>
          </w:p>
        </w:tc>
        <w:tc>
          <w:tcPr>
            <w:tcW w:w="109"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65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2" w:type="dxa"/>
            <w:tcBorders/>
            <w:vAlign w:val="center"/>
          </w:tcPr>
          <w:p>
            <w:pPr>
              <w:pStyle w:val="TableContents"/>
              <w:bidi w:val="0"/>
              <w:spacing w:before="0" w:after="1"/>
              <w:ind w:left="0" w:right="0" w:hanging="0"/>
              <w:jc w:val="left"/>
              <w:rPr/>
            </w:pPr>
            <w:r>
              <w:rPr/>
              <w:t>​</w:t>
            </w:r>
          </w:p>
        </w:tc>
        <w:tc>
          <w:tcPr>
            <w:tcW w:w="647"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3.60</w:t>
            </w:r>
          </w:p>
        </w:tc>
        <w:tc>
          <w:tcPr>
            <w:tcW w:w="326"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5.00</w:t>
            </w:r>
          </w:p>
        </w:tc>
      </w:tr>
      <w:tr>
        <w:trPr/>
        <w:tc>
          <w:tcPr>
            <w:tcW w:w="1612"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January 2026 - March 2026</w:t>
            </w:r>
          </w:p>
        </w:tc>
        <w:tc>
          <w:tcPr>
            <w:tcW w:w="32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Natural Gas</w:t>
            </w:r>
          </w:p>
        </w:tc>
        <w:tc>
          <w:tcPr>
            <w:tcW w:w="326" w:type="dxa"/>
            <w:tcBorders/>
            <w:shd w:fill="CCEEFF" w:val="clear"/>
            <w:vAlign w:val="center"/>
          </w:tcPr>
          <w:p>
            <w:pPr>
              <w:pStyle w:val="TableContents"/>
              <w:bidi w:val="0"/>
              <w:spacing w:before="0" w:after="1"/>
              <w:ind w:left="0" w:right="0" w:hanging="0"/>
              <w:jc w:val="left"/>
              <w:rPr/>
            </w:pPr>
            <w:r>
              <w:rPr/>
              <w:t>​</w:t>
            </w:r>
          </w:p>
        </w:tc>
        <w:tc>
          <w:tcPr>
            <w:tcW w:w="1027"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Two-Way Collar</w:t>
            </w:r>
          </w:p>
        </w:tc>
        <w:tc>
          <w:tcPr>
            <w:tcW w:w="326" w:type="dxa"/>
            <w:tcBorders/>
            <w:shd w:fill="CCEEFF" w:val="clear"/>
            <w:vAlign w:val="center"/>
          </w:tcPr>
          <w:p>
            <w:pPr>
              <w:pStyle w:val="TableContents"/>
              <w:bidi w:val="0"/>
              <w:spacing w:before="0" w:after="1"/>
              <w:ind w:left="0" w:right="0" w:hanging="0"/>
              <w:jc w:val="left"/>
              <w:rPr/>
            </w:pPr>
            <w:r>
              <w:rPr/>
              <w:t>​</w:t>
            </w:r>
          </w:p>
        </w:tc>
        <w:tc>
          <w:tcPr>
            <w:tcW w:w="920"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76,177</w:t>
            </w:r>
          </w:p>
        </w:tc>
        <w:tc>
          <w:tcPr>
            <w:tcW w:w="109"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653"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2" w:type="dxa"/>
            <w:tcBorders/>
            <w:shd w:fill="CCEEFF" w:val="clear"/>
            <w:vAlign w:val="center"/>
          </w:tcPr>
          <w:p>
            <w:pPr>
              <w:pStyle w:val="TableContents"/>
              <w:bidi w:val="0"/>
              <w:spacing w:before="0" w:after="1"/>
              <w:ind w:left="0" w:right="0" w:hanging="0"/>
              <w:jc w:val="left"/>
              <w:rPr/>
            </w:pPr>
            <w:r>
              <w:rPr/>
              <w:t>​</w:t>
            </w:r>
          </w:p>
        </w:tc>
        <w:tc>
          <w:tcPr>
            <w:tcW w:w="647"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3.50</w:t>
            </w:r>
          </w:p>
        </w:tc>
        <w:tc>
          <w:tcPr>
            <w:tcW w:w="32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4.66</w:t>
            </w:r>
          </w:p>
        </w:tc>
      </w:tr>
      <w:tr>
        <w:trPr/>
        <w:tc>
          <w:tcPr>
            <w:tcW w:w="1612" w:type="dxa"/>
            <w:tcBorders/>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April 2026 - October 2026</w:t>
            </w:r>
          </w:p>
        </w:tc>
        <w:tc>
          <w:tcPr>
            <w:tcW w:w="32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Natural Gas</w:t>
            </w:r>
          </w:p>
        </w:tc>
        <w:tc>
          <w:tcPr>
            <w:tcW w:w="326" w:type="dxa"/>
            <w:tcBorders/>
            <w:vAlign w:val="center"/>
          </w:tcPr>
          <w:p>
            <w:pPr>
              <w:pStyle w:val="TableContents"/>
              <w:bidi w:val="0"/>
              <w:spacing w:before="0" w:after="1"/>
              <w:ind w:left="0" w:right="0" w:hanging="0"/>
              <w:jc w:val="left"/>
              <w:rPr/>
            </w:pPr>
            <w:r>
              <w:rPr/>
              <w:t>​</w:t>
            </w:r>
          </w:p>
        </w:tc>
        <w:tc>
          <w:tcPr>
            <w:tcW w:w="1027" w:type="dxa"/>
            <w:tcBorders/>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Two-Way Collar</w:t>
            </w:r>
          </w:p>
        </w:tc>
        <w:tc>
          <w:tcPr>
            <w:tcW w:w="326" w:type="dxa"/>
            <w:tcBorders/>
            <w:vAlign w:val="center"/>
          </w:tcPr>
          <w:p>
            <w:pPr>
              <w:pStyle w:val="TableContents"/>
              <w:bidi w:val="0"/>
              <w:spacing w:before="0" w:after="1"/>
              <w:ind w:left="0" w:right="0" w:hanging="0"/>
              <w:jc w:val="left"/>
              <w:rPr/>
            </w:pPr>
            <w:r>
              <w:rPr/>
              <w:t>​</w:t>
            </w:r>
          </w:p>
        </w:tc>
        <w:tc>
          <w:tcPr>
            <w:tcW w:w="920"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952,588</w:t>
            </w:r>
          </w:p>
        </w:tc>
        <w:tc>
          <w:tcPr>
            <w:tcW w:w="109"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65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2" w:type="dxa"/>
            <w:tcBorders/>
            <w:vAlign w:val="center"/>
          </w:tcPr>
          <w:p>
            <w:pPr>
              <w:pStyle w:val="TableContents"/>
              <w:bidi w:val="0"/>
              <w:spacing w:before="0" w:after="1"/>
              <w:ind w:left="0" w:right="0" w:hanging="0"/>
              <w:jc w:val="left"/>
              <w:rPr/>
            </w:pPr>
            <w:r>
              <w:rPr/>
              <w:t>​</w:t>
            </w:r>
          </w:p>
        </w:tc>
        <w:tc>
          <w:tcPr>
            <w:tcW w:w="647"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3.50</w:t>
            </w:r>
          </w:p>
        </w:tc>
        <w:tc>
          <w:tcPr>
            <w:tcW w:w="326"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4.55</w:t>
            </w:r>
          </w:p>
        </w:tc>
      </w:tr>
      <w:tr>
        <w:trPr/>
        <w:tc>
          <w:tcPr>
            <w:tcW w:w="1612"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September 2026 - December 2026</w:t>
            </w:r>
          </w:p>
        </w:tc>
        <w:tc>
          <w:tcPr>
            <w:tcW w:w="32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Natural Gas</w:t>
            </w:r>
          </w:p>
        </w:tc>
        <w:tc>
          <w:tcPr>
            <w:tcW w:w="326" w:type="dxa"/>
            <w:tcBorders/>
            <w:shd w:fill="CCEEFF" w:val="clear"/>
            <w:vAlign w:val="center"/>
          </w:tcPr>
          <w:p>
            <w:pPr>
              <w:pStyle w:val="TableContents"/>
              <w:bidi w:val="0"/>
              <w:spacing w:before="0" w:after="1"/>
              <w:ind w:left="0" w:right="0" w:hanging="0"/>
              <w:jc w:val="left"/>
              <w:rPr/>
            </w:pPr>
            <w:r>
              <w:rPr/>
              <w:t>​</w:t>
            </w:r>
          </w:p>
        </w:tc>
        <w:tc>
          <w:tcPr>
            <w:tcW w:w="1027"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Two-Way Collar</w:t>
            </w:r>
          </w:p>
        </w:tc>
        <w:tc>
          <w:tcPr>
            <w:tcW w:w="326" w:type="dxa"/>
            <w:tcBorders/>
            <w:shd w:fill="CCEEFF" w:val="clear"/>
            <w:vAlign w:val="center"/>
          </w:tcPr>
          <w:p>
            <w:pPr>
              <w:pStyle w:val="TableContents"/>
              <w:bidi w:val="0"/>
              <w:spacing w:before="0" w:after="1"/>
              <w:ind w:left="0" w:right="0" w:hanging="0"/>
              <w:jc w:val="left"/>
              <w:rPr/>
            </w:pPr>
            <w:r>
              <w:rPr/>
              <w:t>​</w:t>
            </w:r>
          </w:p>
        </w:tc>
        <w:tc>
          <w:tcPr>
            <w:tcW w:w="920"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318,964</w:t>
            </w:r>
          </w:p>
        </w:tc>
        <w:tc>
          <w:tcPr>
            <w:tcW w:w="109"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653"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2" w:type="dxa"/>
            <w:tcBorders/>
            <w:shd w:fill="CCEEFF" w:val="clear"/>
            <w:vAlign w:val="center"/>
          </w:tcPr>
          <w:p>
            <w:pPr>
              <w:pStyle w:val="TableContents"/>
              <w:bidi w:val="0"/>
              <w:spacing w:before="0" w:after="1"/>
              <w:ind w:left="0" w:right="0" w:hanging="0"/>
              <w:jc w:val="left"/>
              <w:rPr/>
            </w:pPr>
            <w:r>
              <w:rPr/>
              <w:t>​</w:t>
            </w:r>
          </w:p>
        </w:tc>
        <w:tc>
          <w:tcPr>
            <w:tcW w:w="647"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3.75</w:t>
            </w:r>
          </w:p>
        </w:tc>
        <w:tc>
          <w:tcPr>
            <w:tcW w:w="32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45" w:hanging="0"/>
              <w:jc w:val="right"/>
              <w:rPr>
                <w:rFonts w:ascii="Times New Roman;Times;serif" w:hAnsi="Times New Roman;Times;serif"/>
                <w:sz w:val="15"/>
              </w:rPr>
            </w:pPr>
            <w:r>
              <w:rPr>
                <w:rFonts w:ascii="Times New Roman;Times;serif" w:hAnsi="Times New Roman;Times;serif"/>
                <w:sz w:val="15"/>
              </w:rPr>
              <w:t>4.94</w:t>
            </w:r>
          </w:p>
        </w:tc>
      </w:tr>
    </w:tbl>
    <w:p>
      <w:pPr>
        <w:pStyle w:val="TextBody"/>
        <w:bidi w:val="0"/>
        <w:spacing w:before="240" w:after="120"/>
        <w:ind w:left="0" w:right="0" w:hanging="0"/>
        <w:jc w:val="left"/>
        <w:rPr>
          <w:rFonts w:ascii="Times New Roman;Times;serif" w:hAnsi="Times New Roman;Times;serif"/>
          <w:sz w:val="20"/>
        </w:rPr>
      </w:pPr>
      <w:r>
        <w:rPr>
          <w:rFonts w:ascii="Times New Roman;Times;serif" w:hAnsi="Times New Roman;Times;serif"/>
          <w:sz w:val="20"/>
        </w:rPr>
        <w:t>Subsequent to September 30, 2025, the Company entered into the following new crude oil and natural gas derivative contracts: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563"/>
        <w:gridCol w:w="326"/>
        <w:gridCol w:w="856"/>
        <w:gridCol w:w="326"/>
        <w:gridCol w:w="1036"/>
        <w:gridCol w:w="326"/>
        <w:gridCol w:w="928"/>
        <w:gridCol w:w="109"/>
        <w:gridCol w:w="275"/>
        <w:gridCol w:w="652"/>
        <w:gridCol w:w="326"/>
        <w:gridCol w:w="268"/>
        <w:gridCol w:w="659"/>
        <w:gridCol w:w="326"/>
        <w:gridCol w:w="274"/>
        <w:gridCol w:w="653"/>
        <w:gridCol w:w="326"/>
        <w:gridCol w:w="279"/>
        <w:gridCol w:w="697"/>
      </w:tblGrid>
      <w:tr>
        <w:trPr/>
        <w:tc>
          <w:tcPr>
            <w:tcW w:w="15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992505" cy="175260"/>
                      <wp:effectExtent l="0" t="0" r="0" b="0"/>
                      <wp:wrapNone/>
                      <wp:docPr id="115" name="Frame114"/>
                      <a:graphic xmlns:a="http://schemas.openxmlformats.org/drawingml/2006/main">
                        <a:graphicData uri="http://schemas.microsoft.com/office/word/2010/wordprocessingShape">
                          <wps:wsp>
                            <wps:cNvSpPr txBox="1"/>
                            <wps:spPr>
                              <a:xfrm>
                                <a:off x="0" y="0"/>
                                <a:ext cx="992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07010" cy="175260"/>
                      <wp:effectExtent l="0" t="0" r="0" b="0"/>
                      <wp:wrapNone/>
                      <wp:docPr id="116" name="Frame1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543560" cy="175260"/>
                      <wp:effectExtent l="0" t="0" r="0" b="0"/>
                      <wp:wrapNone/>
                      <wp:docPr id="117" name="Frame116"/>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07010" cy="175260"/>
                      <wp:effectExtent l="0" t="0" r="0" b="0"/>
                      <wp:wrapNone/>
                      <wp:docPr id="118" name="Frame1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57860" cy="175260"/>
                      <wp:effectExtent l="0" t="0" r="0" b="0"/>
                      <wp:wrapNone/>
                      <wp:docPr id="119" name="Frame11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07010" cy="175260"/>
                      <wp:effectExtent l="0" t="0" r="0" b="0"/>
                      <wp:wrapNone/>
                      <wp:docPr id="120" name="Frame1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589280" cy="175260"/>
                      <wp:effectExtent l="0" t="0" r="0" b="0"/>
                      <wp:wrapNone/>
                      <wp:docPr id="121" name="Frame120"/>
                      <a:graphic xmlns:a="http://schemas.openxmlformats.org/drawingml/2006/main">
                        <a:graphicData uri="http://schemas.microsoft.com/office/word/2010/wordprocessingShape">
                          <wps:wsp>
                            <wps:cNvSpPr txBox="1"/>
                            <wps:spPr>
                              <a:xfrm>
                                <a:off x="0" y="0"/>
                                <a:ext cx="589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9215" cy="175260"/>
                      <wp:effectExtent l="0" t="0" r="0" b="0"/>
                      <wp:wrapNone/>
                      <wp:docPr id="122" name="Frame1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74625" cy="175260"/>
                      <wp:effectExtent l="0" t="0" r="0" b="0"/>
                      <wp:wrapNone/>
                      <wp:docPr id="123" name="Frame122"/>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414020" cy="175260"/>
                      <wp:effectExtent l="0" t="0" r="0" b="0"/>
                      <wp:wrapNone/>
                      <wp:docPr id="124" name="Frame123"/>
                      <a:graphic xmlns:a="http://schemas.openxmlformats.org/drawingml/2006/main">
                        <a:graphicData uri="http://schemas.microsoft.com/office/word/2010/wordprocessingShape">
                          <wps:wsp>
                            <wps:cNvSpPr txBox="1"/>
                            <wps:spPr>
                              <a:xfrm>
                                <a:off x="0" y="0"/>
                                <a:ext cx="414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07010" cy="175260"/>
                      <wp:effectExtent l="0" t="0" r="0" b="0"/>
                      <wp:wrapNone/>
                      <wp:docPr id="125" name="Frame1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70180" cy="175260"/>
                      <wp:effectExtent l="0" t="0" r="0" b="0"/>
                      <wp:wrapNone/>
                      <wp:docPr id="126" name="Frame125"/>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418465" cy="175260"/>
                      <wp:effectExtent l="0" t="0" r="0" b="0"/>
                      <wp:wrapNone/>
                      <wp:docPr id="127" name="Frame126"/>
                      <a:graphic xmlns:a="http://schemas.openxmlformats.org/drawingml/2006/main">
                        <a:graphicData uri="http://schemas.microsoft.com/office/word/2010/wordprocessingShape">
                          <wps:wsp>
                            <wps:cNvSpPr txBox="1"/>
                            <wps:spPr>
                              <a:xfrm>
                                <a:off x="0" y="0"/>
                                <a:ext cx="418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07010" cy="175260"/>
                      <wp:effectExtent l="0" t="0" r="0" b="0"/>
                      <wp:wrapNone/>
                      <wp:docPr id="128" name="Frame1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73990" cy="175260"/>
                      <wp:effectExtent l="0" t="0" r="0" b="0"/>
                      <wp:wrapNone/>
                      <wp:docPr id="129" name="Frame128"/>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414655" cy="175260"/>
                      <wp:effectExtent l="0" t="0" r="0" b="0"/>
                      <wp:wrapNone/>
                      <wp:docPr id="130" name="Frame129"/>
                      <a:graphic xmlns:a="http://schemas.openxmlformats.org/drawingml/2006/main">
                        <a:graphicData uri="http://schemas.microsoft.com/office/word/2010/wordprocessingShape">
                          <wps:wsp>
                            <wps:cNvSpPr txBox="1"/>
                            <wps:spPr>
                              <a:xfrm>
                                <a:off x="0" y="0"/>
                                <a:ext cx="414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07010" cy="175260"/>
                      <wp:effectExtent l="0" t="0" r="0" b="0"/>
                      <wp:wrapNone/>
                      <wp:docPr id="131" name="Frame1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77165" cy="175260"/>
                      <wp:effectExtent l="0" t="0" r="0" b="0"/>
                      <wp:wrapNone/>
                      <wp:docPr id="132" name="Frame131"/>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442595" cy="175260"/>
                      <wp:effectExtent l="0" t="0" r="0" b="0"/>
                      <wp:wrapNone/>
                      <wp:docPr id="133" name="Frame132"/>
                      <a:graphic xmlns:a="http://schemas.openxmlformats.org/drawingml/2006/main">
                        <a:graphicData uri="http://schemas.microsoft.com/office/word/2010/wordprocessingShape">
                          <wps:wsp>
                            <wps:cNvSpPr txBox="1"/>
                            <wps:spPr>
                              <a:xfrm>
                                <a:off x="0" y="0"/>
                                <a:ext cx="442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6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2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927"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Swap Price</w:t>
            </w:r>
          </w:p>
        </w:tc>
        <w:tc>
          <w:tcPr>
            <w:tcW w:w="326" w:type="dxa"/>
            <w:tcBorders/>
            <w:vAlign w:val="center"/>
          </w:tcPr>
          <w:p>
            <w:pPr>
              <w:pStyle w:val="TableContents"/>
              <w:bidi w:val="0"/>
              <w:spacing w:before="0" w:after="0"/>
              <w:ind w:left="0" w:right="0" w:hanging="0"/>
              <w:jc w:val="left"/>
              <w:rPr/>
            </w:pPr>
            <w:r>
              <w:rPr/>
              <w:t>​</w:t>
            </w:r>
          </w:p>
        </w:tc>
        <w:tc>
          <w:tcPr>
            <w:tcW w:w="927"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Sub Floor</w:t>
            </w:r>
          </w:p>
        </w:tc>
        <w:tc>
          <w:tcPr>
            <w:tcW w:w="326" w:type="dxa"/>
            <w:tcBorders/>
            <w:vAlign w:val="center"/>
          </w:tcPr>
          <w:p>
            <w:pPr>
              <w:pStyle w:val="TableContents"/>
              <w:bidi w:val="0"/>
              <w:spacing w:before="0" w:after="0"/>
              <w:ind w:left="0" w:right="0" w:hanging="0"/>
              <w:jc w:val="left"/>
              <w:rPr/>
            </w:pPr>
            <w:r>
              <w:rPr/>
              <w:t>​</w:t>
            </w:r>
          </w:p>
        </w:tc>
        <w:tc>
          <w:tcPr>
            <w:tcW w:w="927"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Floor Price</w:t>
            </w:r>
          </w:p>
        </w:tc>
        <w:tc>
          <w:tcPr>
            <w:tcW w:w="326" w:type="dxa"/>
            <w:tcBorders/>
            <w:vAlign w:val="center"/>
          </w:tcPr>
          <w:p>
            <w:pPr>
              <w:pStyle w:val="TableContents"/>
              <w:bidi w:val="0"/>
              <w:spacing w:before="0" w:after="0"/>
              <w:ind w:left="0" w:right="0" w:hanging="0"/>
              <w:jc w:val="left"/>
              <w:rPr/>
            </w:pPr>
            <w:r>
              <w:rPr/>
              <w:t>​</w:t>
            </w:r>
          </w:p>
        </w:tc>
        <w:tc>
          <w:tcPr>
            <w:tcW w:w="976"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Ceiling Price</w:t>
            </w:r>
          </w:p>
        </w:tc>
      </w:tr>
      <w:tr>
        <w:trPr/>
        <w:tc>
          <w:tcPr>
            <w:tcW w:w="156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28"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Volumes in</w:t>
            </w:r>
          </w:p>
        </w:tc>
        <w:tc>
          <w:tcPr>
            <w:tcW w:w="109"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center"/>
              <w:rPr/>
            </w:pPr>
            <w:r>
              <w:rPr/>
              <w:t>​</w:t>
            </w:r>
          </w:p>
        </w:tc>
        <w:tc>
          <w:tcPr>
            <w:tcW w:w="652"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per</w:t>
            </w:r>
          </w:p>
        </w:tc>
        <w:tc>
          <w:tcPr>
            <w:tcW w:w="326" w:type="dxa"/>
            <w:tcBorders/>
            <w:vAlign w:val="center"/>
          </w:tcPr>
          <w:p>
            <w:pPr>
              <w:pStyle w:val="TableContents"/>
              <w:bidi w:val="0"/>
              <w:spacing w:before="0" w:after="0"/>
              <w:ind w:left="0" w:right="0" w:hanging="0"/>
              <w:jc w:val="left"/>
              <w:rPr/>
            </w:pPr>
            <w:r>
              <w:rPr/>
              <w:t>​</w:t>
            </w:r>
          </w:p>
        </w:tc>
        <w:tc>
          <w:tcPr>
            <w:tcW w:w="927"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Price per</w:t>
            </w:r>
          </w:p>
        </w:tc>
        <w:tc>
          <w:tcPr>
            <w:tcW w:w="326" w:type="dxa"/>
            <w:tcBorders/>
            <w:vAlign w:val="center"/>
          </w:tcPr>
          <w:p>
            <w:pPr>
              <w:pStyle w:val="TableContents"/>
              <w:bidi w:val="0"/>
              <w:spacing w:before="0" w:after="0"/>
              <w:ind w:left="0" w:right="0" w:hanging="0"/>
              <w:jc w:val="left"/>
              <w:rPr/>
            </w:pPr>
            <w:r>
              <w:rPr/>
              <w:t>​</w:t>
            </w:r>
          </w:p>
        </w:tc>
        <w:tc>
          <w:tcPr>
            <w:tcW w:w="927"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per</w:t>
            </w:r>
          </w:p>
        </w:tc>
        <w:tc>
          <w:tcPr>
            <w:tcW w:w="326" w:type="dxa"/>
            <w:tcBorders/>
            <w:vAlign w:val="center"/>
          </w:tcPr>
          <w:p>
            <w:pPr>
              <w:pStyle w:val="TableContents"/>
              <w:bidi w:val="0"/>
              <w:spacing w:before="0" w:after="0"/>
              <w:ind w:left="0" w:right="0" w:hanging="0"/>
              <w:jc w:val="left"/>
              <w:rPr/>
            </w:pPr>
            <w:r>
              <w:rPr/>
              <w:t>​</w:t>
            </w:r>
          </w:p>
        </w:tc>
        <w:tc>
          <w:tcPr>
            <w:tcW w:w="976"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per</w:t>
            </w:r>
          </w:p>
        </w:tc>
      </w:tr>
      <w:tr>
        <w:trPr/>
        <w:tc>
          <w:tcPr>
            <w:tcW w:w="156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Period</w:t>
            </w:r>
          </w:p>
        </w:tc>
        <w:tc>
          <w:tcPr>
            <w:tcW w:w="326" w:type="dxa"/>
            <w:tcBorders/>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Commodity</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Instrument</w:t>
            </w:r>
          </w:p>
        </w:tc>
        <w:tc>
          <w:tcPr>
            <w:tcW w:w="326" w:type="dxa"/>
            <w:tcBorders/>
            <w:vAlign w:val="center"/>
          </w:tcPr>
          <w:p>
            <w:pPr>
              <w:pStyle w:val="TableContents"/>
              <w:bidi w:val="0"/>
              <w:spacing w:before="0" w:after="0"/>
              <w:ind w:left="0" w:right="0" w:hanging="0"/>
              <w:jc w:val="left"/>
              <w:rPr/>
            </w:pPr>
            <w:r>
              <w:rPr/>
              <w:t>    </w:t>
            </w:r>
          </w:p>
        </w:tc>
        <w:tc>
          <w:tcPr>
            <w:tcW w:w="92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MMBTU/BBL</w:t>
            </w:r>
          </w:p>
        </w:tc>
        <w:tc>
          <w:tcPr>
            <w:tcW w:w="109" w:type="dxa"/>
            <w:tcBorders/>
            <w:vAlign w:val="center"/>
          </w:tcPr>
          <w:p>
            <w:pPr>
              <w:pStyle w:val="TableContents"/>
              <w:bidi w:val="0"/>
              <w:spacing w:before="0" w:after="0"/>
              <w:ind w:left="0" w:right="0" w:hanging="0"/>
              <w:jc w:val="left"/>
              <w:rPr/>
            </w:pPr>
            <w:r>
              <w:rPr/>
              <w:t>​</w:t>
            </w:r>
          </w:p>
        </w:tc>
        <w:tc>
          <w:tcPr>
            <w:tcW w:w="9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MMBTU/BBL</w:t>
            </w:r>
          </w:p>
        </w:tc>
        <w:tc>
          <w:tcPr>
            <w:tcW w:w="326" w:type="dxa"/>
            <w:tcBorders/>
            <w:vAlign w:val="center"/>
          </w:tcPr>
          <w:p>
            <w:pPr>
              <w:pStyle w:val="TableContents"/>
              <w:bidi w:val="0"/>
              <w:spacing w:before="0" w:after="0"/>
              <w:ind w:left="0" w:right="0" w:hanging="0"/>
              <w:jc w:val="left"/>
              <w:rPr/>
            </w:pPr>
            <w:r>
              <w:rPr/>
              <w:t>    </w:t>
            </w:r>
          </w:p>
        </w:tc>
        <w:tc>
          <w:tcPr>
            <w:tcW w:w="9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MMBTU/BBL</w:t>
            </w:r>
          </w:p>
        </w:tc>
        <w:tc>
          <w:tcPr>
            <w:tcW w:w="326" w:type="dxa"/>
            <w:tcBorders/>
            <w:vAlign w:val="center"/>
          </w:tcPr>
          <w:p>
            <w:pPr>
              <w:pStyle w:val="TableContents"/>
              <w:bidi w:val="0"/>
              <w:spacing w:before="0" w:after="0"/>
              <w:ind w:left="0" w:right="0" w:hanging="0"/>
              <w:jc w:val="left"/>
              <w:rPr/>
            </w:pPr>
            <w:r>
              <w:rPr/>
              <w:t>    </w:t>
            </w:r>
          </w:p>
        </w:tc>
        <w:tc>
          <w:tcPr>
            <w:tcW w:w="9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MMBTU/BBL</w:t>
            </w:r>
          </w:p>
        </w:tc>
        <w:tc>
          <w:tcPr>
            <w:tcW w:w="326" w:type="dxa"/>
            <w:tcBorders/>
            <w:vAlign w:val="center"/>
          </w:tcPr>
          <w:p>
            <w:pPr>
              <w:pStyle w:val="TableContents"/>
              <w:bidi w:val="0"/>
              <w:spacing w:before="0" w:after="0"/>
              <w:ind w:left="0" w:right="0" w:hanging="0"/>
              <w:jc w:val="left"/>
              <w:rPr/>
            </w:pPr>
            <w:r>
              <w:rPr/>
              <w:t>    </w:t>
            </w:r>
          </w:p>
        </w:tc>
        <w:tc>
          <w:tcPr>
            <w:tcW w:w="9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MMBTU/BBL</w:t>
            </w:r>
          </w:p>
        </w:tc>
      </w:tr>
      <w:tr>
        <w:trPr/>
        <w:tc>
          <w:tcPr>
            <w:tcW w:w="1563" w:type="dxa"/>
            <w:tcBorders/>
            <w:vAlign w:val="center"/>
          </w:tcPr>
          <w:p>
            <w:pPr>
              <w:pStyle w:val="TableContents"/>
              <w:bidi w:val="0"/>
              <w:spacing w:before="0" w:after="0"/>
              <w:ind w:left="0" w:right="0" w:hanging="0"/>
              <w:jc w:val="center"/>
              <w:rPr>
                <w:rFonts w:ascii="Times New Roman;Times;serif" w:hAnsi="Times New Roman;Times;serif"/>
                <w:sz w:val="15"/>
              </w:rPr>
            </w:pPr>
            <w:r>
              <w:rPr>
                <w:rFonts w:ascii="Times New Roman;Times;serif" w:hAnsi="Times New Roman;Times;serif"/>
                <w:sz w:val="15"/>
              </w:rPr>
              <w:t>January 2026 - September 2026</w:t>
            </w:r>
          </w:p>
        </w:tc>
        <w:tc>
          <w:tcPr>
            <w:tcW w:w="32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sz w:val="15"/>
              </w:rPr>
            </w:pPr>
            <w:r>
              <w:rPr>
                <w:rFonts w:ascii="Times New Roman;Times;serif" w:hAnsi="Times New Roman;Times;serif"/>
                <w:sz w:val="15"/>
              </w:rPr>
              <w:t>Crude Oil</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15"/>
              </w:rPr>
            </w:pPr>
            <w:r>
              <w:rPr>
                <w:rFonts w:ascii="Times New Roman;Times;serif" w:hAnsi="Times New Roman;Times;serif"/>
                <w:sz w:val="15"/>
              </w:rPr>
              <w:t>Fixed-Price Swap</w:t>
            </w:r>
          </w:p>
        </w:tc>
        <w:tc>
          <w:tcPr>
            <w:tcW w:w="326" w:type="dxa"/>
            <w:tcBorders/>
            <w:vAlign w:val="center"/>
          </w:tcPr>
          <w:p>
            <w:pPr>
              <w:pStyle w:val="TableContents"/>
              <w:bidi w:val="0"/>
              <w:spacing w:before="0" w:after="0"/>
              <w:ind w:left="0" w:right="0" w:hanging="0"/>
              <w:jc w:val="left"/>
              <w:rPr/>
            </w:pPr>
            <w:r>
              <w:rPr/>
              <w:t>​</w:t>
            </w:r>
          </w:p>
        </w:tc>
        <w:tc>
          <w:tcPr>
            <w:tcW w:w="928"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83,498</w:t>
            </w:r>
          </w:p>
        </w:tc>
        <w:tc>
          <w:tcPr>
            <w:tcW w:w="109"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5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60.00</w:t>
            </w:r>
          </w:p>
        </w:tc>
        <w:tc>
          <w:tcPr>
            <w:tcW w:w="326"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65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697" w:type="dxa"/>
            <w:tcBorders/>
            <w:vAlign w:val="center"/>
          </w:tcPr>
          <w:p>
            <w:pPr>
              <w:pStyle w:val="TableContents"/>
              <w:bidi w:val="0"/>
              <w:spacing w:before="0" w:after="0"/>
              <w:ind w:left="0" w:right="0" w:hanging="0"/>
              <w:jc w:val="left"/>
              <w:rPr/>
            </w:pPr>
            <w:r>
              <w:rPr/>
              <w:t>​</w:t>
            </w:r>
          </w:p>
        </w:tc>
      </w:tr>
      <w:tr>
        <w:trPr/>
        <w:tc>
          <w:tcPr>
            <w:tcW w:w="1563" w:type="dxa"/>
            <w:tcBorders/>
            <w:shd w:fill="CCEEFF" w:val="clear"/>
            <w:vAlign w:val="center"/>
          </w:tcPr>
          <w:p>
            <w:pPr>
              <w:pStyle w:val="TableContents"/>
              <w:bidi w:val="0"/>
              <w:spacing w:before="0" w:after="0"/>
              <w:ind w:left="0" w:right="0" w:hanging="0"/>
              <w:jc w:val="center"/>
              <w:rPr>
                <w:rFonts w:ascii="Times New Roman;Times;serif" w:hAnsi="Times New Roman;Times;serif"/>
                <w:sz w:val="15"/>
              </w:rPr>
            </w:pPr>
            <w:r>
              <w:rPr>
                <w:rFonts w:ascii="Times New Roman;Times;serif" w:hAnsi="Times New Roman;Times;serif"/>
                <w:sz w:val="15"/>
              </w:rPr>
              <w:t>April 2026 - December 2026</w:t>
            </w:r>
          </w:p>
        </w:tc>
        <w:tc>
          <w:tcPr>
            <w:tcW w:w="32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center"/>
              <w:rPr>
                <w:rFonts w:ascii="Times New Roman;Times;serif" w:hAnsi="Times New Roman;Times;serif"/>
                <w:sz w:val="15"/>
              </w:rPr>
            </w:pPr>
            <w:r>
              <w:rPr>
                <w:rFonts w:ascii="Times New Roman;Times;serif" w:hAnsi="Times New Roman;Times;serif"/>
                <w:sz w:val="15"/>
              </w:rPr>
              <w:t>Crude Oil</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center"/>
              <w:rPr>
                <w:rFonts w:ascii="Times New Roman;Times;serif" w:hAnsi="Times New Roman;Times;serif"/>
                <w:sz w:val="15"/>
              </w:rPr>
            </w:pPr>
            <w:r>
              <w:rPr>
                <w:rFonts w:ascii="Times New Roman;Times;serif" w:hAnsi="Times New Roman;Times;serif"/>
                <w:sz w:val="15"/>
              </w:rPr>
              <w:t>Two-Way Collar</w:t>
            </w:r>
          </w:p>
        </w:tc>
        <w:tc>
          <w:tcPr>
            <w:tcW w:w="326" w:type="dxa"/>
            <w:tcBorders/>
            <w:shd w:fill="CCEEFF" w:val="clear"/>
            <w:vAlign w:val="center"/>
          </w:tcPr>
          <w:p>
            <w:pPr>
              <w:pStyle w:val="TableContents"/>
              <w:bidi w:val="0"/>
              <w:spacing w:before="0" w:after="0"/>
              <w:ind w:left="0" w:right="0" w:hanging="0"/>
              <w:jc w:val="left"/>
              <w:rPr/>
            </w:pPr>
            <w:r>
              <w:rPr/>
              <w:t>​</w:t>
            </w:r>
          </w:p>
        </w:tc>
        <w:tc>
          <w:tcPr>
            <w:tcW w:w="928"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49,215</w:t>
            </w:r>
          </w:p>
        </w:tc>
        <w:tc>
          <w:tcPr>
            <w:tcW w:w="109"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pPr>
            <w:r>
              <w:rPr/>
              <w:t>​</w:t>
            </w:r>
          </w:p>
        </w:tc>
        <w:tc>
          <w:tcPr>
            <w:tcW w:w="65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65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5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55.00</w:t>
            </w:r>
          </w:p>
        </w:tc>
        <w:tc>
          <w:tcPr>
            <w:tcW w:w="32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97"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63.65</w:t>
            </w:r>
          </w:p>
        </w:tc>
      </w:tr>
      <w:tr>
        <w:trPr/>
        <w:tc>
          <w:tcPr>
            <w:tcW w:w="1563" w:type="dxa"/>
            <w:tcBorders/>
            <w:vAlign w:val="center"/>
          </w:tcPr>
          <w:p>
            <w:pPr>
              <w:pStyle w:val="TableContents"/>
              <w:bidi w:val="0"/>
              <w:spacing w:before="0" w:after="0"/>
              <w:ind w:left="0" w:right="0" w:hanging="0"/>
              <w:jc w:val="center"/>
              <w:rPr>
                <w:rFonts w:ascii="Times New Roman;Times;serif" w:hAnsi="Times New Roman;Times;serif"/>
                <w:sz w:val="15"/>
              </w:rPr>
            </w:pPr>
            <w:r>
              <w:rPr>
                <w:rFonts w:ascii="Times New Roman;Times;serif" w:hAnsi="Times New Roman;Times;serif"/>
                <w:sz w:val="15"/>
              </w:rPr>
              <w:t>July 2026 - December 2026</w:t>
            </w:r>
          </w:p>
        </w:tc>
        <w:tc>
          <w:tcPr>
            <w:tcW w:w="32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sz w:val="15"/>
              </w:rPr>
            </w:pPr>
            <w:r>
              <w:rPr>
                <w:rFonts w:ascii="Times New Roman;Times;serif" w:hAnsi="Times New Roman;Times;serif"/>
                <w:sz w:val="15"/>
              </w:rPr>
              <w:t>Crude Oil</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15"/>
              </w:rPr>
            </w:pPr>
            <w:r>
              <w:rPr>
                <w:rFonts w:ascii="Times New Roman;Times;serif" w:hAnsi="Times New Roman;Times;serif"/>
                <w:sz w:val="15"/>
              </w:rPr>
              <w:t>Two-Way Collar</w:t>
            </w:r>
          </w:p>
        </w:tc>
        <w:tc>
          <w:tcPr>
            <w:tcW w:w="326" w:type="dxa"/>
            <w:tcBorders/>
            <w:vAlign w:val="center"/>
          </w:tcPr>
          <w:p>
            <w:pPr>
              <w:pStyle w:val="TableContents"/>
              <w:bidi w:val="0"/>
              <w:spacing w:before="0" w:after="0"/>
              <w:ind w:left="0" w:right="0" w:hanging="0"/>
              <w:jc w:val="left"/>
              <w:rPr/>
            </w:pPr>
            <w:r>
              <w:rPr/>
              <w:t>​</w:t>
            </w:r>
          </w:p>
        </w:tc>
        <w:tc>
          <w:tcPr>
            <w:tcW w:w="928"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35,427</w:t>
            </w:r>
          </w:p>
        </w:tc>
        <w:tc>
          <w:tcPr>
            <w:tcW w:w="109"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w:t>
            </w:r>
          </w:p>
        </w:tc>
        <w:tc>
          <w:tcPr>
            <w:tcW w:w="65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65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55.00</w:t>
            </w:r>
          </w:p>
        </w:tc>
        <w:tc>
          <w:tcPr>
            <w:tcW w:w="32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697"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63.50</w:t>
            </w:r>
          </w:p>
        </w:tc>
      </w:tr>
      <w:tr>
        <w:trPr/>
        <w:tc>
          <w:tcPr>
            <w:tcW w:w="1563" w:type="dxa"/>
            <w:tcBorders/>
            <w:shd w:fill="CCEEFF" w:val="clear"/>
            <w:vAlign w:val="center"/>
          </w:tcPr>
          <w:p>
            <w:pPr>
              <w:pStyle w:val="TableContents"/>
              <w:bidi w:val="0"/>
              <w:spacing w:before="0" w:after="0"/>
              <w:ind w:left="0" w:right="0" w:hanging="0"/>
              <w:jc w:val="center"/>
              <w:rPr>
                <w:rFonts w:ascii="Times New Roman;Times;serif" w:hAnsi="Times New Roman;Times;serif"/>
                <w:sz w:val="15"/>
              </w:rPr>
            </w:pPr>
            <w:r>
              <w:rPr>
                <w:rFonts w:ascii="Times New Roman;Times;serif" w:hAnsi="Times New Roman;Times;serif"/>
                <w:sz w:val="15"/>
              </w:rPr>
              <w:t>October 2026 - December 2026</w:t>
            </w:r>
          </w:p>
        </w:tc>
        <w:tc>
          <w:tcPr>
            <w:tcW w:w="32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center"/>
              <w:rPr>
                <w:rFonts w:ascii="Times New Roman;Times;serif" w:hAnsi="Times New Roman;Times;serif"/>
                <w:sz w:val="15"/>
              </w:rPr>
            </w:pPr>
            <w:r>
              <w:rPr>
                <w:rFonts w:ascii="Times New Roman;Times;serif" w:hAnsi="Times New Roman;Times;serif"/>
                <w:sz w:val="15"/>
              </w:rPr>
              <w:t>Crude Oil</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center"/>
              <w:rPr>
                <w:rFonts w:ascii="Times New Roman;Times;serif" w:hAnsi="Times New Roman;Times;serif"/>
                <w:sz w:val="15"/>
              </w:rPr>
            </w:pPr>
            <w:r>
              <w:rPr>
                <w:rFonts w:ascii="Times New Roman;Times;serif" w:hAnsi="Times New Roman;Times;serif"/>
                <w:sz w:val="15"/>
              </w:rPr>
              <w:t>Three-Way Collar</w:t>
            </w:r>
          </w:p>
        </w:tc>
        <w:tc>
          <w:tcPr>
            <w:tcW w:w="326" w:type="dxa"/>
            <w:tcBorders/>
            <w:shd w:fill="CCEEFF" w:val="clear"/>
            <w:vAlign w:val="center"/>
          </w:tcPr>
          <w:p>
            <w:pPr>
              <w:pStyle w:val="TableContents"/>
              <w:bidi w:val="0"/>
              <w:spacing w:before="0" w:after="0"/>
              <w:ind w:left="0" w:right="0" w:hanging="0"/>
              <w:jc w:val="left"/>
              <w:rPr/>
            </w:pPr>
            <w:r>
              <w:rPr/>
              <w:t>​</w:t>
            </w:r>
          </w:p>
        </w:tc>
        <w:tc>
          <w:tcPr>
            <w:tcW w:w="928"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26,130</w:t>
            </w:r>
          </w:p>
        </w:tc>
        <w:tc>
          <w:tcPr>
            <w:tcW w:w="109"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pPr>
            <w:r>
              <w:rPr/>
              <w:t>​</w:t>
            </w:r>
          </w:p>
        </w:tc>
        <w:tc>
          <w:tcPr>
            <w:tcW w:w="65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50.00</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65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57.00</w:t>
            </w:r>
          </w:p>
        </w:tc>
        <w:tc>
          <w:tcPr>
            <w:tcW w:w="32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697"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70.22</w:t>
            </w:r>
          </w:p>
        </w:tc>
      </w:tr>
      <w:tr>
        <w:trPr/>
        <w:tc>
          <w:tcPr>
            <w:tcW w:w="1563" w:type="dxa"/>
            <w:tcBorders/>
            <w:vAlign w:val="center"/>
          </w:tcPr>
          <w:p>
            <w:pPr>
              <w:pStyle w:val="TableContents"/>
              <w:bidi w:val="0"/>
              <w:spacing w:before="0" w:after="0"/>
              <w:ind w:left="0" w:right="0" w:hanging="0"/>
              <w:jc w:val="center"/>
              <w:rPr>
                <w:rFonts w:ascii="Times New Roman;Times;serif" w:hAnsi="Times New Roman;Times;serif"/>
                <w:sz w:val="15"/>
              </w:rPr>
            </w:pPr>
            <w:r>
              <w:rPr>
                <w:rFonts w:ascii="Times New Roman;Times;serif" w:hAnsi="Times New Roman;Times;serif"/>
                <w:sz w:val="15"/>
              </w:rPr>
              <w:t>January 2026 - December 2026</w:t>
            </w:r>
          </w:p>
        </w:tc>
        <w:tc>
          <w:tcPr>
            <w:tcW w:w="32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sz w:val="15"/>
              </w:rPr>
            </w:pPr>
            <w:r>
              <w:rPr>
                <w:rFonts w:ascii="Times New Roman;Times;serif" w:hAnsi="Times New Roman;Times;serif"/>
                <w:sz w:val="15"/>
              </w:rPr>
              <w:t>Natural Gas</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15"/>
              </w:rPr>
            </w:pPr>
            <w:r>
              <w:rPr>
                <w:rFonts w:ascii="Times New Roman;Times;serif" w:hAnsi="Times New Roman;Times;serif"/>
                <w:sz w:val="15"/>
              </w:rPr>
              <w:t>Two-Way Collar</w:t>
            </w:r>
          </w:p>
        </w:tc>
        <w:tc>
          <w:tcPr>
            <w:tcW w:w="326" w:type="dxa"/>
            <w:tcBorders/>
            <w:vAlign w:val="center"/>
          </w:tcPr>
          <w:p>
            <w:pPr>
              <w:pStyle w:val="TableContents"/>
              <w:bidi w:val="0"/>
              <w:spacing w:before="0" w:after="0"/>
              <w:ind w:left="0" w:right="0" w:hanging="0"/>
              <w:jc w:val="left"/>
              <w:rPr/>
            </w:pPr>
            <w:r>
              <w:rPr/>
              <w:t>​</w:t>
            </w:r>
          </w:p>
        </w:tc>
        <w:tc>
          <w:tcPr>
            <w:tcW w:w="928"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578,214</w:t>
            </w:r>
          </w:p>
        </w:tc>
        <w:tc>
          <w:tcPr>
            <w:tcW w:w="109"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w:t>
            </w:r>
          </w:p>
        </w:tc>
        <w:tc>
          <w:tcPr>
            <w:tcW w:w="65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65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3.50</w:t>
            </w:r>
          </w:p>
        </w:tc>
        <w:tc>
          <w:tcPr>
            <w:tcW w:w="32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697" w:type="dxa"/>
            <w:tcBorders/>
            <w:vAlign w:val="center"/>
          </w:tcPr>
          <w:p>
            <w:pPr>
              <w:pStyle w:val="TableContents"/>
              <w:bidi w:val="0"/>
              <w:spacing w:before="0" w:after="0"/>
              <w:ind w:left="0" w:right="45" w:hanging="0"/>
              <w:jc w:val="right"/>
              <w:rPr>
                <w:rFonts w:ascii="Times New Roman;Times;serif" w:hAnsi="Times New Roman;Times;serif"/>
                <w:sz w:val="15"/>
              </w:rPr>
            </w:pPr>
            <w:r>
              <w:rPr>
                <w:rFonts w:ascii="Times New Roman;Times;serif" w:hAnsi="Times New Roman;Times;serif"/>
                <w:sz w:val="15"/>
              </w:rPr>
              <w:t>4.44</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EVOLUTION PETROLEUM CORPORATION</w:t>
      </w:r>
    </w:p>
    <w:p>
      <w:pPr>
        <w:pStyle w:val="TextBody"/>
        <w:shd w:fill="FFFFFF" w:val="clear"/>
        <w:bidi w:val="0"/>
        <w:spacing w:lineRule="auto" w:line="429" w:before="0" w:after="24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NOTES TO UNAUDITED CONDENSED CONSOLIDATED FINANCIAL STATEMENTS</w:t>
      </w:r>
    </w:p>
    <w:p>
      <w:pPr>
        <w:pStyle w:val="TextBody"/>
        <w:bidi w:val="0"/>
        <w:spacing w:before="0" w:after="0"/>
        <w:ind w:left="0" w:right="0" w:hanging="0"/>
        <w:jc w:val="left"/>
        <w:rPr>
          <w:rFonts w:ascii="Times New Roman;Times;serif" w:hAnsi="Times New Roman;Times;serif"/>
          <w:sz w:val="20"/>
        </w:rPr>
      </w:pPr>
      <w:bookmarkStart w:id="766" w:name="Tc_BTOflFi86U2pgzAHpx3-gA_5_11"/>
      <w:bookmarkStart w:id="767" w:name="Tc_dhgGIE2BzE6TNj3_PuLRMw_5_8"/>
      <w:bookmarkStart w:id="768" w:name="Tc_Td0hw604JE27TL71y4HVqA_5_5"/>
      <w:bookmarkStart w:id="769" w:name="Tc_xdQp8pzJpkOxlnxvU3c9MQ_5_2"/>
      <w:bookmarkStart w:id="770" w:name="Tc_-lZrFtXwjESpQt0JWA7W1A_5_0"/>
      <w:bookmarkStart w:id="771" w:name="Tc_NSg5YDFqzkmsVzTkOiZlaA_4_0"/>
      <w:bookmarkStart w:id="772" w:name="Tc_LZ_xgu6KW0OHCsJtPVk4qQ_3_11"/>
      <w:bookmarkStart w:id="773" w:name="Tc_v1jKiWOqtky88PGfaIlpMg_3_8"/>
      <w:bookmarkStart w:id="774" w:name="Tc_aS1So1yoE0yGx1ztFf7oAA_3_5"/>
      <w:bookmarkStart w:id="775" w:name="Tc_Z6bRisM6qEW8RgTfBUArTQ_3_2"/>
      <w:bookmarkStart w:id="776" w:name="Tc_yIwCfRu3tUehBq1pnNwXjg_3_0"/>
      <w:bookmarkStart w:id="777" w:name="Tc_Qk4oV3SrV0uNSf1UqmvuZA_2_11"/>
      <w:bookmarkStart w:id="778" w:name="Tc_yte3VPZc1UuAdA9osDNc4g_2_8"/>
      <w:bookmarkStart w:id="779" w:name="Tc_Jr4Uo6NDLEek9q46csi-ag_2_5"/>
      <w:bookmarkStart w:id="780" w:name="Tc_p1OwBvi_G0ioZrnDcBt3EQ_2_2"/>
      <w:bookmarkStart w:id="781" w:name="Tc_-m9AS1_gy0ipFklsFGsA-A_2_0"/>
      <w:bookmarkStart w:id="782" w:name="Tc_Ma4Fk4Oyb0Gg9SjReh1uRg_1_8"/>
      <w:bookmarkStart w:id="783" w:name="Tc_pRXakIJFO0mRqfanXLsZ2A_1_2"/>
      <w:bookmarkStart w:id="784" w:name="_566ddc32_3196_4e43_980f_5407a2ae0300"/>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r>
        <w:rPr>
          <w:rFonts w:ascii="Times New Roman;Times;serif" w:hAnsi="Times New Roman;Times;serif"/>
          <w:sz w:val="20"/>
        </w:rPr>
        <w:t>The Company presents the fair value of its derivative contracts at the gross amounts in the unaudited condensed consolidated balance sheets. The following table shows the potential effects of master netting arrangements on the fair value of the Company’s derivative contracts for the periods presented (in thousands):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446"/>
        <w:gridCol w:w="326"/>
        <w:gridCol w:w="395"/>
        <w:gridCol w:w="1151"/>
        <w:gridCol w:w="342"/>
        <w:gridCol w:w="287"/>
        <w:gridCol w:w="839"/>
        <w:gridCol w:w="326"/>
        <w:gridCol w:w="395"/>
        <w:gridCol w:w="1151"/>
        <w:gridCol w:w="375"/>
        <w:gridCol w:w="282"/>
        <w:gridCol w:w="890"/>
      </w:tblGrid>
      <w:tr>
        <w:trPr/>
        <w:tc>
          <w:tcPr>
            <w:tcW w:w="3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188210" cy="175260"/>
                      <wp:effectExtent l="0" t="0" r="0" b="0"/>
                      <wp:wrapNone/>
                      <wp:docPr id="134" name="Frame133"/>
                      <a:graphic xmlns:a="http://schemas.openxmlformats.org/drawingml/2006/main">
                        <a:graphicData uri="http://schemas.microsoft.com/office/word/2010/wordprocessingShape">
                          <wps:wsp>
                            <wps:cNvSpPr txBox="1"/>
                            <wps:spPr>
                              <a:xfrm>
                                <a:off x="0" y="0"/>
                                <a:ext cx="2188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07010" cy="175260"/>
                      <wp:effectExtent l="0" t="0" r="0" b="0"/>
                      <wp:wrapNone/>
                      <wp:docPr id="135" name="Frame1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50825" cy="175260"/>
                      <wp:effectExtent l="0" t="0" r="0" b="0"/>
                      <wp:wrapNone/>
                      <wp:docPr id="136" name="Frame135"/>
                      <a:graphic xmlns:a="http://schemas.openxmlformats.org/drawingml/2006/main">
                        <a:graphicData uri="http://schemas.microsoft.com/office/word/2010/wordprocessingShape">
                          <wps:wsp>
                            <wps:cNvSpPr txBox="1"/>
                            <wps:spPr>
                              <a:xfrm>
                                <a:off x="0" y="0"/>
                                <a:ext cx="250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730885" cy="175260"/>
                      <wp:effectExtent l="0" t="0" r="0" b="0"/>
                      <wp:wrapNone/>
                      <wp:docPr id="137" name="Frame136"/>
                      <a:graphic xmlns:a="http://schemas.openxmlformats.org/drawingml/2006/main">
                        <a:graphicData uri="http://schemas.microsoft.com/office/word/2010/wordprocessingShape">
                          <wps:wsp>
                            <wps:cNvSpPr txBox="1"/>
                            <wps:spPr>
                              <a:xfrm>
                                <a:off x="0" y="0"/>
                                <a:ext cx="730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17170" cy="175260"/>
                      <wp:effectExtent l="0" t="0" r="0" b="0"/>
                      <wp:wrapNone/>
                      <wp:docPr id="138" name="Frame137"/>
                      <a:graphic xmlns:a="http://schemas.openxmlformats.org/drawingml/2006/main">
                        <a:graphicData uri="http://schemas.microsoft.com/office/word/2010/wordprocessingShape">
                          <wps:wsp>
                            <wps:cNvSpPr txBox="1"/>
                            <wps:spPr>
                              <a:xfrm>
                                <a:off x="0" y="0"/>
                                <a:ext cx="217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82245" cy="175260"/>
                      <wp:effectExtent l="0" t="0" r="0" b="0"/>
                      <wp:wrapNone/>
                      <wp:docPr id="139" name="Frame138"/>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532765" cy="175260"/>
                      <wp:effectExtent l="0" t="0" r="0" b="0"/>
                      <wp:wrapNone/>
                      <wp:docPr id="140" name="Frame139"/>
                      <a:graphic xmlns:a="http://schemas.openxmlformats.org/drawingml/2006/main">
                        <a:graphicData uri="http://schemas.microsoft.com/office/word/2010/wordprocessingShape">
                          <wps:wsp>
                            <wps:cNvSpPr txBox="1"/>
                            <wps:spPr>
                              <a:xfrm>
                                <a:off x="0" y="0"/>
                                <a:ext cx="532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07010" cy="175260"/>
                      <wp:effectExtent l="0" t="0" r="0" b="0"/>
                      <wp:wrapNone/>
                      <wp:docPr id="141" name="Frame1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50825" cy="175260"/>
                      <wp:effectExtent l="0" t="0" r="0" b="0"/>
                      <wp:wrapNone/>
                      <wp:docPr id="142" name="Frame141"/>
                      <a:graphic xmlns:a="http://schemas.openxmlformats.org/drawingml/2006/main">
                        <a:graphicData uri="http://schemas.microsoft.com/office/word/2010/wordprocessingShape">
                          <wps:wsp>
                            <wps:cNvSpPr txBox="1"/>
                            <wps:spPr>
                              <a:xfrm>
                                <a:off x="0" y="0"/>
                                <a:ext cx="250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730885" cy="175260"/>
                      <wp:effectExtent l="0" t="0" r="0" b="0"/>
                      <wp:wrapNone/>
                      <wp:docPr id="143" name="Frame142"/>
                      <a:graphic xmlns:a="http://schemas.openxmlformats.org/drawingml/2006/main">
                        <a:graphicData uri="http://schemas.microsoft.com/office/word/2010/wordprocessingShape">
                          <wps:wsp>
                            <wps:cNvSpPr txBox="1"/>
                            <wps:spPr>
                              <a:xfrm>
                                <a:off x="0" y="0"/>
                                <a:ext cx="730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38125" cy="175260"/>
                      <wp:effectExtent l="0" t="0" r="0" b="0"/>
                      <wp:wrapNone/>
                      <wp:docPr id="144" name="Frame143"/>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79070" cy="175260"/>
                      <wp:effectExtent l="0" t="0" r="0" b="0"/>
                      <wp:wrapNone/>
                      <wp:docPr id="145" name="Frame144"/>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565150" cy="175260"/>
                      <wp:effectExtent l="0" t="0" r="0" b="0"/>
                      <wp:wrapNone/>
                      <wp:docPr id="146" name="Frame145"/>
                      <a:graphic xmlns:a="http://schemas.openxmlformats.org/drawingml/2006/main">
                        <a:graphicData uri="http://schemas.microsoft.com/office/word/2010/wordprocessingShape">
                          <wps:wsp>
                            <wps:cNvSpPr txBox="1"/>
                            <wps:spPr>
                              <a:xfrm>
                                <a:off x="0" y="0"/>
                                <a:ext cx="565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1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Derivative Contracts Assets</w:t>
            </w:r>
          </w:p>
        </w:tc>
        <w:tc>
          <w:tcPr>
            <w:tcW w:w="326" w:type="dxa"/>
            <w:tcBorders/>
            <w:vAlign w:val="center"/>
          </w:tcPr>
          <w:p>
            <w:pPr>
              <w:pStyle w:val="TableContents"/>
              <w:bidi w:val="0"/>
              <w:spacing w:before="0" w:after="0"/>
              <w:ind w:left="0" w:right="0" w:hanging="0"/>
              <w:jc w:val="left"/>
              <w:rPr/>
            </w:pPr>
            <w:r>
              <w:rPr/>
              <w:t>​</w:t>
            </w:r>
          </w:p>
        </w:tc>
        <w:tc>
          <w:tcPr>
            <w:tcW w:w="309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Derivative Contracts Liabilities</w:t>
            </w:r>
          </w:p>
        </w:tc>
      </w:tr>
      <w:tr>
        <w:trPr/>
        <w:tc>
          <w:tcPr>
            <w:tcW w:w="34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Offsetting of Derivative Assets and Liabilities</w:t>
            </w:r>
          </w:p>
        </w:tc>
        <w:tc>
          <w:tcPr>
            <w:tcW w:w="326" w:type="dxa"/>
            <w:tcBorders/>
            <w:vAlign w:val="center"/>
          </w:tcPr>
          <w:p>
            <w:pPr>
              <w:pStyle w:val="TableContents"/>
              <w:bidi w:val="0"/>
              <w:spacing w:before="0" w:after="0"/>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c>
          <w:tcPr>
            <w:tcW w:w="342" w:type="dxa"/>
            <w:tcBorders/>
            <w:vAlign w:val="center"/>
          </w:tcPr>
          <w:p>
            <w:pPr>
              <w:pStyle w:val="TableContents"/>
              <w:bidi w:val="0"/>
              <w:spacing w:before="0" w:after="0"/>
              <w:ind w:left="0" w:right="0" w:hanging="0"/>
              <w:jc w:val="left"/>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326" w:type="dxa"/>
            <w:tcBorders/>
            <w:vAlign w:val="center"/>
          </w:tcPr>
          <w:p>
            <w:pPr>
              <w:pStyle w:val="TableContents"/>
              <w:bidi w:val="0"/>
              <w:spacing w:before="0" w:after="0"/>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c>
          <w:tcPr>
            <w:tcW w:w="375" w:type="dxa"/>
            <w:tcBorders/>
            <w:vAlign w:val="center"/>
          </w:tcPr>
          <w:p>
            <w:pPr>
              <w:pStyle w:val="TableContents"/>
              <w:bidi w:val="0"/>
              <w:spacing w:before="0" w:after="0"/>
              <w:ind w:left="0" w:right="0" w:hanging="0"/>
              <w:jc w:val="left"/>
              <w:rPr/>
            </w:pPr>
            <w:r>
              <w:rPr/>
              <w:t>    </w:t>
            </w:r>
          </w:p>
        </w:tc>
        <w:tc>
          <w:tcPr>
            <w:tcW w:w="11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r>
      <w:tr>
        <w:trPr/>
        <w:tc>
          <w:tcPr>
            <w:tcW w:w="34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Gross amounts presented in the Consolidated Balance Sheet</w:t>
            </w:r>
          </w:p>
        </w:tc>
        <w:tc>
          <w:tcPr>
            <w:tcW w:w="326" w:type="dxa"/>
            <w:tcBorders/>
            <w:shd w:fill="CCEEFF" w:val="clear"/>
            <w:vAlign w:val="center"/>
          </w:tcPr>
          <w:p>
            <w:pPr>
              <w:pStyle w:val="TableContents"/>
              <w:bidi w:val="0"/>
              <w:spacing w:before="0" w:after="0"/>
              <w:ind w:left="0" w:right="0" w:hanging="0"/>
              <w:jc w:val="left"/>
              <w:rPr/>
            </w:pPr>
            <w:r>
              <w:rPr/>
              <w:t>​</w:t>
            </w:r>
          </w:p>
        </w:tc>
        <w:tc>
          <w:tcPr>
            <w:tcW w:w="39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2,477</w:t>
            </w:r>
          </w:p>
        </w:tc>
        <w:tc>
          <w:tcPr>
            <w:tcW w:w="342"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1,975</w:t>
            </w:r>
          </w:p>
        </w:tc>
        <w:tc>
          <w:tcPr>
            <w:tcW w:w="326" w:type="dxa"/>
            <w:tcBorders/>
            <w:shd w:fill="CCEEFF" w:val="clear"/>
            <w:vAlign w:val="center"/>
          </w:tcPr>
          <w:p>
            <w:pPr>
              <w:pStyle w:val="TableContents"/>
              <w:bidi w:val="0"/>
              <w:spacing w:before="0" w:after="0"/>
              <w:ind w:left="0" w:right="0" w:hanging="0"/>
              <w:jc w:val="left"/>
              <w:rPr/>
            </w:pPr>
            <w:r>
              <w:rPr/>
              <w:t>​</w:t>
            </w:r>
          </w:p>
        </w:tc>
        <w:tc>
          <w:tcPr>
            <w:tcW w:w="39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2,559</w:t>
            </w:r>
          </w:p>
        </w:tc>
        <w:tc>
          <w:tcPr>
            <w:tcW w:w="375"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9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3,360</w:t>
            </w:r>
          </w:p>
        </w:tc>
      </w:tr>
      <w:tr>
        <w:trPr/>
        <w:tc>
          <w:tcPr>
            <w:tcW w:w="34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Amounts not offset in the Consolidated Balance Sheet</w:t>
            </w:r>
          </w:p>
        </w:tc>
        <w:tc>
          <w:tcPr>
            <w:tcW w:w="326" w:type="dxa"/>
            <w:tcBorders/>
            <w:vAlign w:val="center"/>
          </w:tcPr>
          <w:p>
            <w:pPr>
              <w:pStyle w:val="TableContents"/>
              <w:bidi w:val="0"/>
              <w:spacing w:before="0" w:after="0"/>
              <w:ind w:left="0" w:right="0" w:hanging="0"/>
              <w:jc w:val="left"/>
              <w:rPr/>
            </w:pPr>
            <w:r>
              <w:rPr/>
              <w:t>​</w:t>
            </w:r>
          </w:p>
        </w:tc>
        <w:tc>
          <w:tcPr>
            <w:tcW w:w="39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(1,619)</w:t>
            </w:r>
          </w:p>
        </w:tc>
        <w:tc>
          <w:tcPr>
            <w:tcW w:w="342" w:type="dxa"/>
            <w:tcBorders/>
            <w:vAlign w:val="center"/>
          </w:tcPr>
          <w:p>
            <w:pPr>
              <w:pStyle w:val="TableContents"/>
              <w:bidi w:val="0"/>
              <w:spacing w:before="0" w:after="0"/>
              <w:ind w:left="0" w:right="0" w:hanging="0"/>
              <w:jc w:val="left"/>
              <w:rPr/>
            </w:pPr>
            <w:r>
              <w:rPr/>
              <w:t>​</w:t>
            </w:r>
          </w:p>
        </w:tc>
        <w:tc>
          <w:tcPr>
            <w:tcW w:w="28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(1,774)</w:t>
            </w:r>
          </w:p>
        </w:tc>
        <w:tc>
          <w:tcPr>
            <w:tcW w:w="326" w:type="dxa"/>
            <w:tcBorders/>
            <w:vAlign w:val="center"/>
          </w:tcPr>
          <w:p>
            <w:pPr>
              <w:pStyle w:val="TableContents"/>
              <w:bidi w:val="0"/>
              <w:spacing w:before="0" w:after="0"/>
              <w:ind w:left="0" w:right="0" w:hanging="0"/>
              <w:jc w:val="left"/>
              <w:rPr/>
            </w:pPr>
            <w:r>
              <w:rPr/>
              <w:t>​</w:t>
            </w:r>
          </w:p>
        </w:tc>
        <w:tc>
          <w:tcPr>
            <w:tcW w:w="39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(1,619)</w:t>
            </w:r>
          </w:p>
        </w:tc>
        <w:tc>
          <w:tcPr>
            <w:tcW w:w="375" w:type="dxa"/>
            <w:tcBorders/>
            <w:vAlign w:val="center"/>
          </w:tcPr>
          <w:p>
            <w:pPr>
              <w:pStyle w:val="TableContents"/>
              <w:bidi w:val="0"/>
              <w:spacing w:before="0" w:after="0"/>
              <w:ind w:left="0" w:right="0" w:hanging="0"/>
              <w:jc w:val="left"/>
              <w:rPr/>
            </w:pPr>
            <w:r>
              <w:rPr/>
              <w:t>​</w:t>
            </w:r>
          </w:p>
        </w:tc>
        <w:tc>
          <w:tcPr>
            <w:tcW w:w="28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(1,774)</w:t>
            </w:r>
          </w:p>
        </w:tc>
      </w:tr>
      <w:tr>
        <w:trPr/>
        <w:tc>
          <w:tcPr>
            <w:tcW w:w="34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amount</w:t>
            </w:r>
          </w:p>
        </w:tc>
        <w:tc>
          <w:tcPr>
            <w:tcW w:w="326" w:type="dxa"/>
            <w:tcBorders/>
            <w:shd w:fill="CCEEFF" w:val="clear"/>
            <w:vAlign w:val="center"/>
          </w:tcPr>
          <w:p>
            <w:pPr>
              <w:pStyle w:val="TableContents"/>
              <w:bidi w:val="0"/>
              <w:spacing w:before="0" w:after="0"/>
              <w:ind w:left="0" w:right="0" w:hanging="0"/>
              <w:jc w:val="left"/>
              <w:rPr/>
            </w:pPr>
            <w:r>
              <w:rPr/>
              <w:t>​</w:t>
            </w:r>
          </w:p>
        </w:tc>
        <w:tc>
          <w:tcPr>
            <w:tcW w:w="3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858</w:t>
            </w:r>
          </w:p>
        </w:tc>
        <w:tc>
          <w:tcPr>
            <w:tcW w:w="342" w:type="dxa"/>
            <w:tcBorders/>
            <w:shd w:fill="CCEEFF" w:val="clear"/>
            <w:vAlign w:val="center"/>
          </w:tcPr>
          <w:p>
            <w:pPr>
              <w:pStyle w:val="TableContents"/>
              <w:bidi w:val="0"/>
              <w:spacing w:before="0" w:after="0"/>
              <w:ind w:left="0" w:right="0" w:hanging="0"/>
              <w:jc w:val="left"/>
              <w:rPr/>
            </w:pPr>
            <w:r>
              <w:rPr/>
              <w:t>​</w:t>
            </w:r>
          </w:p>
        </w:tc>
        <w:tc>
          <w:tcPr>
            <w:tcW w:w="28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201</w:t>
            </w:r>
          </w:p>
        </w:tc>
        <w:tc>
          <w:tcPr>
            <w:tcW w:w="326" w:type="dxa"/>
            <w:tcBorders/>
            <w:shd w:fill="CCEEFF" w:val="clear"/>
            <w:vAlign w:val="center"/>
          </w:tcPr>
          <w:p>
            <w:pPr>
              <w:pStyle w:val="TableContents"/>
              <w:bidi w:val="0"/>
              <w:spacing w:before="0" w:after="0"/>
              <w:ind w:left="0" w:right="0" w:hanging="0"/>
              <w:jc w:val="left"/>
              <w:rPr/>
            </w:pPr>
            <w:r>
              <w:rPr/>
              <w:t>​</w:t>
            </w:r>
          </w:p>
        </w:tc>
        <w:tc>
          <w:tcPr>
            <w:tcW w:w="3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940</w:t>
            </w:r>
          </w:p>
        </w:tc>
        <w:tc>
          <w:tcPr>
            <w:tcW w:w="375" w:type="dxa"/>
            <w:tcBorders/>
            <w:shd w:fill="CCEEFF" w:val="clear"/>
            <w:vAlign w:val="center"/>
          </w:tcPr>
          <w:p>
            <w:pPr>
              <w:pStyle w:val="TableContents"/>
              <w:bidi w:val="0"/>
              <w:spacing w:before="0" w:after="0"/>
              <w:ind w:left="0" w:right="0" w:hanging="0"/>
              <w:jc w:val="left"/>
              <w:rPr/>
            </w:pPr>
            <w:r>
              <w:rPr/>
              <w:t>​</w:t>
            </w:r>
          </w:p>
        </w:tc>
        <w:tc>
          <w:tcPr>
            <w:tcW w:w="28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90"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1,586</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enters into an International Swap Dealers Association Master Agreements (“ISDA”) with each counterparty prior to a derivative contract with such counterparty. The ISDA is a standard contract that governs all derivative contracts entered into between the Company and the respective counterparty. The ISDA allows for offsetting of amounts payable or receivable between the Company and the counterparty, at the election of both parties, for transactions that occur on the same date and in the same currency.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8. Fair Value Measurement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Accounting guidelines for measuring fair value establish a three-level valuation hierarchy for disclosure of fair value measurements. The valuation hierarchy categorizes assets and liabilities measured at fair value into one of three different levels depending on the observability of the inputs employed in the measurement.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three levels are defined as follows:</w:t>
      </w:r>
    </w:p>
    <w:p>
      <w:pPr>
        <w:pStyle w:val="TextBody"/>
        <w:bidi w:val="0"/>
        <w:spacing w:before="0" w:after="120"/>
        <w:ind w:left="720" w:right="0" w:hanging="0"/>
        <w:jc w:val="left"/>
        <w:rPr>
          <w:rFonts w:ascii="Times New Roman;Times;serif" w:hAnsi="Times New Roman;Times;serif"/>
          <w:sz w:val="20"/>
        </w:rPr>
      </w:pPr>
      <w:r>
        <w:rPr>
          <w:rFonts w:ascii="Times New Roman;Times;serif" w:hAnsi="Times New Roman;Times;serif"/>
          <w:sz w:val="20"/>
        </w:rPr>
        <w:t>Level 1—Observable inputs such as quoted prices in active markets at the measurement date for identical, unrestricted assets or liabilities.</w:t>
      </w:r>
    </w:p>
    <w:p>
      <w:pPr>
        <w:pStyle w:val="TextBody"/>
        <w:bidi w:val="0"/>
        <w:spacing w:before="0" w:after="120"/>
        <w:ind w:left="720" w:right="0" w:hanging="0"/>
        <w:jc w:val="left"/>
        <w:rPr>
          <w:rFonts w:ascii="Times New Roman;Times;serif" w:hAnsi="Times New Roman;Times;serif"/>
          <w:sz w:val="20"/>
        </w:rPr>
      </w:pPr>
      <w:r>
        <w:rPr>
          <w:rFonts w:ascii="Times New Roman;Times;serif" w:hAnsi="Times New Roman;Times;serif"/>
          <w:sz w:val="20"/>
        </w:rPr>
        <w:t>Level 2—Other inputs that are observable directly or indirectly, such as quoted prices in markets that are not active or inputs which are observable, either directly or indirectly, for substantially the full term of the asset or liability.</w:t>
      </w:r>
    </w:p>
    <w:p>
      <w:pPr>
        <w:pStyle w:val="TextBody"/>
        <w:bidi w:val="0"/>
        <w:spacing w:before="0" w:after="120"/>
        <w:ind w:left="720" w:right="0" w:hanging="0"/>
        <w:jc w:val="left"/>
        <w:rPr>
          <w:rFonts w:ascii="Times New Roman;Times;serif" w:hAnsi="Times New Roman;Times;serif"/>
          <w:sz w:val="20"/>
        </w:rPr>
      </w:pPr>
      <w:r>
        <w:rPr>
          <w:rFonts w:ascii="Times New Roman;Times;serif" w:hAnsi="Times New Roman;Times;serif"/>
          <w:sz w:val="20"/>
        </w:rPr>
        <w:t>Level 3—Unobservable inputs for which there are little or no market data and which the Company makes its own assumptions about how market participants would price the assets and liabilities.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Fair Value of Derivative Instruments.</w:t>
      </w:r>
      <w:r>
        <w:rPr>
          <w:rFonts w:ascii="Times New Roman;Times;serif" w:hAnsi="Times New Roman;Times;serif"/>
          <w:sz w:val="20"/>
        </w:rPr>
        <w:t xml:space="preserve"> The Company’s determination of fair value incorporates not only the credit standing of the counterparties involved in transactions with the Company resulting in receivables on the Company’s unaudited condensed consolidated balance sheets, but also the impact of the Company’s nonperformance risk on its own liabilities. Fair value is defined as the price that would be received to sell an asset or paid to transfer a liability in an orderly transaction between market participants at the measurement date. ASC 820 establishes a fair value hierarchy that prioritizes the inputs to valuation techniques used to measure fair value. The Company utilizes market data or assumptions that market participants would use in pricing the asset or liability, including assumptions about risk and the risks inherent in the inputs to the valuation technique. These inputs can be readily observable (Level 1) market corroborated (Level 2), or generally unobservable (Level 3). The Company classifies fair value balances based on observability of those inputs. </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As required by ASC 820, a financial instrument’s level within the fair value hierarchy is based on the lowest level of input that is significant to the fair value measurement. The Company’s assessment of the significance of a particular input to the fair value measurement requires judgement and may affect the valuation of fair value assets and liabilities and their placement within the fair value hierarchy levels. There were no transfers between fair value hierarchy levels for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EVOLUTION PETROLEUM CORPORATION</w:t>
      </w:r>
    </w:p>
    <w:p>
      <w:pPr>
        <w:pStyle w:val="TextBody"/>
        <w:shd w:fill="FFFFFF" w:val="clear"/>
        <w:bidi w:val="0"/>
        <w:spacing w:lineRule="auto" w:line="429" w:before="0" w:after="24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sz w:val="20"/>
        </w:rPr>
      </w:pPr>
      <w:bookmarkStart w:id="785" w:name="Tc_KTBU-YFwt02atVCYkhfAVQ_7_11"/>
      <w:bookmarkStart w:id="786" w:name="Tc_YjyAAYfM9k2Cpek6LqThSA_7_9"/>
      <w:bookmarkStart w:id="787" w:name="Tc_A90TMpW3x0SMM6uxguuN-Q_7_8"/>
      <w:bookmarkStart w:id="788" w:name="Tc_w7tCVp9FOEKf9xCIuBh5Jg_7_5"/>
      <w:bookmarkStart w:id="789" w:name="Tc_i1u0ZeFItU65H0L-6d3_3Q_7_3"/>
      <w:bookmarkStart w:id="790" w:name="Tc_GAknZ8H7nEiw4wNb85wtfw_7_2"/>
      <w:bookmarkStart w:id="791" w:name="Tc_PKaDHhm0WUWvBXW70tQucw_7_0"/>
      <w:bookmarkStart w:id="792" w:name="Tc_S25X8pVMJE2b0nxC31S1JQ_6_0"/>
      <w:bookmarkStart w:id="793" w:name="Tc_ZUmvmGaWdU-V5-f9yPBP-Q_4_11"/>
      <w:bookmarkStart w:id="794" w:name="Tc_vHNaU4sdpU6vJWoZnH4uuA_4_9"/>
      <w:bookmarkStart w:id="795" w:name="Tc_41FlJeZpq0CTu8cORXxcoA_4_8"/>
      <w:bookmarkStart w:id="796" w:name="Tc_8O2OjD1B9kuz7gmH9UMrpA_4_5"/>
      <w:bookmarkStart w:id="797" w:name="Tc_nBqyUJCcSUaRNZRXZNZ9cw_4_3"/>
      <w:bookmarkStart w:id="798" w:name="Tc_0jpsIQtJDEi-nQn8JVnsvw_4_2"/>
      <w:bookmarkStart w:id="799" w:name="Tc_ipvh1Oy-802-MFEOSDE4XQ_4_0"/>
      <w:bookmarkStart w:id="800" w:name="Tc_LzsyyxjcR06x8DElk4wZ1A_3_0"/>
      <w:bookmarkStart w:id="801" w:name="Tc_rfG3Es4t3E2qXVomme1b5g_2_11"/>
      <w:bookmarkStart w:id="802" w:name="Tc_RcfksJeocE6OH6QSw7p8Ow_2_8"/>
      <w:bookmarkStart w:id="803" w:name="Tc_lqVTqWoREUaeykO6joD3tA_2_5"/>
      <w:bookmarkStart w:id="804" w:name="Tc_E4l8xV6dakGtVJTQ94oYFQ_2_2"/>
      <w:bookmarkStart w:id="805" w:name="Tc_M1NizkbuZ0CzxrgnLpQD2w_1_2"/>
      <w:bookmarkStart w:id="806" w:name="_cf4886da_d818_461c_b878_0e52ff679af7"/>
      <w:bookmarkStart w:id="807" w:name="Tc_l5h_kKJ8O0mlvCqmNAwIow_7_11"/>
      <w:bookmarkStart w:id="808" w:name="Tc_MTC7gCv4BEyO8hUQQ1ViBQ_7_9"/>
      <w:bookmarkStart w:id="809" w:name="Tc_442Xs03J-0mGF00AIMgw7g_7_8"/>
      <w:bookmarkStart w:id="810" w:name="Tc_gotYrDaAOU6heWw6vGDW6g_7_5"/>
      <w:bookmarkStart w:id="811" w:name="Tc_nuLJkc4D90uQuqw3qgz0jw_7_3"/>
      <w:bookmarkStart w:id="812" w:name="Tc_YRllpxYeO0-RSQ9JK6ynDw_7_2"/>
      <w:bookmarkStart w:id="813" w:name="Tc_ot7uCZ6VjU6iP02COb3gnw_7_0"/>
      <w:bookmarkStart w:id="814" w:name="Tc_lkdho93eBkCvjZ1uhElVLg_6_0"/>
      <w:bookmarkStart w:id="815" w:name="Tc_qYXu64710E6ZU9XWZqpjfA_4_11"/>
      <w:bookmarkStart w:id="816" w:name="Tc_5gjz3ou4skitPnm3WGQxIw_4_9"/>
      <w:bookmarkStart w:id="817" w:name="Tc_H4rYz9liSEmTzgsek9TEcw_4_8"/>
      <w:bookmarkStart w:id="818" w:name="Tc_ChcVPzLLkE2hQUIlYum2fQ_4_5"/>
      <w:bookmarkStart w:id="819" w:name="Tc_bBUiQrKXS02xVPHhaA-E1A_4_3"/>
      <w:bookmarkStart w:id="820" w:name="Tc_mM8Oz0BSaEGdtvUfxbf0NA_4_2"/>
      <w:bookmarkStart w:id="821" w:name="Tc_7vFwL7-IOU-4Ga5OClV2SQ_4_0"/>
      <w:bookmarkStart w:id="822" w:name="Tc_GerY2S25TEKA1DedizAZ4g_3_0"/>
      <w:bookmarkStart w:id="823" w:name="Tc_jdFFOnvI10SywZKCiP4t3w_2_11"/>
      <w:bookmarkStart w:id="824" w:name="Tc_kUGOuvSnU06LJws05UI9Ww_2_8"/>
      <w:bookmarkStart w:id="825" w:name="Tc_smCIVZBYJ0KFXOEMwMuVFg_2_5"/>
      <w:bookmarkStart w:id="826" w:name="Tc_16h4Zc0EB02MTRadM9zRrg_2_2"/>
      <w:bookmarkStart w:id="827" w:name="Tc_sjjexbxWlEusJcr7C9uluQ_1_2"/>
      <w:bookmarkStart w:id="828" w:name="_2e76a9d5_741f_427b_b807_ee7b4b9c6bd6"/>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r>
        <w:rPr>
          <w:rFonts w:ascii="Times New Roman;Times;serif" w:hAnsi="Times New Roman;Times;serif"/>
          <w:sz w:val="20"/>
        </w:rPr>
        <w:t xml:space="preserve">any period presented in this report. The following table, set forth by level within the fair value hierarchy, shows the Company’s financial assets and liabilities that were accounted for at fair value for the periods presented (in thousands). </w:t>
      </w:r>
    </w:p>
    <w:p>
      <w:pPr>
        <w:pStyle w:val="TextBody"/>
        <w:bidi w:val="0"/>
        <w:spacing w:before="0" w:after="0"/>
        <w:ind w:left="0" w:right="0" w:hanging="0"/>
        <w:jc w:val="left"/>
        <w:rPr/>
      </w:pPr>
      <w:r>
        <w:rPr/>
        <w:t>​</w:t>
      </w:r>
    </w:p>
    <w:tbl>
      <w:tblPr>
        <w:tblW w:w="6244" w:type="dxa"/>
        <w:jc w:val="left"/>
        <w:tblInd w:w="0" w:type="dxa"/>
        <w:tblLayout w:type="fixed"/>
        <w:tblCellMar>
          <w:top w:w="0" w:type="dxa"/>
          <w:left w:w="0" w:type="dxa"/>
          <w:bottom w:w="0" w:type="dxa"/>
          <w:right w:w="0" w:type="dxa"/>
        </w:tblCellMar>
      </w:tblPr>
      <w:tblGrid>
        <w:gridCol w:w="2131"/>
        <w:gridCol w:w="326"/>
        <w:gridCol w:w="233"/>
        <w:gridCol w:w="412"/>
        <w:gridCol w:w="326"/>
        <w:gridCol w:w="196"/>
        <w:gridCol w:w="511"/>
        <w:gridCol w:w="326"/>
        <w:gridCol w:w="233"/>
        <w:gridCol w:w="412"/>
        <w:gridCol w:w="326"/>
        <w:gridCol w:w="196"/>
        <w:gridCol w:w="616"/>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353185" cy="175260"/>
                      <wp:effectExtent l="0" t="0" r="0" b="0"/>
                      <wp:wrapNone/>
                      <wp:docPr id="147" name="Frame146"/>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07010" cy="175260"/>
                      <wp:effectExtent l="0" t="0" r="0" b="0"/>
                      <wp:wrapNone/>
                      <wp:docPr id="148" name="Frame1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47955" cy="175260"/>
                      <wp:effectExtent l="0" t="0" r="0" b="0"/>
                      <wp:wrapNone/>
                      <wp:docPr id="149" name="Frame148"/>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61620" cy="175260"/>
                      <wp:effectExtent l="0" t="0" r="0" b="0"/>
                      <wp:wrapNone/>
                      <wp:docPr id="150" name="Frame149"/>
                      <a:graphic xmlns:a="http://schemas.openxmlformats.org/drawingml/2006/main">
                        <a:graphicData uri="http://schemas.microsoft.com/office/word/2010/wordprocessingShape">
                          <wps:wsp>
                            <wps:cNvSpPr txBox="1"/>
                            <wps:spPr>
                              <a:xfrm>
                                <a:off x="0" y="0"/>
                                <a:ext cx="261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07010" cy="175260"/>
                      <wp:effectExtent l="0" t="0" r="0" b="0"/>
                      <wp:wrapNone/>
                      <wp:docPr id="151" name="Frame1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24460" cy="175260"/>
                      <wp:effectExtent l="0" t="0" r="0" b="0"/>
                      <wp:wrapNone/>
                      <wp:docPr id="152" name="Frame15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324485" cy="175260"/>
                      <wp:effectExtent l="0" t="0" r="0" b="0"/>
                      <wp:wrapNone/>
                      <wp:docPr id="153" name="Frame152"/>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07010" cy="175260"/>
                      <wp:effectExtent l="0" t="0" r="0" b="0"/>
                      <wp:wrapNone/>
                      <wp:docPr id="154" name="Frame1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47955" cy="175260"/>
                      <wp:effectExtent l="0" t="0" r="0" b="0"/>
                      <wp:wrapNone/>
                      <wp:docPr id="155" name="Frame154"/>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61620" cy="175260"/>
                      <wp:effectExtent l="0" t="0" r="0" b="0"/>
                      <wp:wrapNone/>
                      <wp:docPr id="156" name="Frame155"/>
                      <a:graphic xmlns:a="http://schemas.openxmlformats.org/drawingml/2006/main">
                        <a:graphicData uri="http://schemas.microsoft.com/office/word/2010/wordprocessingShape">
                          <wps:wsp>
                            <wps:cNvSpPr txBox="1"/>
                            <wps:spPr>
                              <a:xfrm>
                                <a:off x="0" y="0"/>
                                <a:ext cx="261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07010" cy="175260"/>
                      <wp:effectExtent l="0" t="0" r="0" b="0"/>
                      <wp:wrapNone/>
                      <wp:docPr id="157" name="Frame1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24460" cy="175260"/>
                      <wp:effectExtent l="0" t="0" r="0" b="0"/>
                      <wp:wrapNone/>
                      <wp:docPr id="158" name="Frame15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391160" cy="175260"/>
                      <wp:effectExtent l="0" t="0" r="0" b="0"/>
                      <wp:wrapNone/>
                      <wp:docPr id="159" name="Frame158"/>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787"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September 30, 2025</w:t>
            </w:r>
          </w:p>
        </w:tc>
      </w:tr>
      <w:tr>
        <w:trPr/>
        <w:tc>
          <w:tcPr>
            <w:tcW w:w="21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Level 1</w:t>
            </w:r>
          </w:p>
        </w:tc>
        <w:tc>
          <w:tcPr>
            <w:tcW w:w="326" w:type="dxa"/>
            <w:tcBorders/>
            <w:vAlign w:val="center"/>
          </w:tcPr>
          <w:p>
            <w:pPr>
              <w:pStyle w:val="TableContents"/>
              <w:bidi w:val="0"/>
              <w:spacing w:before="0" w:after="1"/>
              <w:ind w:left="0" w:right="0" w:hanging="0"/>
              <w:jc w:val="left"/>
              <w:rPr/>
            </w:pPr>
            <w:r>
              <w:rPr/>
              <w:t>    </w:t>
            </w:r>
          </w:p>
        </w:tc>
        <w:tc>
          <w:tcPr>
            <w:tcW w:w="7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Level 2</w:t>
            </w:r>
          </w:p>
        </w:tc>
        <w:tc>
          <w:tcPr>
            <w:tcW w:w="326" w:type="dxa"/>
            <w:tcBorders/>
            <w:vAlign w:val="center"/>
          </w:tcPr>
          <w:p>
            <w:pPr>
              <w:pStyle w:val="TableContents"/>
              <w:bidi w:val="0"/>
              <w:spacing w:before="0" w:after="1"/>
              <w:ind w:left="0" w:right="0" w:hanging="0"/>
              <w:jc w:val="left"/>
              <w:rPr/>
            </w:pPr>
            <w:r>
              <w:rPr/>
              <w:t>    </w:t>
            </w:r>
          </w:p>
        </w:tc>
        <w:tc>
          <w:tcPr>
            <w:tcW w:w="6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Level 3</w:t>
            </w:r>
          </w:p>
        </w:tc>
        <w:tc>
          <w:tcPr>
            <w:tcW w:w="326" w:type="dxa"/>
            <w:tcBorders/>
            <w:vAlign w:val="center"/>
          </w:tcPr>
          <w:p>
            <w:pPr>
              <w:pStyle w:val="TableContents"/>
              <w:bidi w:val="0"/>
              <w:spacing w:before="0" w:after="1"/>
              <w:ind w:left="0" w:right="0" w:hanging="0"/>
              <w:jc w:val="left"/>
              <w:rPr/>
            </w:pPr>
            <w:r>
              <w:rPr/>
              <w:t>    </w:t>
            </w:r>
          </w:p>
        </w:tc>
        <w:tc>
          <w:tcPr>
            <w:tcW w:w="8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Total</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Assets</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41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41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left"/>
              <w:rPr/>
            </w:pPr>
            <w:r>
              <w:rPr/>
              <w:t>​</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Derivative contract assets</w:t>
            </w:r>
          </w:p>
        </w:tc>
        <w:tc>
          <w:tcPr>
            <w:tcW w:w="326" w:type="dxa"/>
            <w:tcBorders/>
            <w:vAlign w:val="center"/>
          </w:tcPr>
          <w:p>
            <w:pPr>
              <w:pStyle w:val="TableContents"/>
              <w:bidi w:val="0"/>
              <w:spacing w:before="0" w:after="1"/>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1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2,477</w:t>
            </w:r>
          </w:p>
        </w:tc>
        <w:tc>
          <w:tcPr>
            <w:tcW w:w="326" w:type="dxa"/>
            <w:tcBorders/>
            <w:vAlign w:val="center"/>
          </w:tcPr>
          <w:p>
            <w:pPr>
              <w:pStyle w:val="TableContents"/>
              <w:bidi w:val="0"/>
              <w:spacing w:before="0" w:after="1"/>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1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2,477</w:t>
            </w:r>
          </w:p>
        </w:tc>
      </w:tr>
      <w:tr>
        <w:trPr/>
        <w:tc>
          <w:tcPr>
            <w:tcW w:w="213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41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41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left"/>
              <w:rPr/>
            </w:pPr>
            <w:r>
              <w:rPr/>
              <w:t>​</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Liabilities</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41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41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left"/>
              <w:rPr/>
            </w:pPr>
            <w:r>
              <w:rPr/>
              <w:t>​</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Derivative contract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1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2,559</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1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1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2,559</w:t>
            </w:r>
          </w:p>
        </w:tc>
      </w:tr>
    </w:tbl>
    <w:p>
      <w:pPr>
        <w:pStyle w:val="TextBody"/>
        <w:bidi w:val="0"/>
        <w:spacing w:before="0" w:after="240"/>
        <w:ind w:left="0" w:right="0" w:hanging="0"/>
        <w:jc w:val="left"/>
        <w:rPr/>
      </w:pPr>
      <w:r>
        <w:rPr/>
        <w:t>​</w:t>
      </w:r>
    </w:p>
    <w:tbl>
      <w:tblPr>
        <w:tblW w:w="6244" w:type="dxa"/>
        <w:jc w:val="left"/>
        <w:tblInd w:w="0" w:type="dxa"/>
        <w:tblLayout w:type="fixed"/>
        <w:tblCellMar>
          <w:top w:w="0" w:type="dxa"/>
          <w:left w:w="0" w:type="dxa"/>
          <w:bottom w:w="0" w:type="dxa"/>
          <w:right w:w="0" w:type="dxa"/>
        </w:tblCellMar>
      </w:tblPr>
      <w:tblGrid>
        <w:gridCol w:w="2131"/>
        <w:gridCol w:w="326"/>
        <w:gridCol w:w="233"/>
        <w:gridCol w:w="412"/>
        <w:gridCol w:w="326"/>
        <w:gridCol w:w="196"/>
        <w:gridCol w:w="511"/>
        <w:gridCol w:w="326"/>
        <w:gridCol w:w="233"/>
        <w:gridCol w:w="412"/>
        <w:gridCol w:w="326"/>
        <w:gridCol w:w="196"/>
        <w:gridCol w:w="616"/>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353185" cy="175260"/>
                      <wp:effectExtent l="0" t="0" r="0" b="0"/>
                      <wp:wrapNone/>
                      <wp:docPr id="160" name="Frame159"/>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07010" cy="175260"/>
                      <wp:effectExtent l="0" t="0" r="0" b="0"/>
                      <wp:wrapNone/>
                      <wp:docPr id="161" name="Frame1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47955" cy="175260"/>
                      <wp:effectExtent l="0" t="0" r="0" b="0"/>
                      <wp:wrapNone/>
                      <wp:docPr id="162" name="Frame161"/>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61620" cy="175260"/>
                      <wp:effectExtent l="0" t="0" r="0" b="0"/>
                      <wp:wrapNone/>
                      <wp:docPr id="163" name="Frame162"/>
                      <a:graphic xmlns:a="http://schemas.openxmlformats.org/drawingml/2006/main">
                        <a:graphicData uri="http://schemas.microsoft.com/office/word/2010/wordprocessingShape">
                          <wps:wsp>
                            <wps:cNvSpPr txBox="1"/>
                            <wps:spPr>
                              <a:xfrm>
                                <a:off x="0" y="0"/>
                                <a:ext cx="261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07010" cy="175260"/>
                      <wp:effectExtent l="0" t="0" r="0" b="0"/>
                      <wp:wrapNone/>
                      <wp:docPr id="164" name="Frame1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24460" cy="175260"/>
                      <wp:effectExtent l="0" t="0" r="0" b="0"/>
                      <wp:wrapNone/>
                      <wp:docPr id="165" name="Frame16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324485" cy="175260"/>
                      <wp:effectExtent l="0" t="0" r="0" b="0"/>
                      <wp:wrapNone/>
                      <wp:docPr id="166" name="Frame165"/>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07010" cy="175260"/>
                      <wp:effectExtent l="0" t="0" r="0" b="0"/>
                      <wp:wrapNone/>
                      <wp:docPr id="167" name="Frame1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47955" cy="175260"/>
                      <wp:effectExtent l="0" t="0" r="0" b="0"/>
                      <wp:wrapNone/>
                      <wp:docPr id="168" name="Frame167"/>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61620" cy="175260"/>
                      <wp:effectExtent l="0" t="0" r="0" b="0"/>
                      <wp:wrapNone/>
                      <wp:docPr id="169" name="Frame168"/>
                      <a:graphic xmlns:a="http://schemas.openxmlformats.org/drawingml/2006/main">
                        <a:graphicData uri="http://schemas.microsoft.com/office/word/2010/wordprocessingShape">
                          <wps:wsp>
                            <wps:cNvSpPr txBox="1"/>
                            <wps:spPr>
                              <a:xfrm>
                                <a:off x="0" y="0"/>
                                <a:ext cx="261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07010" cy="175260"/>
                      <wp:effectExtent l="0" t="0" r="0" b="0"/>
                      <wp:wrapNone/>
                      <wp:docPr id="170" name="Frame1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24460" cy="175260"/>
                      <wp:effectExtent l="0" t="0" r="0" b="0"/>
                      <wp:wrapNone/>
                      <wp:docPr id="171" name="Frame17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391160" cy="175260"/>
                      <wp:effectExtent l="0" t="0" r="0" b="0"/>
                      <wp:wrapNone/>
                      <wp:docPr id="172" name="Frame171"/>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787"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2025</w:t>
            </w:r>
          </w:p>
        </w:tc>
      </w:tr>
      <w:tr>
        <w:trPr/>
        <w:tc>
          <w:tcPr>
            <w:tcW w:w="21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Level 1</w:t>
            </w:r>
          </w:p>
        </w:tc>
        <w:tc>
          <w:tcPr>
            <w:tcW w:w="326" w:type="dxa"/>
            <w:tcBorders/>
            <w:vAlign w:val="center"/>
          </w:tcPr>
          <w:p>
            <w:pPr>
              <w:pStyle w:val="TableContents"/>
              <w:bidi w:val="0"/>
              <w:spacing w:before="0" w:after="1"/>
              <w:ind w:left="0" w:right="0" w:hanging="0"/>
              <w:jc w:val="left"/>
              <w:rPr/>
            </w:pPr>
            <w:r>
              <w:rPr/>
              <w:t>    </w:t>
            </w:r>
          </w:p>
        </w:tc>
        <w:tc>
          <w:tcPr>
            <w:tcW w:w="7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Level 2</w:t>
            </w:r>
          </w:p>
        </w:tc>
        <w:tc>
          <w:tcPr>
            <w:tcW w:w="326" w:type="dxa"/>
            <w:tcBorders/>
            <w:vAlign w:val="center"/>
          </w:tcPr>
          <w:p>
            <w:pPr>
              <w:pStyle w:val="TableContents"/>
              <w:bidi w:val="0"/>
              <w:spacing w:before="0" w:after="1"/>
              <w:ind w:left="0" w:right="0" w:hanging="0"/>
              <w:jc w:val="left"/>
              <w:rPr/>
            </w:pPr>
            <w:r>
              <w:rPr/>
              <w:t>    </w:t>
            </w:r>
          </w:p>
        </w:tc>
        <w:tc>
          <w:tcPr>
            <w:tcW w:w="6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Level 3</w:t>
            </w:r>
          </w:p>
        </w:tc>
        <w:tc>
          <w:tcPr>
            <w:tcW w:w="326" w:type="dxa"/>
            <w:tcBorders/>
            <w:vAlign w:val="center"/>
          </w:tcPr>
          <w:p>
            <w:pPr>
              <w:pStyle w:val="TableContents"/>
              <w:bidi w:val="0"/>
              <w:spacing w:before="0" w:after="1"/>
              <w:ind w:left="0" w:right="0" w:hanging="0"/>
              <w:jc w:val="left"/>
              <w:rPr/>
            </w:pPr>
            <w:r>
              <w:rPr/>
              <w:t>    </w:t>
            </w:r>
          </w:p>
        </w:tc>
        <w:tc>
          <w:tcPr>
            <w:tcW w:w="8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Total</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Assets</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41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41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left"/>
              <w:rPr/>
            </w:pPr>
            <w:r>
              <w:rPr/>
              <w:t>​</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Derivative contract assets</w:t>
            </w:r>
          </w:p>
        </w:tc>
        <w:tc>
          <w:tcPr>
            <w:tcW w:w="326" w:type="dxa"/>
            <w:tcBorders/>
            <w:vAlign w:val="center"/>
          </w:tcPr>
          <w:p>
            <w:pPr>
              <w:pStyle w:val="TableContents"/>
              <w:bidi w:val="0"/>
              <w:spacing w:before="0" w:after="1"/>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1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1,975</w:t>
            </w:r>
          </w:p>
        </w:tc>
        <w:tc>
          <w:tcPr>
            <w:tcW w:w="326" w:type="dxa"/>
            <w:tcBorders/>
            <w:vAlign w:val="center"/>
          </w:tcPr>
          <w:p>
            <w:pPr>
              <w:pStyle w:val="TableContents"/>
              <w:bidi w:val="0"/>
              <w:spacing w:before="0" w:after="1"/>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1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1,975</w:t>
            </w:r>
          </w:p>
        </w:tc>
      </w:tr>
      <w:tr>
        <w:trPr/>
        <w:tc>
          <w:tcPr>
            <w:tcW w:w="213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41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41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left"/>
              <w:rPr/>
            </w:pPr>
            <w:r>
              <w:rPr/>
              <w:t>​</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Liabilities</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41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41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left"/>
              <w:rPr/>
            </w:pPr>
            <w:r>
              <w:rPr/>
              <w:t>​</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Derivative contract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1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3,360</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1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1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3,360</w:t>
            </w:r>
          </w:p>
        </w:tc>
      </w:tr>
    </w:tbl>
    <w:p>
      <w:pPr>
        <w:pStyle w:val="TextBody"/>
        <w:bidi w:val="0"/>
        <w:spacing w:before="0" w:after="240"/>
        <w:ind w:left="0" w:right="0" w:hanging="0"/>
        <w:jc w:val="left"/>
        <w:rPr/>
      </w:pPr>
      <w:r>
        <w:rPr/>
        <w:t>​</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contracts listed above as Level 2 include fixed-price swaps and costless put/call collars that are carried at fair value. The Company records the net change in fair value of these positions in “</w:t>
      </w:r>
      <w:r>
        <w:rPr>
          <w:rFonts w:ascii="Times New Roman;Times;serif" w:hAnsi="Times New Roman;Times;serif"/>
          <w:i/>
          <w:sz w:val="20"/>
        </w:rPr>
        <w:t>Net gain (loss) on derivative contracts”</w:t>
      </w:r>
      <w:r>
        <w:rPr>
          <w:rFonts w:ascii="Times New Roman;Times;serif" w:hAnsi="Times New Roman;Times;serif"/>
          <w:sz w:val="20"/>
        </w:rPr>
        <w:t> in the Company’s unaudited condensed consolidated statements of operations. The Company is able to value the assets and liabilities based on observable market data for similar instruments, which resulted in the Company reporting its derivatives as Level 2. This observable data includes the forward curves for commodity prices based on quoted market prices and implied volatility factors related to changes in the forward curves. See Note 7, “</w:t>
      </w:r>
      <w:r>
        <w:rPr>
          <w:rFonts w:ascii="Times New Roman;Times;serif" w:hAnsi="Times New Roman;Times;serif"/>
          <w:i/>
          <w:sz w:val="20"/>
        </w:rPr>
        <w:t>Derivatives</w:t>
      </w:r>
      <w:r>
        <w:rPr>
          <w:rFonts w:ascii="Times New Roman;Times;serif" w:hAnsi="Times New Roman;Times;serif"/>
          <w:sz w:val="20"/>
        </w:rPr>
        <w:t>,” for additional discussion of derivatives.</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Company’s derivative contracts are with large utilities with investment grade credit ratings which are believed to have minimal credit risk. As such, the Company is exposed to credit risk to the extent of nonperformance by the counterparties in the derivative contracts; however, the Company does not expect such nonperformance.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Other Fair Value Measurements.</w:t>
      </w:r>
      <w:r>
        <w:rPr>
          <w:rFonts w:ascii="Times New Roman;Times;serif" w:hAnsi="Times New Roman;Times;serif"/>
          <w:sz w:val="20"/>
        </w:rPr>
        <w:t xml:space="preserve"> The following disclosure of the estimated fair value of financial instruments is made in accordance with the requirements of ASC 825, </w:t>
      </w:r>
      <w:r>
        <w:rPr>
          <w:rFonts w:ascii="Times New Roman;Times;serif" w:hAnsi="Times New Roman;Times;serif"/>
          <w:i/>
          <w:sz w:val="20"/>
        </w:rPr>
        <w:t>Financial Instruments</w:t>
      </w:r>
      <w:r>
        <w:rPr>
          <w:rFonts w:ascii="Times New Roman;Times;serif" w:hAnsi="Times New Roman;Times;serif"/>
          <w:sz w:val="20"/>
        </w:rPr>
        <w:t>. The estimated fair value amounts have been determined at discrete points in time based on relevant market information. These estimates involve uncertainties and cannot be determined with precision. The estimated fair value of cash and cash equivalents, accounts receivable, and accounts payable approximates their carrying value due to their short-term nature. The estimated fair value of the Company’s Senior Secured Credit Facility approximates carrying value because the interest rates approximate current market rates.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follows the provisions of ASC 820, for nonfinancial assets and liabilities measured at fair value on a non-recurring basis. These provisions apply to the Company’s initial measurement and any subsequent revision of asset retirement obligations (“ARO”) for which fair value is calculated using discounted future cash flows derived from historical costs and management’s expectations of future cost environments. Significant Level 3 inputs used in the calculation of ARO include the costs of plugging and abandoning wells, surface restoration, and reserve lives. Subsequent to initial recognition, revisions to estimated asset retirement obligations are made when changes occur for input values. See Note 9, “</w:t>
      </w:r>
      <w:r>
        <w:rPr>
          <w:rFonts w:ascii="Times New Roman;Times;serif" w:hAnsi="Times New Roman;Times;serif"/>
          <w:i/>
          <w:sz w:val="20"/>
        </w:rPr>
        <w:t>Asset Retirement Obligations</w:t>
      </w:r>
      <w:r>
        <w:rPr>
          <w:rFonts w:ascii="Times New Roman;Times;serif" w:hAnsi="Times New Roman;Times;serif"/>
          <w:sz w:val="20"/>
        </w:rPr>
        <w:t>,” for a reconciliation of the beginning and ending balances of the liability for the Company’s ARO.</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9. Asset Retirement Obligations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Company’s ARO represents the estimated present value of the amount expected to be incurred to plug, abandon, and remediate its oil and natural gas properties at the end of their productive lives in accordance with applicable laws and regulations. The Company records the ARO liability on the unaudited condensed consolidated balance sheets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EVOLUTION PETROLEUM CORPORATION</w:t>
      </w:r>
    </w:p>
    <w:p>
      <w:pPr>
        <w:pStyle w:val="TextBody"/>
        <w:shd w:fill="FFFFFF" w:val="clear"/>
        <w:bidi w:val="0"/>
        <w:spacing w:lineRule="auto" w:line="429" w:before="0" w:after="24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sz w:val="20"/>
        </w:rPr>
      </w:pPr>
      <w:bookmarkStart w:id="829" w:name="Tc_ClAwiwXX1EGoxpUYdz2DKg_7_2"/>
      <w:bookmarkStart w:id="830" w:name="Tc_r8ikjOjxFEWuG-dI9Nz1Xw_7_0"/>
      <w:bookmarkStart w:id="831" w:name="Tc_8dMps5hcKEC1G_ekWaRI5Q_6_0"/>
      <w:bookmarkStart w:id="832" w:name="Tc_tgVEDe27qUubJ3T4AGmKOA_5_0"/>
      <w:bookmarkStart w:id="833" w:name="Tc_jyKyIQbkJECRbqnMUhDSxg_4_0"/>
      <w:bookmarkStart w:id="834" w:name="Tc_EEeC_gU9xEWXza6MF_18ag_3_0"/>
      <w:bookmarkStart w:id="835" w:name="Tc_nAMu2E0pX0SGCWLwlOuwPQ_2_2"/>
      <w:bookmarkStart w:id="836" w:name="Tc_BqGKW7Lym0KwBd3RUhofYw_2_0"/>
      <w:bookmarkStart w:id="837" w:name="Tc_enuA9rbK_EiRxY7vwGQXvQ_1_2"/>
      <w:bookmarkStart w:id="838" w:name="_ca729665_5364_4415_b087_50a217d730f7"/>
      <w:bookmarkEnd w:id="829"/>
      <w:bookmarkEnd w:id="830"/>
      <w:bookmarkEnd w:id="831"/>
      <w:bookmarkEnd w:id="832"/>
      <w:bookmarkEnd w:id="833"/>
      <w:bookmarkEnd w:id="834"/>
      <w:bookmarkEnd w:id="835"/>
      <w:bookmarkEnd w:id="836"/>
      <w:bookmarkEnd w:id="837"/>
      <w:bookmarkEnd w:id="838"/>
      <w:r>
        <w:rPr>
          <w:rFonts w:ascii="Times New Roman;Times;serif" w:hAnsi="Times New Roman;Times;serif"/>
          <w:sz w:val="20"/>
        </w:rPr>
        <w:t>capitalizes the cost in “</w:t>
      </w:r>
      <w:r>
        <w:rPr>
          <w:rFonts w:ascii="Times New Roman;Times;serif" w:hAnsi="Times New Roman;Times;serif"/>
          <w:i/>
          <w:sz w:val="20"/>
        </w:rPr>
        <w:t xml:space="preserve">Oil and natural gas properties, subject to amortization, net” </w:t>
      </w:r>
      <w:r>
        <w:rPr>
          <w:rFonts w:ascii="Times New Roman;Times;serif" w:hAnsi="Times New Roman;Times;serif"/>
          <w:sz w:val="20"/>
        </w:rPr>
        <w:t>during the period in which the obligation is incurred. The Company records the accretion of its ARO liabilities in “</w:t>
      </w:r>
      <w:r>
        <w:rPr>
          <w:rFonts w:ascii="Times New Roman;Times;serif" w:hAnsi="Times New Roman;Times;serif"/>
          <w:i/>
          <w:sz w:val="20"/>
        </w:rPr>
        <w:t xml:space="preserve">Depletion, depreciation and accretion” </w:t>
      </w:r>
      <w:r>
        <w:rPr>
          <w:rFonts w:ascii="Times New Roman;Times;serif" w:hAnsi="Times New Roman;Times;serif"/>
          <w:sz w:val="20"/>
        </w:rPr>
        <w:t xml:space="preserve">expense in the unaudited condensed consolidated statements of operations.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following is a reconciliation of the activity related to the Company’s ARO liability (inclusive of the current portion) for the period ended September 30, 2025 (in thousands):</w:t>
      </w:r>
    </w:p>
    <w:tbl>
      <w:tblPr>
        <w:tblW w:w="5743" w:type="dxa"/>
        <w:jc w:val="left"/>
        <w:tblInd w:w="0" w:type="dxa"/>
        <w:tblLayout w:type="fixed"/>
        <w:tblCellMar>
          <w:top w:w="0" w:type="dxa"/>
          <w:left w:w="0" w:type="dxa"/>
          <w:bottom w:w="0" w:type="dxa"/>
          <w:right w:w="0" w:type="dxa"/>
        </w:tblCellMar>
      </w:tblPr>
      <w:tblGrid>
        <w:gridCol w:w="3766"/>
        <w:gridCol w:w="326"/>
        <w:gridCol w:w="358"/>
        <w:gridCol w:w="1293"/>
      </w:tblGrid>
      <w:tr>
        <w:trPr/>
        <w:tc>
          <w:tcPr>
            <w:tcW w:w="3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391410" cy="175260"/>
                      <wp:effectExtent l="0" t="0" r="0" b="0"/>
                      <wp:wrapNone/>
                      <wp:docPr id="173" name="Frame172"/>
                      <a:graphic xmlns:a="http://schemas.openxmlformats.org/drawingml/2006/main">
                        <a:graphicData uri="http://schemas.microsoft.com/office/word/2010/wordprocessingShape">
                          <wps:wsp>
                            <wps:cNvSpPr txBox="1"/>
                            <wps:spPr>
                              <a:xfrm>
                                <a:off x="0" y="0"/>
                                <a:ext cx="2391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07010" cy="175260"/>
                      <wp:effectExtent l="0" t="0" r="0" b="0"/>
                      <wp:wrapNone/>
                      <wp:docPr id="174" name="Frame1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27330" cy="175260"/>
                      <wp:effectExtent l="0" t="0" r="0" b="0"/>
                      <wp:wrapNone/>
                      <wp:docPr id="175" name="Frame174"/>
                      <a:graphic xmlns:a="http://schemas.openxmlformats.org/drawingml/2006/main">
                        <a:graphicData uri="http://schemas.microsoft.com/office/word/2010/wordprocessingShape">
                          <wps:wsp>
                            <wps:cNvSpPr txBox="1"/>
                            <wps:spPr>
                              <a:xfrm>
                                <a:off x="0" y="0"/>
                                <a:ext cx="2273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821055" cy="175260"/>
                      <wp:effectExtent l="0" t="0" r="0" b="0"/>
                      <wp:wrapNone/>
                      <wp:docPr id="176" name="Frame175"/>
                      <a:graphic xmlns:a="http://schemas.openxmlformats.org/drawingml/2006/main">
                        <a:graphicData uri="http://schemas.microsoft.com/office/word/2010/wordprocessingShape">
                          <wps:wsp>
                            <wps:cNvSpPr txBox="1"/>
                            <wps:spPr>
                              <a:xfrm>
                                <a:off x="0" y="0"/>
                                <a:ext cx="8210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6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16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September 30, 2025</w:t>
            </w:r>
          </w:p>
        </w:tc>
      </w:tr>
      <w:tr>
        <w:trPr/>
        <w:tc>
          <w:tcPr>
            <w:tcW w:w="37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Asset retirement obligations — beginning of period</w:t>
            </w:r>
          </w:p>
        </w:tc>
        <w:tc>
          <w:tcPr>
            <w:tcW w:w="326" w:type="dxa"/>
            <w:tcBorders/>
            <w:shd w:fill="CCEEFF" w:val="clear"/>
            <w:vAlign w:val="center"/>
          </w:tcPr>
          <w:p>
            <w:pPr>
              <w:pStyle w:val="TableContents"/>
              <w:bidi w:val="0"/>
              <w:spacing w:before="0" w:after="1"/>
              <w:ind w:left="0" w:right="0" w:hanging="0"/>
              <w:jc w:val="left"/>
              <w:rPr/>
            </w:pPr>
            <w:r>
              <w:rPr/>
              <w:t>​</w:t>
            </w:r>
          </w:p>
        </w:tc>
        <w:tc>
          <w:tcPr>
            <w:tcW w:w="35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9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21,830</w:t>
            </w:r>
          </w:p>
        </w:tc>
      </w:tr>
      <w:tr>
        <w:trPr/>
        <w:tc>
          <w:tcPr>
            <w:tcW w:w="37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Liabilities settled and divested</w:t>
            </w:r>
          </w:p>
        </w:tc>
        <w:tc>
          <w:tcPr>
            <w:tcW w:w="326" w:type="dxa"/>
            <w:tcBorders/>
            <w:vAlign w:val="center"/>
          </w:tcPr>
          <w:p>
            <w:pPr>
              <w:pStyle w:val="TableContents"/>
              <w:bidi w:val="0"/>
              <w:spacing w:before="0" w:after="1"/>
              <w:ind w:left="0" w:right="0" w:hanging="0"/>
              <w:jc w:val="left"/>
              <w:rPr/>
            </w:pPr>
            <w:r>
              <w:rPr/>
              <w:t>​</w:t>
            </w:r>
          </w:p>
        </w:tc>
        <w:tc>
          <w:tcPr>
            <w:tcW w:w="358" w:type="dxa"/>
            <w:tcBorders/>
            <w:vAlign w:val="center"/>
          </w:tcPr>
          <w:p>
            <w:pPr>
              <w:pStyle w:val="TableContents"/>
              <w:bidi w:val="0"/>
              <w:spacing w:before="0" w:after="1"/>
              <w:ind w:left="0" w:right="0" w:hanging="0"/>
              <w:jc w:val="left"/>
              <w:rPr/>
            </w:pPr>
            <w:r>
              <w:rPr/>
              <w:t>​</w:t>
            </w:r>
          </w:p>
        </w:tc>
        <w:tc>
          <w:tcPr>
            <w:tcW w:w="129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w:t>
            </w:r>
          </w:p>
        </w:tc>
      </w:tr>
      <w:tr>
        <w:trPr/>
        <w:tc>
          <w:tcPr>
            <w:tcW w:w="37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Accretion of discount</w:t>
            </w:r>
          </w:p>
        </w:tc>
        <w:tc>
          <w:tcPr>
            <w:tcW w:w="326" w:type="dxa"/>
            <w:tcBorders/>
            <w:shd w:fill="CCEEFF" w:val="clear"/>
            <w:vAlign w:val="center"/>
          </w:tcPr>
          <w:p>
            <w:pPr>
              <w:pStyle w:val="TableContents"/>
              <w:bidi w:val="0"/>
              <w:spacing w:before="0" w:after="1"/>
              <w:ind w:left="0" w:right="0" w:hanging="0"/>
              <w:jc w:val="left"/>
              <w:rPr/>
            </w:pPr>
            <w:r>
              <w:rPr/>
              <w:t>​</w:t>
            </w:r>
          </w:p>
        </w:tc>
        <w:tc>
          <w:tcPr>
            <w:tcW w:w="3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401</w:t>
            </w:r>
          </w:p>
        </w:tc>
      </w:tr>
      <w:tr>
        <w:trPr/>
        <w:tc>
          <w:tcPr>
            <w:tcW w:w="37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Asset retirement obligations — end of period</w:t>
            </w:r>
          </w:p>
        </w:tc>
        <w:tc>
          <w:tcPr>
            <w:tcW w:w="326" w:type="dxa"/>
            <w:tcBorders/>
            <w:vAlign w:val="center"/>
          </w:tcPr>
          <w:p>
            <w:pPr>
              <w:pStyle w:val="TableContents"/>
              <w:bidi w:val="0"/>
              <w:spacing w:before="0" w:after="1"/>
              <w:ind w:left="0" w:right="0" w:hanging="0"/>
              <w:jc w:val="left"/>
              <w:rPr/>
            </w:pPr>
            <w:r>
              <w:rPr/>
              <w:t>​</w:t>
            </w:r>
          </w:p>
        </w:tc>
        <w:tc>
          <w:tcPr>
            <w:tcW w:w="358" w:type="dxa"/>
            <w:tcBorders/>
            <w:vAlign w:val="center"/>
          </w:tcPr>
          <w:p>
            <w:pPr>
              <w:pStyle w:val="TableContents"/>
              <w:bidi w:val="0"/>
              <w:spacing w:before="0" w:after="1"/>
              <w:ind w:left="0" w:right="0" w:hanging="0"/>
              <w:jc w:val="left"/>
              <w:rPr/>
            </w:pPr>
            <w:r>
              <w:rPr/>
              <w:t>​</w:t>
            </w:r>
          </w:p>
        </w:tc>
        <w:tc>
          <w:tcPr>
            <w:tcW w:w="129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22,190</w:t>
            </w:r>
          </w:p>
        </w:tc>
      </w:tr>
      <w:tr>
        <w:trPr/>
        <w:tc>
          <w:tcPr>
            <w:tcW w:w="37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Less: current asset retirement obligations</w:t>
            </w:r>
          </w:p>
        </w:tc>
        <w:tc>
          <w:tcPr>
            <w:tcW w:w="326" w:type="dxa"/>
            <w:tcBorders/>
            <w:shd w:fill="CCEEFF" w:val="clear"/>
            <w:vAlign w:val="center"/>
          </w:tcPr>
          <w:p>
            <w:pPr>
              <w:pStyle w:val="TableContents"/>
              <w:bidi w:val="0"/>
              <w:spacing w:before="0" w:after="1"/>
              <w:ind w:left="0" w:right="0" w:hanging="0"/>
              <w:jc w:val="left"/>
              <w:rPr/>
            </w:pPr>
            <w:r>
              <w:rPr/>
              <w:t>​</w:t>
            </w:r>
          </w:p>
        </w:tc>
        <w:tc>
          <w:tcPr>
            <w:tcW w:w="3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(262)</w:t>
            </w:r>
          </w:p>
        </w:tc>
      </w:tr>
      <w:tr>
        <w:trPr/>
        <w:tc>
          <w:tcPr>
            <w:tcW w:w="37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Long-term portion of asset retirement obligations</w:t>
            </w:r>
          </w:p>
        </w:tc>
        <w:tc>
          <w:tcPr>
            <w:tcW w:w="326" w:type="dxa"/>
            <w:tcBorders/>
            <w:vAlign w:val="center"/>
          </w:tcPr>
          <w:p>
            <w:pPr>
              <w:pStyle w:val="TableContents"/>
              <w:bidi w:val="0"/>
              <w:spacing w:before="0" w:after="1"/>
              <w:ind w:left="0" w:right="0" w:hanging="0"/>
              <w:jc w:val="left"/>
              <w:rPr/>
            </w:pPr>
            <w:r>
              <w:rPr/>
              <w:t>​</w:t>
            </w:r>
          </w:p>
        </w:tc>
        <w:tc>
          <w:tcPr>
            <w:tcW w:w="35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93"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21,928</w:t>
            </w:r>
          </w:p>
        </w:tc>
      </w:tr>
    </w:tbl>
    <w:p>
      <w:pPr>
        <w:pStyle w:val="TextBody"/>
        <w:bidi w:val="0"/>
        <w:spacing w:before="0" w:after="240"/>
        <w:ind w:left="0" w:right="0" w:hanging="0"/>
        <w:jc w:val="left"/>
        <w:rPr/>
      </w:pPr>
      <w:r>
        <w:rPr/>
        <w:t>​</w:t>
      </w:r>
    </w:p>
    <w:p>
      <w:pPr>
        <w:pStyle w:val="TextBody"/>
        <w:bidi w:val="0"/>
        <w:spacing w:before="0" w:after="0"/>
        <w:ind w:left="36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10. Commitments and Contingencies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is subject to various claims and contingencies in the normal course of business. In addition, from time to time, the Company receives communications from government or regulatory agencies concerning investigations or allegations of noncompliance with laws or regulations in jurisdictions in which the Company operates. The Company discloses such matters if it believes there is a reasonable possibility that a future event or events will confirm a material loss through impairment of an asset or the incurrence of a material liability. The Company accrues a material loss if it believes it probable that a future event or events will confirm a loss and the loss is reasonably subject to estimation. Furthermore, the Company will disclose any matter that is unasserted if it considers it probable that a claim will be asserted and there is a reasonable possibility that the outcome will be unfavorable and material in amount. The Company expenses legal defense costs as they are incurred.</w:t>
      </w:r>
    </w:p>
    <w:p>
      <w:pPr>
        <w:pStyle w:val="TextBody"/>
        <w:bidi w:val="0"/>
        <w:spacing w:before="0" w:after="120"/>
        <w:ind w:left="0" w:right="0" w:hanging="0"/>
        <w:jc w:val="left"/>
        <w:rPr>
          <w:rFonts w:ascii="Times New Roman;Times;serif" w:hAnsi="Times New Roman;Times;serif"/>
          <w:b/>
          <w:sz w:val="20"/>
        </w:rPr>
      </w:pPr>
      <w:bookmarkStart w:id="839" w:name="Tc_zy-amaXFsk2S7YHB-2lrRg_3_5"/>
      <w:bookmarkStart w:id="840" w:name="Tc_XM8GxXQqJ0yL-ASDDxcthw_3_2"/>
      <w:bookmarkStart w:id="841" w:name="Tc_uaNh7IayqUCd5th8UPdufg_3_0"/>
      <w:bookmarkStart w:id="842" w:name="Tc_rMpdCkIZ9kGHG1hpEfb15w_2_5"/>
      <w:bookmarkStart w:id="843" w:name="Tc_d83XXD6dpE-lpd6j8p3YgA_2_2"/>
      <w:bookmarkStart w:id="844" w:name="Tc_72c7Z7hQsku0DerAxvzXxg_1_2"/>
      <w:bookmarkStart w:id="845" w:name="_7829c56e_1e63_4215_87a8_4acdb16554ad"/>
      <w:bookmarkEnd w:id="839"/>
      <w:bookmarkEnd w:id="840"/>
      <w:bookmarkEnd w:id="841"/>
      <w:bookmarkEnd w:id="842"/>
      <w:bookmarkEnd w:id="843"/>
      <w:bookmarkEnd w:id="844"/>
      <w:bookmarkEnd w:id="845"/>
      <w:r>
        <w:rPr>
          <w:rFonts w:ascii="Times New Roman;Times;serif" w:hAnsi="Times New Roman;Times;serif"/>
          <w:b/>
          <w:sz w:val="20"/>
        </w:rPr>
        <w:t>Note 11. Stockholders’ Equity</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Common Stock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September 30, 2025, the Company had 34,647,751 shares of common stock outstanding.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 began paying quarterly cash dividends on common stock in December 2013. As of September 30, 2025, the Company has cumulatively paid over $139.0 million in cash dividends. The Company paid dividends of $4.2 million and $4.0 million to its common stockholders during the three months ended September 30, 2025 and 2024, respectively.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following table reflects the dividends paid per share within the respective three-month periods:</w:t>
      </w:r>
    </w:p>
    <w:tbl>
      <w:tblPr>
        <w:tblW w:w="3582" w:type="dxa"/>
        <w:jc w:val="left"/>
        <w:tblInd w:w="0" w:type="dxa"/>
        <w:tblLayout w:type="fixed"/>
        <w:tblCellMar>
          <w:top w:w="0" w:type="dxa"/>
          <w:left w:w="0" w:type="dxa"/>
          <w:bottom w:w="0" w:type="dxa"/>
          <w:right w:w="0" w:type="dxa"/>
        </w:tblCellMar>
      </w:tblPr>
      <w:tblGrid>
        <w:gridCol w:w="1411"/>
        <w:gridCol w:w="326"/>
        <w:gridCol w:w="196"/>
        <w:gridCol w:w="511"/>
        <w:gridCol w:w="326"/>
        <w:gridCol w:w="196"/>
        <w:gridCol w:w="616"/>
      </w:tblGrid>
      <w:tr>
        <w:trPr/>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895985" cy="175260"/>
                      <wp:effectExtent l="0" t="0" r="0" b="0"/>
                      <wp:wrapNone/>
                      <wp:docPr id="177" name="Frame176"/>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07010" cy="175260"/>
                      <wp:effectExtent l="0" t="0" r="0" b="0"/>
                      <wp:wrapNone/>
                      <wp:docPr id="178" name="Frame1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24460" cy="175260"/>
                      <wp:effectExtent l="0" t="0" r="0" b="0"/>
                      <wp:wrapNone/>
                      <wp:docPr id="179" name="Frame17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324485" cy="175260"/>
                      <wp:effectExtent l="0" t="0" r="0" b="0"/>
                      <wp:wrapNone/>
                      <wp:docPr id="180" name="Frame179"/>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07010" cy="175260"/>
                      <wp:effectExtent l="0" t="0" r="0" b="0"/>
                      <wp:wrapNone/>
                      <wp:docPr id="181" name="Frame1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24460" cy="175260"/>
                      <wp:effectExtent l="0" t="0" r="0" b="0"/>
                      <wp:wrapNone/>
                      <wp:docPr id="182" name="Frame18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391160" cy="175260"/>
                      <wp:effectExtent l="0" t="0" r="0" b="0"/>
                      <wp:wrapNone/>
                      <wp:docPr id="183" name="Frame182"/>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4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Fiscal Year</w:t>
            </w:r>
          </w:p>
        </w:tc>
      </w:tr>
      <w:tr>
        <w:trPr/>
        <w:tc>
          <w:tcPr>
            <w:tcW w:w="14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26" w:type="dxa"/>
            <w:tcBorders/>
            <w:vAlign w:val="center"/>
          </w:tcPr>
          <w:p>
            <w:pPr>
              <w:pStyle w:val="TableContents"/>
              <w:bidi w:val="0"/>
              <w:spacing w:before="0" w:after="1"/>
              <w:ind w:left="0" w:right="0" w:hanging="0"/>
              <w:jc w:val="left"/>
              <w:rPr/>
            </w:pPr>
            <w:r>
              <w:rPr/>
              <w:t>    </w:t>
            </w:r>
          </w:p>
        </w:tc>
        <w:tc>
          <w:tcPr>
            <w:tcW w:w="8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14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First fiscal quarter</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0.120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16" w:type="dxa"/>
            <w:tcBorders/>
            <w:shd w:fill="CCEEFF" w:val="cle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0.120</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 xml:space="preserve">On October 21, 2024, the Company entered into an At-the-Market (“ATM”) equity Sales Agreement (the “ATM Sales Agreement”) with Roth Capital Partners, LLC (the “Lead Agent”), Northland Securities Inc., and A.G.P./Alliance Global Partners pursuant to which the Company may issue and sell, from time to time, up to $30.0 million of shares of common stock through or to the Lead Agent, acting as agent or principal. During the three months ended September 30, 2025, the Company sold a total of approximately 57 thousand shares of its common stock under the ATM Sales Agreement for net proceeds of approximately $246 thousand, net of $20 thousand of offering costs. The Company intends to use the net proceeds from sales of common stock for general corporate purposes, including to repay outstanding indebtedness.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September 8, 2022, the Board of Directors approved a share repurchase program, under which the Company was authorized to repurchase up to $25.0 million of its common stock in the open market through December 31, 2024. The Company funded repurchases from working capital and cash provided by operating activities. The share repurchase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EVOLUTION PETROLEUM CORPORATION</w:t>
      </w:r>
    </w:p>
    <w:p>
      <w:pPr>
        <w:pStyle w:val="TextBody"/>
        <w:shd w:fill="FFFFFF" w:val="clear"/>
        <w:bidi w:val="0"/>
        <w:spacing w:lineRule="auto" w:line="429" w:before="0" w:after="24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sz w:val="20"/>
        </w:rPr>
      </w:pPr>
      <w:bookmarkStart w:id="846" w:name="_Hlk213148037"/>
      <w:bookmarkStart w:id="847" w:name="Tc_g_MebvgCdUWddmwsOcXuBQ_6_5"/>
      <w:bookmarkStart w:id="848" w:name="Tc_nYbP9l2IV02n1_AMd0x6_w_6_2"/>
      <w:bookmarkStart w:id="849" w:name="Tc_R3_1MDNCPk6uszgPg0Altw_6_0"/>
      <w:bookmarkStart w:id="850" w:name="Tc_6LZkmxJkWk-4H906_ievXw_5_5"/>
      <w:bookmarkStart w:id="851" w:name="Tc_zMagT9EidUaqhCq0y0dhDw_5_2"/>
      <w:bookmarkStart w:id="852" w:name="Tc_bM1AIHtGNU-ZsSGfmhCoZQ_5_0"/>
      <w:bookmarkStart w:id="853" w:name="Tc_3HHnucNIM0CsQN0rvdiYKA_4_0"/>
      <w:bookmarkStart w:id="854" w:name="Tc_hzVG1Y7g6UeryC4cBxVF1A_3_5"/>
      <w:bookmarkStart w:id="855" w:name="Tc_jq7E7Jwz40WrhlRwy8yc7g_3_2"/>
      <w:bookmarkStart w:id="856" w:name="Tc_gDPyqSiGwEKMuyq57Gx-Ag_2_2"/>
      <w:bookmarkStart w:id="857" w:name="Tc_jlznUPX61ECw9y_QGVt4Vw_1_2"/>
      <w:bookmarkStart w:id="858" w:name="_faec2dab_219a_4016_96a6_ff08ac0a25ec"/>
      <w:bookmarkEnd w:id="846"/>
      <w:bookmarkEnd w:id="847"/>
      <w:bookmarkEnd w:id="848"/>
      <w:bookmarkEnd w:id="849"/>
      <w:bookmarkEnd w:id="850"/>
      <w:bookmarkEnd w:id="851"/>
      <w:bookmarkEnd w:id="852"/>
      <w:bookmarkEnd w:id="853"/>
      <w:bookmarkEnd w:id="854"/>
      <w:bookmarkEnd w:id="855"/>
      <w:bookmarkEnd w:id="856"/>
      <w:bookmarkEnd w:id="857"/>
      <w:bookmarkEnd w:id="858"/>
      <w:r>
        <w:rPr>
          <w:rFonts w:ascii="Times New Roman;Times;serif" w:hAnsi="Times New Roman;Times;serif"/>
          <w:sz w:val="20"/>
        </w:rPr>
        <w:t>program was complimentary to the existing dividend policy and was a tax efficient means to further improve shareholder return. The shares were repurchased in open market transactions, through privately negotiated transactions or by other means in accordance with federal securities laws. The Company did not repurchase any shares of common stock under the plan during the three months ended September 30, 2024. While the plan was in effect, a total of 0.8 million shares of the Company’s common stock were repurchased under the program at a total cost of approximately $4.6 million, including incremental direct transaction costs.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During the three months ended September 30, 2025 and 2024, the Company acquired treasury stock upon the ordinary course of scheduled vestings of employee stock-based awards to fund payroll tax withholding obligations. These treasury shares were subsequently cancelled. Such shares were valued at fair market value on the date of vesting.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summarizes all treasury stock purchases during the periods presented (in thousands, except per share amounts):</w:t>
      </w:r>
    </w:p>
    <w:tbl>
      <w:tblPr>
        <w:tblW w:w="4736" w:type="dxa"/>
        <w:jc w:val="left"/>
        <w:tblInd w:w="0" w:type="dxa"/>
        <w:tblLayout w:type="fixed"/>
        <w:tblCellMar>
          <w:top w:w="0" w:type="dxa"/>
          <w:left w:w="0" w:type="dxa"/>
          <w:bottom w:w="0" w:type="dxa"/>
          <w:right w:w="0" w:type="dxa"/>
        </w:tblCellMar>
      </w:tblPr>
      <w:tblGrid>
        <w:gridCol w:w="2761"/>
        <w:gridCol w:w="326"/>
        <w:gridCol w:w="233"/>
        <w:gridCol w:w="500"/>
        <w:gridCol w:w="129"/>
        <w:gridCol w:w="233"/>
        <w:gridCol w:w="554"/>
      </w:tblGrid>
      <w:tr>
        <w:trPr/>
        <w:tc>
          <w:tcPr>
            <w:tcW w:w="2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753235" cy="175260"/>
                      <wp:effectExtent l="0" t="0" r="0" b="0"/>
                      <wp:wrapNone/>
                      <wp:docPr id="184" name="Frame183"/>
                      <a:graphic xmlns:a="http://schemas.openxmlformats.org/drawingml/2006/main">
                        <a:graphicData uri="http://schemas.microsoft.com/office/word/2010/wordprocessingShape">
                          <wps:wsp>
                            <wps:cNvSpPr txBox="1"/>
                            <wps:spPr>
                              <a:xfrm>
                                <a:off x="0" y="0"/>
                                <a:ext cx="1753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07010" cy="175260"/>
                      <wp:effectExtent l="0" t="0" r="0" b="0"/>
                      <wp:wrapNone/>
                      <wp:docPr id="185" name="Frame1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47955" cy="175260"/>
                      <wp:effectExtent l="0" t="0" r="0" b="0"/>
                      <wp:wrapNone/>
                      <wp:docPr id="186" name="Frame185"/>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317500" cy="175260"/>
                      <wp:effectExtent l="0" t="0" r="0" b="0"/>
                      <wp:wrapNone/>
                      <wp:docPr id="187" name="Frame186"/>
                      <a:graphic xmlns:a="http://schemas.openxmlformats.org/drawingml/2006/main">
                        <a:graphicData uri="http://schemas.microsoft.com/office/word/2010/wordprocessingShape">
                          <wps:wsp>
                            <wps:cNvSpPr txBox="1"/>
                            <wps:spPr>
                              <a:xfrm>
                                <a:off x="0" y="0"/>
                                <a:ext cx="317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81915" cy="175260"/>
                      <wp:effectExtent l="0" t="0" r="0" b="0"/>
                      <wp:wrapNone/>
                      <wp:docPr id="188" name="Frame187"/>
                      <a:graphic xmlns:a="http://schemas.openxmlformats.org/drawingml/2006/main">
                        <a:graphicData uri="http://schemas.microsoft.com/office/word/2010/wordprocessingShape">
                          <wps:wsp>
                            <wps:cNvSpPr txBox="1"/>
                            <wps:spPr>
                              <a:xfrm>
                                <a:off x="0" y="0"/>
                                <a:ext cx="81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47955" cy="175260"/>
                      <wp:effectExtent l="0" t="0" r="0" b="0"/>
                      <wp:wrapNone/>
                      <wp:docPr id="189" name="Frame188"/>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351790" cy="175260"/>
                      <wp:effectExtent l="0" t="0" r="0" b="0"/>
                      <wp:wrapNone/>
                      <wp:docPr id="190" name="Frame189"/>
                      <a:graphic xmlns:a="http://schemas.openxmlformats.org/drawingml/2006/main">
                        <a:graphicData uri="http://schemas.microsoft.com/office/word/2010/wordprocessingShape">
                          <wps:wsp>
                            <wps:cNvSpPr txBox="1"/>
                            <wps:spPr>
                              <a:xfrm>
                                <a:off x="0" y="0"/>
                                <a:ext cx="351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649"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r>
      <w:tr>
        <w:trPr/>
        <w:tc>
          <w:tcPr>
            <w:tcW w:w="27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64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27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3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29" w:type="dxa"/>
            <w:tcBorders/>
            <w:vAlign w:val="center"/>
          </w:tcPr>
          <w:p>
            <w:pPr>
              <w:pStyle w:val="TableContents"/>
              <w:bidi w:val="0"/>
              <w:spacing w:before="0" w:after="1"/>
              <w:ind w:left="0" w:right="0" w:hanging="0"/>
              <w:jc w:val="left"/>
              <w:rPr/>
            </w:pPr>
            <w:r>
              <w:rPr/>
              <w:t>​</w:t>
            </w:r>
          </w:p>
        </w:tc>
        <w:tc>
          <w:tcPr>
            <w:tcW w:w="7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Number of treasury shares acquired</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50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w:t>
            </w:r>
          </w:p>
        </w:tc>
        <w:tc>
          <w:tcPr>
            <w:tcW w:w="129"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55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Average cost per share</w:t>
            </w:r>
          </w:p>
        </w:tc>
        <w:tc>
          <w:tcPr>
            <w:tcW w:w="326" w:type="dxa"/>
            <w:tcBorders/>
            <w:vAlign w:val="center"/>
          </w:tcPr>
          <w:p>
            <w:pPr>
              <w:pStyle w:val="TableContents"/>
              <w:bidi w:val="0"/>
              <w:spacing w:before="0" w:after="1"/>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5.16</w:t>
            </w:r>
          </w:p>
        </w:tc>
        <w:tc>
          <w:tcPr>
            <w:tcW w:w="129" w:type="dxa"/>
            <w:tcBorders/>
            <w:vAlign w:val="center"/>
          </w:tcPr>
          <w:p>
            <w:pPr>
              <w:pStyle w:val="TableContents"/>
              <w:bidi w:val="0"/>
              <w:spacing w:before="0" w:after="1"/>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5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5.15</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cost of treasury shares acquired</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0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132</w:t>
            </w:r>
          </w:p>
        </w:tc>
        <w:tc>
          <w:tcPr>
            <w:tcW w:w="129" w:type="dxa"/>
            <w:tcBorders/>
            <w:shd w:fill="CCEEFF" w:val="clear"/>
            <w:vAlign w:val="center"/>
          </w:tcPr>
          <w:p>
            <w:pPr>
              <w:pStyle w:val="TableContents"/>
              <w:bidi w:val="0"/>
              <w:spacing w:before="0" w:after="1"/>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54"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88</w:t>
            </w:r>
          </w:p>
        </w:tc>
      </w:tr>
    </w:tbl>
    <w:p>
      <w:pPr>
        <w:pStyle w:val="TextBody"/>
        <w:bidi w:val="0"/>
        <w:spacing w:before="0" w:after="240"/>
        <w:ind w:left="720" w:right="0" w:hanging="0"/>
        <w:jc w:val="left"/>
        <w:rPr/>
      </w:pPr>
      <w:r>
        <w:rPr/>
        <w:t>​</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Expected Tax Treatment of Dividends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For the fiscal year ended June 30, 2025, all common stock dividends for that fiscal year were treated for tax purposes as qualified dividend income to the recipients. Based on its current projections for the fiscal year ended June 30, 2026, the Company expects all common stock dividends for such period to be treated as qualified dividend income to the recipients. Such projections are based on the Company’s reasonable expectations as of September 30, 2025 and are subject to change based on the Company’s final tax calculations at the end of the fiscal year. </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Stock-Based Incentive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Evolution Petroleum Corporation 2016 Equity Incentive Plan (as amended the “2016 Plan”) authorizes the issuance of 3.6 million shares of common stock prior to its expiration on December 8, 2026. On December 5, 2024 shareholders approved and adopted the amendment and restatement of the 2016 Plan (hereinafter the “Amended and Restated Plan”), which increased the shares authorized for issuance under the 2016 Plan by 2.1 million shares to a maximum of 5.7 million shares. The duration of the Amended and Restated Plan is indefinite, provided that no new awards shall be made under the Amended and Restated Plan on or after the tenth anniversary of the date the stockholders approved the Amended and Restated Plan. Incentives under the Amended and Restated Plan may be granted to employees, directors, and consultants of the Company in any one or a combination of the following forms: incentive stock options, non-qualified stock options, stock appreciation rights, restricted awards, and performance share awards. As of September 30, 2025 and June 30, 2025, approximately 2.2 million shares and 2.5 million shares, respectively, remained available for grant under the Amended and Restated Plan.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estimates the fair value of stock-based compensation awards on the grant date to provide the basis for future compensation expense. During the three months ended September 30, 2025 and 2024, the Company recognized $0.5 million and $0.6 million, respectively, related to stock-based compensation. Stock-based compensation expense is recorded as a component of “</w:t>
      </w:r>
      <w:r>
        <w:rPr>
          <w:rFonts w:ascii="Times New Roman;Times;serif" w:hAnsi="Times New Roman;Times;serif"/>
          <w:i/>
          <w:sz w:val="20"/>
        </w:rPr>
        <w:t>General and administrative expenses</w:t>
      </w:r>
      <w:r>
        <w:rPr>
          <w:rFonts w:ascii="Times New Roman;Times;serif" w:hAnsi="Times New Roman;Times;serif"/>
          <w:sz w:val="20"/>
        </w:rPr>
        <w:t xml:space="preserve">” on the unaudited condensed consolidated statements of operations. </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Time-Vested Restricted Stock Awards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Time-vested restricted stock awards contain service-based vesting conditions and expire after a maximum of four years from the date of grant if unvested. The common shares underlying these awards are issued on the date of grant and participate in dividends paid by the Company. These service-based awards vest with continuous employment by the Company, generally in annual installments over terms of </w:t>
      </w:r>
      <w:r>
        <w:rPr>
          <w:rFonts w:ascii="Times New Roman;Times;serif" w:hAnsi="Times New Roman;Times;serif"/>
          <w:b w:val="false"/>
          <w:i w:val="false"/>
          <w:caps w:val="false"/>
          <w:smallCaps w:val="false"/>
          <w:sz w:val="20"/>
        </w:rPr>
        <w:t>three</w:t>
      </w:r>
      <w:r>
        <w:rPr>
          <w:rFonts w:ascii="Times New Roman;Times;serif" w:hAnsi="Times New Roman;Times;serif"/>
          <w:sz w:val="20"/>
        </w:rPr>
        <w:t xml:space="preserve"> to four years. Awards to the Company’s directors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EVOLUTION PETROLEUM CORPORATION</w:t>
      </w:r>
    </w:p>
    <w:p>
      <w:pPr>
        <w:pStyle w:val="TextBody"/>
        <w:shd w:fill="FFFFFF" w:val="clear"/>
        <w:bidi w:val="0"/>
        <w:spacing w:lineRule="auto" w:line="429" w:before="0" w:after="24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sz w:val="20"/>
        </w:rPr>
      </w:pPr>
      <w:bookmarkStart w:id="859" w:name="Tc_fLYDv32GL0aEn2UNgaKDFg_7_4"/>
      <w:bookmarkStart w:id="860" w:name="Tc_BVAG-pNwAUCptlmVeeVtCQ_7_0"/>
      <w:bookmarkStart w:id="861" w:name="Tc_QSIRgmrpAk6zvovpE_d8XQ_6_0"/>
      <w:bookmarkStart w:id="862" w:name="Tc_j6W7s_wbZU2-Qf_anN9HHw_5_4"/>
      <w:bookmarkStart w:id="863" w:name="Tc_um1NTVKPb0mH_MtyjMQyvQ_5_0"/>
      <w:bookmarkStart w:id="864" w:name="Tc_6F8mv59rxESwWg_erbCsrQ_4_4"/>
      <w:bookmarkStart w:id="865" w:name="Tc_IeoawmOMjkK37CjUERA7pQ_4_2"/>
      <w:bookmarkStart w:id="866" w:name="Tc_bwIP2Krxm0CnNIo4ocHuBQ_4_0"/>
      <w:bookmarkStart w:id="867" w:name="Tc_wN3HcgNllkip0IbdT2d8dg_3_4"/>
      <w:bookmarkStart w:id="868" w:name="Tc_3kkTWYvNNE6e3qQD4J3eAg_3_2"/>
      <w:bookmarkStart w:id="869" w:name="Tc_GapXibVhe0ek-IArbmjSxA_2_4"/>
      <w:bookmarkStart w:id="870" w:name="Tc_xLc7JY4wOEibTyD4gQdy0Q_2_2"/>
      <w:bookmarkStart w:id="871" w:name="Tc_m95U8__Z9ECM-oAFn1mvrQ_1_4"/>
      <w:bookmarkStart w:id="872" w:name="_c30fad03_af99_45f2_b601_513f8d8e1004"/>
      <w:bookmarkStart w:id="873" w:name="Tc_EGCwIvUI_kSBGZ7JsaPOfQ_8_0"/>
      <w:bookmarkStart w:id="874" w:name="Tc_t2iAm0mDI0GqmCSTv5z3Dg_7_0"/>
      <w:bookmarkStart w:id="875" w:name="Tc_OFiFx5zmB0KRjZEBQM5i4w_6_0"/>
      <w:bookmarkStart w:id="876" w:name="Tc_yZ7g7W3K60a68yuTAAn0Hw_5_0"/>
      <w:bookmarkStart w:id="877" w:name="Tc_lXEGeDjsF0uFOI1JyWfmmA_4_5"/>
      <w:bookmarkStart w:id="878" w:name="Tc_k_A66ISRMUKNcf0K-jZQ1A_4_2"/>
      <w:bookmarkStart w:id="879" w:name="Tc_hn07qZhjR0KzsT9qHpffag_4_0"/>
      <w:bookmarkStart w:id="880" w:name="Tc_peo6ao59m0KmQATqXUjBvw_3_5"/>
      <w:bookmarkStart w:id="881" w:name="Tc_3rjd9RbH1ky_xuvsrixPpw_3_2"/>
      <w:bookmarkStart w:id="882" w:name="Tc_ftQJTGPQjU6K8dPnsv6R-g_2_2"/>
      <w:bookmarkStart w:id="883" w:name="Tc_vwANPvGjLU-SjObxn5EJcA_1_2"/>
      <w:bookmarkStart w:id="884" w:name="_c63d5b6f_0d29_4e39_b0cc_583e195a680b"/>
      <w:bookmarkStart w:id="885" w:name="_Hlk118406756"/>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r>
        <w:rPr>
          <w:rFonts w:ascii="Times New Roman;Times;serif" w:hAnsi="Times New Roman;Times;serif"/>
          <w:sz w:val="20"/>
        </w:rPr>
        <w:t>generally have one-year cliff vesting. For such awards, grant date fair value is based on market value of the Company’s common stock at the time of grant. This value is then amortized ratably over the service period. Previously recognized amortization expense subsequent to the last vesting date of an award is reversed in the event that the holder has no longer rendered service to the Company resulting in forfeiture of the award.</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Performance-Based Restricted Stock Awards and Performance-Based Contingent Stock Units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Performance-based restricted stock awards and performance-based contingent stock units contain market-based vesting conditions based on the price of the Company’s common stock compared to the performance of the common stock of its peers. The common shares underlying the Company’s performance-based restricted stock awards are issued on the date of grant and participate in dividends paid by the Company and expire after a maximum of three years from the date of grant if unvested. Performance-based contingent share units do not participate in dividends and shares are only issued in part or in full upon the attainment of vesting conditions, generally have a lower probability of achievement and expire after a maximum of three years from the date of grant if unvested. Shares underlying performance-based contingent share units are reserved from the Amended and Restated Plan. Performance-based restricted stock awards and contingent restricted stock units are valued using a Monte Carlo simulation and geometric Brownian motion techniques applied to the historical volatility of the Company’s total stock return compared to the historical volatilities of other companies or indices to which the Company compares its performance. Stock-based compensation is recognized ratably over the expected vesting period, so long as the award holder remains an employee of the Company. Previously recognized compensation expense is only reversed for the awards with market-based vesting conditions if the requisite service period is not rendered by the holder resulting in forfeiture of the award or as a result of regulatory required clawback.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Vesting of grants with performance-based vesting conditions is dependent on the future price of the Company’s common stock. Such awards vest in part or in full if the trailing total returns on the Company’s common stock for a specified three-year period exceed the corresponding total returns of various quartiles of indices consisting of peer companies.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three months ended September 30, 2025, the Company granted a total of 0.3 million equity awards that included 0.1 million time-vested restricted stock awards and 0.2 million performance-based restricted stock awards.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During the three months ended September 30, 2024, the Company granted a total of 0.4 million equity awards that included 0.1 million time-vested restricted stock awards, 0.2 million performance-based restricted stock awards, and 0.1 million of performance-based contingent stock units.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For performance-based awards granted during the three months ended September 30, 2025 and 2024, the assumptions used in the Monte Carlo simulation valuations were as follows:</w:t>
      </w:r>
    </w:p>
    <w:tbl>
      <w:tblPr>
        <w:tblW w:w="7032" w:type="dxa"/>
        <w:jc w:val="left"/>
        <w:tblInd w:w="0" w:type="dxa"/>
        <w:tblLayout w:type="fixed"/>
        <w:tblCellMar>
          <w:top w:w="0" w:type="dxa"/>
          <w:left w:w="0" w:type="dxa"/>
          <w:bottom w:w="0" w:type="dxa"/>
          <w:right w:w="0" w:type="dxa"/>
        </w:tblCellMar>
      </w:tblPr>
      <w:tblGrid>
        <w:gridCol w:w="4801"/>
        <w:gridCol w:w="326"/>
        <w:gridCol w:w="196"/>
        <w:gridCol w:w="571"/>
        <w:gridCol w:w="326"/>
        <w:gridCol w:w="196"/>
        <w:gridCol w:w="616"/>
      </w:tblGrid>
      <w:tr>
        <w:trPr/>
        <w:tc>
          <w:tcPr>
            <w:tcW w:w="4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3048635" cy="175260"/>
                      <wp:effectExtent l="0" t="0" r="0" b="0"/>
                      <wp:wrapNone/>
                      <wp:docPr id="191" name="Frame190"/>
                      <a:graphic xmlns:a="http://schemas.openxmlformats.org/drawingml/2006/main">
                        <a:graphicData uri="http://schemas.microsoft.com/office/word/2010/wordprocessingShape">
                          <wps:wsp>
                            <wps:cNvSpPr txBox="1"/>
                            <wps:spPr>
                              <a:xfrm>
                                <a:off x="0" y="0"/>
                                <a:ext cx="3048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07010" cy="175260"/>
                      <wp:effectExtent l="0" t="0" r="0" b="0"/>
                      <wp:wrapNone/>
                      <wp:docPr id="192" name="Frame1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24460" cy="175260"/>
                      <wp:effectExtent l="0" t="0" r="0" b="0"/>
                      <wp:wrapNone/>
                      <wp:docPr id="193" name="Frame19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362585" cy="175260"/>
                      <wp:effectExtent l="0" t="0" r="0" b="0"/>
                      <wp:wrapNone/>
                      <wp:docPr id="194" name="Frame19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07010" cy="175260"/>
                      <wp:effectExtent l="0" t="0" r="0" b="0"/>
                      <wp:wrapNone/>
                      <wp:docPr id="195" name="Frame1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24460" cy="175260"/>
                      <wp:effectExtent l="0" t="0" r="0" b="0"/>
                      <wp:wrapNone/>
                      <wp:docPr id="196" name="Frame19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391160" cy="175260"/>
                      <wp:effectExtent l="0" t="0" r="0" b="0"/>
                      <wp:wrapNone/>
                      <wp:docPr id="197" name="Frame196"/>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8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05"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Three Months Ended</w:t>
            </w:r>
          </w:p>
        </w:tc>
      </w:tr>
      <w:tr>
        <w:trPr/>
        <w:tc>
          <w:tcPr>
            <w:tcW w:w="48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0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September 30, </w:t>
            </w:r>
          </w:p>
        </w:tc>
      </w:tr>
      <w:tr>
        <w:trPr/>
        <w:tc>
          <w:tcPr>
            <w:tcW w:w="48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26" w:type="dxa"/>
            <w:tcBorders/>
            <w:vAlign w:val="center"/>
          </w:tcPr>
          <w:p>
            <w:pPr>
              <w:pStyle w:val="TableContents"/>
              <w:bidi w:val="0"/>
              <w:spacing w:before="0" w:after="1"/>
              <w:ind w:left="0" w:right="0" w:hanging="0"/>
              <w:jc w:val="left"/>
              <w:rPr/>
            </w:pPr>
            <w:r>
              <w:rPr/>
              <w:t>    </w:t>
            </w:r>
          </w:p>
        </w:tc>
        <w:tc>
          <w:tcPr>
            <w:tcW w:w="8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Weighted average fair value of performance-based awards granted</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3.90</w:t>
            </w:r>
          </w:p>
        </w:tc>
      </w:tr>
      <w:tr>
        <w:trPr/>
        <w:tc>
          <w:tcPr>
            <w:tcW w:w="48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Risk-free interest rate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3.55%</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3.45%</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Expected term in years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2.78</w:t>
            </w:r>
          </w:p>
        </w:tc>
      </w:tr>
      <w:tr>
        <w:trPr/>
        <w:tc>
          <w:tcPr>
            <w:tcW w:w="48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Expected volatility</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40.6%</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50.2%</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Dividend yield</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8.4%</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restricted stock awards as of September 30, 2025 consisted of the following:</w:t>
      </w:r>
    </w:p>
    <w:tbl>
      <w:tblPr>
        <w:tblW w:w="5065" w:type="dxa"/>
        <w:jc w:val="left"/>
        <w:tblInd w:w="0" w:type="dxa"/>
        <w:tblLayout w:type="fixed"/>
        <w:tblCellMar>
          <w:top w:w="0" w:type="dxa"/>
          <w:left w:w="0" w:type="dxa"/>
          <w:bottom w:w="0" w:type="dxa"/>
          <w:right w:w="0" w:type="dxa"/>
        </w:tblCellMar>
      </w:tblPr>
      <w:tblGrid>
        <w:gridCol w:w="2431"/>
        <w:gridCol w:w="326"/>
        <w:gridCol w:w="946"/>
        <w:gridCol w:w="326"/>
        <w:gridCol w:w="280"/>
        <w:gridCol w:w="756"/>
      </w:tblGrid>
      <w:tr>
        <w:trPr/>
        <w:tc>
          <w:tcPr>
            <w:tcW w:w="2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543685" cy="175260"/>
                      <wp:effectExtent l="0" t="0" r="0" b="0"/>
                      <wp:wrapNone/>
                      <wp:docPr id="198" name="Frame197"/>
                      <a:graphic xmlns:a="http://schemas.openxmlformats.org/drawingml/2006/main">
                        <a:graphicData uri="http://schemas.microsoft.com/office/word/2010/wordprocessingShape">
                          <wps:wsp>
                            <wps:cNvSpPr txBox="1"/>
                            <wps:spPr>
                              <a:xfrm>
                                <a:off x="0" y="0"/>
                                <a:ext cx="1543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07010" cy="175260"/>
                      <wp:effectExtent l="0" t="0" r="0" b="0"/>
                      <wp:wrapNone/>
                      <wp:docPr id="199" name="Frame1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00710" cy="175260"/>
                      <wp:effectExtent l="0" t="0" r="0" b="0"/>
                      <wp:wrapNone/>
                      <wp:docPr id="200" name="Frame199"/>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07010" cy="175260"/>
                      <wp:effectExtent l="0" t="0" r="0" b="0"/>
                      <wp:wrapNone/>
                      <wp:docPr id="201" name="Frame2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77800" cy="175260"/>
                      <wp:effectExtent l="0" t="0" r="0" b="0"/>
                      <wp:wrapNone/>
                      <wp:docPr id="202" name="Frame201"/>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480060" cy="175260"/>
                      <wp:effectExtent l="0" t="0" r="0" b="0"/>
                      <wp:wrapNone/>
                      <wp:docPr id="203" name="Frame202"/>
                      <a:graphic xmlns:a="http://schemas.openxmlformats.org/drawingml/2006/main">
                        <a:graphicData uri="http://schemas.microsoft.com/office/word/2010/wordprocessingShape">
                          <wps:wsp>
                            <wps:cNvSpPr txBox="1"/>
                            <wps:spPr>
                              <a:xfrm>
                                <a:off x="0" y="0"/>
                                <a:ext cx="480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3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Weighted</w:t>
            </w:r>
          </w:p>
        </w:tc>
      </w:tr>
      <w:tr>
        <w:trPr/>
        <w:tc>
          <w:tcPr>
            <w:tcW w:w="24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Number of</w:t>
            </w:r>
          </w:p>
        </w:tc>
        <w:tc>
          <w:tcPr>
            <w:tcW w:w="326" w:type="dxa"/>
            <w:tcBorders/>
            <w:vAlign w:val="center"/>
          </w:tcPr>
          <w:p>
            <w:pPr>
              <w:pStyle w:val="TableContents"/>
              <w:bidi w:val="0"/>
              <w:spacing w:before="0" w:after="1"/>
              <w:ind w:left="0" w:right="0" w:hanging="0"/>
              <w:jc w:val="left"/>
              <w:rPr/>
            </w:pPr>
            <w:r>
              <w:rPr/>
              <w:t>​</w:t>
            </w:r>
          </w:p>
        </w:tc>
        <w:tc>
          <w:tcPr>
            <w:tcW w:w="103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Average</w:t>
            </w:r>
          </w:p>
        </w:tc>
      </w:tr>
      <w:tr>
        <w:trPr/>
        <w:tc>
          <w:tcPr>
            <w:tcW w:w="24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Restricted</w:t>
            </w:r>
          </w:p>
        </w:tc>
        <w:tc>
          <w:tcPr>
            <w:tcW w:w="326" w:type="dxa"/>
            <w:tcBorders/>
            <w:vAlign w:val="center"/>
          </w:tcPr>
          <w:p>
            <w:pPr>
              <w:pStyle w:val="TableContents"/>
              <w:bidi w:val="0"/>
              <w:spacing w:before="0" w:after="1"/>
              <w:ind w:left="0" w:right="0" w:hanging="0"/>
              <w:jc w:val="left"/>
              <w:rPr/>
            </w:pPr>
            <w:r>
              <w:rPr/>
              <w:t>​</w:t>
            </w:r>
          </w:p>
        </w:tc>
        <w:tc>
          <w:tcPr>
            <w:tcW w:w="103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Grant-Date</w:t>
            </w:r>
          </w:p>
        </w:tc>
      </w:tr>
      <w:tr>
        <w:trPr/>
        <w:tc>
          <w:tcPr>
            <w:tcW w:w="24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Award Type</w:t>
            </w:r>
          </w:p>
        </w:tc>
        <w:tc>
          <w:tcPr>
            <w:tcW w:w="326" w:type="dxa"/>
            <w:tcBorders/>
            <w:shd w:fill="FFFFFF" w:val="clear"/>
            <w:vAlign w:val="center"/>
          </w:tcPr>
          <w:p>
            <w:pPr>
              <w:pStyle w:val="TableContents"/>
              <w:bidi w:val="0"/>
              <w:spacing w:before="0" w:after="1"/>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Shares</w:t>
            </w:r>
          </w:p>
        </w:tc>
        <w:tc>
          <w:tcPr>
            <w:tcW w:w="326" w:type="dxa"/>
            <w:tcBorders/>
            <w:vAlign w:val="center"/>
          </w:tcPr>
          <w:p>
            <w:pPr>
              <w:pStyle w:val="TableContents"/>
              <w:bidi w:val="0"/>
              <w:spacing w:before="0" w:after="1"/>
              <w:ind w:left="0" w:right="0" w:hanging="0"/>
              <w:jc w:val="left"/>
              <w:rPr/>
            </w:pPr>
            <w:r>
              <w:rPr/>
              <w:t>    </w:t>
            </w:r>
          </w:p>
        </w:tc>
        <w:tc>
          <w:tcPr>
            <w:tcW w:w="10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Fair Value</w:t>
            </w:r>
          </w:p>
        </w:tc>
      </w:tr>
      <w:tr>
        <w:trPr/>
        <w:tc>
          <w:tcPr>
            <w:tcW w:w="24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Time-vested awards</w:t>
            </w:r>
          </w:p>
        </w:tc>
        <w:tc>
          <w:tcPr>
            <w:tcW w:w="32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370,009</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5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6.06</w:t>
            </w:r>
          </w:p>
        </w:tc>
      </w:tr>
      <w:tr>
        <w:trPr/>
        <w:tc>
          <w:tcPr>
            <w:tcW w:w="24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Performance-based awards</w:t>
            </w:r>
          </w:p>
        </w:tc>
        <w:tc>
          <w:tcPr>
            <w:tcW w:w="326" w:type="dxa"/>
            <w:tcBorders/>
            <w:vAlign w:val="center"/>
          </w:tcPr>
          <w:p>
            <w:pPr>
              <w:pStyle w:val="TableContents"/>
              <w:bidi w:val="0"/>
              <w:spacing w:before="0" w:after="1"/>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508,851</w:t>
            </w:r>
          </w:p>
        </w:tc>
        <w:tc>
          <w:tcPr>
            <w:tcW w:w="326" w:type="dxa"/>
            <w:tcBorders/>
            <w:vAlign w:val="center"/>
          </w:tcPr>
          <w:p>
            <w:pPr>
              <w:pStyle w:val="TableContents"/>
              <w:bidi w:val="0"/>
              <w:spacing w:before="0" w:after="1"/>
              <w:ind w:left="0" w:right="0" w:hanging="0"/>
              <w:jc w:val="left"/>
              <w:rPr/>
            </w:pPr>
            <w:r>
              <w:rPr/>
              <w:t>​</w:t>
            </w:r>
          </w:p>
        </w:tc>
        <w:tc>
          <w:tcPr>
            <w:tcW w:w="28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4.65</w:t>
            </w:r>
          </w:p>
        </w:tc>
      </w:tr>
      <w:tr>
        <w:trPr/>
        <w:tc>
          <w:tcPr>
            <w:tcW w:w="24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Unvested at September 30, 2025</w:t>
            </w:r>
          </w:p>
        </w:tc>
        <w:tc>
          <w:tcPr>
            <w:tcW w:w="326" w:type="dxa"/>
            <w:tcBorders/>
            <w:shd w:fill="CCEEFF" w:val="clear"/>
            <w:vAlign w:val="center"/>
          </w:tcPr>
          <w:p>
            <w:pPr>
              <w:pStyle w:val="TableContents"/>
              <w:bidi w:val="0"/>
              <w:spacing w:before="0" w:after="1"/>
              <w:ind w:left="0" w:right="0" w:hanging="0"/>
              <w:jc w:val="left"/>
              <w:rPr/>
            </w:pPr>
            <w:r>
              <w:rPr/>
              <w:t>​</w:t>
            </w:r>
          </w:p>
        </w:tc>
        <w:tc>
          <w:tcPr>
            <w:tcW w:w="9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878,860</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5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5.24</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EVOLUTION PETROLEUM CORPORATION</w:t>
      </w:r>
    </w:p>
    <w:p>
      <w:pPr>
        <w:pStyle w:val="TextBody"/>
        <w:shd w:fill="FFFFFF" w:val="clear"/>
        <w:bidi w:val="0"/>
        <w:spacing w:lineRule="auto" w:line="429" w:before="0" w:after="24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NOTES TO UNAUDITED CONDENSED CONSOLIDATED FINANCIAL STATEMENTS</w:t>
      </w:r>
    </w:p>
    <w:p>
      <w:pPr>
        <w:pStyle w:val="TextBody"/>
        <w:bidi w:val="0"/>
        <w:spacing w:before="0" w:after="240"/>
        <w:ind w:left="0" w:right="0" w:hanging="0"/>
        <w:jc w:val="left"/>
        <w:rPr/>
      </w:pPr>
      <w:bookmarkStart w:id="886" w:name="Tc_ohl3tESQj0C7VNhB_6-kew_7_7"/>
      <w:bookmarkStart w:id="887" w:name="Tc_DLoB3B62WE6vZBrzPvaECA_7_4"/>
      <w:bookmarkStart w:id="888" w:name="Tc_bzMQzr019Ue2ULKLc4FRyQ_7_0"/>
      <w:bookmarkStart w:id="889" w:name="Tc_U-hPcroO4Ea_oO1jfDzSeQ_6_7"/>
      <w:bookmarkStart w:id="890" w:name="Tc_QpERiYlOeUW4n-tn_mTikA_6_4"/>
      <w:bookmarkStart w:id="891" w:name="Tc_3vYKbi5HKEGltgNJxCKp6w_6_0"/>
      <w:bookmarkStart w:id="892" w:name="Tc_ZRj6dwLV2EqLH1WfKMDLiQ_5_10"/>
      <w:bookmarkStart w:id="893" w:name="Tc_yV9BabizFECiXxsXkHw2_g_5_7"/>
      <w:bookmarkStart w:id="894" w:name="Tc_auJ-nktJ7UCHHteGVB-5ZQ_5_4"/>
      <w:bookmarkStart w:id="895" w:name="Tc_Gnf2lUyVvUWfyF8o5JEfXg_5_2"/>
      <w:bookmarkStart w:id="896" w:name="Tc_oPm7RmRXxkyXehPmmmGklg_4_10"/>
      <w:bookmarkStart w:id="897" w:name="Tc_iBHl15i2gECXA0GKdZKcUA_4_7"/>
      <w:bookmarkStart w:id="898" w:name="Tc_w4z0FDa7v0qOvZ4olydTEQ_4_4"/>
      <w:bookmarkStart w:id="899" w:name="Tc_KnPLLutn3kKlnUxiHmuKwA_4_2"/>
      <w:bookmarkStart w:id="900" w:name="Tc_00hkWiFeqEiVGXZxlS_kww_3_10"/>
      <w:bookmarkStart w:id="901" w:name="Tc_GY0enoDwLEqAjkeFKOk1ig_3_7"/>
      <w:bookmarkStart w:id="902" w:name="Tc_WRf0GauoHU6EamCjuxGhyg_3_4"/>
      <w:bookmarkStart w:id="903" w:name="Tc_iTiH6hq8Fk60wmw1iMu4qQ_3_2"/>
      <w:bookmarkStart w:id="904" w:name="Tc_Ip0pDs70rk2hh4KgnjnutA_2_10"/>
      <w:bookmarkStart w:id="905" w:name="Tc_1sgB9uxyzEC-DM3u74IiZg_2_7"/>
      <w:bookmarkStart w:id="906" w:name="Tc_gB28NCpV002uI4V6v_x_EA_1_10"/>
      <w:bookmarkStart w:id="907" w:name="_39bb90b1_d154_4baf_8a63_17a1713e0525"/>
      <w:bookmarkStart w:id="908" w:name="Tc__uJ80S0TAUS-MoIU6dO87A_10_7"/>
      <w:bookmarkStart w:id="909" w:name="Tc_gm70I5Wca0OLmrZ7sjBq8A_10_4"/>
      <w:bookmarkStart w:id="910" w:name="Tc_fDid7pL_GkaAGtNO34Qw3A_10_0"/>
      <w:bookmarkStart w:id="911" w:name="Tc_I_T41E9iqk-DNq3ms6fxOA_9_0"/>
      <w:bookmarkStart w:id="912" w:name="Tc_LUgTs3sHOUOmS0dPJV3QSQ_8_0"/>
      <w:bookmarkStart w:id="913" w:name="Tc_GO8v-CwEKUSRkPZoCp-raA_7_0"/>
      <w:bookmarkStart w:id="914" w:name="Tc_HIFt5qsghkaWZS1WsXweaw_6_7"/>
      <w:bookmarkStart w:id="915" w:name="Tc_n15ukssU10ioMDpo1R2WHw_6_4"/>
      <w:bookmarkStart w:id="916" w:name="Tc_hwSF030hgUyRR2R8ELlasg_6_0"/>
      <w:bookmarkStart w:id="917" w:name="Tc_gjX2UNTIOUGWr1VHfXZ1Uw_5_10"/>
      <w:bookmarkStart w:id="918" w:name="Tc_4CXcbW1xMkOeHLkSQ2bGAg_5_7"/>
      <w:bookmarkStart w:id="919" w:name="Tc_SAaqYfnJ-Uqi3ghyiFK8_Q_5_4"/>
      <w:bookmarkStart w:id="920" w:name="Tc_jvWc2HYf8EqvnfNpQsJhhQ_5_2"/>
      <w:bookmarkStart w:id="921" w:name="Tc_vaDTTwvnF0OOtp1084PnnA_4_10"/>
      <w:bookmarkStart w:id="922" w:name="Tc_83SvLWfDB0GEIXUvOxHz_g_4_7"/>
      <w:bookmarkStart w:id="923" w:name="Tc_Pwlbk_Yuv0q291de_4Dkig_4_4"/>
      <w:bookmarkStart w:id="924" w:name="Tc_aYDtb4qgmk6LyNoUgzAF5Q_4_2"/>
      <w:bookmarkStart w:id="925" w:name="Tc_ynNEDPu_kUWbW2RDFUf6cg_3_10"/>
      <w:bookmarkStart w:id="926" w:name="Tc_kR6y_ph5wUCrITR_l-5ScA_3_7"/>
      <w:bookmarkStart w:id="927" w:name="Tc_I6yWHKdqkk-9QSC9FO3xeA_3_4"/>
      <w:bookmarkStart w:id="928" w:name="Tc_QDRFakLs9U2iaPMhEgE2ng_3_2"/>
      <w:bookmarkStart w:id="929" w:name="Tc_TTzaVBJCO02EPTzG5mnBBg_2_10"/>
      <w:bookmarkStart w:id="930" w:name="Tc_EWvi5qHEg0KI9WIxYrMaxA_2_7"/>
      <w:bookmarkStart w:id="931" w:name="Tc_uFehrGaSokuWf2seBQF2tA_2_4"/>
      <w:bookmarkStart w:id="932" w:name="Tc_TeSYnQV8pUijbKSWB-FEpg_1_10"/>
      <w:bookmarkStart w:id="933" w:name="_2aae393f_a863_4b61_9c55_af88f4acb3ad"/>
      <w:bookmarkStart w:id="934" w:name="_Hlk118406769"/>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sets forth the restricted stock award transactions for the three months ended September 30, 2025:</w:t>
      </w:r>
    </w:p>
    <w:p>
      <w:pPr>
        <w:pStyle w:val="TextBody"/>
        <w:bidi w:val="0"/>
        <w:spacing w:before="0" w:after="240"/>
        <w:ind w:left="0" w:right="0" w:hanging="0"/>
        <w:jc w:val="left"/>
        <w:rPr/>
      </w:pPr>
      <w:r>
        <w:rPr/>
        <w:t>​</w:t>
      </w:r>
    </w:p>
    <w:tbl>
      <w:tblPr>
        <w:tblW w:w="8328" w:type="dxa"/>
        <w:jc w:val="left"/>
        <w:tblInd w:w="0" w:type="dxa"/>
        <w:tblLayout w:type="fixed"/>
        <w:tblCellMar>
          <w:top w:w="0" w:type="dxa"/>
          <w:left w:w="0" w:type="dxa"/>
          <w:bottom w:w="0" w:type="dxa"/>
          <w:right w:w="0" w:type="dxa"/>
        </w:tblCellMar>
      </w:tblPr>
      <w:tblGrid>
        <w:gridCol w:w="2551"/>
        <w:gridCol w:w="326"/>
        <w:gridCol w:w="946"/>
        <w:gridCol w:w="326"/>
        <w:gridCol w:w="314"/>
        <w:gridCol w:w="677"/>
        <w:gridCol w:w="326"/>
        <w:gridCol w:w="353"/>
        <w:gridCol w:w="922"/>
        <w:gridCol w:w="326"/>
        <w:gridCol w:w="1261"/>
      </w:tblGrid>
      <w:tr>
        <w:trPr/>
        <w:tc>
          <w:tcPr>
            <w:tcW w:w="2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619885" cy="175260"/>
                      <wp:effectExtent l="0" t="0" r="0" b="0"/>
                      <wp:wrapNone/>
                      <wp:docPr id="204" name="Frame203"/>
                      <a:graphic xmlns:a="http://schemas.openxmlformats.org/drawingml/2006/main">
                        <a:graphicData uri="http://schemas.microsoft.com/office/word/2010/wordprocessingShape">
                          <wps:wsp>
                            <wps:cNvSpPr txBox="1"/>
                            <wps:spPr>
                              <a:xfrm>
                                <a:off x="0" y="0"/>
                                <a:ext cx="1619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07010" cy="175260"/>
                      <wp:effectExtent l="0" t="0" r="0" b="0"/>
                      <wp:wrapNone/>
                      <wp:docPr id="205" name="Frame2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00710" cy="175260"/>
                      <wp:effectExtent l="0" t="0" r="0" b="0"/>
                      <wp:wrapNone/>
                      <wp:docPr id="206" name="Frame205"/>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07010" cy="175260"/>
                      <wp:effectExtent l="0" t="0" r="0" b="0"/>
                      <wp:wrapNone/>
                      <wp:docPr id="207" name="Frame2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99390" cy="175260"/>
                      <wp:effectExtent l="0" t="0" r="0" b="0"/>
                      <wp:wrapNone/>
                      <wp:docPr id="208" name="Frame207"/>
                      <a:graphic xmlns:a="http://schemas.openxmlformats.org/drawingml/2006/main">
                        <a:graphicData uri="http://schemas.microsoft.com/office/word/2010/wordprocessingShape">
                          <wps:wsp>
                            <wps:cNvSpPr txBox="1"/>
                            <wps:spPr>
                              <a:xfrm>
                                <a:off x="0" y="0"/>
                                <a:ext cx="199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429895" cy="175260"/>
                      <wp:effectExtent l="0" t="0" r="0" b="0"/>
                      <wp:wrapNone/>
                      <wp:docPr id="209" name="Frame208"/>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07010" cy="175260"/>
                      <wp:effectExtent l="0" t="0" r="0" b="0"/>
                      <wp:wrapNone/>
                      <wp:docPr id="210" name="Frame2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24155" cy="175260"/>
                      <wp:effectExtent l="0" t="0" r="0" b="0"/>
                      <wp:wrapNone/>
                      <wp:docPr id="211" name="Frame210"/>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585470" cy="175260"/>
                      <wp:effectExtent l="0" t="0" r="0" b="0"/>
                      <wp:wrapNone/>
                      <wp:docPr id="212" name="Frame211"/>
                      <a:graphic xmlns:a="http://schemas.openxmlformats.org/drawingml/2006/main">
                        <a:graphicData uri="http://schemas.microsoft.com/office/word/2010/wordprocessingShape">
                          <wps:wsp>
                            <wps:cNvSpPr txBox="1"/>
                            <wps:spPr>
                              <a:xfrm>
                                <a:off x="0" y="0"/>
                                <a:ext cx="5854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07010" cy="175260"/>
                      <wp:effectExtent l="0" t="0" r="0" b="0"/>
                      <wp:wrapNone/>
                      <wp:docPr id="213" name="Frame2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800735" cy="175260"/>
                      <wp:effectExtent l="0" t="0" r="0" b="0"/>
                      <wp:wrapNone/>
                      <wp:docPr id="214" name="Frame213"/>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53" w:type="dxa"/>
            <w:tcBorders/>
            <w:vAlign w:val="center"/>
          </w:tcPr>
          <w:p>
            <w:pPr>
              <w:pStyle w:val="TableContents"/>
              <w:bidi w:val="0"/>
              <w:spacing w:before="0" w:after="1"/>
              <w:ind w:left="0" w:right="0" w:hanging="0"/>
              <w:jc w:val="left"/>
              <w:rPr/>
            </w:pPr>
            <w:r>
              <w:rPr/>
              <w:t>​</w:t>
            </w:r>
          </w:p>
        </w:tc>
        <w:tc>
          <w:tcPr>
            <w:tcW w:w="92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Weighted</w:t>
            </w:r>
          </w:p>
        </w:tc>
      </w:tr>
      <w:tr>
        <w:trPr/>
        <w:tc>
          <w:tcPr>
            <w:tcW w:w="25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Weighted</w:t>
            </w:r>
          </w:p>
        </w:tc>
        <w:tc>
          <w:tcPr>
            <w:tcW w:w="326" w:type="dxa"/>
            <w:tcBorders/>
            <w:vAlign w:val="center"/>
          </w:tcPr>
          <w:p>
            <w:pPr>
              <w:pStyle w:val="TableContents"/>
              <w:bidi w:val="0"/>
              <w:spacing w:before="0" w:after="1"/>
              <w:ind w:left="0" w:right="0" w:hanging="0"/>
              <w:jc w:val="left"/>
              <w:rPr/>
            </w:pPr>
            <w:r>
              <w:rPr/>
              <w:t>​</w:t>
            </w:r>
          </w:p>
        </w:tc>
        <w:tc>
          <w:tcPr>
            <w:tcW w:w="127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Unamortized</w:t>
            </w:r>
          </w:p>
        </w:tc>
        <w:tc>
          <w:tcPr>
            <w:tcW w:w="32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Average</w:t>
            </w:r>
          </w:p>
        </w:tc>
      </w:tr>
      <w:tr>
        <w:trPr/>
        <w:tc>
          <w:tcPr>
            <w:tcW w:w="25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Number of</w:t>
            </w:r>
          </w:p>
        </w:tc>
        <w:tc>
          <w:tcPr>
            <w:tcW w:w="326" w:type="dxa"/>
            <w:tcBorders/>
            <w:vAlign w:val="center"/>
          </w:tcPr>
          <w:p>
            <w:pPr>
              <w:pStyle w:val="TableContents"/>
              <w:bidi w:val="0"/>
              <w:spacing w:before="0" w:after="1"/>
              <w:ind w:left="0" w:right="0" w:hanging="0"/>
              <w:jc w:val="left"/>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Average</w:t>
            </w:r>
          </w:p>
        </w:tc>
        <w:tc>
          <w:tcPr>
            <w:tcW w:w="326" w:type="dxa"/>
            <w:tcBorders/>
            <w:vAlign w:val="center"/>
          </w:tcPr>
          <w:p>
            <w:pPr>
              <w:pStyle w:val="TableContents"/>
              <w:bidi w:val="0"/>
              <w:spacing w:before="0" w:after="1"/>
              <w:ind w:left="0" w:right="0" w:hanging="0"/>
              <w:jc w:val="left"/>
              <w:rPr/>
            </w:pPr>
            <w:r>
              <w:rPr/>
              <w:t>​</w:t>
            </w:r>
          </w:p>
        </w:tc>
        <w:tc>
          <w:tcPr>
            <w:tcW w:w="127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Compensation </w:t>
            </w:r>
          </w:p>
        </w:tc>
        <w:tc>
          <w:tcPr>
            <w:tcW w:w="32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Remaining</w:t>
            </w:r>
          </w:p>
        </w:tc>
      </w:tr>
      <w:tr>
        <w:trPr/>
        <w:tc>
          <w:tcPr>
            <w:tcW w:w="25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Restricted</w:t>
            </w:r>
          </w:p>
        </w:tc>
        <w:tc>
          <w:tcPr>
            <w:tcW w:w="326" w:type="dxa"/>
            <w:tcBorders/>
            <w:vAlign w:val="center"/>
          </w:tcPr>
          <w:p>
            <w:pPr>
              <w:pStyle w:val="TableContents"/>
              <w:bidi w:val="0"/>
              <w:spacing w:before="0" w:after="1"/>
              <w:ind w:left="0" w:right="0" w:hanging="0"/>
              <w:jc w:val="left"/>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Grant-Date</w:t>
            </w:r>
          </w:p>
        </w:tc>
        <w:tc>
          <w:tcPr>
            <w:tcW w:w="326" w:type="dxa"/>
            <w:tcBorders/>
            <w:vAlign w:val="center"/>
          </w:tcPr>
          <w:p>
            <w:pPr>
              <w:pStyle w:val="TableContents"/>
              <w:bidi w:val="0"/>
              <w:spacing w:before="0" w:after="1"/>
              <w:ind w:left="0" w:right="0" w:hanging="0"/>
              <w:jc w:val="left"/>
              <w:rPr/>
            </w:pPr>
            <w:r>
              <w:rPr/>
              <w:t>​</w:t>
            </w:r>
          </w:p>
        </w:tc>
        <w:tc>
          <w:tcPr>
            <w:tcW w:w="127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Expense</w:t>
            </w:r>
          </w:p>
        </w:tc>
        <w:tc>
          <w:tcPr>
            <w:tcW w:w="32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Amortization</w:t>
            </w:r>
          </w:p>
        </w:tc>
      </w:tr>
      <w:tr>
        <w:trPr/>
        <w:tc>
          <w:tcPr>
            <w:tcW w:w="25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Shares</w:t>
            </w:r>
          </w:p>
        </w:tc>
        <w:tc>
          <w:tcPr>
            <w:tcW w:w="326" w:type="dxa"/>
            <w:tcBorders/>
            <w:vAlign w:val="center"/>
          </w:tcPr>
          <w:p>
            <w:pPr>
              <w:pStyle w:val="TableContents"/>
              <w:bidi w:val="0"/>
              <w:spacing w:before="0" w:after="1"/>
              <w:ind w:left="0" w:right="0" w:hanging="0"/>
              <w:jc w:val="left"/>
              <w:rPr/>
            </w:pPr>
            <w:r>
              <w:rPr/>
              <w:t>    </w:t>
            </w:r>
          </w:p>
        </w:tc>
        <w:tc>
          <w:tcPr>
            <w:tcW w:w="9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Fair Value</w:t>
            </w:r>
          </w:p>
        </w:tc>
        <w:tc>
          <w:tcPr>
            <w:tcW w:w="326" w:type="dxa"/>
            <w:tcBorders/>
            <w:vAlign w:val="center"/>
          </w:tcPr>
          <w:p>
            <w:pPr>
              <w:pStyle w:val="TableContents"/>
              <w:bidi w:val="0"/>
              <w:spacing w:before="0" w:after="1"/>
              <w:ind w:left="0" w:right="0" w:hanging="0"/>
              <w:jc w:val="left"/>
              <w:rPr/>
            </w:pPr>
            <w:r>
              <w:rPr/>
              <w:t>    </w:t>
            </w:r>
          </w:p>
        </w:tc>
        <w:tc>
          <w:tcPr>
            <w:tcW w:w="12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(In thousands)</w:t>
            </w:r>
          </w:p>
        </w:tc>
        <w:tc>
          <w:tcPr>
            <w:tcW w:w="326" w:type="dxa"/>
            <w:tcBorders/>
            <w:vAlign w:val="center"/>
          </w:tcPr>
          <w:p>
            <w:pPr>
              <w:pStyle w:val="TableContents"/>
              <w:bidi w:val="0"/>
              <w:spacing w:before="0" w:after="1"/>
              <w:ind w:left="0" w:right="0" w:hanging="0"/>
              <w:jc w:val="left"/>
              <w:rPr/>
            </w:pPr>
            <w:r>
              <w:rPr/>
              <w:t>    </w:t>
            </w:r>
          </w:p>
        </w:tc>
        <w:tc>
          <w:tcPr>
            <w:tcW w:w="12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Period (Years)</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Unvested at June 30, 2025</w:t>
            </w:r>
          </w:p>
        </w:tc>
        <w:tc>
          <w:tcPr>
            <w:tcW w:w="32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670,285</w:t>
            </w:r>
          </w:p>
        </w:tc>
        <w:tc>
          <w:tcPr>
            <w:tcW w:w="32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7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5.58</w:t>
            </w:r>
          </w:p>
        </w:tc>
        <w:tc>
          <w:tcPr>
            <w:tcW w:w="326" w:type="dxa"/>
            <w:tcBorders/>
            <w:shd w:fill="CCEEFF" w:val="clear"/>
            <w:vAlign w:val="center"/>
          </w:tcPr>
          <w:p>
            <w:pPr>
              <w:pStyle w:val="TableContents"/>
              <w:bidi w:val="0"/>
              <w:spacing w:before="0" w:after="1"/>
              <w:ind w:left="0" w:right="0" w:hanging="0"/>
              <w:jc w:val="left"/>
              <w:rPr/>
            </w:pPr>
            <w:r>
              <w:rPr/>
              <w:t>​</w:t>
            </w:r>
          </w:p>
        </w:tc>
        <w:tc>
          <w:tcPr>
            <w:tcW w:w="35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2,196</w:t>
            </w:r>
          </w:p>
        </w:tc>
        <w:tc>
          <w:tcPr>
            <w:tcW w:w="326" w:type="dxa"/>
            <w:tcBorders/>
            <w:shd w:fill="CCEEFF" w:val="clear"/>
            <w:vAlign w:val="center"/>
          </w:tcPr>
          <w:p>
            <w:pPr>
              <w:pStyle w:val="TableContents"/>
              <w:bidi w:val="0"/>
              <w:spacing w:before="0" w:after="1"/>
              <w:ind w:left="0" w:right="0" w:hanging="0"/>
              <w:jc w:val="left"/>
              <w:rPr/>
            </w:pPr>
            <w:r>
              <w:rPr/>
              <w:t>​</w:t>
            </w:r>
          </w:p>
        </w:tc>
        <w:tc>
          <w:tcPr>
            <w:tcW w:w="12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w:t>
            </w:r>
          </w:p>
        </w:tc>
      </w:tr>
      <w:tr>
        <w:trPr/>
        <w:tc>
          <w:tcPr>
            <w:tcW w:w="255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Time-vested shares granted</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93,353</w:t>
            </w:r>
          </w:p>
        </w:tc>
        <w:tc>
          <w:tcPr>
            <w:tcW w:w="326"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5.47</w:t>
            </w:r>
          </w:p>
        </w:tc>
        <w:tc>
          <w:tcPr>
            <w:tcW w:w="326" w:type="dxa"/>
            <w:tcBorders/>
            <w:vAlign w:val="center"/>
          </w:tcPr>
          <w:p>
            <w:pPr>
              <w:pStyle w:val="TableContents"/>
              <w:bidi w:val="0"/>
              <w:spacing w:before="0" w:after="1"/>
              <w:ind w:left="0" w:right="0" w:hanging="0"/>
              <w:jc w:val="left"/>
              <w:rPr/>
            </w:pPr>
            <w:r>
              <w:rPr/>
              <w:t>​</w:t>
            </w:r>
          </w:p>
        </w:tc>
        <w:tc>
          <w:tcPr>
            <w:tcW w:w="353" w:type="dxa"/>
            <w:tcBorders/>
            <w:vAlign w:val="center"/>
          </w:tcPr>
          <w:p>
            <w:pPr>
              <w:pStyle w:val="TableContents"/>
              <w:bidi w:val="0"/>
              <w:spacing w:before="0" w:after="1"/>
              <w:ind w:left="0" w:right="0" w:hanging="0"/>
              <w:jc w:val="left"/>
              <w:rPr/>
            </w:pPr>
            <w:r>
              <w:rPr/>
              <w:t>​</w:t>
            </w:r>
          </w:p>
        </w:tc>
        <w:tc>
          <w:tcPr>
            <w:tcW w:w="92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left"/>
              <w:rPr/>
            </w:pPr>
            <w:r>
              <w:rPr/>
              <w:t>​</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Performance-based shares granted</w:t>
            </w:r>
          </w:p>
        </w:tc>
        <w:tc>
          <w:tcPr>
            <w:tcW w:w="32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186,709</w:t>
            </w:r>
          </w:p>
        </w:tc>
        <w:tc>
          <w:tcPr>
            <w:tcW w:w="32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left"/>
              <w:rPr/>
            </w:pPr>
            <w:r>
              <w:rPr/>
              <w:t>​</w:t>
            </w:r>
          </w:p>
        </w:tc>
        <w:tc>
          <w:tcPr>
            <w:tcW w:w="67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4.36</w:t>
            </w:r>
          </w:p>
        </w:tc>
        <w:tc>
          <w:tcPr>
            <w:tcW w:w="326" w:type="dxa"/>
            <w:tcBorders/>
            <w:shd w:fill="CCEEFF" w:val="clear"/>
            <w:vAlign w:val="center"/>
          </w:tcPr>
          <w:p>
            <w:pPr>
              <w:pStyle w:val="TableContents"/>
              <w:bidi w:val="0"/>
              <w:spacing w:before="0" w:after="1"/>
              <w:ind w:left="0" w:right="0" w:hanging="0"/>
              <w:jc w:val="left"/>
              <w:rPr/>
            </w:pPr>
            <w:r>
              <w:rPr/>
              <w:t>​</w:t>
            </w:r>
          </w:p>
        </w:tc>
        <w:tc>
          <w:tcPr>
            <w:tcW w:w="353" w:type="dxa"/>
            <w:tcBorders/>
            <w:shd w:fill="CCEEFF" w:val="clear"/>
            <w:vAlign w:val="center"/>
          </w:tcPr>
          <w:p>
            <w:pPr>
              <w:pStyle w:val="TableContents"/>
              <w:bidi w:val="0"/>
              <w:spacing w:before="0" w:after="1"/>
              <w:ind w:left="0" w:right="0" w:hanging="0"/>
              <w:jc w:val="left"/>
              <w:rPr/>
            </w:pPr>
            <w:r>
              <w:rPr/>
              <w:t>​</w:t>
            </w:r>
          </w:p>
        </w:tc>
        <w:tc>
          <w:tcPr>
            <w:tcW w:w="92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61" w:type="dxa"/>
            <w:tcBorders/>
            <w:shd w:fill="CCEEFF" w:val="clear"/>
            <w:vAlign w:val="center"/>
          </w:tcPr>
          <w:p>
            <w:pPr>
              <w:pStyle w:val="TableContents"/>
              <w:bidi w:val="0"/>
              <w:spacing w:before="0" w:after="1"/>
              <w:ind w:left="0" w:right="0" w:hanging="0"/>
              <w:jc w:val="left"/>
              <w:rPr/>
            </w:pPr>
            <w:r>
              <w:rPr/>
              <w:t>​</w:t>
            </w:r>
          </w:p>
        </w:tc>
      </w:tr>
      <w:tr>
        <w:trPr/>
        <w:tc>
          <w:tcPr>
            <w:tcW w:w="255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Vested</w:t>
            </w:r>
          </w:p>
        </w:tc>
        <w:tc>
          <w:tcPr>
            <w:tcW w:w="326" w:type="dxa"/>
            <w:tcBorders/>
            <w:vAlign w:val="center"/>
          </w:tcPr>
          <w:p>
            <w:pPr>
              <w:pStyle w:val="TableContents"/>
              <w:bidi w:val="0"/>
              <w:spacing w:before="0" w:after="1"/>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(71,487)</w:t>
            </w:r>
          </w:p>
        </w:tc>
        <w:tc>
          <w:tcPr>
            <w:tcW w:w="326" w:type="dxa"/>
            <w:tcBorders/>
            <w:vAlign w:val="center"/>
          </w:tcPr>
          <w:p>
            <w:pPr>
              <w:pStyle w:val="TableContents"/>
              <w:bidi w:val="0"/>
              <w:spacing w:before="0" w:after="1"/>
              <w:ind w:left="0" w:right="0" w:hanging="0"/>
              <w:jc w:val="left"/>
              <w:rPr/>
            </w:pPr>
            <w:r>
              <w:rPr/>
              <w:t>​</w:t>
            </w:r>
          </w:p>
        </w:tc>
        <w:tc>
          <w:tcPr>
            <w:tcW w:w="31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6.41</w:t>
            </w:r>
          </w:p>
        </w:tc>
        <w:tc>
          <w:tcPr>
            <w:tcW w:w="326" w:type="dxa"/>
            <w:tcBorders/>
            <w:vAlign w:val="center"/>
          </w:tcPr>
          <w:p>
            <w:pPr>
              <w:pStyle w:val="TableContents"/>
              <w:bidi w:val="0"/>
              <w:spacing w:before="0" w:after="1"/>
              <w:ind w:left="0" w:right="0" w:hanging="0"/>
              <w:jc w:val="left"/>
              <w:rPr/>
            </w:pPr>
            <w:r>
              <w:rPr/>
              <w:t>​</w:t>
            </w:r>
          </w:p>
        </w:tc>
        <w:tc>
          <w:tcPr>
            <w:tcW w:w="353" w:type="dxa"/>
            <w:tcBorders/>
            <w:vAlign w:val="center"/>
          </w:tcPr>
          <w:p>
            <w:pPr>
              <w:pStyle w:val="TableContents"/>
              <w:bidi w:val="0"/>
              <w:spacing w:before="0" w:after="1"/>
              <w:ind w:left="0" w:right="0" w:hanging="0"/>
              <w:jc w:val="left"/>
              <w:rPr/>
            </w:pPr>
            <w:r>
              <w:rPr/>
              <w:t>​</w:t>
            </w:r>
          </w:p>
        </w:tc>
        <w:tc>
          <w:tcPr>
            <w:tcW w:w="92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left"/>
              <w:rPr/>
            </w:pPr>
            <w:r>
              <w:rPr/>
              <w:t>​</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Unvested at September 30, 2025</w:t>
            </w:r>
          </w:p>
        </w:tc>
        <w:tc>
          <w:tcPr>
            <w:tcW w:w="326" w:type="dxa"/>
            <w:tcBorders/>
            <w:shd w:fill="CCEEFF" w:val="clear"/>
            <w:vAlign w:val="center"/>
          </w:tcPr>
          <w:p>
            <w:pPr>
              <w:pStyle w:val="TableContents"/>
              <w:bidi w:val="0"/>
              <w:spacing w:before="0" w:after="1"/>
              <w:ind w:left="0" w:right="0" w:hanging="0"/>
              <w:jc w:val="left"/>
              <w:rPr/>
            </w:pPr>
            <w:r>
              <w:rPr/>
              <w:t>​</w:t>
            </w:r>
          </w:p>
        </w:tc>
        <w:tc>
          <w:tcPr>
            <w:tcW w:w="9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878,860</w:t>
            </w:r>
          </w:p>
        </w:tc>
        <w:tc>
          <w:tcPr>
            <w:tcW w:w="326" w:type="dxa"/>
            <w:tcBorders/>
            <w:shd w:fill="CCEEFF" w:val="clear"/>
            <w:vAlign w:val="center"/>
          </w:tcPr>
          <w:p>
            <w:pPr>
              <w:pStyle w:val="TableContents"/>
              <w:bidi w:val="0"/>
              <w:spacing w:before="0" w:after="1"/>
              <w:ind w:left="0" w:right="0" w:hanging="0"/>
              <w:jc w:val="left"/>
              <w:rPr/>
            </w:pPr>
            <w:r>
              <w:rPr/>
              <w:t>​</w:t>
            </w:r>
          </w:p>
        </w:tc>
        <w:tc>
          <w:tcPr>
            <w:tcW w:w="31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7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5.24</w:t>
            </w:r>
          </w:p>
        </w:tc>
        <w:tc>
          <w:tcPr>
            <w:tcW w:w="326" w:type="dxa"/>
            <w:tcBorders/>
            <w:shd w:fill="CCEEFF" w:val="clear"/>
            <w:vAlign w:val="center"/>
          </w:tcPr>
          <w:p>
            <w:pPr>
              <w:pStyle w:val="TableContents"/>
              <w:bidi w:val="0"/>
              <w:spacing w:before="0" w:after="1"/>
              <w:ind w:left="0" w:right="0" w:hanging="0"/>
              <w:jc w:val="left"/>
              <w:rPr/>
            </w:pPr>
            <w:r>
              <w:rPr/>
              <w:t>​</w:t>
            </w:r>
          </w:p>
        </w:tc>
        <w:tc>
          <w:tcPr>
            <w:tcW w:w="35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3,035</w:t>
            </w:r>
          </w:p>
        </w:tc>
        <w:tc>
          <w:tcPr>
            <w:tcW w:w="326" w:type="dxa"/>
            <w:tcBorders/>
            <w:shd w:fill="CCEEFF" w:val="clear"/>
            <w:vAlign w:val="center"/>
          </w:tcPr>
          <w:p>
            <w:pPr>
              <w:pStyle w:val="TableContents"/>
              <w:bidi w:val="0"/>
              <w:spacing w:before="0" w:after="1"/>
              <w:ind w:left="0" w:right="0" w:hanging="0"/>
              <w:jc w:val="left"/>
              <w:rPr/>
            </w:pPr>
            <w:r>
              <w:rPr/>
              <w:t>​</w:t>
            </w:r>
          </w:p>
        </w:tc>
        <w:tc>
          <w:tcPr>
            <w:tcW w:w="1261" w:type="dxa"/>
            <w:tcBorders/>
            <w:shd w:fill="CCEEFF" w:val="cle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2.0</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sets forth contingent restricted stock unit transactions for the three months ended September 30, 2025:</w:t>
      </w:r>
    </w:p>
    <w:tbl>
      <w:tblPr>
        <w:tblW w:w="8792" w:type="dxa"/>
        <w:jc w:val="left"/>
        <w:tblInd w:w="0" w:type="dxa"/>
        <w:tblLayout w:type="fixed"/>
        <w:tblCellMar>
          <w:top w:w="0" w:type="dxa"/>
          <w:left w:w="0" w:type="dxa"/>
          <w:bottom w:w="0" w:type="dxa"/>
          <w:right w:w="0" w:type="dxa"/>
        </w:tblCellMar>
      </w:tblPr>
      <w:tblGrid>
        <w:gridCol w:w="2431"/>
        <w:gridCol w:w="326"/>
        <w:gridCol w:w="1006"/>
        <w:gridCol w:w="326"/>
        <w:gridCol w:w="481"/>
        <w:gridCol w:w="1034"/>
        <w:gridCol w:w="326"/>
        <w:gridCol w:w="436"/>
        <w:gridCol w:w="839"/>
        <w:gridCol w:w="326"/>
        <w:gridCol w:w="1261"/>
      </w:tblGrid>
      <w:tr>
        <w:trPr/>
        <w:tc>
          <w:tcPr>
            <w:tcW w:w="24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38810" cy="175260"/>
                      <wp:effectExtent l="0" t="0" r="0" b="0"/>
                      <wp:wrapNone/>
                      <wp:docPr id="215" name="Frame214"/>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07010" cy="175260"/>
                      <wp:effectExtent l="0" t="0" r="0" b="0"/>
                      <wp:wrapNone/>
                      <wp:docPr id="216" name="Frame2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305435" cy="175260"/>
                      <wp:effectExtent l="0" t="0" r="0" b="0"/>
                      <wp:wrapNone/>
                      <wp:docPr id="217" name="Frame216"/>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56590" cy="175260"/>
                      <wp:effectExtent l="0" t="0" r="0" b="0"/>
                      <wp:wrapNone/>
                      <wp:docPr id="218" name="Frame217"/>
                      <a:graphic xmlns:a="http://schemas.openxmlformats.org/drawingml/2006/main">
                        <a:graphicData uri="http://schemas.microsoft.com/office/word/2010/wordprocessingShape">
                          <wps:wsp>
                            <wps:cNvSpPr txBox="1"/>
                            <wps:spPr>
                              <a:xfrm>
                                <a:off x="0" y="0"/>
                                <a:ext cx="656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07010" cy="175260"/>
                      <wp:effectExtent l="0" t="0" r="0" b="0"/>
                      <wp:wrapNone/>
                      <wp:docPr id="219" name="Frame2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76860" cy="175260"/>
                      <wp:effectExtent l="0" t="0" r="0" b="0"/>
                      <wp:wrapNone/>
                      <wp:docPr id="220" name="Frame219"/>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532765" cy="175260"/>
                      <wp:effectExtent l="0" t="0" r="0" b="0"/>
                      <wp:wrapNone/>
                      <wp:docPr id="221" name="Frame220"/>
                      <a:graphic xmlns:a="http://schemas.openxmlformats.org/drawingml/2006/main">
                        <a:graphicData uri="http://schemas.microsoft.com/office/word/2010/wordprocessingShape">
                          <wps:wsp>
                            <wps:cNvSpPr txBox="1"/>
                            <wps:spPr>
                              <a:xfrm>
                                <a:off x="0" y="0"/>
                                <a:ext cx="532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07010" cy="175260"/>
                      <wp:effectExtent l="0" t="0" r="0" b="0"/>
                      <wp:wrapNone/>
                      <wp:docPr id="222" name="Frame2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800735" cy="175260"/>
                      <wp:effectExtent l="0" t="0" r="0" b="0"/>
                      <wp:wrapNone/>
                      <wp:docPr id="223" name="Frame222"/>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515"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left"/>
              <w:rPr/>
            </w:pPr>
            <w:r>
              <w:rPr/>
              <w:t>​</w:t>
            </w:r>
          </w:p>
        </w:tc>
        <w:tc>
          <w:tcPr>
            <w:tcW w:w="83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Weighted </w:t>
            </w:r>
          </w:p>
        </w:tc>
      </w:tr>
      <w:tr>
        <w:trPr/>
        <w:tc>
          <w:tcPr>
            <w:tcW w:w="24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left"/>
              <w:rPr/>
            </w:pPr>
            <w:r>
              <w:rPr/>
              <w:t>​</w:t>
            </w:r>
          </w:p>
        </w:tc>
        <w:tc>
          <w:tcPr>
            <w:tcW w:w="103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7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Unamortized </w:t>
            </w:r>
          </w:p>
        </w:tc>
        <w:tc>
          <w:tcPr>
            <w:tcW w:w="32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Average</w:t>
            </w:r>
          </w:p>
        </w:tc>
      </w:tr>
      <w:tr>
        <w:trPr/>
        <w:tc>
          <w:tcPr>
            <w:tcW w:w="24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Number of</w:t>
            </w:r>
          </w:p>
        </w:tc>
        <w:tc>
          <w:tcPr>
            <w:tcW w:w="326" w:type="dxa"/>
            <w:tcBorders/>
            <w:vAlign w:val="center"/>
          </w:tcPr>
          <w:p>
            <w:pPr>
              <w:pStyle w:val="TableContents"/>
              <w:bidi w:val="0"/>
              <w:spacing w:before="0" w:after="1"/>
              <w:ind w:left="0" w:right="0" w:hanging="0"/>
              <w:jc w:val="left"/>
              <w:rPr/>
            </w:pPr>
            <w:r>
              <w:rPr/>
              <w:t>​</w:t>
            </w:r>
          </w:p>
        </w:tc>
        <w:tc>
          <w:tcPr>
            <w:tcW w:w="151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Weighted Average</w:t>
            </w:r>
          </w:p>
        </w:tc>
        <w:tc>
          <w:tcPr>
            <w:tcW w:w="326" w:type="dxa"/>
            <w:tcBorders/>
            <w:vAlign w:val="center"/>
          </w:tcPr>
          <w:p>
            <w:pPr>
              <w:pStyle w:val="TableContents"/>
              <w:bidi w:val="0"/>
              <w:spacing w:before="0" w:after="1"/>
              <w:ind w:left="0" w:right="0" w:hanging="0"/>
              <w:jc w:val="left"/>
              <w:rPr/>
            </w:pPr>
            <w:r>
              <w:rPr/>
              <w:t>​</w:t>
            </w:r>
          </w:p>
        </w:tc>
        <w:tc>
          <w:tcPr>
            <w:tcW w:w="127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Compensation </w:t>
            </w:r>
          </w:p>
        </w:tc>
        <w:tc>
          <w:tcPr>
            <w:tcW w:w="32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Remaining </w:t>
            </w:r>
          </w:p>
        </w:tc>
      </w:tr>
      <w:tr>
        <w:trPr/>
        <w:tc>
          <w:tcPr>
            <w:tcW w:w="24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Restricted</w:t>
            </w:r>
          </w:p>
        </w:tc>
        <w:tc>
          <w:tcPr>
            <w:tcW w:w="326" w:type="dxa"/>
            <w:tcBorders/>
            <w:vAlign w:val="center"/>
          </w:tcPr>
          <w:p>
            <w:pPr>
              <w:pStyle w:val="TableContents"/>
              <w:bidi w:val="0"/>
              <w:spacing w:before="0" w:after="1"/>
              <w:ind w:left="0" w:right="0" w:hanging="0"/>
              <w:jc w:val="left"/>
              <w:rPr/>
            </w:pPr>
            <w:r>
              <w:rPr/>
              <w:t>​</w:t>
            </w:r>
          </w:p>
        </w:tc>
        <w:tc>
          <w:tcPr>
            <w:tcW w:w="151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Grant-Date</w:t>
            </w:r>
          </w:p>
        </w:tc>
        <w:tc>
          <w:tcPr>
            <w:tcW w:w="326" w:type="dxa"/>
            <w:tcBorders/>
            <w:vAlign w:val="center"/>
          </w:tcPr>
          <w:p>
            <w:pPr>
              <w:pStyle w:val="TableContents"/>
              <w:bidi w:val="0"/>
              <w:spacing w:before="0" w:after="1"/>
              <w:ind w:left="0" w:right="0" w:hanging="0"/>
              <w:jc w:val="left"/>
              <w:rPr/>
            </w:pPr>
            <w:r>
              <w:rPr/>
              <w:t>​</w:t>
            </w:r>
          </w:p>
        </w:tc>
        <w:tc>
          <w:tcPr>
            <w:tcW w:w="127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Expense</w:t>
            </w:r>
          </w:p>
        </w:tc>
        <w:tc>
          <w:tcPr>
            <w:tcW w:w="32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Amortization</w:t>
            </w:r>
          </w:p>
        </w:tc>
      </w:tr>
      <w:tr>
        <w:trPr/>
        <w:tc>
          <w:tcPr>
            <w:tcW w:w="2431"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Stock Units</w:t>
            </w:r>
          </w:p>
        </w:tc>
        <w:tc>
          <w:tcPr>
            <w:tcW w:w="326" w:type="dxa"/>
            <w:tcBorders/>
            <w:vAlign w:val="center"/>
          </w:tcPr>
          <w:p>
            <w:pPr>
              <w:pStyle w:val="TableContents"/>
              <w:bidi w:val="0"/>
              <w:spacing w:before="0" w:after="1"/>
              <w:ind w:left="0" w:right="0" w:hanging="0"/>
              <w:jc w:val="left"/>
              <w:rPr/>
            </w:pPr>
            <w:r>
              <w:rPr/>
              <w:t>    </w:t>
            </w:r>
          </w:p>
        </w:tc>
        <w:tc>
          <w:tcPr>
            <w:tcW w:w="15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Fair Value</w:t>
            </w:r>
          </w:p>
        </w:tc>
        <w:tc>
          <w:tcPr>
            <w:tcW w:w="326" w:type="dxa"/>
            <w:tcBorders/>
            <w:vAlign w:val="center"/>
          </w:tcPr>
          <w:p>
            <w:pPr>
              <w:pStyle w:val="TableContents"/>
              <w:bidi w:val="0"/>
              <w:spacing w:before="0" w:after="1"/>
              <w:ind w:left="0" w:right="0" w:hanging="0"/>
              <w:jc w:val="left"/>
              <w:rPr/>
            </w:pPr>
            <w:r>
              <w:rPr/>
              <w:t>    </w:t>
            </w:r>
          </w:p>
        </w:tc>
        <w:tc>
          <w:tcPr>
            <w:tcW w:w="12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(In thousands)</w:t>
            </w:r>
          </w:p>
        </w:tc>
        <w:tc>
          <w:tcPr>
            <w:tcW w:w="326" w:type="dxa"/>
            <w:tcBorders/>
            <w:vAlign w:val="center"/>
          </w:tcPr>
          <w:p>
            <w:pPr>
              <w:pStyle w:val="TableContents"/>
              <w:bidi w:val="0"/>
              <w:spacing w:before="0" w:after="1"/>
              <w:ind w:left="0" w:right="0" w:hanging="0"/>
              <w:jc w:val="left"/>
              <w:rPr/>
            </w:pPr>
            <w:r>
              <w:rPr/>
              <w:t>    </w:t>
            </w:r>
          </w:p>
        </w:tc>
        <w:tc>
          <w:tcPr>
            <w:tcW w:w="12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Period (Years)</w:t>
            </w:r>
          </w:p>
        </w:tc>
      </w:tr>
      <w:tr>
        <w:trPr/>
        <w:tc>
          <w:tcPr>
            <w:tcW w:w="24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Unvested at June 30, 2025</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241,613</w:t>
            </w:r>
          </w:p>
        </w:tc>
        <w:tc>
          <w:tcPr>
            <w:tcW w:w="326" w:type="dxa"/>
            <w:tcBorders/>
            <w:shd w:fill="CCEEFF" w:val="clear"/>
            <w:vAlign w:val="center"/>
          </w:tcPr>
          <w:p>
            <w:pPr>
              <w:pStyle w:val="TableContents"/>
              <w:bidi w:val="0"/>
              <w:spacing w:before="0" w:after="1"/>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2.37</w:t>
            </w:r>
          </w:p>
        </w:tc>
        <w:tc>
          <w:tcPr>
            <w:tcW w:w="32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3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340</w:t>
            </w:r>
          </w:p>
        </w:tc>
        <w:tc>
          <w:tcPr>
            <w:tcW w:w="326" w:type="dxa"/>
            <w:tcBorders/>
            <w:shd w:fill="CCEEFF" w:val="clear"/>
            <w:vAlign w:val="center"/>
          </w:tcPr>
          <w:p>
            <w:pPr>
              <w:pStyle w:val="TableContents"/>
              <w:bidi w:val="0"/>
              <w:spacing w:before="0" w:after="1"/>
              <w:ind w:left="0" w:right="0" w:hanging="0"/>
              <w:jc w:val="left"/>
              <w:rPr/>
            </w:pPr>
            <w:r>
              <w:rPr/>
              <w:t>​</w:t>
            </w:r>
          </w:p>
        </w:tc>
        <w:tc>
          <w:tcPr>
            <w:tcW w:w="12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w:t>
            </w:r>
          </w:p>
        </w:tc>
      </w:tr>
      <w:tr>
        <w:trPr/>
        <w:tc>
          <w:tcPr>
            <w:tcW w:w="24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Unvested at September 30, 2025</w:t>
            </w:r>
          </w:p>
        </w:tc>
        <w:tc>
          <w:tcPr>
            <w:tcW w:w="326" w:type="dxa"/>
            <w:tcBorders/>
            <w:vAlign w:val="center"/>
          </w:tcPr>
          <w:p>
            <w:pPr>
              <w:pStyle w:val="TableContents"/>
              <w:bidi w:val="0"/>
              <w:spacing w:before="0" w:after="1"/>
              <w:ind w:left="0" w:right="0" w:hanging="0"/>
              <w:jc w:val="left"/>
              <w:rPr/>
            </w:pPr>
            <w:r>
              <w:rPr/>
              <w:t>​</w:t>
            </w:r>
          </w:p>
        </w:tc>
        <w:tc>
          <w:tcPr>
            <w:tcW w:w="10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241,613</w:t>
            </w:r>
          </w:p>
        </w:tc>
        <w:tc>
          <w:tcPr>
            <w:tcW w:w="326" w:type="dxa"/>
            <w:tcBorders/>
            <w:vAlign w:val="center"/>
          </w:tcPr>
          <w:p>
            <w:pPr>
              <w:pStyle w:val="TableContents"/>
              <w:bidi w:val="0"/>
              <w:spacing w:before="0" w:after="1"/>
              <w:ind w:left="0" w:right="0" w:hanging="0"/>
              <w:jc w:val="left"/>
              <w:rPr/>
            </w:pPr>
            <w:r>
              <w:rPr/>
              <w:t>​</w:t>
            </w:r>
          </w:p>
        </w:tc>
        <w:tc>
          <w:tcPr>
            <w:tcW w:w="4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3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2.37</w:t>
            </w:r>
          </w:p>
        </w:tc>
        <w:tc>
          <w:tcPr>
            <w:tcW w:w="32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3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288</w:t>
            </w:r>
          </w:p>
        </w:tc>
        <w:tc>
          <w:tcPr>
            <w:tcW w:w="32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1.6</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935" w:name="Tc_C6DmvQLdkkiET8UAWQFgDw_17_5"/>
      <w:bookmarkStart w:id="936" w:name="Tc_8efPmifZqkC01XMP3DhI_Q_17_2"/>
      <w:bookmarkStart w:id="937" w:name="Tc_D4Hxq6v1x0WZW_YO9YStAg_17_0"/>
      <w:bookmarkStart w:id="938" w:name="Tc_vxbr6ZRZgUOT7dyG-O5GMA_16_5"/>
      <w:bookmarkStart w:id="939" w:name="Tc_k59pczTh6Ue0g2Q9BCFb8A_16_2"/>
      <w:bookmarkStart w:id="940" w:name="Tc_GczV2QTjm0W4f5tlC1dT4Q_16_0"/>
      <w:bookmarkStart w:id="941" w:name="Tc_00zyYHxu2UmKaCO3K1IP9Q_14_0"/>
      <w:bookmarkStart w:id="942" w:name="Tc_-7cgvOVwlkm8MVW_6eSwQw_13_6"/>
      <w:bookmarkStart w:id="943" w:name="Tc_WxZrZSYPsk-vf_XIy1AhlA_13_0"/>
      <w:bookmarkStart w:id="944" w:name="Tc_J0qt0t-6N06Klr0BgNEfDQ_12_0"/>
      <w:bookmarkStart w:id="945" w:name="Tc_ehSZDwhmx0GGKzBcgouwAg_11_0"/>
      <w:bookmarkStart w:id="946" w:name="Tc_cq7aEaIbdEudGhd8ZjTb3w_10_0"/>
      <w:bookmarkStart w:id="947" w:name="Tc_3l6iDxgMNk-W_-UmCRjyrA_9_0"/>
      <w:bookmarkStart w:id="948" w:name="Tc_Ca_yVX9uWUWat1pNha8yHQ_7_5"/>
      <w:bookmarkStart w:id="949" w:name="Tc_IZe0tX0TA0WbD9-_3eDtcA_7_2"/>
      <w:bookmarkStart w:id="950" w:name="Tc_DUgr4ZIm-EiyvF45h-_l9A_7_0"/>
      <w:bookmarkStart w:id="951" w:name="Tc_654va3vJcUinr6jBAYcPPA_6_0"/>
      <w:bookmarkStart w:id="952" w:name="Tc_0AWPcxt22EuYY6Kws4kktw_5_5"/>
      <w:bookmarkStart w:id="953" w:name="Tc_BFDWIls9t0WR-Vej6zoEXg_5_2"/>
      <w:bookmarkStart w:id="954" w:name="Tc_eZtONBp98EGFF-ED5Tc1ww_5_0"/>
      <w:bookmarkStart w:id="955" w:name="Tc_bhDw1EVF0kWJv9_0Xv6_vg_4_0"/>
      <w:bookmarkStart w:id="956" w:name="Tc_LjdyT5aBWUO1Q1ZZwGYxhw_3_5"/>
      <w:bookmarkStart w:id="957" w:name="Tc__Ch8s2tz2kaGyiXbuP5-aQ_3_2"/>
      <w:bookmarkStart w:id="958" w:name="Tc_XIepDwS2DEK_KtkcCTVc9g_2_2"/>
      <w:bookmarkStart w:id="959" w:name="Tc_aK0syxJ4rE6TExVzqnxVAQ_1_2"/>
      <w:bookmarkStart w:id="960" w:name="_df994df1_7081_4b15_b377_b6bca88397c0"/>
      <w:bookmarkStart w:id="961" w:name="_85a50d90_94db_4816_b89e_3c78324de999"/>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r>
        <w:rPr>
          <w:rFonts w:ascii="Times New Roman;Times;serif" w:hAnsi="Times New Roman;Times;serif"/>
          <w:b/>
          <w:sz w:val="20"/>
        </w:rPr>
        <w:t>Note 12. Earnings (Loss) per Common Share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sets forth the computation of basic and diluted earnings (loss) per common share, reflecting the application of the two-class method (in thousands, except per share amounts):</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8131"/>
        <w:gridCol w:w="109"/>
        <w:gridCol w:w="196"/>
        <w:gridCol w:w="601"/>
        <w:gridCol w:w="326"/>
        <w:gridCol w:w="196"/>
        <w:gridCol w:w="646"/>
      </w:tblGrid>
      <w:tr>
        <w:trPr/>
        <w:tc>
          <w:tcPr>
            <w:tcW w:w="8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5163185" cy="175260"/>
                      <wp:effectExtent l="0" t="0" r="0" b="0"/>
                      <wp:wrapNone/>
                      <wp:docPr id="224" name="Frame223"/>
                      <a:graphic xmlns:a="http://schemas.openxmlformats.org/drawingml/2006/main">
                        <a:graphicData uri="http://schemas.microsoft.com/office/word/2010/wordprocessingShape">
                          <wps:wsp>
                            <wps:cNvSpPr txBox="1"/>
                            <wps:spPr>
                              <a:xfrm>
                                <a:off x="0" y="0"/>
                                <a:ext cx="5163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9215" cy="175260"/>
                      <wp:effectExtent l="0" t="0" r="0" b="0"/>
                      <wp:wrapNone/>
                      <wp:docPr id="225" name="Frame2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24460" cy="175260"/>
                      <wp:effectExtent l="0" t="0" r="0" b="0"/>
                      <wp:wrapNone/>
                      <wp:docPr id="226" name="Frame22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381635" cy="175260"/>
                      <wp:effectExtent l="0" t="0" r="0" b="0"/>
                      <wp:wrapNone/>
                      <wp:docPr id="227" name="Frame226"/>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07010" cy="175260"/>
                      <wp:effectExtent l="0" t="0" r="0" b="0"/>
                      <wp:wrapNone/>
                      <wp:docPr id="228" name="Frame2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24460" cy="175260"/>
                      <wp:effectExtent l="0" t="0" r="0" b="0"/>
                      <wp:wrapNone/>
                      <wp:docPr id="229" name="Frame22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410210" cy="175260"/>
                      <wp:effectExtent l="0" t="0" r="0" b="0"/>
                      <wp:wrapNone/>
                      <wp:docPr id="230" name="Frame229"/>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8131"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1965"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Three Months Ended</w:t>
            </w:r>
          </w:p>
        </w:tc>
      </w:tr>
      <w:tr>
        <w:trPr/>
        <w:tc>
          <w:tcPr>
            <w:tcW w:w="81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September 30, </w:t>
            </w:r>
          </w:p>
        </w:tc>
      </w:tr>
      <w:tr>
        <w:trPr/>
        <w:tc>
          <w:tcPr>
            <w:tcW w:w="8131"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26" w:type="dxa"/>
            <w:tcBorders/>
            <w:vAlign w:val="center"/>
          </w:tcPr>
          <w:p>
            <w:pPr>
              <w:pStyle w:val="TableContents"/>
              <w:bidi w:val="0"/>
              <w:spacing w:before="0" w:after="1"/>
              <w:ind w:left="0" w:right="0" w:hanging="0"/>
              <w:jc w:val="left"/>
              <w:rPr/>
            </w:pPr>
            <w:r>
              <w:rPr/>
              <w:t>    </w:t>
            </w:r>
          </w:p>
        </w:tc>
        <w:tc>
          <w:tcPr>
            <w:tcW w:w="8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8131" w:type="dxa"/>
            <w:tcBorders/>
            <w:shd w:fill="CCEEFF" w:val="clear"/>
            <w:vAlign w:val="center"/>
          </w:tcPr>
          <w:p>
            <w:pPr>
              <w:pStyle w:val="TableContents"/>
              <w:bidi w:val="0"/>
              <w:spacing w:before="0" w:after="1"/>
              <w:ind w:left="0" w:right="0" w:hanging="0"/>
              <w:jc w:val="left"/>
              <w:rPr>
                <w:rFonts w:ascii="Times New Roman;Times;serif" w:hAnsi="Times New Roman;Times;serif"/>
                <w:i/>
                <w:sz w:val="18"/>
              </w:rPr>
            </w:pPr>
            <w:r>
              <w:rPr>
                <w:rFonts w:ascii="Times New Roman;Times;serif" w:hAnsi="Times New Roman;Times;serif"/>
                <w:i/>
                <w:sz w:val="18"/>
              </w:rPr>
              <w:t>Numerator</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left"/>
              <w:rPr/>
            </w:pPr>
            <w:r>
              <w:rPr/>
              <w:t> </w:t>
            </w:r>
          </w:p>
        </w:tc>
      </w:tr>
      <w:tr>
        <w:trPr/>
        <w:tc>
          <w:tcPr>
            <w:tcW w:w="81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Net income (loss) </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824</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2,065</w:t>
            </w:r>
          </w:p>
        </w:tc>
      </w:tr>
      <w:tr>
        <w:trPr/>
        <w:tc>
          <w:tcPr>
            <w:tcW w:w="8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Undistributed earnings allocated to unvested restricted stock</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w:t>
            </w:r>
          </w:p>
        </w:tc>
      </w:tr>
      <w:tr>
        <w:trPr/>
        <w:tc>
          <w:tcPr>
            <w:tcW w:w="81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 (loss) for earnings per share calculation</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742</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2,025</w:t>
            </w:r>
          </w:p>
        </w:tc>
      </w:tr>
      <w:tr>
        <w:trPr/>
        <w:tc>
          <w:tcPr>
            <w:tcW w:w="813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left"/>
              <w:rPr/>
            </w:pPr>
            <w:r>
              <w:rPr/>
              <w:t> </w:t>
            </w:r>
          </w:p>
        </w:tc>
      </w:tr>
      <w:tr>
        <w:trPr/>
        <w:tc>
          <w:tcPr>
            <w:tcW w:w="8131" w:type="dxa"/>
            <w:tcBorders/>
            <w:vAlign w:val="center"/>
          </w:tcPr>
          <w:p>
            <w:pPr>
              <w:pStyle w:val="TableContents"/>
              <w:bidi w:val="0"/>
              <w:spacing w:before="0" w:after="1"/>
              <w:ind w:left="0" w:right="0" w:hanging="0"/>
              <w:jc w:val="left"/>
              <w:rPr>
                <w:rFonts w:ascii="Times New Roman;Times;serif" w:hAnsi="Times New Roman;Times;serif"/>
                <w:i/>
                <w:sz w:val="18"/>
              </w:rPr>
            </w:pPr>
            <w:r>
              <w:rPr>
                <w:rFonts w:ascii="Times New Roman;Times;serif" w:hAnsi="Times New Roman;Times;serif"/>
                <w:i/>
                <w:sz w:val="18"/>
              </w:rPr>
              <w:t>Denominator</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left"/>
              <w:rPr/>
            </w:pPr>
            <w:r>
              <w:rPr/>
              <w:t>​</w:t>
            </w:r>
          </w:p>
        </w:tc>
      </w:tr>
      <w:tr>
        <w:trPr/>
        <w:tc>
          <w:tcPr>
            <w:tcW w:w="8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Weighted average number of common shares outstanding — Basic</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33,725</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32,722</w:t>
            </w:r>
          </w:p>
        </w:tc>
      </w:tr>
      <w:tr>
        <w:trPr/>
        <w:tc>
          <w:tcPr>
            <w:tcW w:w="81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Effect of dilutive securities:</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left"/>
              <w:rPr/>
            </w:pPr>
            <w:r>
              <w:rPr/>
              <w:t>​</w:t>
            </w:r>
          </w:p>
        </w:tc>
      </w:tr>
      <w:tr>
        <w:trPr/>
        <w:tc>
          <w:tcPr>
            <w:tcW w:w="8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Unvested restricted stock awards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162</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146</w:t>
            </w:r>
          </w:p>
        </w:tc>
      </w:tr>
      <w:tr>
        <w:trPr/>
        <w:tc>
          <w:tcPr>
            <w:tcW w:w="81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Unvested contingent restricted stock units</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90</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8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Weighted average number of common shares and dilutive potential common shares used in diluted earnings per share</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33,977</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32,868</w:t>
            </w:r>
          </w:p>
        </w:tc>
      </w:tr>
      <w:tr>
        <w:trPr/>
        <w:tc>
          <w:tcPr>
            <w:tcW w:w="81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left"/>
              <w:rPr/>
            </w:pPr>
            <w:r>
              <w:rPr/>
              <w:t>​</w:t>
            </w:r>
          </w:p>
        </w:tc>
      </w:tr>
      <w:tr>
        <w:trPr/>
        <w:tc>
          <w:tcPr>
            <w:tcW w:w="8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 (loss) per common share — Basic</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0.06</w:t>
            </w:r>
          </w:p>
        </w:tc>
      </w:tr>
      <w:tr>
        <w:trPr/>
        <w:tc>
          <w:tcPr>
            <w:tcW w:w="81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 (loss) per common share — Diluted</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0.02</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4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0.06</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Unvested restricted stock awards, totaling less than 0.1 million and 0.1 million for the three months ended September 30, 2025 and 2024, respectively, were not included in the computation of diluted earnings per common share because the effect would have been anti-dilutive.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addition, unvested performance-based restricted stock awards and unvested contingent restricted stock units that would not meet the performance criteria as of the period end are excluded from the computation of diluted earnings per common share.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EVOLUTION PETROLEUM CORPORATION</w:t>
      </w:r>
    </w:p>
    <w:p>
      <w:pPr>
        <w:pStyle w:val="TextBody"/>
        <w:shd w:fill="FFFFFF" w:val="clear"/>
        <w:bidi w:val="0"/>
        <w:spacing w:lineRule="auto" w:line="429" w:before="0" w:after="24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NOTES TO UNAUDITED CONDENSED CONSOLIDATED FINANCIAL STATEMENTS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962" w:name="Tc_pXv3xpLYuEKIBARQpwvEvA_25_5"/>
      <w:bookmarkStart w:id="963" w:name="Tc_5VkmZYg-7kiWJBrY2kDRDA_25_2"/>
      <w:bookmarkStart w:id="964" w:name="Tc_VOfs2taye0C9-YsgyYRiVQ_25_0"/>
      <w:bookmarkStart w:id="965" w:name="Tc_lB3eayycRES5QQsidGGEAg_24_0"/>
      <w:bookmarkStart w:id="966" w:name="Tc_CfoW9ZVsoEioYwoihRyb3g_23_0"/>
      <w:bookmarkStart w:id="967" w:name="Tc_z3A4LGGigUaJl0Hw7U1urg_21_0"/>
      <w:bookmarkStart w:id="968" w:name="Tc_nPzNFg2xGk2B_dWJEbxTSg_20_0"/>
      <w:bookmarkStart w:id="969" w:name="Tc_IBDVIha5oUGvSQCybilXxQ_19_0"/>
      <w:bookmarkStart w:id="970" w:name="Tc_j1O8mT2qkUiS-yyDU2-cGg_18_0"/>
      <w:bookmarkStart w:id="971" w:name="Tc_NjuaQ0mQK0qnRjtSZwL5OQ_17_5"/>
      <w:bookmarkStart w:id="972" w:name="Tc_qWGZUFYPy0u0uuXbJosCRA_17_2"/>
      <w:bookmarkStart w:id="973" w:name="Tc_OOl5XK2KeEmXRkD9gdxhqA_17_0"/>
      <w:bookmarkStart w:id="974" w:name="Tc_3C6A0_grJU-KAHOWR_8sVA_16_0"/>
      <w:bookmarkStart w:id="975" w:name="Tc_YDrGFClYY0KcQpYXHMjjWw_14_5"/>
      <w:bookmarkStart w:id="976" w:name="Tc_ZHUFLabUmUyChYo4c2woEw_14_2"/>
      <w:bookmarkStart w:id="977" w:name="Tc_QxRuf-khE0eAe6_FTe_4xg_14_0"/>
      <w:bookmarkStart w:id="978" w:name="Tc_AdX8YMDD8kyZ8Sq4PUkr7A_12_0"/>
      <w:bookmarkStart w:id="979" w:name="Tc_upI-3xhVEEO8UKPHcNod8Q_11_5"/>
      <w:bookmarkStart w:id="980" w:name="Tc_LmtFKya0dUam8naUqo7LXQ_11_2"/>
      <w:bookmarkStart w:id="981" w:name="Tc_qFxO4pAkpUychqCMb6EE1A_11_0"/>
      <w:bookmarkStart w:id="982" w:name="Tc_jQpNDjBb20qyx9mGnuyCsQ_10_0"/>
      <w:bookmarkStart w:id="983" w:name="Tc_eNRmdx3lAkaU2xU5PfuITw_8_5"/>
      <w:bookmarkStart w:id="984" w:name="Tc_Rcf0EC-VzEagnBKAh3L1oA_8_2"/>
      <w:bookmarkStart w:id="985" w:name="Tc_YLj1sNQgsUu3FQRdDjH2fA_8_0"/>
      <w:bookmarkStart w:id="986" w:name="Tc_3fYgsCQWrUOnePoNMnl6gw_7_0"/>
      <w:bookmarkStart w:id="987" w:name="Tc_HvKmBQRHPkW_qLAW7FHHiQ_6_0"/>
      <w:bookmarkStart w:id="988" w:name="Tc_g1R88ckuCUC9pkUG-EJ00Q_5_3"/>
      <w:bookmarkStart w:id="989" w:name="Tc_XtcTK-qMlUSynPqHo8L9XQ_5_0"/>
      <w:bookmarkStart w:id="990" w:name="Tc_Q11Ilukrg0O5Q8__pKQ0Ig_4_0"/>
      <w:bookmarkStart w:id="991" w:name="Tc_mnScGh_K10KrWVOHZMm39g_3_5"/>
      <w:bookmarkStart w:id="992" w:name="Tc_vQ1WoJTueEizb0W5ymr3QQ_3_2"/>
      <w:bookmarkStart w:id="993" w:name="Tc_FiquSSkT5EC3OewAGqzjTw_3_0"/>
      <w:bookmarkStart w:id="994" w:name="Tc_keeuwcj7TUyn7UO6Zk8e7A_2_0"/>
      <w:bookmarkStart w:id="995" w:name="Tc_zUgQCElO8k-TR7YKxBBfRw_1_5"/>
      <w:bookmarkStart w:id="996" w:name="Tc_hyaFuOhhK0it92NeEJ6LRA_1_2"/>
      <w:bookmarkStart w:id="997" w:name="_21080965_84d8_4292_b682_7df29f1ae308"/>
      <w:bookmarkStart w:id="998" w:name="_32502b5b_52d7_45b7_be7d_ef772e6830ec"/>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r>
        <w:rPr>
          <w:rFonts w:ascii="Times New Roman;Times;serif" w:hAnsi="Times New Roman;Times;serif"/>
          <w:b/>
          <w:sz w:val="20"/>
        </w:rPr>
        <w:t>Note 13. Additional Financial Statement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Certain amounts on the unaudited condensed consolidated balance sheets are comprised of the following (in thousands):</w:t>
      </w:r>
    </w:p>
    <w:tbl>
      <w:tblPr>
        <w:tblW w:w="7330" w:type="dxa"/>
        <w:jc w:val="left"/>
        <w:tblInd w:w="0" w:type="dxa"/>
        <w:tblLayout w:type="fixed"/>
        <w:tblCellMar>
          <w:top w:w="0" w:type="dxa"/>
          <w:left w:w="0" w:type="dxa"/>
          <w:bottom w:w="0" w:type="dxa"/>
          <w:right w:w="0" w:type="dxa"/>
        </w:tblCellMar>
      </w:tblPr>
      <w:tblGrid>
        <w:gridCol w:w="3871"/>
        <w:gridCol w:w="326"/>
        <w:gridCol w:w="445"/>
        <w:gridCol w:w="1161"/>
        <w:gridCol w:w="326"/>
        <w:gridCol w:w="289"/>
        <w:gridCol w:w="912"/>
      </w:tblGrid>
      <w:tr>
        <w:trPr/>
        <w:tc>
          <w:tcPr>
            <w:tcW w:w="3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458085" cy="175260"/>
                      <wp:effectExtent l="0" t="0" r="0" b="0"/>
                      <wp:wrapNone/>
                      <wp:docPr id="231" name="Frame230"/>
                      <a:graphic xmlns:a="http://schemas.openxmlformats.org/drawingml/2006/main">
                        <a:graphicData uri="http://schemas.microsoft.com/office/word/2010/wordprocessingShape">
                          <wps:wsp>
                            <wps:cNvSpPr txBox="1"/>
                            <wps:spPr>
                              <a:xfrm>
                                <a:off x="0" y="0"/>
                                <a:ext cx="2458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07010" cy="175260"/>
                      <wp:effectExtent l="0" t="0" r="0" b="0"/>
                      <wp:wrapNone/>
                      <wp:docPr id="232" name="Frame2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82575" cy="175260"/>
                      <wp:effectExtent l="0" t="0" r="0" b="0"/>
                      <wp:wrapNone/>
                      <wp:docPr id="233" name="Frame232"/>
                      <a:graphic xmlns:a="http://schemas.openxmlformats.org/drawingml/2006/main">
                        <a:graphicData uri="http://schemas.microsoft.com/office/word/2010/wordprocessingShape">
                          <wps:wsp>
                            <wps:cNvSpPr txBox="1"/>
                            <wps:spPr>
                              <a:xfrm>
                                <a:off x="0" y="0"/>
                                <a:ext cx="282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737235" cy="175260"/>
                      <wp:effectExtent l="0" t="0" r="0" b="0"/>
                      <wp:wrapNone/>
                      <wp:docPr id="234" name="Frame233"/>
                      <a:graphic xmlns:a="http://schemas.openxmlformats.org/drawingml/2006/main">
                        <a:graphicData uri="http://schemas.microsoft.com/office/word/2010/wordprocessingShape">
                          <wps:wsp>
                            <wps:cNvSpPr txBox="1"/>
                            <wps:spPr>
                              <a:xfrm>
                                <a:off x="0" y="0"/>
                                <a:ext cx="737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07010" cy="175260"/>
                      <wp:effectExtent l="0" t="0" r="0" b="0"/>
                      <wp:wrapNone/>
                      <wp:docPr id="235" name="Frame2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83515" cy="175260"/>
                      <wp:effectExtent l="0" t="0" r="0" b="0"/>
                      <wp:wrapNone/>
                      <wp:docPr id="236" name="Frame235"/>
                      <a:graphic xmlns:a="http://schemas.openxmlformats.org/drawingml/2006/main">
                        <a:graphicData uri="http://schemas.microsoft.com/office/word/2010/wordprocessingShape">
                          <wps:wsp>
                            <wps:cNvSpPr txBox="1"/>
                            <wps:spPr>
                              <a:xfrm>
                                <a:off x="0" y="0"/>
                                <a:ext cx="183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579120" cy="175260"/>
                      <wp:effectExtent l="0" t="0" r="0" b="0"/>
                      <wp:wrapNone/>
                      <wp:docPr id="237" name="Frame236"/>
                      <a:graphic xmlns:a="http://schemas.openxmlformats.org/drawingml/2006/main">
                        <a:graphicData uri="http://schemas.microsoft.com/office/word/2010/wordprocessingShape">
                          <wps:wsp>
                            <wps:cNvSpPr txBox="1"/>
                            <wps:spPr>
                              <a:xfrm>
                                <a:off x="0" y="0"/>
                                <a:ext cx="579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71"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16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September 30, 2025</w:t>
            </w:r>
          </w:p>
        </w:tc>
        <w:tc>
          <w:tcPr>
            <w:tcW w:w="326" w:type="dxa"/>
            <w:tcBorders/>
            <w:vAlign w:val="center"/>
          </w:tcPr>
          <w:p>
            <w:pPr>
              <w:pStyle w:val="TableContents"/>
              <w:bidi w:val="0"/>
              <w:spacing w:before="0" w:after="0"/>
              <w:ind w:left="0" w:right="0" w:hanging="0"/>
              <w:jc w:val="left"/>
              <w:rPr/>
            </w:pPr>
            <w:r>
              <w:rPr/>
              <w:t>    </w:t>
            </w:r>
          </w:p>
        </w:tc>
        <w:tc>
          <w:tcPr>
            <w:tcW w:w="12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30, 2025</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Prepaid expenses and 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445" w:type="dxa"/>
            <w:tcBorders/>
            <w:shd w:fill="CCEEFF" w:val="clear"/>
            <w:vAlign w:val="center"/>
          </w:tcPr>
          <w:p>
            <w:pPr>
              <w:pStyle w:val="TableContents"/>
              <w:bidi w:val="0"/>
              <w:spacing w:before="0" w:after="0"/>
              <w:ind w:left="0" w:right="0" w:hanging="0"/>
              <w:jc w:val="left"/>
              <w:rPr/>
            </w:pPr>
            <w:r>
              <w:rPr/>
              <w:t>​</w:t>
            </w:r>
          </w:p>
        </w:tc>
        <w:tc>
          <w:tcPr>
            <w:tcW w:w="116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left"/>
              <w:rPr/>
            </w:pPr>
            <w:r>
              <w:rPr/>
              <w:t>​</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receivables</w:t>
            </w:r>
          </w:p>
        </w:tc>
        <w:tc>
          <w:tcPr>
            <w:tcW w:w="326" w:type="dxa"/>
            <w:tcBorders/>
            <w:vAlign w:val="center"/>
          </w:tcPr>
          <w:p>
            <w:pPr>
              <w:pStyle w:val="TableContents"/>
              <w:bidi w:val="0"/>
              <w:spacing w:before="0" w:after="0"/>
              <w:ind w:left="0" w:right="0" w:hanging="0"/>
              <w:jc w:val="left"/>
              <w:rPr/>
            </w:pPr>
            <w:r>
              <w:rPr/>
              <w:t>​</w:t>
            </w:r>
          </w:p>
        </w:tc>
        <w:tc>
          <w:tcPr>
            <w:tcW w:w="44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376</w:t>
            </w:r>
          </w:p>
        </w:tc>
        <w:tc>
          <w:tcPr>
            <w:tcW w:w="32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227</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insurance</w:t>
            </w:r>
          </w:p>
        </w:tc>
        <w:tc>
          <w:tcPr>
            <w:tcW w:w="326" w:type="dxa"/>
            <w:tcBorders/>
            <w:shd w:fill="CCEEFF" w:val="clear"/>
            <w:vAlign w:val="center"/>
          </w:tcPr>
          <w:p>
            <w:pPr>
              <w:pStyle w:val="TableContents"/>
              <w:bidi w:val="0"/>
              <w:spacing w:before="0" w:after="0"/>
              <w:ind w:left="0" w:right="0" w:hanging="0"/>
              <w:jc w:val="left"/>
              <w:rPr/>
            </w:pPr>
            <w:r>
              <w:rPr/>
              <w:t>​</w:t>
            </w:r>
          </w:p>
        </w:tc>
        <w:tc>
          <w:tcPr>
            <w:tcW w:w="445" w:type="dxa"/>
            <w:tcBorders/>
            <w:shd w:fill="CCEEFF" w:val="clear"/>
            <w:vAlign w:val="center"/>
          </w:tcPr>
          <w:p>
            <w:pPr>
              <w:pStyle w:val="TableContents"/>
              <w:bidi w:val="0"/>
              <w:spacing w:before="0" w:after="0"/>
              <w:ind w:left="0" w:right="0" w:hanging="0"/>
              <w:jc w:val="left"/>
              <w:rPr/>
            </w:pPr>
            <w:r>
              <w:rPr/>
              <w:t>​</w:t>
            </w:r>
          </w:p>
        </w:tc>
        <w:tc>
          <w:tcPr>
            <w:tcW w:w="11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528</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701</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federal and state income taxes</w:t>
            </w:r>
          </w:p>
        </w:tc>
        <w:tc>
          <w:tcPr>
            <w:tcW w:w="326" w:type="dxa"/>
            <w:tcBorders/>
            <w:vAlign w:val="center"/>
          </w:tcPr>
          <w:p>
            <w:pPr>
              <w:pStyle w:val="TableContents"/>
              <w:bidi w:val="0"/>
              <w:spacing w:before="0" w:after="0"/>
              <w:ind w:left="0" w:right="0" w:hanging="0"/>
              <w:jc w:val="left"/>
              <w:rPr/>
            </w:pPr>
            <w:r>
              <w:rPr/>
              <w:t>​</w:t>
            </w:r>
          </w:p>
        </w:tc>
        <w:tc>
          <w:tcPr>
            <w:tcW w:w="445" w:type="dxa"/>
            <w:tcBorders/>
            <w:vAlign w:val="center"/>
          </w:tcPr>
          <w:p>
            <w:pPr>
              <w:pStyle w:val="TableContents"/>
              <w:bidi w:val="0"/>
              <w:spacing w:before="0" w:after="0"/>
              <w:ind w:left="0" w:right="0" w:hanging="0"/>
              <w:jc w:val="left"/>
              <w:rPr/>
            </w:pPr>
            <w:r>
              <w:rPr/>
              <w:t>​</w:t>
            </w:r>
          </w:p>
        </w:tc>
        <w:tc>
          <w:tcPr>
            <w:tcW w:w="11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706</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Advances to operators</w:t>
            </w:r>
          </w:p>
        </w:tc>
        <w:tc>
          <w:tcPr>
            <w:tcW w:w="326" w:type="dxa"/>
            <w:tcBorders/>
            <w:shd w:fill="CCEEFF" w:val="clear"/>
            <w:vAlign w:val="center"/>
          </w:tcPr>
          <w:p>
            <w:pPr>
              <w:pStyle w:val="TableContents"/>
              <w:bidi w:val="0"/>
              <w:spacing w:before="0" w:after="0"/>
              <w:ind w:left="0" w:right="0" w:hanging="0"/>
              <w:jc w:val="left"/>
              <w:rPr/>
            </w:pPr>
            <w:r>
              <w:rPr/>
              <w:t>​</w:t>
            </w:r>
          </w:p>
        </w:tc>
        <w:tc>
          <w:tcPr>
            <w:tcW w:w="445" w:type="dxa"/>
            <w:tcBorders/>
            <w:shd w:fill="CCEEFF" w:val="clear"/>
            <w:vAlign w:val="center"/>
          </w:tcPr>
          <w:p>
            <w:pPr>
              <w:pStyle w:val="TableContents"/>
              <w:bidi w:val="0"/>
              <w:spacing w:before="0" w:after="0"/>
              <w:ind w:left="0" w:right="0" w:hanging="0"/>
              <w:jc w:val="left"/>
              <w:rPr/>
            </w:pPr>
            <w:r>
              <w:rPr/>
              <w:t>​</w:t>
            </w:r>
          </w:p>
        </w:tc>
        <w:tc>
          <w:tcPr>
            <w:tcW w:w="11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316</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other</w:t>
            </w:r>
          </w:p>
        </w:tc>
        <w:tc>
          <w:tcPr>
            <w:tcW w:w="326" w:type="dxa"/>
            <w:tcBorders/>
            <w:vAlign w:val="center"/>
          </w:tcPr>
          <w:p>
            <w:pPr>
              <w:pStyle w:val="TableContents"/>
              <w:bidi w:val="0"/>
              <w:spacing w:before="0" w:after="0"/>
              <w:ind w:left="0" w:right="0" w:hanging="0"/>
              <w:jc w:val="left"/>
              <w:rPr/>
            </w:pPr>
            <w:r>
              <w:rPr/>
              <w:t>​</w:t>
            </w:r>
          </w:p>
        </w:tc>
        <w:tc>
          <w:tcPr>
            <w:tcW w:w="4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313</w:t>
            </w:r>
          </w:p>
        </w:tc>
        <w:tc>
          <w:tcPr>
            <w:tcW w:w="326" w:type="dxa"/>
            <w:tcBorders/>
            <w:vAlign w:val="center"/>
          </w:tcPr>
          <w:p>
            <w:pPr>
              <w:pStyle w:val="TableContents"/>
              <w:bidi w:val="0"/>
              <w:spacing w:before="0" w:after="0"/>
              <w:ind w:left="0" w:right="0" w:hanging="0"/>
              <w:jc w:val="left"/>
              <w:rPr/>
            </w:pPr>
            <w:r>
              <w:rPr/>
              <w:t>​</w:t>
            </w:r>
          </w:p>
        </w:tc>
        <w:tc>
          <w:tcPr>
            <w:tcW w:w="28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337</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prepaid expenses and 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4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1,235</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2,287</w:t>
            </w:r>
          </w:p>
        </w:tc>
      </w:tr>
      <w:tr>
        <w:trPr/>
        <w:tc>
          <w:tcPr>
            <w:tcW w:w="3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45" w:type="dxa"/>
            <w:tcBorders/>
            <w:vAlign w:val="center"/>
          </w:tcPr>
          <w:p>
            <w:pPr>
              <w:pStyle w:val="TableContents"/>
              <w:bidi w:val="0"/>
              <w:spacing w:before="0" w:after="0"/>
              <w:ind w:left="0" w:right="0" w:hanging="0"/>
              <w:jc w:val="left"/>
              <w:rPr/>
            </w:pPr>
            <w:r>
              <w:rPr/>
              <w:t>​</w:t>
            </w:r>
          </w:p>
        </w:tc>
        <w:tc>
          <w:tcPr>
            <w:tcW w:w="1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left"/>
              <w:rPr/>
            </w:pPr>
            <w:r>
              <w:rPr/>
              <w:t>​</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445" w:type="dxa"/>
            <w:tcBorders/>
            <w:shd w:fill="CCEEFF" w:val="clear"/>
            <w:vAlign w:val="center"/>
          </w:tcPr>
          <w:p>
            <w:pPr>
              <w:pStyle w:val="TableContents"/>
              <w:bidi w:val="0"/>
              <w:spacing w:before="0" w:after="0"/>
              <w:ind w:left="0" w:right="0" w:hanging="0"/>
              <w:jc w:val="left"/>
              <w:rPr/>
            </w:pPr>
            <w:r>
              <w:rPr/>
              <w:t>​</w:t>
            </w:r>
          </w:p>
        </w:tc>
        <w:tc>
          <w:tcPr>
            <w:tcW w:w="116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left"/>
              <w:rPr/>
            </w:pPr>
            <w:r>
              <w:rPr/>
              <w:t>​</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Deposit</w:t>
            </w:r>
          </w:p>
        </w:tc>
        <w:tc>
          <w:tcPr>
            <w:tcW w:w="326" w:type="dxa"/>
            <w:tcBorders/>
            <w:vAlign w:val="center"/>
          </w:tcPr>
          <w:p>
            <w:pPr>
              <w:pStyle w:val="TableContents"/>
              <w:bidi w:val="0"/>
              <w:spacing w:before="0" w:after="0"/>
              <w:ind w:left="0" w:right="0" w:hanging="0"/>
              <w:jc w:val="left"/>
              <w:rPr/>
            </w:pPr>
            <w:r>
              <w:rPr/>
              <w:t>​</w:t>
            </w:r>
          </w:p>
        </w:tc>
        <w:tc>
          <w:tcPr>
            <w:tcW w:w="44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w:t>
            </w:r>
          </w:p>
        </w:tc>
        <w:tc>
          <w:tcPr>
            <w:tcW w:w="32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Debt issuance costs, net</w:t>
            </w:r>
          </w:p>
        </w:tc>
        <w:tc>
          <w:tcPr>
            <w:tcW w:w="326" w:type="dxa"/>
            <w:tcBorders/>
            <w:shd w:fill="CCEEFF" w:val="clear"/>
            <w:vAlign w:val="center"/>
          </w:tcPr>
          <w:p>
            <w:pPr>
              <w:pStyle w:val="TableContents"/>
              <w:bidi w:val="0"/>
              <w:spacing w:before="0" w:after="0"/>
              <w:ind w:left="0" w:right="0" w:hanging="0"/>
              <w:jc w:val="left"/>
              <w:rPr/>
            </w:pPr>
            <w:r>
              <w:rPr/>
              <w:t>​</w:t>
            </w:r>
          </w:p>
        </w:tc>
        <w:tc>
          <w:tcPr>
            <w:tcW w:w="445" w:type="dxa"/>
            <w:tcBorders/>
            <w:shd w:fill="CCEEFF" w:val="clear"/>
            <w:vAlign w:val="center"/>
          </w:tcPr>
          <w:p>
            <w:pPr>
              <w:pStyle w:val="TableContents"/>
              <w:bidi w:val="0"/>
              <w:spacing w:before="0" w:after="0"/>
              <w:ind w:left="0" w:right="0" w:hanging="0"/>
              <w:jc w:val="left"/>
              <w:rPr/>
            </w:pPr>
            <w:r>
              <w:rPr/>
              <w:t>​</w:t>
            </w:r>
          </w:p>
        </w:tc>
        <w:tc>
          <w:tcPr>
            <w:tcW w:w="11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429</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365</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Right of use asset under operating lease</w:t>
            </w:r>
          </w:p>
        </w:tc>
        <w:tc>
          <w:tcPr>
            <w:tcW w:w="326" w:type="dxa"/>
            <w:tcBorders/>
            <w:vAlign w:val="center"/>
          </w:tcPr>
          <w:p>
            <w:pPr>
              <w:pStyle w:val="TableContents"/>
              <w:bidi w:val="0"/>
              <w:spacing w:before="0" w:after="0"/>
              <w:ind w:left="0" w:right="0" w:hanging="0"/>
              <w:jc w:val="left"/>
              <w:rPr/>
            </w:pPr>
            <w:r>
              <w:rPr/>
              <w:t>​</w:t>
            </w:r>
          </w:p>
        </w:tc>
        <w:tc>
          <w:tcPr>
            <w:tcW w:w="4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w:t>
            </w:r>
          </w:p>
        </w:tc>
        <w:tc>
          <w:tcPr>
            <w:tcW w:w="326" w:type="dxa"/>
            <w:tcBorders/>
            <w:vAlign w:val="center"/>
          </w:tcPr>
          <w:p>
            <w:pPr>
              <w:pStyle w:val="TableContents"/>
              <w:bidi w:val="0"/>
              <w:spacing w:before="0" w:after="0"/>
              <w:ind w:left="0" w:right="0" w:hanging="0"/>
              <w:jc w:val="left"/>
              <w:rPr/>
            </w:pPr>
            <w:r>
              <w:rPr/>
              <w:t>​</w:t>
            </w:r>
          </w:p>
        </w:tc>
        <w:tc>
          <w:tcPr>
            <w:tcW w:w="28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4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474</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431</w:t>
            </w:r>
          </w:p>
        </w:tc>
      </w:tr>
      <w:tr>
        <w:trPr/>
        <w:tc>
          <w:tcPr>
            <w:tcW w:w="3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45" w:type="dxa"/>
            <w:tcBorders/>
            <w:vAlign w:val="center"/>
          </w:tcPr>
          <w:p>
            <w:pPr>
              <w:pStyle w:val="TableContents"/>
              <w:bidi w:val="0"/>
              <w:spacing w:before="0" w:after="0"/>
              <w:ind w:left="0" w:right="0" w:hanging="0"/>
              <w:jc w:val="left"/>
              <w:rPr/>
            </w:pPr>
            <w:r>
              <w:rPr/>
              <w:t>​</w:t>
            </w:r>
          </w:p>
        </w:tc>
        <w:tc>
          <w:tcPr>
            <w:tcW w:w="1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left"/>
              <w:rPr/>
            </w:pPr>
            <w:r>
              <w:rPr/>
              <w:t>​</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Accrued liabilities and other:</w:t>
            </w:r>
          </w:p>
        </w:tc>
        <w:tc>
          <w:tcPr>
            <w:tcW w:w="326" w:type="dxa"/>
            <w:tcBorders/>
            <w:shd w:fill="CCEEFF" w:val="clear"/>
            <w:vAlign w:val="center"/>
          </w:tcPr>
          <w:p>
            <w:pPr>
              <w:pStyle w:val="TableContents"/>
              <w:bidi w:val="0"/>
              <w:spacing w:before="0" w:after="0"/>
              <w:ind w:left="0" w:right="0" w:hanging="0"/>
              <w:jc w:val="left"/>
              <w:rPr/>
            </w:pPr>
            <w:r>
              <w:rPr/>
              <w:t>​</w:t>
            </w:r>
          </w:p>
        </w:tc>
        <w:tc>
          <w:tcPr>
            <w:tcW w:w="445" w:type="dxa"/>
            <w:tcBorders/>
            <w:shd w:fill="CCEEFF" w:val="clear"/>
            <w:vAlign w:val="center"/>
          </w:tcPr>
          <w:p>
            <w:pPr>
              <w:pStyle w:val="TableContents"/>
              <w:bidi w:val="0"/>
              <w:spacing w:before="0" w:after="0"/>
              <w:ind w:left="0" w:right="0" w:hanging="0"/>
              <w:jc w:val="left"/>
              <w:rPr/>
            </w:pPr>
            <w:r>
              <w:rPr/>
              <w:t>​</w:t>
            </w:r>
          </w:p>
        </w:tc>
        <w:tc>
          <w:tcPr>
            <w:tcW w:w="116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left"/>
              <w:rPr/>
            </w:pPr>
            <w:r>
              <w:rPr/>
              <w:t>​</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payables</w:t>
            </w:r>
          </w:p>
        </w:tc>
        <w:tc>
          <w:tcPr>
            <w:tcW w:w="326" w:type="dxa"/>
            <w:tcBorders/>
            <w:vAlign w:val="center"/>
          </w:tcPr>
          <w:p>
            <w:pPr>
              <w:pStyle w:val="TableContents"/>
              <w:bidi w:val="0"/>
              <w:spacing w:before="0" w:after="0"/>
              <w:ind w:left="0" w:right="0" w:hanging="0"/>
              <w:jc w:val="left"/>
              <w:rPr/>
            </w:pPr>
            <w:r>
              <w:rPr/>
              <w:t>​</w:t>
            </w:r>
          </w:p>
        </w:tc>
        <w:tc>
          <w:tcPr>
            <w:tcW w:w="44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2,470</w:t>
            </w:r>
          </w:p>
        </w:tc>
        <w:tc>
          <w:tcPr>
            <w:tcW w:w="32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2,937</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capital expenditures</w:t>
            </w:r>
          </w:p>
        </w:tc>
        <w:tc>
          <w:tcPr>
            <w:tcW w:w="326" w:type="dxa"/>
            <w:tcBorders/>
            <w:shd w:fill="CCEEFF" w:val="clear"/>
            <w:vAlign w:val="center"/>
          </w:tcPr>
          <w:p>
            <w:pPr>
              <w:pStyle w:val="TableContents"/>
              <w:bidi w:val="0"/>
              <w:spacing w:before="0" w:after="0"/>
              <w:ind w:left="0" w:right="0" w:hanging="0"/>
              <w:jc w:val="left"/>
              <w:rPr/>
            </w:pPr>
            <w:r>
              <w:rPr/>
              <w:t>​</w:t>
            </w:r>
          </w:p>
        </w:tc>
        <w:tc>
          <w:tcPr>
            <w:tcW w:w="445" w:type="dxa"/>
            <w:tcBorders/>
            <w:shd w:fill="CCEEFF" w:val="clear"/>
            <w:vAlign w:val="center"/>
          </w:tcPr>
          <w:p>
            <w:pPr>
              <w:pStyle w:val="TableContents"/>
              <w:bidi w:val="0"/>
              <w:spacing w:before="0" w:after="0"/>
              <w:ind w:left="0" w:right="0" w:hanging="0"/>
              <w:jc w:val="left"/>
              <w:rPr/>
            </w:pPr>
            <w:r>
              <w:rPr/>
              <w:t>​</w:t>
            </w:r>
          </w:p>
        </w:tc>
        <w:tc>
          <w:tcPr>
            <w:tcW w:w="11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421</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incentive and other compensation</w:t>
            </w:r>
          </w:p>
        </w:tc>
        <w:tc>
          <w:tcPr>
            <w:tcW w:w="326" w:type="dxa"/>
            <w:tcBorders/>
            <w:vAlign w:val="center"/>
          </w:tcPr>
          <w:p>
            <w:pPr>
              <w:pStyle w:val="TableContents"/>
              <w:bidi w:val="0"/>
              <w:spacing w:before="0" w:after="0"/>
              <w:ind w:left="0" w:right="0" w:hanging="0"/>
              <w:jc w:val="left"/>
              <w:rPr/>
            </w:pPr>
            <w:r>
              <w:rPr/>
              <w:t>​</w:t>
            </w:r>
          </w:p>
        </w:tc>
        <w:tc>
          <w:tcPr>
            <w:tcW w:w="445" w:type="dxa"/>
            <w:tcBorders/>
            <w:vAlign w:val="center"/>
          </w:tcPr>
          <w:p>
            <w:pPr>
              <w:pStyle w:val="TableContents"/>
              <w:bidi w:val="0"/>
              <w:spacing w:before="0" w:after="0"/>
              <w:ind w:left="0" w:right="0" w:hanging="0"/>
              <w:jc w:val="left"/>
              <w:rPr/>
            </w:pPr>
            <w:r>
              <w:rPr/>
              <w:t>​</w:t>
            </w:r>
          </w:p>
        </w:tc>
        <w:tc>
          <w:tcPr>
            <w:tcW w:w="11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432</w:t>
            </w:r>
          </w:p>
        </w:tc>
        <w:tc>
          <w:tcPr>
            <w:tcW w:w="32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1,472</w:t>
            </w:r>
          </w:p>
        </w:tc>
      </w:tr>
      <w:tr>
        <w:trPr/>
        <w:tc>
          <w:tcPr>
            <w:tcW w:w="38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Accrued royalties payable</w:t>
            </w:r>
            <w:r>
              <w:rPr>
                <w:rFonts w:ascii="Times New Roman;Times;serif" w:hAnsi="Times New Roman;Times;serif"/>
                <w:i/>
                <w:sz w:val="14"/>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445" w:type="dxa"/>
            <w:tcBorders/>
            <w:shd w:fill="CCEEFF" w:val="clear"/>
            <w:vAlign w:val="center"/>
          </w:tcPr>
          <w:p>
            <w:pPr>
              <w:pStyle w:val="TableContents"/>
              <w:bidi w:val="0"/>
              <w:spacing w:before="0" w:after="0"/>
              <w:ind w:left="0" w:right="0" w:hanging="0"/>
              <w:jc w:val="left"/>
              <w:rPr/>
            </w:pPr>
            <w:r>
              <w:rPr/>
              <w:t>​</w:t>
            </w:r>
          </w:p>
        </w:tc>
        <w:tc>
          <w:tcPr>
            <w:tcW w:w="11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476</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417</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taxes other than federal and state income tax</w:t>
            </w:r>
          </w:p>
        </w:tc>
        <w:tc>
          <w:tcPr>
            <w:tcW w:w="326" w:type="dxa"/>
            <w:tcBorders/>
            <w:vAlign w:val="center"/>
          </w:tcPr>
          <w:p>
            <w:pPr>
              <w:pStyle w:val="TableContents"/>
              <w:bidi w:val="0"/>
              <w:spacing w:before="0" w:after="0"/>
              <w:ind w:left="0" w:right="0" w:hanging="0"/>
              <w:jc w:val="left"/>
              <w:rPr/>
            </w:pPr>
            <w:r>
              <w:rPr/>
              <w:t>​</w:t>
            </w:r>
          </w:p>
        </w:tc>
        <w:tc>
          <w:tcPr>
            <w:tcW w:w="445" w:type="dxa"/>
            <w:tcBorders/>
            <w:vAlign w:val="center"/>
          </w:tcPr>
          <w:p>
            <w:pPr>
              <w:pStyle w:val="TableContents"/>
              <w:bidi w:val="0"/>
              <w:spacing w:before="0" w:after="0"/>
              <w:ind w:left="0" w:right="0" w:hanging="0"/>
              <w:jc w:val="left"/>
              <w:rPr/>
            </w:pPr>
            <w:r>
              <w:rPr/>
              <w:t>​</w:t>
            </w:r>
          </w:p>
        </w:tc>
        <w:tc>
          <w:tcPr>
            <w:tcW w:w="11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1,585</w:t>
            </w:r>
          </w:p>
        </w:tc>
        <w:tc>
          <w:tcPr>
            <w:tcW w:w="32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1,283</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Operating lease liability</w:t>
            </w:r>
          </w:p>
        </w:tc>
        <w:tc>
          <w:tcPr>
            <w:tcW w:w="326" w:type="dxa"/>
            <w:tcBorders/>
            <w:shd w:fill="CCEEFF" w:val="clear"/>
            <w:vAlign w:val="center"/>
          </w:tcPr>
          <w:p>
            <w:pPr>
              <w:pStyle w:val="TableContents"/>
              <w:bidi w:val="0"/>
              <w:spacing w:before="0" w:after="0"/>
              <w:ind w:left="0" w:right="0" w:hanging="0"/>
              <w:jc w:val="left"/>
              <w:rPr/>
            </w:pPr>
            <w:r>
              <w:rPr/>
              <w:t>​</w:t>
            </w:r>
          </w:p>
        </w:tc>
        <w:tc>
          <w:tcPr>
            <w:tcW w:w="445" w:type="dxa"/>
            <w:tcBorders/>
            <w:shd w:fill="CCEEFF" w:val="clear"/>
            <w:vAlign w:val="center"/>
          </w:tcPr>
          <w:p>
            <w:pPr>
              <w:pStyle w:val="TableContents"/>
              <w:bidi w:val="0"/>
              <w:spacing w:before="0" w:after="0"/>
              <w:ind w:left="0" w:right="0" w:hanging="0"/>
              <w:jc w:val="left"/>
              <w:rPr/>
            </w:pPr>
            <w:r>
              <w:rPr/>
              <w:t>​</w:t>
            </w:r>
          </w:p>
        </w:tc>
        <w:tc>
          <w:tcPr>
            <w:tcW w:w="11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Asset retirement obligations due within one year</w:t>
            </w:r>
          </w:p>
        </w:tc>
        <w:tc>
          <w:tcPr>
            <w:tcW w:w="326" w:type="dxa"/>
            <w:tcBorders/>
            <w:vAlign w:val="center"/>
          </w:tcPr>
          <w:p>
            <w:pPr>
              <w:pStyle w:val="TableContents"/>
              <w:bidi w:val="0"/>
              <w:spacing w:before="0" w:after="0"/>
              <w:ind w:left="0" w:right="0" w:hanging="0"/>
              <w:jc w:val="left"/>
              <w:rPr/>
            </w:pPr>
            <w:r>
              <w:rPr/>
              <w:t>​</w:t>
            </w:r>
          </w:p>
        </w:tc>
        <w:tc>
          <w:tcPr>
            <w:tcW w:w="445" w:type="dxa"/>
            <w:tcBorders/>
            <w:vAlign w:val="center"/>
          </w:tcPr>
          <w:p>
            <w:pPr>
              <w:pStyle w:val="TableContents"/>
              <w:bidi w:val="0"/>
              <w:spacing w:before="0" w:after="0"/>
              <w:ind w:left="0" w:right="0" w:hanging="0"/>
              <w:jc w:val="left"/>
              <w:rPr/>
            </w:pPr>
            <w:r>
              <w:rPr/>
              <w:t>​</w:t>
            </w:r>
          </w:p>
        </w:tc>
        <w:tc>
          <w:tcPr>
            <w:tcW w:w="11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262</w:t>
            </w:r>
          </w:p>
        </w:tc>
        <w:tc>
          <w:tcPr>
            <w:tcW w:w="32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295</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interest and other</w:t>
            </w:r>
          </w:p>
        </w:tc>
        <w:tc>
          <w:tcPr>
            <w:tcW w:w="326" w:type="dxa"/>
            <w:tcBorders/>
            <w:shd w:fill="CCEEFF" w:val="clear"/>
            <w:vAlign w:val="center"/>
          </w:tcPr>
          <w:p>
            <w:pPr>
              <w:pStyle w:val="TableContents"/>
              <w:bidi w:val="0"/>
              <w:spacing w:before="0" w:after="0"/>
              <w:ind w:left="0" w:right="0" w:hanging="0"/>
              <w:jc w:val="left"/>
              <w:rPr/>
            </w:pPr>
            <w:r>
              <w:rPr/>
              <w:t>​</w:t>
            </w:r>
          </w:p>
        </w:tc>
        <w:tc>
          <w:tcPr>
            <w:tcW w:w="4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accrued liabilities and other</w:t>
            </w:r>
          </w:p>
        </w:tc>
        <w:tc>
          <w:tcPr>
            <w:tcW w:w="326" w:type="dxa"/>
            <w:tcBorders/>
            <w:vAlign w:val="center"/>
          </w:tcPr>
          <w:p>
            <w:pPr>
              <w:pStyle w:val="TableContents"/>
              <w:bidi w:val="0"/>
              <w:spacing w:before="0" w:after="0"/>
              <w:ind w:left="0" w:right="0" w:hanging="0"/>
              <w:jc w:val="left"/>
              <w:rPr/>
            </w:pPr>
            <w:r>
              <w:rPr/>
              <w:t>​</w:t>
            </w:r>
          </w:p>
        </w:tc>
        <w:tc>
          <w:tcPr>
            <w:tcW w:w="44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5,443</w:t>
            </w:r>
          </w:p>
        </w:tc>
        <w:tc>
          <w:tcPr>
            <w:tcW w:w="326" w:type="dxa"/>
            <w:tcBorders/>
            <w:vAlign w:val="center"/>
          </w:tcPr>
          <w:p>
            <w:pPr>
              <w:pStyle w:val="TableContents"/>
              <w:bidi w:val="0"/>
              <w:spacing w:before="0" w:after="0"/>
              <w:ind w:left="0" w:right="0" w:hanging="0"/>
              <w:jc w:val="left"/>
              <w:rPr/>
            </w:pPr>
            <w:r>
              <w:rPr/>
              <w:t>​</w:t>
            </w:r>
          </w:p>
        </w:tc>
        <w:tc>
          <w:tcPr>
            <w:tcW w:w="28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6,909</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rFonts w:ascii="Times New Roman;Times;serif" w:hAnsi="Times New Roman;Times;serif"/>
                <w:b/>
                <w:i/>
                <w:sz w:val="15"/>
              </w:rPr>
            </w:pPr>
            <w:r>
              <w:rPr>
                <w:rFonts w:ascii="Times New Roman;Times;serif" w:hAnsi="Times New Roman;Times;serif"/>
                <w:b/>
                <w:i/>
                <w:sz w:val="15"/>
              </w:rPr>
              <w:t>(1)</w:t>
            </w:r>
          </w:p>
        </w:tc>
        <w:tc>
          <w:tcPr>
            <w:tcW w:w="994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Accrued royalties payable relate to royalty and owner payments in the Jonah Field as the Company takes its natural gas and NGL working interest production in-kind. See Note 2, </w:t>
            </w:r>
            <w:r>
              <w:rPr/>
              <w:t>“</w:t>
            </w:r>
            <w:r>
              <w:rPr>
                <w:rFonts w:ascii="Times New Roman;Times;serif" w:hAnsi="Times New Roman;Times;serif"/>
                <w:b w:val="false"/>
                <w:i/>
                <w:sz w:val="20"/>
              </w:rPr>
              <w:t>Revenue Recognition”</w:t>
            </w:r>
            <w:r>
              <w:rPr>
                <w:caps w:val="false"/>
                <w:smallCaps w:val="false"/>
              </w:rPr>
              <w:t xml:space="preserve"> </w:t>
            </w:r>
            <w:r>
              <w:rPr>
                <w:rFonts w:ascii="Times New Roman;Times;serif" w:hAnsi="Times New Roman;Times;serif"/>
                <w:b w:val="false"/>
                <w:i w:val="false"/>
                <w:caps w:val="false"/>
                <w:smallCaps w:val="false"/>
                <w:sz w:val="20"/>
              </w:rPr>
              <w:t>for a further discussion.</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14. Subsequent Events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Dividend Declaration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November 10, 2025, the Company declared a quarterly cash dividend of $0.120 per share of common stock to shareholders of record on December 15, 2025 and payable on December 31, 2025.</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b/>
          <w:sz w:val="20"/>
        </w:rPr>
      </w:pPr>
      <w:bookmarkStart w:id="999" w:name="Item_2_MDA"/>
      <w:bookmarkStart w:id="1000" w:name="Item7ManagementsDiscussionandAnalysisofF"/>
      <w:bookmarkStart w:id="1001" w:name="_6c2f543d_dc28_45a6_9352_1dd4676b197b"/>
      <w:bookmarkStart w:id="1002" w:name="_Hlk179985925"/>
      <w:bookmarkEnd w:id="999"/>
      <w:bookmarkEnd w:id="1000"/>
      <w:bookmarkEnd w:id="1001"/>
      <w:bookmarkEnd w:id="1002"/>
      <w:r>
        <w:rPr>
          <w:rFonts w:ascii="Times New Roman;Times;serif" w:hAnsi="Times New Roman;Times;serif"/>
          <w:b/>
          <w:sz w:val="20"/>
        </w:rPr>
        <w:t>Item 2. Management’s Discussion and Analysis of Financial Condition and Results of Operations</w:t>
      </w:r>
    </w:p>
    <w:p>
      <w:pPr>
        <w:pStyle w:val="TextBody"/>
        <w:bidi w:val="0"/>
        <w:spacing w:before="0" w:after="120"/>
        <w:ind w:left="720" w:right="0" w:hanging="0"/>
        <w:jc w:val="left"/>
        <w:rPr/>
      </w:pPr>
      <w:hyperlink w:anchor="ExecutiveOverview_460502">
        <w:r>
          <w:rPr>
            <w:rStyle w:val="InternetLink"/>
            <w:rFonts w:ascii="Times New Roman;Times;serif" w:hAnsi="Times New Roman;Times;serif"/>
            <w:b w:val="false"/>
            <w:i w:val="false"/>
            <w:caps w:val="false"/>
            <w:smallCaps w:val="false"/>
            <w:sz w:val="20"/>
          </w:rPr>
          <w:t>Executive Overview</w:t>
        </w:r>
      </w:hyperlink>
    </w:p>
    <w:p>
      <w:pPr>
        <w:pStyle w:val="TextBody"/>
        <w:bidi w:val="0"/>
        <w:spacing w:before="0" w:after="120"/>
        <w:ind w:left="720" w:right="0" w:hanging="0"/>
        <w:jc w:val="left"/>
        <w:rPr/>
      </w:pPr>
      <w:hyperlink w:anchor="LiquidityandCapitalResources">
        <w:r>
          <w:rPr>
            <w:rStyle w:val="InternetLink"/>
            <w:rFonts w:ascii="Times New Roman;Times;serif" w:hAnsi="Times New Roman;Times;serif"/>
            <w:b w:val="false"/>
            <w:i w:val="false"/>
            <w:caps w:val="false"/>
            <w:smallCaps w:val="false"/>
            <w:sz w:val="20"/>
          </w:rPr>
          <w:t>Liquidity and Capital Resources</w:t>
        </w:r>
      </w:hyperlink>
    </w:p>
    <w:p>
      <w:pPr>
        <w:pStyle w:val="TextBody"/>
        <w:bidi w:val="0"/>
        <w:spacing w:before="0" w:after="120"/>
        <w:ind w:left="720" w:right="0" w:hanging="0"/>
        <w:jc w:val="left"/>
        <w:rPr/>
      </w:pPr>
      <w:hyperlink w:anchor="ResultsofOperations_272777">
        <w:bookmarkStart w:id="1003" w:name="_Results_of_Operations"/>
        <w:bookmarkEnd w:id="1003"/>
        <w:r>
          <w:rPr>
            <w:rStyle w:val="InternetLink"/>
            <w:rFonts w:ascii="Times New Roman;Times;serif" w:hAnsi="Times New Roman;Times;serif"/>
            <w:b w:val="false"/>
            <w:i w:val="false"/>
            <w:caps w:val="false"/>
            <w:smallCaps w:val="false"/>
            <w:sz w:val="20"/>
          </w:rPr>
          <w:t>Results of Operations</w:t>
        </w:r>
      </w:hyperlink>
    </w:p>
    <w:p>
      <w:pPr>
        <w:pStyle w:val="TextBody"/>
        <w:bidi w:val="0"/>
        <w:spacing w:before="0" w:after="240"/>
        <w:ind w:left="720" w:right="0" w:hanging="0"/>
        <w:jc w:val="left"/>
        <w:rPr/>
      </w:pPr>
      <w:hyperlink w:anchor="CriticalAccountingPoliciesandEstimates">
        <w:bookmarkStart w:id="1004" w:name="_Critical_Accounting_Policies"/>
        <w:bookmarkEnd w:id="1004"/>
        <w:r>
          <w:rPr>
            <w:rStyle w:val="InternetLink"/>
            <w:rFonts w:ascii="Times New Roman;Times;serif" w:hAnsi="Times New Roman;Times;serif"/>
            <w:b w:val="false"/>
            <w:i w:val="false"/>
            <w:caps w:val="false"/>
            <w:smallCaps w:val="false"/>
            <w:sz w:val="20"/>
          </w:rPr>
          <w:t>Critical Accounting Policies</w:t>
        </w:r>
      </w:hyperlink>
    </w:p>
    <w:p>
      <w:pPr>
        <w:pStyle w:val="TextBody"/>
        <w:bidi w:val="0"/>
        <w:spacing w:before="0" w:after="120"/>
        <w:ind w:left="763" w:right="0" w:hanging="0"/>
        <w:jc w:val="left"/>
        <w:rPr>
          <w:rFonts w:ascii="Times New Roman;Times;serif" w:hAnsi="Times New Roman;Times;serif"/>
          <w:b/>
          <w:sz w:val="20"/>
        </w:rPr>
      </w:pPr>
      <w:r>
        <w:rPr>
          <w:rFonts w:ascii="Times New Roman;Times;serif" w:hAnsi="Times New Roman;Times;serif"/>
          <w:b/>
          <w:sz w:val="20"/>
        </w:rPr>
        <w:t>Commonly Used Terms</w:t>
      </w:r>
    </w:p>
    <w:p>
      <w:pPr>
        <w:pStyle w:val="TextBody"/>
        <w:bidi w:val="0"/>
        <w:spacing w:before="0" w:after="120"/>
        <w:ind w:left="806" w:right="0" w:hanging="0"/>
        <w:jc w:val="left"/>
        <w:rPr/>
      </w:pPr>
      <w:r>
        <w:rPr/>
        <w:t>“</w:t>
      </w:r>
      <w:r>
        <w:rPr>
          <w:rFonts w:ascii="Times New Roman;Times;serif" w:hAnsi="Times New Roman;Times;serif"/>
          <w:i/>
          <w:sz w:val="20"/>
        </w:rPr>
        <w:t>Current quarter” refers to the three months ended September 30, 2025, our first quarter of fiscal year 2026.</w:t>
      </w:r>
    </w:p>
    <w:p>
      <w:pPr>
        <w:pStyle w:val="TextBody"/>
        <w:bidi w:val="0"/>
        <w:spacing w:before="0" w:after="240"/>
        <w:ind w:left="810" w:right="0" w:hanging="0"/>
        <w:jc w:val="left"/>
        <w:rPr/>
      </w:pPr>
      <w:r>
        <w:rPr/>
        <w:t>“</w:t>
      </w:r>
      <w:r>
        <w:rPr>
          <w:rFonts w:ascii="Times New Roman;Times;serif" w:hAnsi="Times New Roman;Times;serif"/>
          <w:i/>
          <w:sz w:val="20"/>
        </w:rPr>
        <w:t>Year-ago quarter” refers to the three months ended September 30, 2024, our first quarter of fiscal year 2025.</w:t>
      </w:r>
    </w:p>
    <w:p>
      <w:pPr>
        <w:pStyle w:val="TextBody"/>
        <w:bidi w:val="0"/>
        <w:spacing w:before="0" w:after="120"/>
        <w:ind w:left="0" w:right="0" w:hanging="0"/>
        <w:jc w:val="center"/>
        <w:rPr>
          <w:rFonts w:ascii="Times New Roman;Times;serif" w:hAnsi="Times New Roman;Times;serif"/>
          <w:b/>
          <w:sz w:val="20"/>
        </w:rPr>
      </w:pPr>
      <w:bookmarkStart w:id="1005" w:name="ExecutiveOverview_460502"/>
      <w:bookmarkStart w:id="1006" w:name="_Hlk179983240"/>
      <w:bookmarkEnd w:id="1005"/>
      <w:bookmarkEnd w:id="1006"/>
      <w:r>
        <w:rPr>
          <w:rFonts w:ascii="Times New Roman;Times;serif" w:hAnsi="Times New Roman;Times;serif"/>
          <w:b/>
          <w:sz w:val="20"/>
        </w:rPr>
        <w:t>Executive Overview</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General</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Evolution Petroleum Corporation is an independent energy company focused on maximizing total returns to its shareholders through the ownership of and investment in onshore oil and natural gas properties in the United States. In support of that objective, our long-term goal is to maximize total shareholder return from a diversified portfolio of long-life oil and natural gas properties built through acquisitions and through selective development opportunities, production enhancements, and other exploitation efforts on our oil and natural gas properties.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Our oil and natural gas properties consist primarily of non-operated working and mineral </w:t>
      </w:r>
      <w:r>
        <w:rPr>
          <w:rFonts w:ascii="Times New Roman;Times;serif" w:hAnsi="Times New Roman;Times;serif"/>
          <w:color w:val="333333"/>
          <w:sz w:val="20"/>
        </w:rPr>
        <w:t xml:space="preserve">interests in the following areas (as well as </w:t>
      </w:r>
      <w:r>
        <w:rPr>
          <w:rFonts w:ascii="Times New Roman;Times;serif" w:hAnsi="Times New Roman;Times;serif"/>
          <w:sz w:val="20"/>
        </w:rPr>
        <w:t>small overriding royalty interests in four onshore central Texas wells):</w:t>
      </w:r>
    </w:p>
    <w:p>
      <w:pPr>
        <w:pStyle w:val="Normal"/>
        <w:bidi w:val="0"/>
        <w:spacing w:before="0" w:after="0"/>
        <w:jc w:val="left"/>
        <w:rPr>
          <w:sz w:val="4"/>
          <w:szCs w:val="4"/>
        </w:rPr>
      </w:pPr>
      <w:r>
        <w:rPr>
          <w:sz w:val="4"/>
          <w:szCs w:val="4"/>
        </w:rPr>
      </w:r>
      <w:bookmarkStart w:id="1007" w:name="_Hlk164863535"/>
      <w:bookmarkStart w:id="1008" w:name="_Hlk164863535"/>
      <w:bookmarkEnd w:id="1008"/>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non-operated working interests and mineral interests in the SCOOP and STACK plays consist of oil and natural gas producing properties in the Anadarko basin, where we hold an approximate 2.7% average net working interest with an associated 2.0% average net revenue interest located on approximately 103,700 gross (4,200 net) acres (approximately 97% held by production) and a separate approximate 0.6% average net royalty interests located on approximately 5,500 net royalty acres across Blaine, Canadian, Carter, Custer, Dewey, Garvin, Grady, Kingfisher, McClain, Murray, and Stephens counties in Oklahoma. The oil and natural gas properties are primarily operated by Continental Resources, Inc., Ovintiv USA Inc. and EOG Resources, Inc. with approximately 40% of wells operated by other operators. Production from our SCOOP/STACK properties for the three months ended September 30, 2025 is comprised of 52% natural gas, 27% crude oil, and 21% NGLs.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non-operated interests in the Chaveroo Field consist of a 50% net working interest, with an average associated 41% revenue interest, in approximately 4,500 gross (2,300 net) acres all held by production, associated with six development blocks, with the right to acquire the same working interest in additional development locations and associated acreage at a fixed price. The field is operated by PEDEVCO Corp. (“PEDEVCO”). Production from our Chaveroo Field properties for the three months ended September 30, 2025 is comprised of 100% crude oil.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non-operated interests in the Jonah Field, a natural gas and NGL property in Sublette County, Wyoming, consist of approximately 20% average net working interest and approximately 15% average net revenue interest located on approximately 5,300 gross (950 net) acres all held by production. The properties are operated by Jonah Energy. Production from our Jonah Field properties for the three months ended September 30, 2025 is comprised of 89% natural gas, 6% NGLs, and 5% crude oil.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non-operated interests in the Williston Basin, an oil and natural gas producing property, consist of approximately 39% average net working interest and approximately 33% average net revenue interest located on approximately 138,200 gross (41,300 net) acres (approximately 97% held by production) across Billings, Golden Valley, and McKenzie Counties in North Dakota. The properties are operated by Foundation Energy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Production from our Williston Basin properties for the three months ended September 30, 2025 is comprised of 73% crude oil, 17% NGL, and 10% natural gas.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non-operated interests in the Barnett Shale, a natural gas and NGL producing shale reservoir, consist of approximately 17% average net working interest and approximately 14% average net revenue interest (inclusive of small overriding royalty interests). The approximately 123,800 gross (21,000 net) acres are held by production across nine North Texas counties. The oil and natural gas properties are primarily operated by Diversified Energy Company with approximately 10% of wells operated by six other operators. Production from our Barnett Shale properties for the three months ended September 30, 2025 is comprised of 73% natural gas, 26% NGLs, and 1% crude oil.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non-operated interests in the Hamilton Dome Field, a secondary recovery field utilizing water injection wells to pressurize the reservoir, consist of approximately 24% average net working interest, with an associated 20% average net revenue interest (inclusive of a small overriding royalty interest). The 5,900 gross acre unitized field, of which we hold approximately 1,400 net acres, is operated by Merit Energy Company, who owns the majority of the remaining working interest in the Hamilton Dome Field. The Hamilton Dome Field is located in the southwest region of the Big Horn Basin in northwest Wyoming. Production from our Hamilton Dome Field properties for the three months ended September 30, 2025 is comprised of 100% crude oil.</w:t>
            </w:r>
          </w:p>
        </w:tc>
      </w:tr>
    </w:tbl>
    <w:p>
      <w:pPr>
        <w:pStyle w:val="Normal"/>
        <w:bidi w:val="0"/>
        <w:spacing w:before="0" w:after="0"/>
        <w:jc w:val="left"/>
        <w:rPr>
          <w:sz w:val="4"/>
          <w:szCs w:val="4"/>
        </w:rPr>
      </w:pPr>
      <w:r>
        <w:rPr>
          <w:sz w:val="4"/>
          <w:szCs w:val="4"/>
        </w:rPr>
      </w:r>
      <w:bookmarkStart w:id="1009" w:name="_Hlk113686258"/>
      <w:bookmarkStart w:id="1010" w:name="_Hlk113686258"/>
      <w:bookmarkEnd w:id="1010"/>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Our non-operated interests in the Delhi Field, a CO</w:t>
            </w:r>
            <w:r>
              <w:rPr>
                <w:rFonts w:ascii="Times New Roman;Times;serif" w:hAnsi="Times New Roman;Times;serif"/>
                <w:b w:val="false"/>
                <w:i w:val="false"/>
                <w:caps w:val="false"/>
                <w:smallCaps w:val="false"/>
                <w:sz w:val="15"/>
              </w:rPr>
              <w:t>2</w:t>
            </w:r>
            <w:r>
              <w:rPr>
                <w:rFonts w:ascii="Times New Roman;Times;serif" w:hAnsi="Times New Roman;Times;serif"/>
                <w:b w:val="false"/>
                <w:i w:val="false"/>
                <w:caps w:val="false"/>
                <w:smallCaps w:val="false"/>
                <w:sz w:val="20"/>
              </w:rPr>
              <w:t>-EOR project, consist of approximately 24% average net working interest, with an associated 19% revenue interest and separate overriding royalty and mineral interests of approximately 7% yielding a total average net revenue interest of approximately 26%. The field is operated by Denbury Onshore LLC, a subsidiary of Exxon Mobil Corporation. The 13,600 gross acre unitized Delhi Field, of which we hold approximately 3,200 net acres, is located in northeast Louisiana in Franklin, Madison, and Richland Parishes.</w:t>
            </w:r>
            <w:r>
              <w:rPr>
                <w:caps w:val="false"/>
                <w:smallCaps w:val="false"/>
              </w:rPr>
              <w:t xml:space="preserve"> </w:t>
            </w:r>
            <w:r>
              <w:rPr>
                <w:rFonts w:ascii="Times New Roman;Times;serif" w:hAnsi="Times New Roman;Times;serif"/>
                <w:b w:val="false"/>
                <w:i w:val="false"/>
                <w:caps w:val="false"/>
                <w:smallCaps w:val="false"/>
                <w:sz w:val="20"/>
              </w:rPr>
              <w:t>Production from our Delhi Field properties for the three months ended September 30, 2025 is comprised of 81% crude oil and 19% NGLs.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non-operated working interests in TexMex consists of oil and natural gas producing properties where we hold an approximate 42% net working interest and 35% average net revenue interest located on approximately 27,800 gross (11,200 net) acres (all held by production) primarily in Lea, Eddy and Chaves Counties, New Mexico and Stephens County, Texas. The oil and natural gas properties are operated by Texian Operating Company. Production from our TexMex properties for the three months ended September 30, 2025 is comprised of 66% crude oil and 34% natural gas.</w:t>
            </w:r>
          </w:p>
        </w:tc>
      </w:tr>
    </w:tbl>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Recent Developments</w:t>
      </w:r>
    </w:p>
    <w:p>
      <w:pPr>
        <w:pStyle w:val="TextBody"/>
        <w:bidi w:val="0"/>
        <w:spacing w:before="0" w:after="160"/>
        <w:ind w:left="0" w:right="0" w:hanging="0"/>
        <w:jc w:val="both"/>
        <w:rPr>
          <w:rFonts w:ascii="Times New Roman;Times;serif" w:hAnsi="Times New Roman;Times;serif"/>
          <w:b/>
          <w:i/>
          <w:sz w:val="20"/>
        </w:rPr>
      </w:pPr>
      <w:bookmarkStart w:id="1011" w:name="_Hlk113687433"/>
      <w:bookmarkEnd w:id="1011"/>
      <w:r>
        <w:rPr>
          <w:rFonts w:ascii="Times New Roman;Times;serif" w:hAnsi="Times New Roman;Times;serif"/>
          <w:b/>
          <w:i/>
          <w:sz w:val="20"/>
        </w:rPr>
        <w:t>Dividend Declaration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November 10, 2025, Evolution’s Board of Directors approved and declared a quarterly dividend of $0.12 per common share payable December 31, 2025. </w:t>
      </w:r>
    </w:p>
    <w:p>
      <w:pPr>
        <w:pStyle w:val="TextBody"/>
        <w:bidi w:val="0"/>
        <w:spacing w:before="0" w:after="0"/>
        <w:ind w:left="0" w:right="0" w:hanging="0"/>
        <w:jc w:val="left"/>
        <w:rPr/>
      </w:pPr>
      <w:r>
        <w:rPr/>
        <w:t>​</w:t>
      </w:r>
    </w:p>
    <w:p>
      <w:pPr>
        <w:pStyle w:val="TextBody"/>
        <w:bidi w:val="0"/>
        <w:spacing w:before="0" w:after="160"/>
        <w:ind w:left="0" w:right="0" w:hanging="0"/>
        <w:jc w:val="left"/>
        <w:rPr>
          <w:rFonts w:ascii="Times New Roman;Times;serif" w:hAnsi="Times New Roman;Times;serif"/>
          <w:b/>
          <w:i/>
          <w:sz w:val="20"/>
        </w:rPr>
      </w:pPr>
      <w:r>
        <w:rPr>
          <w:rFonts w:ascii="Times New Roman;Times;serif" w:hAnsi="Times New Roman;Times;serif"/>
          <w:b/>
          <w:i/>
          <w:sz w:val="20"/>
        </w:rPr>
        <w:t>Purchase of SCOOP/STACK Minerals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August 4, 2025, we </w:t>
      </w:r>
      <w:r>
        <w:rPr>
          <w:rFonts w:ascii="Times New Roman;Times;serif" w:hAnsi="Times New Roman;Times;serif"/>
          <w:sz w:val="20"/>
          <w:shd w:fill="FFFFFF" w:val="clear"/>
        </w:rPr>
        <w:t xml:space="preserve">completed the acquisition of certain mineral and royalty interests in the SCOOP and STACK plays in Oklahoma from a non-affiliated private seller (the “Minerals Acquisition”) in a cash transaction valued at approximately $16.9 million, which includes $17.0 million paid at closing less interim purchase price adjustments totaling approximately $0.1 million related to net cash flows earned on the properties from the effective date to the closing date. We expect to receive the remaining net cash flows from the properties between the effective date of May 1, 2025 and the closing date, at the final post-closing settlement process expected to occur during the second quarter of fiscal 2026. </w:t>
      </w:r>
      <w:r>
        <w:rPr>
          <w:rFonts w:ascii="Times New Roman;Times;serif" w:hAnsi="Times New Roman;Times;serif"/>
          <w:sz w:val="20"/>
        </w:rPr>
        <w:t xml:space="preserve">We accounted for the transaction as an asset acquisition and the allocation of the purchase price was $11.1 million to proved oil and natural gas properties, subject to amortization, and $5.8 million to unproved properties. </w:t>
      </w:r>
      <w:r>
        <w:rPr>
          <w:rFonts w:ascii="Times New Roman;Times;serif" w:hAnsi="Times New Roman;Times;serif"/>
          <w:sz w:val="20"/>
          <w:shd w:fill="FFFFFF" w:val="clear"/>
        </w:rPr>
        <w:t xml:space="preserve">We funded the purchase price for the Minerals Acquisition with a combination of $15.0 million in borrowings under our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shd w:fill="FFFFFF" w:val="clear"/>
        </w:rPr>
        <w:t>Senior Secured Credit Facility and cash on hand. The acquired assets include an average royalty interest of 0.6% across approximately 5,500 net royalty acres located primarily in Grady and Canadian Counties, Oklahoma</w:t>
      </w:r>
      <w:r>
        <w:rPr>
          <w:rFonts w:ascii="Times New Roman;Times;serif" w:hAnsi="Times New Roman;Times;serif"/>
          <w:sz w:val="20"/>
        </w:rPr>
        <w:t>.</w:t>
      </w:r>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Risks and uncertainties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oil and natural gas industry is a global market impacted by many factors, such as government regulations, particularly in the areas of tariffs, trade sanctions, taxation, energy, climate change and the environment, geopolitical instability and armed conflicts (including between Russia and Ukraine and in the Middle East, demand in Asian and European markets, and the extent to which members of OPEC and other oil exporting nations manage oil supply through export quotas. Natural gas prices are generally determined by North American supply and demand and are also affected by imports and exports of liquefied natural gas. Weather also has a significant impact on demand for natural gas since it is a primary heating source.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Oil, natural gas, and NGL prices have been, and we expect may continue to be, volatile. Lower oil and natural gas prices not only decrease our revenues, but an extended decline in oil or natural gas prices may affect planned capital expenditures and the oil and natural gas reserves that we can economically produce. Lower oil and natural gas prices may also reduce the amount of our borrowing base under our Senior Secured Credit Facility, which is determined at the discretion of the lenders based on various factors including the collateral value of our proved reserves.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times, we do maintain cash balances in excess of the U.S. Federal Deposit Insurance Corporation (“FDIC”); however, we believe our bank counterparty to be financially sound. We also utilize insured cash sweep deposits to maximize the amount of our cash that is protected by FDIC insurance. We also rely heavily on our third-party operators who manage their own liquidity with various financial institutions. In 2022, the Federal Reserve took actions to raise interest rates in an attempt to constrain inflation and slow the economy. In 2024 and 2025, the Federal Reserve has taken action to slowly drop interest rates as inflationary pressures in the United States economy have begun to subside, but it is uncertain how recent trade policies and tariffs by the United States and foreign governments will impact inflation and the economy.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Given the dynamic nature of these factors and events, we cannot reasonably estimate the period of time that certain market conditions will persist. Continuing volatility in political, trade, regulatory and economic conditions could impact supply and demand fundamentals, and any related significant declines in crude oil, natural gas, and NGL prices could lead to proved property impairments in the future. Future impairments of proved properties are difficult to predict, especially in a volatile price environment.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Currently, our oil and natural gas properties are operated by third-party operators and involve other third-party working interest owners. As a result, we have limited ability to influence the operation or future development of such properties. Despite these uncertainties, we remain focused on our long-term objectives and continue to be proactive with our third-party operators to review the management of capital expenditures.</w:t>
      </w:r>
    </w:p>
    <w:p>
      <w:pPr>
        <w:pStyle w:val="TextBody"/>
        <w:bidi w:val="0"/>
        <w:spacing w:before="240" w:after="160"/>
        <w:ind w:left="0" w:right="0" w:hanging="0"/>
        <w:jc w:val="center"/>
        <w:rPr>
          <w:rFonts w:ascii="Times New Roman;Times;serif" w:hAnsi="Times New Roman;Times;serif"/>
          <w:b/>
          <w:sz w:val="20"/>
        </w:rPr>
      </w:pPr>
      <w:bookmarkStart w:id="1012" w:name="LiquidityandCapitalResources"/>
      <w:bookmarkEnd w:id="1012"/>
      <w:r>
        <w:rPr>
          <w:rFonts w:ascii="Times New Roman;Times;serif" w:hAnsi="Times New Roman;Times;serif"/>
          <w:b/>
          <w:sz w:val="20"/>
        </w:rPr>
        <w:t>Liquidity and Capital Resources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As of September 30, 2025, we had $0.7 million in cash and cash equivalents and $53.0 million outstanding borrowings on our Senior Secured Credit Facility compared to $2.5 million in cash and cash equivalents and $37.5 million outstanding borrowings on our Senior Secured Credit Facility at June 30, 2025. Our primary sources of liquidity and capital resources during the three months ended September 30, 2025 were cash provided by operations and net borrowings under our Senior Secured Credit Facility. Our primary uses of liquidity and capital resources for the three months ended September 30, 2025 were cash used to fund our Minerals Acquisition, cash dividend payments to our common stockholders, and development capital expenditures. As of September 30, 2025, working capital was a deficit of $5.4 million. As of June 30, 2025, working capital was a deficit of $4.0 million.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syndicated Senior Secured Credit Facility has a maximum capacity of $200.0 million subject to a borrowing base determined by the lenders based on the value of our oil and natural gas properties. The Senior Secured Credit Facility has a current borrowing base of $65.0 million. As of September 30, 2025, we had $53.0 million of indebtedness, $0.8 million of letters of credit outstanding, and available capacity of $11.2 million. The Senior Secured Credit Facility is secured by substantially all of our oil and natural gas properties and matures on June 30, 2028.</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Borrowings bear interest, at our option, at either (i) the SOFR, subject to a minimum SOFR of 3.25%, plus a credit spread adjustment of 0.05%, or the Prime Rate, as defined under the Senior Secured Credit Facility, plus 1.0%, plus, in either case of (i) or (ii), an applicable margin of 2.75%.  </w:t>
      </w:r>
      <w:r>
        <w:rPr>
          <w:rFonts w:ascii="Times New Roman;Times;serif" w:hAnsi="Times New Roman;Times;serif"/>
          <w:sz w:val="20"/>
          <w:shd w:fill="FFFFFF" w:val="clear"/>
        </w:rPr>
        <w:t>For the three months ended September 30, 2025 and 2024, the weighted average interest on our borrowings was 7.12% and 8.09%, respectively.</w:t>
      </w:r>
      <w:r>
        <w:rPr>
          <w:rFonts w:ascii="Times New Roman;Times;serif" w:hAnsi="Times New Roman;Times;serif"/>
          <w:sz w:val="20"/>
        </w:rPr>
        <w:t xml:space="preserve"> The Senior Secured Credit Facility contains covenants requiring the maintenance of (i) a total leverage ratio of not more than 3.00 to 1.00, (ii) a current ratio of not less than 1.00 to 1.00, and (iii) a consolidated tangible net worth of not less than $40.0 million, each as defined in the Senior Secured Credit Facility. In addition, the Senior Secured Credit Facility contains hedging requirements that apply when utilization is greater than 25% of (x) the Margined Collateral Value, as defined under the Senior Secured Credit Facility, at any time when the leverage ratio is less than 2.25 to 1.00, or (y) the borrowing base, at any time when the leverage ratio is greater than or equal to 2.25 to 1.00. It also contains other customary affirmative and negative covenants, including a hedging covenant discussed below, and events of default. As of September 30, 2025, we were in compliance with all covenants under the Senior Secured Credit Facility.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Senior Secured Credit Facility requires redeterminations of the borrowing base to occur semi-annually. At each redetermination, the Margined Collateral Value is updated based on the estimated value of our oil and natural gas properties, which includes our proved developed reserves, proved undeveloped reserves, and other relevant factors consistent with customary oil and natural gas lending criteria. On August 29, 2025, we entered into an amendment to our Senior Secured Credit Facility with MidFirst Bank, whereas it was determined for purposes of the hedge covenant that total crude oil and natural gas production volumes from proved developed producing reserves will be combined on a barrels of oil equivalent (“BOE”) basis to determine compliance with the hedging covenant.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historically funded operations through cash from operations and working capital. Our primary source of cash is the sale of produced crude oil, natural gas, and NGLs. A portion of these cash flows is used to fund capital expenditures and pay cash dividends to shareholders. We expect to fund near-future capital development activities for our properties with cash flows from operating activities, and, as needed, borrowings under our Senior Secured Credit Facility and proceeds from the ATM Sales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pursuing new growth opportunities through acquisitions and other transactions. In addition to cash on hand, we have access to the undrawn portion of the borrowing base available under our Senior Secured Credit Facility, totaling $11.2 million as of September 30, 2025. We also have an effective shelf registration statement with the SEC under which we may issue up to $500.0 million of new debt or equity securities.</w:t>
      </w:r>
    </w:p>
    <w:p>
      <w:pPr>
        <w:pStyle w:val="TextBody"/>
        <w:bidi w:val="0"/>
        <w:spacing w:before="0" w:after="240"/>
        <w:ind w:left="0" w:right="0" w:hanging="0"/>
        <w:jc w:val="left"/>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 xml:space="preserve">On October 21, 2024, we entered into an ATM Sales Agreement with Roth Capital Partners, LLC as our Lead Agent, Northland Securities Inc., and A.G.P./Alliance Global Partners pursuant to which we may issue and sell, from time to time, up to $30.0 million of shares of common stock through or to the Lead Agent, acting as agent or principal. During the three months ended September 30, 2025, we sold a total of approximately 57 thousand shares of our common stock under the ATM Sales Agreement for net proceeds of approximately $246 thousand, net of $20 thousand of offering costs.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Our Board of Directors instituted a cash dividend on common stock in December 2013. We have since paid 48 consecutive quarterly dividends. Distribution of a substantial portion of free cash flow in excess of operating and capital requirements through cash dividends remains a priority of our financial strategy, and it is our long-term goal to increase dividends over time, as appropriate. On November 10, 2025, the Board of Directors declared a quarterly cash dividend of $0.12 per share of common stock to shareholders of record on December 15, 2025 and payable on December 31, 2025.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bookmarkStart w:id="1013" w:name="_Hlk117670278"/>
      <w:bookmarkEnd w:id="1013"/>
      <w:r>
        <w:rPr>
          <w:rFonts w:ascii="Times New Roman;Times;serif" w:hAnsi="Times New Roman;Times;serif"/>
          <w:b/>
          <w:i/>
          <w:sz w:val="20"/>
        </w:rPr>
        <w:t>Capital Expenditures</w:t>
      </w:r>
    </w:p>
    <w:p>
      <w:pPr>
        <w:pStyle w:val="TextBody"/>
        <w:bidi w:val="0"/>
        <w:spacing w:before="0" w:after="240"/>
        <w:ind w:left="0" w:right="0" w:hanging="0"/>
        <w:jc w:val="left"/>
        <w:rPr>
          <w:rFonts w:ascii="Times New Roman;Times;serif" w:hAnsi="Times New Roman;Times;serif"/>
          <w:sz w:val="20"/>
        </w:rPr>
      </w:pPr>
      <w:bookmarkStart w:id="1014" w:name="_Hlk212708535"/>
      <w:bookmarkEnd w:id="1014"/>
      <w:r>
        <w:rPr>
          <w:rFonts w:ascii="Times New Roman;Times;serif" w:hAnsi="Times New Roman;Times;serif"/>
          <w:sz w:val="20"/>
        </w:rPr>
        <w:t xml:space="preserve">During the three months ending September 30, 2025, we incurred $1.9 million on development capital expenditures. A majority of our spending occurred at SCOOP/STACK where our operators are actively drilling and completing three gross wells and capital workover projects across our assets. Based on discussions with our operators, we expect capital workover projects to continue in most of our fields throughout the remainder of the year as well as further drilling at SCOOP/STACK.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015" w:name="_Hlk212708472"/>
      <w:bookmarkEnd w:id="1015"/>
      <w:r>
        <w:rPr>
          <w:rFonts w:ascii="Times New Roman;Times;serif" w:hAnsi="Times New Roman;Times;serif"/>
          <w:sz w:val="20"/>
        </w:rPr>
        <w:t>Overall, for fiscal year 2026, we expect budgeted capital expenditures to be in the range of $4.0 million to $6.0 million, which excludes any potential acquisitions. Our expected capital expenditures for fiscal year 2026 include bringing approximately five gross wells online at our SCOOP/STACK properties. Additionally, as our third-party operators continue to be active around our acreage, we would expect additional wells to be drilled and/or completed. At Chaveroo Field, we expect to have drilling permits in hand for the next round of six wells before the end of the fiscal year 2026 and the final decision by us and our partner as to timing for spudding these wells will be made based on oil prices and completed well costs at that time.</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Full Cost Pool Ceiling Test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Under the full cost method of accounting, capitalized costs of oil and natural gas properties, net of accumulated depletion, depreciation, and amortization and related deferred taxes, are limited to the estimated future net cash flows from proved oil and natural gas reserves, discounted at 10%, plus the lower of cost or fair value of unproved properties, as adjusted for related income tax effects (the valuation “ceiling”). If capitalized costs exceed the full cost ceiling, the excess would be charged to expense as a write-down of oil and natural gas properties in the quarter in which the excess occurred. The quarterly ceiling test calculation requires that we use the average first day of the month price for our petroleum products during the 12-month period ending with the balance sheet date. The prices used in calculating our ceiling test as of September 30, 2025 were $68.07 per barrel of oil, $3.11 per MMBtu of natural gas and $23.89 per barrel of NGLs. As of September 30, 2025, our capitalized costs of oil and natural gas properties, subject to amortization, were below the full cost valuation ceiling. If commodity price levels were to substantially decline from the 12-month average first day of the month pricing levels as of September 30, 2025 and remain down for a prolonged period of time, our valuation ceiling over our capitalized costs may be reduced and adversely impact our ceiling test results in future quarters and the effect could be material to our net earnings. Using first day of the month prices for October and November 2025, which are more reflective of recent prices trends, to calculate a trailing 12-month average price of $66.98 per barrel of oil and $3.18 per MMBtu of natural gas, and keeping all other factors constant, the ceiling test calculation as of the first quarter of fiscal year 2026 would not have generated a ceiling test impairment. We cannot give assurance that a write-down of capitalized oil and natural gas properties will not be required at some point in the future as commodity prices are volatile and unpredictable.</w:t>
      </w:r>
      <w:r>
        <w:rPr>
          <w:rFonts w:ascii="Times New Roman;Times;serif" w:hAnsi="Times New Roman;Times;serif"/>
          <w:sz w:val="20"/>
          <w:shd w:fill="FFFFFF" w:val="clear"/>
        </w:rPr>
        <w:t> </w:t>
      </w:r>
      <w:r>
        <w:rPr>
          <w:rFonts w:ascii="Times New Roman;Times;serif" w:hAnsi="Times New Roman;Times;serif"/>
          <w:sz w:val="20"/>
        </w:rPr>
        <w:t>In addition to commodity prices, our production rates, levels of proved reserves, future development costs, transfers of unevaluated properties to our full cost pool, capital spending and other factors will determine our actual ceiling test calculation and impairment analyses in future periods.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Overview of Cash Flow Activities</w:t>
      </w:r>
    </w:p>
    <w:tbl>
      <w:tblPr>
        <w:tblW w:w="8424" w:type="dxa"/>
        <w:jc w:val="left"/>
        <w:tblInd w:w="0" w:type="dxa"/>
        <w:tblLayout w:type="fixed"/>
        <w:tblCellMar>
          <w:top w:w="0" w:type="dxa"/>
          <w:left w:w="0" w:type="dxa"/>
          <w:bottom w:w="0" w:type="dxa"/>
          <w:right w:w="0" w:type="dxa"/>
        </w:tblCellMar>
      </w:tblPr>
      <w:tblGrid>
        <w:gridCol w:w="3871"/>
        <w:gridCol w:w="326"/>
        <w:gridCol w:w="278"/>
        <w:gridCol w:w="1024"/>
        <w:gridCol w:w="463"/>
        <w:gridCol w:w="278"/>
        <w:gridCol w:w="896"/>
        <w:gridCol w:w="326"/>
        <w:gridCol w:w="196"/>
        <w:gridCol w:w="766"/>
      </w:tblGrid>
      <w:tr>
        <w:trPr/>
        <w:tc>
          <w:tcPr>
            <w:tcW w:w="3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458085" cy="175260"/>
                      <wp:effectExtent l="0" t="0" r="0" b="0"/>
                      <wp:wrapNone/>
                      <wp:docPr id="238" name="Frame237"/>
                      <a:graphic xmlns:a="http://schemas.openxmlformats.org/drawingml/2006/main">
                        <a:graphicData uri="http://schemas.microsoft.com/office/word/2010/wordprocessingShape">
                          <wps:wsp>
                            <wps:cNvSpPr txBox="1"/>
                            <wps:spPr>
                              <a:xfrm>
                                <a:off x="0" y="0"/>
                                <a:ext cx="2458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07010" cy="175260"/>
                      <wp:effectExtent l="0" t="0" r="0" b="0"/>
                      <wp:wrapNone/>
                      <wp:docPr id="239" name="Frame2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76530" cy="175260"/>
                      <wp:effectExtent l="0" t="0" r="0" b="0"/>
                      <wp:wrapNone/>
                      <wp:docPr id="240" name="Frame239"/>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50240" cy="175260"/>
                      <wp:effectExtent l="0" t="0" r="0" b="0"/>
                      <wp:wrapNone/>
                      <wp:docPr id="241" name="Frame240"/>
                      <a:graphic xmlns:a="http://schemas.openxmlformats.org/drawingml/2006/main">
                        <a:graphicData uri="http://schemas.microsoft.com/office/word/2010/wordprocessingShape">
                          <wps:wsp>
                            <wps:cNvSpPr txBox="1"/>
                            <wps:spPr>
                              <a:xfrm>
                                <a:off x="0" y="0"/>
                                <a:ext cx="650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94005" cy="175260"/>
                      <wp:effectExtent l="0" t="0" r="0" b="0"/>
                      <wp:wrapNone/>
                      <wp:docPr id="242" name="Frame241"/>
                      <a:graphic xmlns:a="http://schemas.openxmlformats.org/drawingml/2006/main">
                        <a:graphicData uri="http://schemas.microsoft.com/office/word/2010/wordprocessingShape">
                          <wps:wsp>
                            <wps:cNvSpPr txBox="1"/>
                            <wps:spPr>
                              <a:xfrm>
                                <a:off x="0" y="0"/>
                                <a:ext cx="294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76530" cy="175260"/>
                      <wp:effectExtent l="0" t="0" r="0" b="0"/>
                      <wp:wrapNone/>
                      <wp:docPr id="243" name="Frame242"/>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568960" cy="175260"/>
                      <wp:effectExtent l="0" t="0" r="0" b="0"/>
                      <wp:wrapNone/>
                      <wp:docPr id="244" name="Frame243"/>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07010" cy="175260"/>
                      <wp:effectExtent l="0" t="0" r="0" b="0"/>
                      <wp:wrapNone/>
                      <wp:docPr id="245" name="Frame2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24460" cy="175260"/>
                      <wp:effectExtent l="0" t="0" r="0" b="0"/>
                      <wp:wrapNone/>
                      <wp:docPr id="246" name="Frame24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486410" cy="175260"/>
                      <wp:effectExtent l="0" t="0" r="0" b="0"/>
                      <wp:wrapNone/>
                      <wp:docPr id="247" name="Frame246"/>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93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Three Months Ended September 30,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left"/>
              <w:rPr/>
            </w:pPr>
            <w:r>
              <w:rPr/>
              <w:t>​</w:t>
            </w:r>
          </w:p>
        </w:tc>
      </w:tr>
      <w:tr>
        <w:trPr/>
        <w:tc>
          <w:tcPr>
            <w:tcW w:w="38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3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463" w:type="dxa"/>
            <w:tcBorders/>
            <w:vAlign w:val="center"/>
          </w:tcPr>
          <w:p>
            <w:pPr>
              <w:pStyle w:val="TableContents"/>
              <w:bidi w:val="0"/>
              <w:spacing w:before="0" w:after="1"/>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26" w:type="dxa"/>
            <w:tcBorders/>
            <w:vAlign w:val="center"/>
          </w:tcPr>
          <w:p>
            <w:pPr>
              <w:pStyle w:val="TableContents"/>
              <w:bidi w:val="0"/>
              <w:spacing w:before="0" w:after="1"/>
              <w:ind w:left="0" w:right="0" w:hanging="0"/>
              <w:jc w:val="left"/>
              <w:rPr/>
            </w:pPr>
            <w:r>
              <w:rPr/>
              <w:t>    </w:t>
            </w:r>
          </w:p>
        </w:tc>
        <w:tc>
          <w:tcPr>
            <w:tcW w:w="9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Change</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flows provided by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2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7,805</w:t>
            </w:r>
          </w:p>
        </w:tc>
        <w:tc>
          <w:tcPr>
            <w:tcW w:w="463"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7,614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191</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flows used in investing activities</w:t>
            </w:r>
          </w:p>
        </w:tc>
        <w:tc>
          <w:tcPr>
            <w:tcW w:w="326"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pPr>
            <w:r>
              <w:rPr/>
              <w:t>​</w:t>
            </w:r>
          </w:p>
        </w:tc>
        <w:tc>
          <w:tcPr>
            <w:tcW w:w="102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(20,686)</w:t>
            </w:r>
          </w:p>
        </w:tc>
        <w:tc>
          <w:tcPr>
            <w:tcW w:w="463"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(3,002)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(17,684)</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flows provided by (used in)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7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2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11,088</w:t>
            </w:r>
          </w:p>
        </w:tc>
        <w:tc>
          <w:tcPr>
            <w:tcW w:w="463" w:type="dxa"/>
            <w:tcBorders/>
            <w:shd w:fill="CCEEFF" w:val="clear"/>
            <w:vAlign w:val="center"/>
          </w:tcPr>
          <w:p>
            <w:pPr>
              <w:pStyle w:val="TableContents"/>
              <w:bidi w:val="0"/>
              <w:spacing w:before="0" w:after="1"/>
              <w:ind w:left="0" w:right="0" w:hanging="0"/>
              <w:jc w:val="left"/>
              <w:rPr/>
            </w:pPr>
            <w:r>
              <w:rPr/>
              <w:t>​</w:t>
            </w:r>
          </w:p>
        </w:tc>
        <w:tc>
          <w:tcPr>
            <w:tcW w:w="27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(4,121)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15,209</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increase (decrease) in cash and cash equivalents</w:t>
            </w:r>
          </w:p>
        </w:tc>
        <w:tc>
          <w:tcPr>
            <w:tcW w:w="326" w:type="dxa"/>
            <w:tcBorders/>
            <w:vAlign w:val="center"/>
          </w:tcPr>
          <w:p>
            <w:pPr>
              <w:pStyle w:val="TableContents"/>
              <w:bidi w:val="0"/>
              <w:spacing w:before="0" w:after="1"/>
              <w:ind w:left="0" w:right="0" w:hanging="0"/>
              <w:jc w:val="left"/>
              <w:rPr/>
            </w:pPr>
            <w:r>
              <w:rPr/>
              <w:t>​</w:t>
            </w:r>
          </w:p>
        </w:tc>
        <w:tc>
          <w:tcPr>
            <w:tcW w:w="27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2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(1,793)</w:t>
            </w:r>
          </w:p>
        </w:tc>
        <w:tc>
          <w:tcPr>
            <w:tcW w:w="463" w:type="dxa"/>
            <w:tcBorders/>
            <w:vAlign w:val="center"/>
          </w:tcPr>
          <w:p>
            <w:pPr>
              <w:pStyle w:val="TableContents"/>
              <w:bidi w:val="0"/>
              <w:spacing w:before="0" w:after="1"/>
              <w:ind w:left="0" w:right="0" w:hanging="0"/>
              <w:jc w:val="left"/>
              <w:rPr/>
            </w:pPr>
            <w:r>
              <w:rPr/>
              <w:t>​</w:t>
            </w:r>
          </w:p>
        </w:tc>
        <w:tc>
          <w:tcPr>
            <w:tcW w:w="27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491</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(2,284)</w:t>
            </w:r>
          </w:p>
        </w:tc>
      </w:tr>
    </w:tbl>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Cash provided by operating activities for the three months ended September 30, 2025 increased $0.2 million compared to the three months ended September 30, 2024 primarily d</w:t>
      </w:r>
      <w:r>
        <w:rPr>
          <w:rFonts w:ascii="Times New Roman;Times;serif" w:hAnsi="Times New Roman;Times;serif"/>
          <w:sz w:val="20"/>
          <w:shd w:fill="FFFFFF" w:val="clear"/>
        </w:rPr>
        <w:t>ue to changes in the timing of our working capital. Cash flows provided by operating activities before changes in working capital for the three months ended September 30, 2025 decreased $0.8 million compared to the three months ended September 30, 2024, primarily due to a decrease in revenues and an increase in our lease operating costs for the comparable periods partially offset by realized gains on derivative contracts in the current period of $0.9 million compared to realized losses on derivative contracts in the prior year period of $0.1 million. Refer to “</w:t>
      </w:r>
      <w:r>
        <w:rPr>
          <w:rFonts w:ascii="Times New Roman;Times;serif" w:hAnsi="Times New Roman;Times;serif"/>
          <w:i/>
          <w:sz w:val="20"/>
          <w:shd w:fill="FFFFFF" w:val="clear"/>
        </w:rPr>
        <w:t>Results of Operations”</w:t>
      </w:r>
      <w:r>
        <w:rPr>
          <w:rFonts w:ascii="Times New Roman;Times;serif" w:hAnsi="Times New Roman;Times;serif"/>
          <w:sz w:val="20"/>
          <w:shd w:fill="FFFFFF" w:val="clear"/>
        </w:rPr>
        <w:t xml:space="preserve"> below for further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Cash used in investing activities for the three months ended September 30, 2025 increased $17.7 million compared to the three months ended September 30, 2024 primarily due to the closing of the Minerals Acquisition in August 2025.</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flows provided by financing activities for the three months ended September 30, 2025 were $11.1 million compared to net cash flows used in financing activities of $4.1 million for the three months ended September 30, 2024. For the three months ended September 30, 2025, we received net borrowings of $15.5 million under our Senior Secured Credit Facility to finance our Minerals Acquisition</w:t>
      </w:r>
      <w:r>
        <w:rPr>
          <w:rFonts w:ascii="Times New Roman;Times;serif" w:hAnsi="Times New Roman;Times;serif"/>
          <w:color w:val="212529"/>
          <w:sz w:val="20"/>
          <w:shd w:fill="FFFFFF" w:val="clear"/>
        </w:rPr>
        <w:t xml:space="preserve"> and </w:t>
      </w:r>
      <w:r>
        <w:rPr>
          <w:rFonts w:ascii="Times New Roman;Times;serif" w:hAnsi="Times New Roman;Times;serif"/>
          <w:sz w:val="20"/>
        </w:rPr>
        <w:t>paid $4.2 million in cash dividends to our common stockholders. For the three months ended September 30, 2024, we paid $4.0 million in cash dividends to our common stockholders.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1016" w:name="ResultsofOperations_272777"/>
      <w:bookmarkEnd w:id="1016"/>
      <w:r>
        <w:rPr>
          <w:rFonts w:ascii="Times New Roman;Times;serif" w:hAnsi="Times New Roman;Times;serif"/>
          <w:b/>
          <w:sz w:val="20"/>
        </w:rPr>
        <w:t>Results of Operations</w:t>
      </w:r>
    </w:p>
    <w:p>
      <w:pPr>
        <w:pStyle w:val="TextBody"/>
        <w:bidi w:val="0"/>
        <w:spacing w:before="240" w:after="240"/>
        <w:ind w:left="0" w:right="0" w:hanging="0"/>
        <w:jc w:val="center"/>
        <w:rPr>
          <w:rFonts w:ascii="Times New Roman;Times;serif" w:hAnsi="Times New Roman;Times;serif"/>
          <w:b/>
          <w:sz w:val="20"/>
        </w:rPr>
      </w:pPr>
      <w:r>
        <w:rPr>
          <w:rFonts w:ascii="Times New Roman;Times;serif" w:hAnsi="Times New Roman;Times;serif"/>
          <w:b/>
          <w:sz w:val="20"/>
        </w:rPr>
        <w:t>Three Months Ended September 30, 2025 and 2024</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reported net income of $0.8 million and $2.1 million for the three months ended September 30, 2025 and 2024, respectively. The following table summarizes the comparison of financial information for the periods presented:</w:t>
      </w:r>
    </w:p>
    <w:p>
      <w:pPr>
        <w:pStyle w:val="TextBody"/>
        <w:bidi w:val="0"/>
        <w:spacing w:before="0" w:after="240"/>
        <w:ind w:left="0" w:right="0" w:hanging="0"/>
        <w:jc w:val="left"/>
        <w:rPr/>
      </w:pPr>
      <w:r>
        <w:rPr/>
        <w:t>​</w:t>
      </w:r>
    </w:p>
    <w:tbl>
      <w:tblPr>
        <w:tblW w:w="8932" w:type="dxa"/>
        <w:jc w:val="left"/>
        <w:tblInd w:w="0" w:type="dxa"/>
        <w:tblLayout w:type="fixed"/>
        <w:tblCellMar>
          <w:top w:w="0" w:type="dxa"/>
          <w:left w:w="0" w:type="dxa"/>
          <w:bottom w:w="0" w:type="dxa"/>
          <w:right w:w="0" w:type="dxa"/>
        </w:tblCellMar>
      </w:tblPr>
      <w:tblGrid>
        <w:gridCol w:w="4186"/>
        <w:gridCol w:w="326"/>
        <w:gridCol w:w="196"/>
        <w:gridCol w:w="601"/>
        <w:gridCol w:w="326"/>
        <w:gridCol w:w="196"/>
        <w:gridCol w:w="601"/>
        <w:gridCol w:w="326"/>
        <w:gridCol w:w="196"/>
        <w:gridCol w:w="631"/>
        <w:gridCol w:w="326"/>
        <w:gridCol w:w="640"/>
        <w:gridCol w:w="381"/>
      </w:tblGrid>
      <w:tr>
        <w:trPr/>
        <w:tc>
          <w:tcPr>
            <w:tcW w:w="41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07010" cy="175260"/>
                      <wp:effectExtent l="0" t="0" r="0" b="0"/>
                      <wp:wrapNone/>
                      <wp:docPr id="248" name="Frame2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24460" cy="175260"/>
                      <wp:effectExtent l="0" t="0" r="0" b="0"/>
                      <wp:wrapNone/>
                      <wp:docPr id="249" name="Frame24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381635" cy="175260"/>
                      <wp:effectExtent l="0" t="0" r="0" b="0"/>
                      <wp:wrapNone/>
                      <wp:docPr id="250" name="Frame249"/>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07010" cy="175260"/>
                      <wp:effectExtent l="0" t="0" r="0" b="0"/>
                      <wp:wrapNone/>
                      <wp:docPr id="251" name="Frame2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24460" cy="175260"/>
                      <wp:effectExtent l="0" t="0" r="0" b="0"/>
                      <wp:wrapNone/>
                      <wp:docPr id="252" name="Frame25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381635" cy="175260"/>
                      <wp:effectExtent l="0" t="0" r="0" b="0"/>
                      <wp:wrapNone/>
                      <wp:docPr id="253" name="Frame252"/>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07010" cy="175260"/>
                      <wp:effectExtent l="0" t="0" r="0" b="0"/>
                      <wp:wrapNone/>
                      <wp:docPr id="254" name="Frame2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24460" cy="175260"/>
                      <wp:effectExtent l="0" t="0" r="0" b="0"/>
                      <wp:wrapNone/>
                      <wp:docPr id="255" name="Frame25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400685" cy="175260"/>
                      <wp:effectExtent l="0" t="0" r="0" b="0"/>
                      <wp:wrapNone/>
                      <wp:docPr id="256" name="Frame255"/>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07010" cy="175260"/>
                      <wp:effectExtent l="0" t="0" r="0" b="0"/>
                      <wp:wrapNone/>
                      <wp:docPr id="257" name="Frame2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406400" cy="175260"/>
                      <wp:effectExtent l="0" t="0" r="0" b="0"/>
                      <wp:wrapNone/>
                      <wp:docPr id="258" name="Frame257"/>
                      <a:graphic xmlns:a="http://schemas.openxmlformats.org/drawingml/2006/main">
                        <a:graphicData uri="http://schemas.microsoft.com/office/word/2010/wordprocessingShape">
                          <wps:wsp>
                            <wps:cNvSpPr txBox="1"/>
                            <wps:spPr>
                              <a:xfrm>
                                <a:off x="0" y="0"/>
                                <a:ext cx="406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41935" cy="175260"/>
                      <wp:effectExtent l="0" t="0" r="0" b="0"/>
                      <wp:wrapNone/>
                      <wp:docPr id="259" name="Frame258"/>
                      <a:graphic xmlns:a="http://schemas.openxmlformats.org/drawingml/2006/main">
                        <a:graphicData uri="http://schemas.microsoft.com/office/word/2010/wordprocessingShape">
                          <wps:wsp>
                            <wps:cNvSpPr txBox="1"/>
                            <wps:spPr>
                              <a:xfrm>
                                <a:off x="0" y="0"/>
                                <a:ext cx="241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18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w:t>
            </w:r>
          </w:p>
        </w:tc>
        <w:tc>
          <w:tcPr>
            <w:tcW w:w="1920"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Three Months Ended</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1"/>
              <w:ind w:left="0" w:right="0" w:hanging="0"/>
              <w:jc w:val="left"/>
              <w:rPr/>
            </w:pPr>
            <w:r>
              <w:rPr/>
              <w:t>​</w:t>
            </w:r>
          </w:p>
        </w:tc>
        <w:tc>
          <w:tcPr>
            <w:tcW w:w="381" w:type="dxa"/>
            <w:tcBorders/>
            <w:vAlign w:val="center"/>
          </w:tcPr>
          <w:p>
            <w:pPr>
              <w:pStyle w:val="TableContents"/>
              <w:bidi w:val="0"/>
              <w:spacing w:before="0" w:after="1"/>
              <w:ind w:left="0" w:right="0" w:hanging="0"/>
              <w:jc w:val="center"/>
              <w:rPr/>
            </w:pPr>
            <w:r>
              <w:rPr/>
              <w:t>​</w:t>
            </w:r>
          </w:p>
        </w:tc>
      </w:tr>
      <w:tr>
        <w:trPr/>
        <w:tc>
          <w:tcPr>
            <w:tcW w:w="41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September 30,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1"/>
              <w:ind w:left="0" w:right="0" w:hanging="0"/>
              <w:jc w:val="left"/>
              <w:rPr/>
            </w:pPr>
            <w:r>
              <w:rPr/>
              <w:t>​</w:t>
            </w:r>
          </w:p>
        </w:tc>
        <w:tc>
          <w:tcPr>
            <w:tcW w:w="381" w:type="dxa"/>
            <w:tcBorders/>
            <w:vAlign w:val="center"/>
          </w:tcPr>
          <w:p>
            <w:pPr>
              <w:pStyle w:val="TableContents"/>
              <w:bidi w:val="0"/>
              <w:spacing w:before="0" w:after="1"/>
              <w:ind w:left="0" w:right="0" w:hanging="0"/>
              <w:jc w:val="center"/>
              <w:rPr/>
            </w:pPr>
            <w:r>
              <w:rPr/>
              <w:t>​</w:t>
            </w:r>
          </w:p>
        </w:tc>
      </w:tr>
      <w:tr>
        <w:trPr/>
        <w:tc>
          <w:tcPr>
            <w:tcW w:w="418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 except per unit and per BOE amounts)</w:t>
            </w:r>
          </w:p>
        </w:tc>
        <w:tc>
          <w:tcPr>
            <w:tcW w:w="326" w:type="dxa"/>
            <w:tcBorders/>
            <w:vAlign w:val="center"/>
          </w:tcPr>
          <w:p>
            <w:pPr>
              <w:pStyle w:val="TableContents"/>
              <w:bidi w:val="0"/>
              <w:spacing w:before="0" w:after="1"/>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26" w:type="dxa"/>
            <w:tcBorders/>
            <w:vAlign w:val="center"/>
          </w:tcPr>
          <w:p>
            <w:pPr>
              <w:pStyle w:val="TableContents"/>
              <w:bidi w:val="0"/>
              <w:spacing w:before="0" w:after="1"/>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26" w:type="dxa"/>
            <w:tcBorders/>
            <w:vAlign w:val="center"/>
          </w:tcPr>
          <w:p>
            <w:pPr>
              <w:pStyle w:val="TableContents"/>
              <w:bidi w:val="0"/>
              <w:spacing w:before="0" w:after="1"/>
              <w:ind w:left="0" w:right="0" w:hanging="0"/>
              <w:jc w:val="left"/>
              <w:rPr/>
            </w:pPr>
            <w:r>
              <w:rPr/>
              <w:t>    </w:t>
            </w:r>
          </w:p>
        </w:tc>
        <w:tc>
          <w:tcPr>
            <w:tcW w:w="8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Variance</w:t>
            </w:r>
          </w:p>
        </w:tc>
        <w:tc>
          <w:tcPr>
            <w:tcW w:w="326" w:type="dxa"/>
            <w:tcBorders/>
            <w:vAlign w:val="center"/>
          </w:tcPr>
          <w:p>
            <w:pPr>
              <w:pStyle w:val="TableContents"/>
              <w:bidi w:val="0"/>
              <w:spacing w:before="0" w:after="1"/>
              <w:ind w:left="0" w:right="0" w:hanging="0"/>
              <w:jc w:val="left"/>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Variance %</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Net income (loss)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2,065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(1,241)</w:t>
            </w:r>
          </w:p>
        </w:tc>
        <w:tc>
          <w:tcPr>
            <w:tcW w:w="326" w:type="dxa"/>
            <w:tcBorders/>
            <w:shd w:fill="CCEEFF" w:val="clear"/>
            <w:vAlign w:val="center"/>
          </w:tcPr>
          <w:p>
            <w:pPr>
              <w:pStyle w:val="TableContents"/>
              <w:bidi w:val="0"/>
              <w:spacing w:before="0" w:after="1"/>
              <w:ind w:left="0" w:right="0" w:hanging="0"/>
              <w:jc w:val="left"/>
              <w:rPr/>
            </w:pPr>
            <w:r>
              <w:rPr/>
              <w:t>​</w:t>
            </w:r>
          </w:p>
        </w:tc>
        <w:tc>
          <w:tcPr>
            <w:tcW w:w="64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(60.1)</w:t>
            </w:r>
          </w:p>
        </w:tc>
        <w:tc>
          <w:tcPr>
            <w:tcW w:w="38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Revenues: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1"/>
              <w:ind w:left="0" w:right="0" w:hanging="0"/>
              <w:jc w:val="left"/>
              <w:rPr/>
            </w:pPr>
            <w:r>
              <w:rPr/>
              <w:t>​</w:t>
            </w:r>
          </w:p>
        </w:tc>
        <w:tc>
          <w:tcPr>
            <w:tcW w:w="381"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Crude oil</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12,872</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14,737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(1,865)</w:t>
            </w:r>
          </w:p>
        </w:tc>
        <w:tc>
          <w:tcPr>
            <w:tcW w:w="326" w:type="dxa"/>
            <w:tcBorders/>
            <w:shd w:fill="CCEEFF" w:val="clear"/>
            <w:vAlign w:val="center"/>
          </w:tcPr>
          <w:p>
            <w:pPr>
              <w:pStyle w:val="TableContents"/>
              <w:bidi w:val="0"/>
              <w:spacing w:before="0" w:after="1"/>
              <w:ind w:left="0" w:right="0" w:hanging="0"/>
              <w:jc w:val="left"/>
              <w:rPr/>
            </w:pPr>
            <w:r>
              <w:rPr/>
              <w:t>​</w:t>
            </w:r>
          </w:p>
        </w:tc>
        <w:tc>
          <w:tcPr>
            <w:tcW w:w="64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(12.7)</w:t>
            </w:r>
          </w:p>
        </w:tc>
        <w:tc>
          <w:tcPr>
            <w:tcW w:w="38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Natural gas</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5,900</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4,285</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1,615</w:t>
            </w:r>
          </w:p>
        </w:tc>
        <w:tc>
          <w:tcPr>
            <w:tcW w:w="32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37.7</w:t>
            </w:r>
          </w:p>
        </w:tc>
        <w:tc>
          <w:tcPr>
            <w:tcW w:w="38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Natural gas liquids</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2,516</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2,874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(358)</w:t>
            </w:r>
          </w:p>
        </w:tc>
        <w:tc>
          <w:tcPr>
            <w:tcW w:w="326" w:type="dxa"/>
            <w:tcBorders/>
            <w:shd w:fill="CCEEFF" w:val="clear"/>
            <w:vAlign w:val="center"/>
          </w:tcPr>
          <w:p>
            <w:pPr>
              <w:pStyle w:val="TableContents"/>
              <w:bidi w:val="0"/>
              <w:spacing w:before="0" w:after="1"/>
              <w:ind w:left="0" w:right="0" w:hanging="0"/>
              <w:jc w:val="left"/>
              <w:rPr/>
            </w:pPr>
            <w:r>
              <w:rPr/>
              <w:t>​</w:t>
            </w:r>
          </w:p>
        </w:tc>
        <w:tc>
          <w:tcPr>
            <w:tcW w:w="64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(12.5)</w:t>
            </w:r>
          </w:p>
        </w:tc>
        <w:tc>
          <w:tcPr>
            <w:tcW w:w="38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revenues</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21,288</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21,896</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(608)</w:t>
            </w:r>
          </w:p>
        </w:tc>
        <w:tc>
          <w:tcPr>
            <w:tcW w:w="32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w:t>
            </w:r>
          </w:p>
        </w:tc>
        <w:tc>
          <w:tcPr>
            <w:tcW w:w="38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Operating costs:</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40" w:type="dxa"/>
            <w:tcBorders/>
            <w:shd w:fill="CCEEFF" w:val="clear"/>
            <w:vAlign w:val="center"/>
          </w:tcPr>
          <w:p>
            <w:pPr>
              <w:pStyle w:val="TableContents"/>
              <w:bidi w:val="0"/>
              <w:spacing w:before="0" w:after="1"/>
              <w:ind w:left="0" w:right="0" w:hanging="0"/>
              <w:jc w:val="right"/>
              <w:rPr/>
            </w:pPr>
            <w:r>
              <w:rPr/>
              <w:t>​</w:t>
            </w:r>
          </w:p>
        </w:tc>
        <w:tc>
          <w:tcPr>
            <w:tcW w:w="381" w:type="dxa"/>
            <w:tcBorders/>
            <w:shd w:fill="CCEEFF" w:val="clear"/>
            <w:vAlign w:val="center"/>
          </w:tcPr>
          <w:p>
            <w:pPr>
              <w:pStyle w:val="TableContents"/>
              <w:bidi w:val="0"/>
              <w:spacing w:before="0" w:after="1"/>
              <w:ind w:left="0" w:right="0" w:hanging="0"/>
              <w:jc w:val="center"/>
              <w:rPr/>
            </w:pPr>
            <w:r>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Lease operating costs: </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1"/>
              <w:ind w:left="0" w:right="0" w:hanging="0"/>
              <w:jc w:val="right"/>
              <w:rPr/>
            </w:pPr>
            <w:r>
              <w:rPr/>
              <w:t>​</w:t>
            </w:r>
          </w:p>
        </w:tc>
        <w:tc>
          <w:tcPr>
            <w:tcW w:w="381"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 valorem and production taxes</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1,420</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1,414</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w:t>
            </w:r>
          </w:p>
        </w:tc>
        <w:tc>
          <w:tcPr>
            <w:tcW w:w="326" w:type="dxa"/>
            <w:tcBorders/>
            <w:shd w:fill="CCEEFF" w:val="clear"/>
            <w:vAlign w:val="center"/>
          </w:tcPr>
          <w:p>
            <w:pPr>
              <w:pStyle w:val="TableContents"/>
              <w:bidi w:val="0"/>
              <w:spacing w:before="0" w:after="1"/>
              <w:ind w:left="0" w:right="0" w:hanging="0"/>
              <w:jc w:val="left"/>
              <w:rPr/>
            </w:pPr>
            <w:r>
              <w:rPr/>
              <w:t>​</w:t>
            </w:r>
          </w:p>
        </w:tc>
        <w:tc>
          <w:tcPr>
            <w:tcW w:w="64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0.4</w:t>
            </w:r>
          </w:p>
        </w:tc>
        <w:tc>
          <w:tcPr>
            <w:tcW w:w="38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Gathering, transportation, and other costs</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2,892</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2,790</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102</w:t>
            </w:r>
          </w:p>
        </w:tc>
        <w:tc>
          <w:tcPr>
            <w:tcW w:w="32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w:t>
            </w:r>
          </w:p>
        </w:tc>
        <w:tc>
          <w:tcPr>
            <w:tcW w:w="38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lease operating costs</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8,775</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7,586</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1,189</w:t>
            </w:r>
          </w:p>
        </w:tc>
        <w:tc>
          <w:tcPr>
            <w:tcW w:w="326" w:type="dxa"/>
            <w:tcBorders/>
            <w:shd w:fill="CCEEFF" w:val="clear"/>
            <w:vAlign w:val="center"/>
          </w:tcPr>
          <w:p>
            <w:pPr>
              <w:pStyle w:val="TableContents"/>
              <w:bidi w:val="0"/>
              <w:spacing w:before="0" w:after="1"/>
              <w:ind w:left="0" w:right="0" w:hanging="0"/>
              <w:jc w:val="left"/>
              <w:rPr/>
            </w:pPr>
            <w:r>
              <w:rPr/>
              <w:t>​</w:t>
            </w:r>
          </w:p>
        </w:tc>
        <w:tc>
          <w:tcPr>
            <w:tcW w:w="64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15.7</w:t>
            </w:r>
          </w:p>
        </w:tc>
        <w:tc>
          <w:tcPr>
            <w:tcW w:w="38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Depletion, depreciation, and accretion:</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1"/>
              <w:ind w:left="0" w:right="0" w:hanging="0"/>
              <w:jc w:val="right"/>
              <w:rPr/>
            </w:pPr>
            <w:r>
              <w:rPr/>
              <w:t>​</w:t>
            </w:r>
          </w:p>
        </w:tc>
        <w:tc>
          <w:tcPr>
            <w:tcW w:w="381"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Depletion of full cost proved oil and natural gas properties</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5,560</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5,325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235</w:t>
            </w:r>
          </w:p>
        </w:tc>
        <w:tc>
          <w:tcPr>
            <w:tcW w:w="326" w:type="dxa"/>
            <w:tcBorders/>
            <w:shd w:fill="CCEEFF" w:val="clear"/>
            <w:vAlign w:val="center"/>
          </w:tcPr>
          <w:p>
            <w:pPr>
              <w:pStyle w:val="TableContents"/>
              <w:bidi w:val="0"/>
              <w:spacing w:before="0" w:after="1"/>
              <w:ind w:left="0" w:right="0" w:hanging="0"/>
              <w:jc w:val="left"/>
              <w:rPr/>
            </w:pPr>
            <w:r>
              <w:rPr/>
              <w:t>​</w:t>
            </w:r>
          </w:p>
        </w:tc>
        <w:tc>
          <w:tcPr>
            <w:tcW w:w="64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w:t>
            </w:r>
          </w:p>
        </w:tc>
        <w:tc>
          <w:tcPr>
            <w:tcW w:w="38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Accretion of asset retirement obligations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2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0.3</w:t>
            </w:r>
          </w:p>
        </w:tc>
        <w:tc>
          <w:tcPr>
            <w:tcW w:w="38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General and administrative expenses: </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40" w:type="dxa"/>
            <w:tcBorders/>
            <w:shd w:fill="CCEEFF" w:val="clear"/>
            <w:vAlign w:val="center"/>
          </w:tcPr>
          <w:p>
            <w:pPr>
              <w:pStyle w:val="TableContents"/>
              <w:bidi w:val="0"/>
              <w:spacing w:before="0" w:after="1"/>
              <w:ind w:left="0" w:right="0" w:hanging="0"/>
              <w:jc w:val="right"/>
              <w:rPr/>
            </w:pPr>
            <w:r>
              <w:rPr/>
              <w:t>​</w:t>
            </w:r>
          </w:p>
        </w:tc>
        <w:tc>
          <w:tcPr>
            <w:tcW w:w="381" w:type="dxa"/>
            <w:tcBorders/>
            <w:shd w:fill="CCEEFF" w:val="clear"/>
            <w:vAlign w:val="center"/>
          </w:tcPr>
          <w:p>
            <w:pPr>
              <w:pStyle w:val="TableContents"/>
              <w:bidi w:val="0"/>
              <w:spacing w:before="0" w:after="1"/>
              <w:ind w:left="0" w:right="0" w:hanging="0"/>
              <w:jc w:val="center"/>
              <w:rPr/>
            </w:pPr>
            <w:r>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General and administrative</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1,788</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1,968</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(180)</w:t>
            </w:r>
          </w:p>
        </w:tc>
        <w:tc>
          <w:tcPr>
            <w:tcW w:w="32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(9.1)</w:t>
            </w:r>
          </w:p>
        </w:tc>
        <w:tc>
          <w:tcPr>
            <w:tcW w:w="38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w:t>
            </w:r>
          </w:p>
        </w:tc>
        <w:tc>
          <w:tcPr>
            <w:tcW w:w="326" w:type="dxa"/>
            <w:tcBorders/>
            <w:shd w:fill="CCEEFF" w:val="clear"/>
            <w:vAlign w:val="center"/>
          </w:tcPr>
          <w:p>
            <w:pPr>
              <w:pStyle w:val="TableContents"/>
              <w:bidi w:val="0"/>
              <w:spacing w:before="0" w:after="1"/>
              <w:ind w:left="0" w:right="0" w:hanging="0"/>
              <w:jc w:val="left"/>
              <w:rPr/>
            </w:pPr>
            <w:r>
              <w:rPr/>
              <w:t>​</w:t>
            </w:r>
          </w:p>
        </w:tc>
        <w:tc>
          <w:tcPr>
            <w:tcW w:w="64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w:t>
            </w:r>
          </w:p>
        </w:tc>
        <w:tc>
          <w:tcPr>
            <w:tcW w:w="38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income (expense):</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1"/>
              <w:ind w:left="0" w:right="0" w:hanging="0"/>
              <w:jc w:val="right"/>
              <w:rPr/>
            </w:pPr>
            <w:r>
              <w:rPr/>
              <w:t>​</w:t>
            </w:r>
          </w:p>
        </w:tc>
        <w:tc>
          <w:tcPr>
            <w:tcW w:w="381"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gain (loss) on derivative contracts</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2,181</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1,798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383</w:t>
            </w:r>
          </w:p>
        </w:tc>
        <w:tc>
          <w:tcPr>
            <w:tcW w:w="326" w:type="dxa"/>
            <w:tcBorders/>
            <w:shd w:fill="CCEEFF" w:val="clear"/>
            <w:vAlign w:val="center"/>
          </w:tcPr>
          <w:p>
            <w:pPr>
              <w:pStyle w:val="TableContents"/>
              <w:bidi w:val="0"/>
              <w:spacing w:before="0" w:after="1"/>
              <w:ind w:left="0" w:right="0" w:hanging="0"/>
              <w:jc w:val="left"/>
              <w:rPr/>
            </w:pPr>
            <w:r>
              <w:rPr/>
              <w:t>​</w:t>
            </w:r>
          </w:p>
        </w:tc>
        <w:tc>
          <w:tcPr>
            <w:tcW w:w="64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21.3</w:t>
            </w:r>
          </w:p>
        </w:tc>
        <w:tc>
          <w:tcPr>
            <w:tcW w:w="38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Interest and other income</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w:t>
            </w:r>
          </w:p>
        </w:tc>
        <w:tc>
          <w:tcPr>
            <w:tcW w:w="32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(82.5)</w:t>
            </w:r>
          </w:p>
        </w:tc>
        <w:tc>
          <w:tcPr>
            <w:tcW w:w="38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Interest expense</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(917)</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(94)</w:t>
            </w:r>
          </w:p>
        </w:tc>
        <w:tc>
          <w:tcPr>
            <w:tcW w:w="326" w:type="dxa"/>
            <w:tcBorders/>
            <w:shd w:fill="CCEEFF" w:val="clear"/>
            <w:vAlign w:val="center"/>
          </w:tcPr>
          <w:p>
            <w:pPr>
              <w:pStyle w:val="TableContents"/>
              <w:bidi w:val="0"/>
              <w:spacing w:before="0" w:after="1"/>
              <w:ind w:left="0" w:right="0" w:hanging="0"/>
              <w:jc w:val="left"/>
              <w:rPr/>
            </w:pPr>
            <w:r>
              <w:rPr/>
              <w:t>​</w:t>
            </w:r>
          </w:p>
        </w:tc>
        <w:tc>
          <w:tcPr>
            <w:tcW w:w="64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11.4</w:t>
            </w:r>
          </w:p>
        </w:tc>
        <w:tc>
          <w:tcPr>
            <w:tcW w:w="38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Income tax (expense) benefit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(365)</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456</w:t>
            </w:r>
          </w:p>
        </w:tc>
        <w:tc>
          <w:tcPr>
            <w:tcW w:w="32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(55.5)</w:t>
            </w:r>
          </w:p>
        </w:tc>
        <w:tc>
          <w:tcPr>
            <w:tcW w:w="38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40" w:type="dxa"/>
            <w:tcBorders/>
            <w:shd w:fill="CCEEFF" w:val="clear"/>
            <w:vAlign w:val="center"/>
          </w:tcPr>
          <w:p>
            <w:pPr>
              <w:pStyle w:val="TableContents"/>
              <w:bidi w:val="0"/>
              <w:spacing w:before="0" w:after="1"/>
              <w:ind w:left="0" w:right="0" w:hanging="0"/>
              <w:jc w:val="right"/>
              <w:rPr/>
            </w:pPr>
            <w:r>
              <w:rPr/>
              <w:t>​</w:t>
            </w:r>
          </w:p>
        </w:tc>
        <w:tc>
          <w:tcPr>
            <w:tcW w:w="381" w:type="dxa"/>
            <w:tcBorders/>
            <w:shd w:fill="CCEEFF" w:val="clear"/>
            <w:vAlign w:val="center"/>
          </w:tcPr>
          <w:p>
            <w:pPr>
              <w:pStyle w:val="TableContents"/>
              <w:bidi w:val="0"/>
              <w:spacing w:before="0" w:after="1"/>
              <w:ind w:left="0" w:right="0" w:hanging="0"/>
              <w:jc w:val="center"/>
              <w:rPr/>
            </w:pPr>
            <w:r>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 xml:space="preserve">Production: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1"/>
              <w:ind w:left="0" w:right="0" w:hanging="0"/>
              <w:jc w:val="left"/>
              <w:rPr/>
            </w:pPr>
            <w:r>
              <w:rPr/>
              <w:t>​</w:t>
            </w:r>
          </w:p>
        </w:tc>
        <w:tc>
          <w:tcPr>
            <w:tcW w:w="381"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Crude oil (MBBL)</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207</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64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w:t>
            </w:r>
          </w:p>
        </w:tc>
        <w:tc>
          <w:tcPr>
            <w:tcW w:w="38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Natural gas (MMCF)</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2,150</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2,228</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w:t>
            </w:r>
          </w:p>
        </w:tc>
        <w:tc>
          <w:tcPr>
            <w:tcW w:w="32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w:t>
            </w:r>
          </w:p>
        </w:tc>
        <w:tc>
          <w:tcPr>
            <w:tcW w:w="38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Natural gas liquids (MBBL)</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108</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w:t>
            </w:r>
          </w:p>
        </w:tc>
        <w:tc>
          <w:tcPr>
            <w:tcW w:w="326" w:type="dxa"/>
            <w:tcBorders/>
            <w:shd w:fill="CCEEFF" w:val="clear"/>
            <w:vAlign w:val="center"/>
          </w:tcPr>
          <w:p>
            <w:pPr>
              <w:pStyle w:val="TableContents"/>
              <w:bidi w:val="0"/>
              <w:spacing w:before="0" w:after="1"/>
              <w:ind w:left="0" w:right="0" w:hanging="0"/>
              <w:jc w:val="left"/>
              <w:rPr/>
            </w:pPr>
            <w:r>
              <w:rPr/>
              <w:t>​</w:t>
            </w:r>
          </w:p>
        </w:tc>
        <w:tc>
          <w:tcPr>
            <w:tcW w:w="64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w:t>
            </w:r>
          </w:p>
        </w:tc>
        <w:tc>
          <w:tcPr>
            <w:tcW w:w="38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Equivalent (MBOE)</w:t>
            </w:r>
            <w:r>
              <w:rPr>
                <w:rFonts w:ascii="Times New Roman;Times;serif" w:hAnsi="Times New Roman;Times;serif"/>
                <w:i/>
                <w:sz w:val="12"/>
              </w:rPr>
              <w:t>(1)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673</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688</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w:t>
            </w:r>
          </w:p>
        </w:tc>
        <w:tc>
          <w:tcPr>
            <w:tcW w:w="32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w:t>
            </w:r>
          </w:p>
        </w:tc>
        <w:tc>
          <w:tcPr>
            <w:tcW w:w="38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Average daily production (BOEPD)</w:t>
            </w:r>
            <w:r>
              <w:rPr>
                <w:rFonts w:ascii="Times New Roman;Times;serif" w:hAnsi="Times New Roman;Times;serif"/>
                <w:i/>
                <w:sz w:val="12"/>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7,315</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7,478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(163)</w:t>
            </w:r>
          </w:p>
        </w:tc>
        <w:tc>
          <w:tcPr>
            <w:tcW w:w="326" w:type="dxa"/>
            <w:tcBorders/>
            <w:shd w:fill="CCEEFF" w:val="clear"/>
            <w:vAlign w:val="center"/>
          </w:tcPr>
          <w:p>
            <w:pPr>
              <w:pStyle w:val="TableContents"/>
              <w:bidi w:val="0"/>
              <w:spacing w:before="0" w:after="1"/>
              <w:ind w:left="0" w:right="0" w:hanging="0"/>
              <w:jc w:val="left"/>
              <w:rPr/>
            </w:pPr>
            <w:r>
              <w:rPr/>
              <w:t>​</w:t>
            </w:r>
          </w:p>
        </w:tc>
        <w:tc>
          <w:tcPr>
            <w:tcW w:w="64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w:t>
            </w:r>
          </w:p>
        </w:tc>
        <w:tc>
          <w:tcPr>
            <w:tcW w:w="38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1"/>
              <w:ind w:left="0" w:right="0" w:hanging="0"/>
              <w:jc w:val="left"/>
              <w:rPr/>
            </w:pPr>
            <w:r>
              <w:rPr/>
              <w:t>​</w:t>
            </w:r>
          </w:p>
        </w:tc>
        <w:tc>
          <w:tcPr>
            <w:tcW w:w="381"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b/>
                <w:sz w:val="16"/>
              </w:rPr>
              <w:t>Average price per unit</w:t>
            </w:r>
            <w:r>
              <w:rPr>
                <w:rFonts w:ascii="Times New Roman;Times;serif" w:hAnsi="Times New Roman;Times;serif"/>
                <w:i/>
                <w:sz w:val="12"/>
              </w:rPr>
              <w:t>(2)</w:t>
            </w:r>
            <w:r>
              <w:rPr>
                <w:rFonts w:ascii="Times New Roman;Times;serif" w:hAnsi="Times New Roman;Times;serif"/>
                <w:b/>
                <w:sz w:val="16"/>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40" w:type="dxa"/>
            <w:tcBorders/>
            <w:shd w:fill="CCEEFF" w:val="clear"/>
            <w:vAlign w:val="center"/>
          </w:tcPr>
          <w:p>
            <w:pPr>
              <w:pStyle w:val="TableContents"/>
              <w:bidi w:val="0"/>
              <w:spacing w:before="0" w:after="1"/>
              <w:ind w:left="0" w:right="0" w:hanging="0"/>
              <w:jc w:val="left"/>
              <w:rPr/>
            </w:pPr>
            <w:r>
              <w:rPr/>
              <w:t>​</w:t>
            </w:r>
          </w:p>
        </w:tc>
        <w:tc>
          <w:tcPr>
            <w:tcW w:w="381" w:type="dxa"/>
            <w:tcBorders/>
            <w:shd w:fill="CCEEFF" w:val="clear"/>
            <w:vAlign w:val="center"/>
          </w:tcPr>
          <w:p>
            <w:pPr>
              <w:pStyle w:val="TableContents"/>
              <w:bidi w:val="0"/>
              <w:spacing w:before="0" w:after="1"/>
              <w:ind w:left="0" w:right="0" w:hanging="0"/>
              <w:jc w:val="center"/>
              <w:rPr/>
            </w:pPr>
            <w:r>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Crude oil (BBL)</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62.18</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72.24</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(10.06)</w:t>
            </w:r>
          </w:p>
        </w:tc>
        <w:tc>
          <w:tcPr>
            <w:tcW w:w="32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(13.9)</w:t>
            </w:r>
          </w:p>
        </w:tc>
        <w:tc>
          <w:tcPr>
            <w:tcW w:w="38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Natural gas (MCF)</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0.82</w:t>
            </w:r>
          </w:p>
        </w:tc>
        <w:tc>
          <w:tcPr>
            <w:tcW w:w="326" w:type="dxa"/>
            <w:tcBorders/>
            <w:shd w:fill="CCEEFF" w:val="clear"/>
            <w:vAlign w:val="center"/>
          </w:tcPr>
          <w:p>
            <w:pPr>
              <w:pStyle w:val="TableContents"/>
              <w:bidi w:val="0"/>
              <w:spacing w:before="0" w:after="1"/>
              <w:ind w:left="0" w:right="0" w:hanging="0"/>
              <w:jc w:val="left"/>
              <w:rPr/>
            </w:pPr>
            <w:r>
              <w:rPr/>
              <w:t>​</w:t>
            </w:r>
          </w:p>
        </w:tc>
        <w:tc>
          <w:tcPr>
            <w:tcW w:w="64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42.7</w:t>
            </w:r>
          </w:p>
        </w:tc>
        <w:tc>
          <w:tcPr>
            <w:tcW w:w="38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Natural Gas Liquids (BBL)</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23.30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25.43</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(2.13)</w:t>
            </w:r>
          </w:p>
        </w:tc>
        <w:tc>
          <w:tcPr>
            <w:tcW w:w="32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(8.4)</w:t>
            </w:r>
          </w:p>
        </w:tc>
        <w:tc>
          <w:tcPr>
            <w:tcW w:w="38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Equivalent (BOE)</w:t>
            </w:r>
            <w:r>
              <w:rPr>
                <w:rFonts w:ascii="Times New Roman;Times;serif" w:hAnsi="Times New Roman;Times;serif"/>
                <w:i/>
                <w:sz w:val="12"/>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31.63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31.83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(0.20)</w:t>
            </w:r>
          </w:p>
        </w:tc>
        <w:tc>
          <w:tcPr>
            <w:tcW w:w="326" w:type="dxa"/>
            <w:tcBorders/>
            <w:shd w:fill="CCEEFF" w:val="clear"/>
            <w:vAlign w:val="center"/>
          </w:tcPr>
          <w:p>
            <w:pPr>
              <w:pStyle w:val="TableContents"/>
              <w:bidi w:val="0"/>
              <w:spacing w:before="0" w:after="1"/>
              <w:ind w:left="0" w:right="0" w:hanging="0"/>
              <w:jc w:val="left"/>
              <w:rPr/>
            </w:pPr>
            <w:r>
              <w:rPr/>
              <w:t>​</w:t>
            </w:r>
          </w:p>
        </w:tc>
        <w:tc>
          <w:tcPr>
            <w:tcW w:w="64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(0.6)</w:t>
            </w:r>
          </w:p>
        </w:tc>
        <w:tc>
          <w:tcPr>
            <w:tcW w:w="38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1"/>
              <w:ind w:left="0" w:right="0" w:hanging="0"/>
              <w:jc w:val="left"/>
              <w:rPr/>
            </w:pPr>
            <w:r>
              <w:rPr/>
              <w:t>​</w:t>
            </w:r>
          </w:p>
        </w:tc>
        <w:tc>
          <w:tcPr>
            <w:tcW w:w="381"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Average cost per unit: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40" w:type="dxa"/>
            <w:tcBorders/>
            <w:shd w:fill="CCEEFF" w:val="clear"/>
            <w:vAlign w:val="center"/>
          </w:tcPr>
          <w:p>
            <w:pPr>
              <w:pStyle w:val="TableContents"/>
              <w:bidi w:val="0"/>
              <w:spacing w:before="0" w:after="1"/>
              <w:ind w:left="0" w:right="0" w:hanging="0"/>
              <w:jc w:val="left"/>
              <w:rPr/>
            </w:pPr>
            <w:r>
              <w:rPr/>
              <w:t>​</w:t>
            </w:r>
          </w:p>
        </w:tc>
        <w:tc>
          <w:tcPr>
            <w:tcW w:w="381" w:type="dxa"/>
            <w:tcBorders/>
            <w:shd w:fill="CCEEFF" w:val="clear"/>
            <w:vAlign w:val="center"/>
          </w:tcPr>
          <w:p>
            <w:pPr>
              <w:pStyle w:val="TableContents"/>
              <w:bidi w:val="0"/>
              <w:spacing w:before="0" w:after="1"/>
              <w:ind w:left="0" w:right="0" w:hanging="0"/>
              <w:jc w:val="center"/>
              <w:rPr/>
            </w:pPr>
            <w:r>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Operating costs: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1"/>
              <w:ind w:left="0" w:right="0" w:hanging="0"/>
              <w:jc w:val="left"/>
              <w:rPr/>
            </w:pPr>
            <w:r>
              <w:rPr/>
              <w:t>​</w:t>
            </w:r>
          </w:p>
        </w:tc>
        <w:tc>
          <w:tcPr>
            <w:tcW w:w="381"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Lease operating costs: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40" w:type="dxa"/>
            <w:tcBorders/>
            <w:shd w:fill="CCEEFF" w:val="clear"/>
            <w:vAlign w:val="center"/>
          </w:tcPr>
          <w:p>
            <w:pPr>
              <w:pStyle w:val="TableContents"/>
              <w:bidi w:val="0"/>
              <w:spacing w:before="0" w:after="1"/>
              <w:ind w:left="0" w:right="0" w:hanging="0"/>
              <w:jc w:val="left"/>
              <w:rPr/>
            </w:pPr>
            <w:r>
              <w:rPr/>
              <w:t>​</w:t>
            </w:r>
          </w:p>
        </w:tc>
        <w:tc>
          <w:tcPr>
            <w:tcW w:w="381" w:type="dxa"/>
            <w:tcBorders/>
            <w:shd w:fill="CCEEFF" w:val="clear"/>
            <w:vAlign w:val="center"/>
          </w:tcPr>
          <w:p>
            <w:pPr>
              <w:pStyle w:val="TableContents"/>
              <w:bidi w:val="0"/>
              <w:spacing w:before="0" w:after="1"/>
              <w:ind w:left="0" w:right="0" w:hanging="0"/>
              <w:jc w:val="center"/>
              <w:rPr/>
            </w:pPr>
            <w:r>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 valorem and production taxes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2.06</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0.05</w:t>
            </w:r>
          </w:p>
        </w:tc>
        <w:tc>
          <w:tcPr>
            <w:tcW w:w="32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w:t>
            </w:r>
          </w:p>
        </w:tc>
        <w:tc>
          <w:tcPr>
            <w:tcW w:w="38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Gathering, transportation, and other costs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0.24</w:t>
            </w:r>
          </w:p>
        </w:tc>
        <w:tc>
          <w:tcPr>
            <w:tcW w:w="326" w:type="dxa"/>
            <w:tcBorders/>
            <w:shd w:fill="CCEEFF" w:val="clear"/>
            <w:vAlign w:val="center"/>
          </w:tcPr>
          <w:p>
            <w:pPr>
              <w:pStyle w:val="TableContents"/>
              <w:bidi w:val="0"/>
              <w:spacing w:before="0" w:after="1"/>
              <w:ind w:left="0" w:right="0" w:hanging="0"/>
              <w:jc w:val="left"/>
              <w:rPr/>
            </w:pPr>
            <w:r>
              <w:rPr/>
              <w:t>​</w:t>
            </w:r>
          </w:p>
        </w:tc>
        <w:tc>
          <w:tcPr>
            <w:tcW w:w="64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w:t>
            </w:r>
          </w:p>
        </w:tc>
        <w:tc>
          <w:tcPr>
            <w:tcW w:w="38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lease operating costs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13.04</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11.03</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2.01</w:t>
            </w:r>
          </w:p>
        </w:tc>
        <w:tc>
          <w:tcPr>
            <w:tcW w:w="32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18.2</w:t>
            </w:r>
          </w:p>
        </w:tc>
        <w:tc>
          <w:tcPr>
            <w:tcW w:w="38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Depletion of full cost proved oil and natural gas properties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0.52</w:t>
            </w:r>
          </w:p>
        </w:tc>
        <w:tc>
          <w:tcPr>
            <w:tcW w:w="326" w:type="dxa"/>
            <w:tcBorders/>
            <w:shd w:fill="CCEEFF" w:val="clear"/>
            <w:vAlign w:val="center"/>
          </w:tcPr>
          <w:p>
            <w:pPr>
              <w:pStyle w:val="TableContents"/>
              <w:bidi w:val="0"/>
              <w:spacing w:before="0" w:after="1"/>
              <w:ind w:left="0" w:right="0" w:hanging="0"/>
              <w:jc w:val="left"/>
              <w:rPr/>
            </w:pPr>
            <w:r>
              <w:rPr/>
              <w:t>​</w:t>
            </w:r>
          </w:p>
        </w:tc>
        <w:tc>
          <w:tcPr>
            <w:tcW w:w="64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6.7</w:t>
            </w:r>
          </w:p>
        </w:tc>
        <w:tc>
          <w:tcPr>
            <w:tcW w:w="38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General and administrative expenses: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1"/>
              <w:ind w:left="0" w:right="0" w:hanging="0"/>
              <w:jc w:val="left"/>
              <w:rPr/>
            </w:pPr>
            <w:r>
              <w:rPr/>
              <w:t>​</w:t>
            </w:r>
          </w:p>
        </w:tc>
        <w:tc>
          <w:tcPr>
            <w:tcW w:w="381"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General and administrative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(0.20)</w:t>
            </w:r>
          </w:p>
        </w:tc>
        <w:tc>
          <w:tcPr>
            <w:tcW w:w="326" w:type="dxa"/>
            <w:tcBorders/>
            <w:shd w:fill="CCEEFF" w:val="clear"/>
            <w:vAlign w:val="center"/>
          </w:tcPr>
          <w:p>
            <w:pPr>
              <w:pStyle w:val="TableContents"/>
              <w:bidi w:val="0"/>
              <w:spacing w:before="0" w:after="1"/>
              <w:ind w:left="0" w:right="0" w:hanging="0"/>
              <w:jc w:val="left"/>
              <w:rPr/>
            </w:pPr>
            <w:r>
              <w:rPr/>
              <w:t>​</w:t>
            </w:r>
          </w:p>
        </w:tc>
        <w:tc>
          <w:tcPr>
            <w:tcW w:w="64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w:t>
            </w:r>
          </w:p>
        </w:tc>
        <w:tc>
          <w:tcPr>
            <w:tcW w:w="38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0.80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0.81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(0.01)</w:t>
            </w:r>
          </w:p>
        </w:tc>
        <w:tc>
          <w:tcPr>
            <w:tcW w:w="32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w:t>
            </w:r>
          </w:p>
        </w:tc>
        <w:tc>
          <w:tcPr>
            <w:tcW w:w="38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bl>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rFonts w:ascii="Times New Roman;Times;serif" w:hAnsi="Times New Roman;Times;serif"/>
                <w:b/>
                <w:i/>
                <w:sz w:val="15"/>
              </w:rPr>
            </w:pPr>
            <w:r>
              <w:rPr>
                <w:rFonts w:ascii="Times New Roman;Times;serif" w:hAnsi="Times New Roman;Times;serif"/>
                <w:b/>
                <w:i/>
                <w:sz w:val="15"/>
              </w:rPr>
              <w:t>(1)</w:t>
            </w:r>
          </w:p>
        </w:tc>
        <w:tc>
          <w:tcPr>
            <w:tcW w:w="99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Equivalent oil reserves are defined as six MCF of natural gas and 42 gallons of NGLs to one barrel of oil conversion ratio which reflects energy equivalence and not price equivalence. Natural gas prices per MCF and NGL prices per barrel often differ significantly from the equivalent amount of oil.</w:t>
            </w:r>
          </w:p>
        </w:tc>
      </w:tr>
    </w:tbl>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rFonts w:ascii="Times New Roman;Times;serif" w:hAnsi="Times New Roman;Times;serif"/>
                <w:b/>
                <w:i/>
                <w:sz w:val="15"/>
              </w:rPr>
            </w:pPr>
            <w:r>
              <w:rPr>
                <w:rFonts w:ascii="Times New Roman;Times;serif" w:hAnsi="Times New Roman;Times;serif"/>
                <w:b/>
                <w:i/>
                <w:sz w:val="15"/>
              </w:rPr>
              <w:t>(2)</w:t>
            </w:r>
          </w:p>
        </w:tc>
        <w:tc>
          <w:tcPr>
            <w:tcW w:w="99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Amounts exclude the impact of cash paid or received on the settlement of derivative contracts since we did not elect to apply hedge accounting.</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Revenues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Crude oil, natural gas and NGL revenues were $21.3 million and $21.9 million for the three months ended September 30, 2025 and 2024, respectively, with the decrease in revenues due to decreases in production volumes and decreases in our average realized price per BOE. Average daily equivalent production decreased 2.2% from 7,478 BOEPD in the prior year period to 7,315 BOEPD in the current period </w:t>
      </w:r>
      <w:r>
        <w:rPr>
          <w:rFonts w:ascii="Times" w:hAnsi="Times"/>
          <w:sz w:val="20"/>
        </w:rPr>
        <w:t xml:space="preserve">primarily as a result of </w:t>
      </w:r>
      <w:r>
        <w:rPr>
          <w:rFonts w:ascii="Times New Roman;Times;serif" w:hAnsi="Times New Roman;Times;serif"/>
          <w:sz w:val="20"/>
        </w:rPr>
        <w:t xml:space="preserve">downtime at the Delhi NGL plant for the replacement of a turbine and natural production declines. Our overall decrease in production was partially offset by production from our Minerals Acquisition in August 2025 and TexMex Acquisition in April 2025. </w:t>
      </w:r>
      <w:r>
        <w:rPr>
          <w:rFonts w:ascii="Times" w:hAnsi="Times"/>
          <w:sz w:val="20"/>
        </w:rPr>
        <w:t>Our average realized commodity price (excluding the impact of derivative contracts) for the three months ended September 30, 2025 decreased approximately $0.20 per BOE, or 0.6%, over</w:t>
      </w:r>
      <w:r>
        <w:rPr>
          <w:rFonts w:ascii="Times New Roman;Times;serif" w:hAnsi="Times New Roman;Times;serif"/>
          <w:sz w:val="20"/>
        </w:rPr>
        <w:t xml:space="preserve"> the prior year period as our r</w:t>
      </w:r>
      <w:r>
        <w:rPr>
          <w:rFonts w:ascii="Times" w:hAnsi="Times"/>
          <w:sz w:val="20"/>
        </w:rPr>
        <w:t>ealized crude oil decreased 13.9% and realized NGL prices decreased 8.4% from the three months ended September 30, 2024. The overall decrease in our realized prices was partially offset by a 42.7% increase in our realized natural gas prices over the prior period.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Lease Operating Costs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Ad valorem and production taxes were $1.4 million for each of the three months ended September 30, 2025 and 2024. On a per unit basis, ad valorem and production taxes were $2.11 per BOE and $2.06 per BOE for the three months ended September 30, 2025 and 2024, respectively. The increase on a per unit basis is primarily the result of the decrease in production for the current year period.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Gathering, transportation and other costs were $2.9 million for the three months ended September 30, 2025 compared to $2.8 million for the three months ended September 30, 2024. These costs are gathering, transportation and processing fees we incur primarily for our natural gas producing properties. The increase is primarily due to increased natural gas sales at Barnett Shale. On a per unit basis, gathering, transportation and other costs were $4.30 per BOE and $4.06 per BOE for the three months ended September 30, 2025 and 2024, respectively.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Other lease operating costs were $8.8 million for the three months ended September 30, 2025 compared to $7.6 million for the three months ended September 30, 2024. Other lease operating costs increased primarily due to </w:t>
      </w:r>
      <w:r>
        <w:rPr>
          <w:rFonts w:ascii="Times New Roman;Times;serif" w:hAnsi="Times New Roman;Times;serif"/>
          <w:sz w:val="20"/>
          <w:shd w:fill="FFFFFF" w:val="clear"/>
        </w:rPr>
        <w:t>the TexMex Acquisition in April 2025, which increased other lease operating costs by $1.3 million over the prior year period.</w:t>
      </w:r>
      <w:r>
        <w:rPr>
          <w:rFonts w:ascii="Times New Roman;Times;serif" w:hAnsi="Times New Roman;Times;serif"/>
          <w:sz w:val="20"/>
        </w:rPr>
        <w:t xml:space="preserve"> On a per unit basis, other lease operating costs increased to $13.04 per BOE for the three months ended September 30, 2025 from $11.03 per BOE in the three months ended September 30, 2024.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Depletion of Full Cost Proved Oil and Natural Gas Properties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Depletion expense increased from $5.3 million for the three months ended September 30, 2024 to $5.6 million for the three months ended September 30, 2025 primarily due to an increase in the depletion rate and decrease in reserves volumes. </w:t>
      </w:r>
      <w:r>
        <w:rPr>
          <w:rFonts w:ascii="Times New Roman;Times;serif" w:hAnsi="Times New Roman;Times;serif"/>
          <w:sz w:val="20"/>
          <w:shd w:fill="FFFFFF" w:val="clear"/>
        </w:rPr>
        <w:t xml:space="preserve">On a per unit basis, depletion expense was $8.26 per BOE and $7.74 per BOE for the three months ended September 30, 2025 and 2024, respectively.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General and administrative expenses for the three months ended September 30, 2025 and 2024 were $1.8 million and $2.0 million, respectively. The decrease in the current period is primarily due to a decrease in professional fees. On a per unit basis, general and administrative expenses were $2.66 per BOE and $2.86 per BOE for the three months ended September 30, 2025 and 2024, respectively.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Stock-based Compensation Expense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Stock-based compensation expense for the three months ended September 30, 2025 was $0.5 million compared to $0.6 million for the </w:t>
      </w:r>
      <w:r>
        <w:rPr>
          <w:rFonts w:ascii="Times" w:hAnsi="Times"/>
          <w:sz w:val="20"/>
        </w:rPr>
        <w:t>year-ago period</w:t>
      </w:r>
      <w:r>
        <w:rPr>
          <w:rFonts w:ascii="Times New Roman;Times;serif" w:hAnsi="Times New Roman;Times;serif"/>
          <w:sz w:val="20"/>
        </w:rPr>
        <w:t>. The decrease is due to a decrease in the awards granted in the current fiscal period compared to the year-ago period.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Net Gain (Loss) on Derivative Contracts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utilize commodity derivative financial instruments to reduce our exposure to fluctuations in oil and natural gas prices. Financial hedges are a requirement under our Senior Secured Credit Facility and help establish commodity price floors, contributing to stable cash flows when derivative contracts are settled. We have elected not to designate our open derivative contracts for hedge accounting, and accordingly, we recorded the net change in the mark-to-market valuation of the derivative contracts in the unaudited condensed consolidated statements of operations. The amounts recorded on the unaudited condensed consolidated statements of operations related to derivative contracts represent the (i) gains (losses) related to fair value adjustments on our open, or unrealized, derivative contracts, and (ii) gains (losses) on settlements of derivative contracts for positions that have settled or been realized. The table below summarizes our net realized and unrealized gains (losses) on derivative contracts as well as the impact of net realized gains (losses) on our average realized prices for the periods presented. </w:t>
      </w:r>
      <w:r>
        <w:rPr>
          <w:rFonts w:ascii="Times New Roman;Times;serif" w:hAnsi="Times New Roman;Times;serif"/>
          <w:sz w:val="20"/>
          <w:shd w:fill="FFFFFF" w:val="clear"/>
        </w:rPr>
        <w:t>As a result of our recent acquisitions and the corresponding borrowings on our Senior Secured Credit Facility, we were required by terms in our Senior Secured Credit Facility to hedge a portion of our production. As of September 30, 2025, we had $2.5 million derivative assets, $2.1 million of which was classified as current, and $2.6 million derivative liabilities, $1.2 million of which was classified as current. Subsequent to the end of the quarter through November 2025, we have seen increased volatility in the crude oil and natural gas commodity markets and we expect to see continued volatility in the fair value of our derivative contracts.</w:t>
      </w:r>
    </w:p>
    <w:p>
      <w:pPr>
        <w:pStyle w:val="TextBody"/>
        <w:bidi w:val="0"/>
        <w:spacing w:before="0" w:after="240"/>
        <w:ind w:left="0" w:right="0" w:hanging="0"/>
        <w:jc w:val="left"/>
        <w:rPr/>
      </w:pPr>
      <w:r>
        <w:rPr/>
        <w:t>​</w:t>
      </w:r>
    </w:p>
    <w:tbl>
      <w:tblPr>
        <w:tblW w:w="9488" w:type="dxa"/>
        <w:jc w:val="left"/>
        <w:tblInd w:w="0" w:type="dxa"/>
        <w:tblLayout w:type="fixed"/>
        <w:tblCellMar>
          <w:top w:w="0" w:type="dxa"/>
          <w:left w:w="0" w:type="dxa"/>
          <w:bottom w:w="0" w:type="dxa"/>
          <w:right w:w="0" w:type="dxa"/>
        </w:tblCellMar>
      </w:tblPr>
      <w:tblGrid>
        <w:gridCol w:w="4861"/>
        <w:gridCol w:w="326"/>
        <w:gridCol w:w="196"/>
        <w:gridCol w:w="511"/>
        <w:gridCol w:w="326"/>
        <w:gridCol w:w="196"/>
        <w:gridCol w:w="541"/>
        <w:gridCol w:w="326"/>
        <w:gridCol w:w="196"/>
        <w:gridCol w:w="631"/>
        <w:gridCol w:w="326"/>
        <w:gridCol w:w="766"/>
        <w:gridCol w:w="286"/>
      </w:tblGrid>
      <w:tr>
        <w:trPr/>
        <w:tc>
          <w:tcPr>
            <w:tcW w:w="48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07010" cy="175260"/>
                      <wp:effectExtent l="0" t="0" r="0" b="0"/>
                      <wp:wrapNone/>
                      <wp:docPr id="260" name="Frame2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24460" cy="175260"/>
                      <wp:effectExtent l="0" t="0" r="0" b="0"/>
                      <wp:wrapNone/>
                      <wp:docPr id="261" name="Frame26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324485" cy="175260"/>
                      <wp:effectExtent l="0" t="0" r="0" b="0"/>
                      <wp:wrapNone/>
                      <wp:docPr id="262" name="Frame261"/>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07010" cy="175260"/>
                      <wp:effectExtent l="0" t="0" r="0" b="0"/>
                      <wp:wrapNone/>
                      <wp:docPr id="263" name="Frame2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24460" cy="175260"/>
                      <wp:effectExtent l="0" t="0" r="0" b="0"/>
                      <wp:wrapNone/>
                      <wp:docPr id="264" name="Frame26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343535" cy="175260"/>
                      <wp:effectExtent l="0" t="0" r="0" b="0"/>
                      <wp:wrapNone/>
                      <wp:docPr id="265" name="Frame264"/>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07010" cy="175260"/>
                      <wp:effectExtent l="0" t="0" r="0" b="0"/>
                      <wp:wrapNone/>
                      <wp:docPr id="266" name="Frame2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24460" cy="175260"/>
                      <wp:effectExtent l="0" t="0" r="0" b="0"/>
                      <wp:wrapNone/>
                      <wp:docPr id="267" name="Frame26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400685" cy="175260"/>
                      <wp:effectExtent l="0" t="0" r="0" b="0"/>
                      <wp:wrapNone/>
                      <wp:docPr id="268" name="Frame267"/>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07010" cy="175260"/>
                      <wp:effectExtent l="0" t="0" r="0" b="0"/>
                      <wp:wrapNone/>
                      <wp:docPr id="269" name="Frame2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486410" cy="175260"/>
                      <wp:effectExtent l="0" t="0" r="0" b="0"/>
                      <wp:wrapNone/>
                      <wp:docPr id="270" name="Frame269"/>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81610" cy="175260"/>
                      <wp:effectExtent l="0" t="0" r="0" b="0"/>
                      <wp:wrapNone/>
                      <wp:docPr id="271" name="Frame270"/>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8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770"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Three Months Ended</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center"/>
              <w:rPr/>
            </w:pPr>
            <w:r>
              <w:rPr/>
              <w:t>​</w:t>
            </w:r>
          </w:p>
        </w:tc>
      </w:tr>
      <w:tr>
        <w:trPr/>
        <w:tc>
          <w:tcPr>
            <w:tcW w:w="48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77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September 30,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center"/>
              <w:rPr/>
            </w:pPr>
            <w:r>
              <w:rPr/>
              <w:t>​</w:t>
            </w:r>
          </w:p>
        </w:tc>
      </w:tr>
      <w:tr>
        <w:trPr/>
        <w:tc>
          <w:tcPr>
            <w:tcW w:w="486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 except per unit and per BOE amounts)</w:t>
            </w:r>
          </w:p>
        </w:tc>
        <w:tc>
          <w:tcPr>
            <w:tcW w:w="326" w:type="dxa"/>
            <w:tcBorders/>
            <w:vAlign w:val="center"/>
          </w:tcPr>
          <w:p>
            <w:pPr>
              <w:pStyle w:val="TableContents"/>
              <w:bidi w:val="0"/>
              <w:spacing w:before="0" w:after="1"/>
              <w:ind w:left="0" w:right="0" w:hanging="0"/>
              <w:jc w:val="left"/>
              <w:rPr/>
            </w:pPr>
            <w:r>
              <w:rPr/>
              <w:t>    </w:t>
            </w:r>
          </w:p>
        </w:tc>
        <w:tc>
          <w:tcPr>
            <w:tcW w:w="7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26" w:type="dxa"/>
            <w:tcBorders/>
            <w:vAlign w:val="center"/>
          </w:tcPr>
          <w:p>
            <w:pPr>
              <w:pStyle w:val="TableContents"/>
              <w:bidi w:val="0"/>
              <w:spacing w:before="0" w:after="1"/>
              <w:ind w:left="0" w:right="0" w:hanging="0"/>
              <w:jc w:val="left"/>
              <w:rPr/>
            </w:pPr>
            <w:r>
              <w:rPr/>
              <w:t>    </w:t>
            </w:r>
          </w:p>
        </w:tc>
        <w:tc>
          <w:tcPr>
            <w:tcW w:w="7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26" w:type="dxa"/>
            <w:tcBorders/>
            <w:vAlign w:val="center"/>
          </w:tcPr>
          <w:p>
            <w:pPr>
              <w:pStyle w:val="TableContents"/>
              <w:bidi w:val="0"/>
              <w:spacing w:before="0" w:after="1"/>
              <w:ind w:left="0" w:right="0" w:hanging="0"/>
              <w:jc w:val="left"/>
              <w:rPr/>
            </w:pPr>
            <w:r>
              <w:rPr/>
              <w:t>    </w:t>
            </w:r>
          </w:p>
        </w:tc>
        <w:tc>
          <w:tcPr>
            <w:tcW w:w="8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Variance</w:t>
            </w:r>
          </w:p>
        </w:tc>
        <w:tc>
          <w:tcPr>
            <w:tcW w:w="326" w:type="dxa"/>
            <w:tcBorders/>
            <w:vAlign w:val="center"/>
          </w:tcPr>
          <w:p>
            <w:pPr>
              <w:pStyle w:val="TableContents"/>
              <w:bidi w:val="0"/>
              <w:spacing w:before="0" w:after="1"/>
              <w:ind w:left="0" w:right="0" w:hanging="0"/>
              <w:jc w:val="left"/>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Variance %</w:t>
            </w:r>
          </w:p>
        </w:tc>
      </w:tr>
      <w:tr>
        <w:trPr/>
        <w:tc>
          <w:tcPr>
            <w:tcW w:w="48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Realized gain (loss) on derivative contracts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878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948</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(1,354.3)</w:t>
            </w:r>
          </w:p>
        </w:tc>
        <w:tc>
          <w:tcPr>
            <w:tcW w:w="28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6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Unrealized gain (loss) on derivative contracts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1,303</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1,868</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(565)</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(30.2)</w:t>
            </w:r>
          </w:p>
        </w:tc>
        <w:tc>
          <w:tcPr>
            <w:tcW w:w="28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net gain (loss) on derivative contracts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2,181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1,798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383</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21.3</w:t>
            </w:r>
          </w:p>
        </w:tc>
        <w:tc>
          <w:tcPr>
            <w:tcW w:w="28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center"/>
              <w:rPr/>
            </w:pPr>
            <w:r>
              <w:rPr/>
              <w:t>​</w:t>
            </w:r>
          </w:p>
        </w:tc>
      </w:tr>
      <w:tr>
        <w:trPr/>
        <w:tc>
          <w:tcPr>
            <w:tcW w:w="48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Average realized crude oil price per BBL</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62.18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72.24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(10.06)</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(13.9)</w:t>
            </w:r>
          </w:p>
        </w:tc>
        <w:tc>
          <w:tcPr>
            <w:tcW w:w="28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6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effect of oil derivative contracts per BBL</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1.10</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(0.34)</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1.44</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(423.5)</w:t>
            </w:r>
          </w:p>
        </w:tc>
        <w:tc>
          <w:tcPr>
            <w:tcW w:w="28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Crude oil price per BBL (including impact of realized derivatives)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63.28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71.90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(8.62)</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(12.0)</w:t>
            </w:r>
          </w:p>
        </w:tc>
        <w:tc>
          <w:tcPr>
            <w:tcW w:w="28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center"/>
              <w:rPr/>
            </w:pPr>
            <w:r>
              <w:rPr/>
              <w:t>​</w:t>
            </w:r>
          </w:p>
        </w:tc>
      </w:tr>
      <w:tr>
        <w:trPr/>
        <w:tc>
          <w:tcPr>
            <w:tcW w:w="48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Average realized natural gas price per MCF</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0.82</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42.7</w:t>
            </w:r>
          </w:p>
        </w:tc>
        <w:tc>
          <w:tcPr>
            <w:tcW w:w="28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6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effect of natural gas derivative contracts per MCF</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0.30</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0.30</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Natural gas price per MCF (including impact of realized derivatives)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1.12</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58.3</w:t>
            </w:r>
          </w:p>
        </w:tc>
        <w:tc>
          <w:tcPr>
            <w:tcW w:w="28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bl>
    <w:p>
      <w:pPr>
        <w:pStyle w:val="TextBody"/>
        <w:bidi w:val="0"/>
        <w:spacing w:before="240" w:after="240"/>
        <w:ind w:left="0" w:right="0" w:hanging="0"/>
        <w:jc w:val="left"/>
        <w:rPr>
          <w:rFonts w:ascii="Times New Roman;Times;serif" w:hAnsi="Times New Roman;Times;serif"/>
          <w:i/>
          <w:sz w:val="20"/>
        </w:rPr>
      </w:pPr>
      <w:r>
        <w:rPr>
          <w:rFonts w:ascii="Times New Roman;Times;serif" w:hAnsi="Times New Roman;Times;serif"/>
          <w:i/>
          <w:sz w:val="20"/>
        </w:rPr>
        <w:t>Interest Expense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Interest expense increased $0.1 million for the three months ended September 30, 2025 compared to the prior year period primarily due to additional borrowings drawn on our Senior Secured Credit Facility to finance our Minerals Acquisition in August 2025. The weighted average interest rate on our borrowings was 7.12% for the three months ended September 30, 2025 compared to 8.09% for the three months ended September 30, 2024.</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Income Tax (Expense) Benefit</w:t>
      </w:r>
    </w:p>
    <w:p>
      <w:pPr>
        <w:pStyle w:val="TextBody"/>
        <w:bidi w:val="0"/>
        <w:spacing w:before="0" w:after="240"/>
        <w:ind w:left="0" w:right="0" w:hanging="0"/>
        <w:jc w:val="left"/>
        <w:rPr>
          <w:rFonts w:ascii="Times New Roman;Times;serif" w:hAnsi="Times New Roman;Times;serif"/>
          <w:sz w:val="20"/>
        </w:rPr>
      </w:pPr>
      <w:bookmarkStart w:id="1017" w:name="_Hlk212708608"/>
      <w:bookmarkEnd w:id="1017"/>
      <w:r>
        <w:rPr>
          <w:rFonts w:ascii="Times New Roman;Times;serif" w:hAnsi="Times New Roman;Times;serif"/>
          <w:sz w:val="20"/>
        </w:rPr>
        <w:t>For the three months ended September 30, 2025, we recognized income tax expense of $0.4 million on net income before income taxes of $1.2 million compared to income tax expense of $0.8 million on net income before income taxes of $2.9 million for the three months ended September 30, 2024. The effective tax rates were 30.7% and 28.4% for three months ended September 30, 2025 and 2024, respectively. The increase in the effective tax rate from the prior year period is due to higher state income taxes projected for Oklahoma due to the Minerals Acquisition.</w:t>
      </w:r>
    </w:p>
    <w:p>
      <w:pPr>
        <w:pStyle w:val="TextBody"/>
        <w:bidi w:val="0"/>
        <w:spacing w:before="0" w:after="240"/>
        <w:ind w:left="0" w:right="0" w:hanging="0"/>
        <w:jc w:val="center"/>
        <w:rPr>
          <w:rFonts w:ascii="Times New Roman;Times;serif" w:hAnsi="Times New Roman;Times;serif"/>
          <w:b/>
          <w:sz w:val="20"/>
        </w:rPr>
      </w:pPr>
      <w:bookmarkStart w:id="1018" w:name="CriticalAccountingPoliciesandEstimates"/>
      <w:bookmarkStart w:id="1019" w:name="CriticalAccountingPoliciesandEstimates_6"/>
      <w:bookmarkEnd w:id="1018"/>
      <w:bookmarkEnd w:id="1019"/>
      <w:r>
        <w:rPr>
          <w:rFonts w:ascii="Times New Roman;Times;serif" w:hAnsi="Times New Roman;Times;serif"/>
          <w:b/>
          <w:sz w:val="20"/>
        </w:rPr>
        <w:t>Critical Accounting Policies and Estimates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Our discussion and analysis of our financial condition and results of operations are based upon the unaudited condensed consolidated financial statements. The preparation of financial statements in accordance with accounting principles generally accepted in the United States of America requires that we select certain accounting policies and make estimates and assumptions that affect the reported amounts of the assets, liabilities, and disclosures of contingent assets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and liabilities as of the date of the balance sheet as well as the reported amounts of revenues and expenses during the reporting period. These policies, together with our estimates, have a significant effect on our unaudited condensed consolidated financial statements. There have been no material changes to our critical accounting policies from those described in our Annual Report on Form 10-K for the fiscal year ended June 30, 2025.</w:t>
      </w:r>
    </w:p>
    <w:p>
      <w:pPr>
        <w:pStyle w:val="TextBody"/>
        <w:bidi w:val="0"/>
        <w:spacing w:before="0" w:after="240"/>
        <w:ind w:left="0" w:right="0" w:hanging="0"/>
        <w:jc w:val="left"/>
        <w:rPr>
          <w:rFonts w:ascii="Times New Roman;Times;serif" w:hAnsi="Times New Roman;Times;serif"/>
          <w:b/>
          <w:sz w:val="20"/>
        </w:rPr>
      </w:pPr>
      <w:bookmarkStart w:id="1020" w:name="Item_3_Quantitative"/>
      <w:bookmarkStart w:id="1021" w:name="Item7AQuantitativeandQualitativeDisclosu"/>
      <w:bookmarkStart w:id="1022" w:name="_163a51d7_c188_4c87_87ed_3492a2af24fc"/>
      <w:bookmarkEnd w:id="1020"/>
      <w:bookmarkEnd w:id="1021"/>
      <w:bookmarkEnd w:id="1022"/>
      <w:r>
        <w:rPr>
          <w:rFonts w:ascii="Times New Roman;Times;serif" w:hAnsi="Times New Roman;Times;serif"/>
          <w:b/>
          <w:sz w:val="20"/>
        </w:rPr>
        <w:t>Item 3.   Quantitative and Qualitative Disclosures About Market Risks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Derivative Instruments and Hedging Activity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 are exposed to various risks, including energy commodity price risk, such as price differentials between the NYMEX commodity price and the index price at the location where our production is sold. When oil, natural gas, and NGL prices decline significantly, our ability to finance our capital budget and operations may be adversely impacted. We expect energy prices to remain volatile and unpredictable, therefore we monitor commodity prices to identify the potential need for the use of derivative financial instruments to provide partial protection against declines in oil and natural gas prices. We do not enter into derivative contracts for speculative trading purposes. In accordance with our Senior Secured Credit Facility, we have been and may be required in the future to enter into hedges if we meet certain utilization levels of the borrowing base under the credit facility. We intend to remain in compliance with these covenants and will enter into derivative contracts from time to time to meet the requirements. </w:t>
      </w:r>
      <w:r>
        <w:rPr>
          <w:rFonts w:ascii="Times New Roman;Times;serif" w:hAnsi="Times New Roman;Times;serif"/>
          <w:sz w:val="20"/>
          <w:shd w:fill="FFFFFF" w:val="clear"/>
        </w:rPr>
        <w:t xml:space="preserve">As a result of our recent acquisitions and the corresponding borrowings on our Senior Secured Credit Facility, we were required by terms in our Senior Secured Credit Facility to hedge a portion of our production. </w:t>
      </w:r>
      <w:r>
        <w:rPr>
          <w:rFonts w:ascii="Times New Roman;Times;serif" w:hAnsi="Times New Roman;Times;serif"/>
          <w:sz w:val="20"/>
        </w:rPr>
        <w:t>Additionally, depending on market conditions, financial and other considerations we may enter into additional hedges to meet our objectives of increasing value to shareholders. We may also, from time to time, restructure existing derivative contracts or enter into new transactions to effectively modify the terms of current contracts in order to improve the pricing parameters in existing contracts.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 are exposed to market risk on our open derivative contracts related to potential non-performance by our counterparties. It is our policy to enter into derivative contracts only with counterparties that are creditworthy institutions deemed by management as competitive market makers. For the derivative contracts settled during fiscal 2026 and 2025, we did not post collateral. We account for our derivative activities under the provisions of ASC 815, </w:t>
      </w:r>
      <w:r>
        <w:rPr>
          <w:rFonts w:ascii="Times New Roman;Times;serif" w:hAnsi="Times New Roman;Times;serif"/>
          <w:i/>
          <w:sz w:val="20"/>
        </w:rPr>
        <w:t>Derivatives and Hedging</w:t>
      </w:r>
      <w:r>
        <w:rPr>
          <w:rFonts w:ascii="Times New Roman;Times;serif" w:hAnsi="Times New Roman;Times;serif"/>
          <w:sz w:val="20"/>
        </w:rPr>
        <w:t>, (“ASC 815”). ASC 815 establishes accounting and reporting that every derivative instrument be recorded on the balance sheet as either an asset or liability measured at fair value. See Note 7, “</w:t>
      </w:r>
      <w:r>
        <w:rPr>
          <w:rFonts w:ascii="Times New Roman;Times;serif" w:hAnsi="Times New Roman;Times;serif"/>
          <w:i/>
          <w:sz w:val="20"/>
        </w:rPr>
        <w:t xml:space="preserve">Derivatives” </w:t>
      </w:r>
      <w:r>
        <w:rPr>
          <w:rFonts w:ascii="Times New Roman;Times;serif" w:hAnsi="Times New Roman;Times;serif"/>
          <w:sz w:val="20"/>
        </w:rPr>
        <w:t>to our unaudited condensed consolidated financial statements for more details.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Interest Rate Risk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exposed to changes in interest rates. Changes in interest rates affect the interest earned on our cash and cash equivalents. Additionally, any borrowings under the Senior Secured Credit Facility will bear interest, at our option, at either (i) SOFR, subject to a minimum SOFR of 3.25%, plus a credit spread adjustment of 0.05%, or (ii) the Prime Rate, as defined under the Senior Secured Credit Facility, plus 1.00%, plus, in either case of (i) or (ii), an applicable margin of 2.75%. SOFR rates are sensitive to the period of contract and market volatility, as well as changes in forward interest rate yields. Under our current practices, we do not use interest rate derivative instruments to manage exposure to interest rate changes.</w:t>
      </w:r>
    </w:p>
    <w:p>
      <w:pPr>
        <w:pStyle w:val="TextBody"/>
        <w:bidi w:val="0"/>
        <w:spacing w:before="0" w:after="240"/>
        <w:ind w:left="0" w:right="0" w:hanging="0"/>
        <w:jc w:val="left"/>
        <w:rPr>
          <w:rFonts w:ascii="Times New Roman;Times;serif" w:hAnsi="Times New Roman;Times;serif"/>
          <w:b/>
          <w:sz w:val="20"/>
        </w:rPr>
      </w:pPr>
      <w:bookmarkStart w:id="1023" w:name="Item4ControlsandProcedures"/>
      <w:bookmarkStart w:id="1024" w:name="_d06fcc69_5ec3_443f_9833_e6e852eb6683"/>
      <w:bookmarkEnd w:id="1023"/>
      <w:bookmarkEnd w:id="1024"/>
      <w:r>
        <w:rPr>
          <w:rFonts w:ascii="Times New Roman;Times;serif" w:hAnsi="Times New Roman;Times;serif"/>
          <w:b/>
          <w:sz w:val="20"/>
        </w:rPr>
        <w:t>Item 4. Controls and Procedures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maintain disclosure controls and procedures that are designed to ensure that information required to be disclosed in our Exchange Act reports is recorded, processed, summarized, and reported within the time periods specified in the Securities and Exchange Commission’s (“SEC”) rules and forms. This information is accumulated and communicated to our management, including our Principal Executive Officer and Principal Financial Officer, as appropriate, to allow for timely decisions regarding required disclosure.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As required by SEC Rule 13a-15(b), we carried out an evaluation, under the supervision and with the participation of our management, including our Principal Executive Officer and Principal Financial Officer, of the effectiveness of the design and operation of our disclosure controls and procedures (as defined in Exchange Act Rules 13a-15(c) and 15(d)-15(e)) as of the end of the quarter covered by this report. In designing and evaluating our disclosure controls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procedures, our management recognizes that controls and procedures, no matter how well designed and operated, can provide only reasonable assurance of achieving desired control objectives. Based on the foregoing, our Principal Executive Officer and Principal Financial Officer concluded that as of September 30, 2025 our disclosure controls and procedures are effective in ensuring that the information required to be disclosed in our reports filed or submitted under the Exchange Act is recorded, processed, summarized, and reported within the time periods specified in the SEC rules and forms.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Under the supervision and with the participation of our management, including our Principal Executive Officer and Principal Financial Officer, during the quarter ended September 30, 2025, we have determined that there have been no changes in our internal control over financial reporting that have materially affected, or are reasonably likely to materially affect, our internal control over financial reporting.</w:t>
      </w:r>
    </w:p>
    <w:p>
      <w:pPr>
        <w:pStyle w:val="TextBody"/>
        <w:bidi w:val="0"/>
        <w:spacing w:before="0" w:after="240"/>
        <w:ind w:left="0" w:right="0" w:hanging="0"/>
        <w:jc w:val="left"/>
        <w:rPr>
          <w:rFonts w:ascii="Times New Roman;Times;serif" w:hAnsi="Times New Roman;Times;serif"/>
          <w:b/>
          <w:sz w:val="20"/>
        </w:rPr>
      </w:pPr>
      <w:bookmarkStart w:id="1025" w:name="Part_II_OTHER_INFORMATION"/>
      <w:bookmarkEnd w:id="1025"/>
      <w:r>
        <w:rPr>
          <w:rFonts w:ascii="Times New Roman;Times;serif" w:hAnsi="Times New Roman;Times;serif"/>
          <w:b/>
          <w:sz w:val="20"/>
        </w:rPr>
        <w:t>Part II. OTHER INFORMATION</w:t>
      </w:r>
    </w:p>
    <w:p>
      <w:pPr>
        <w:pStyle w:val="TextBody"/>
        <w:bidi w:val="0"/>
        <w:spacing w:before="0" w:after="240"/>
        <w:ind w:left="0" w:right="0" w:hanging="0"/>
        <w:jc w:val="left"/>
        <w:rPr>
          <w:rFonts w:ascii="Times New Roman;Times;serif" w:hAnsi="Times New Roman;Times;serif"/>
          <w:b/>
          <w:sz w:val="20"/>
        </w:rPr>
      </w:pPr>
      <w:bookmarkStart w:id="1026" w:name="Item1LegalProceedings"/>
      <w:bookmarkStart w:id="1027" w:name="_9447c8ef_9967_4a8a_b6e6_9cdff6f9a1a7"/>
      <w:bookmarkEnd w:id="1026"/>
      <w:bookmarkEnd w:id="1027"/>
      <w:r>
        <w:rPr>
          <w:rFonts w:ascii="Times New Roman;Times;serif" w:hAnsi="Times New Roman;Times;serif"/>
          <w:b/>
          <w:sz w:val="20"/>
        </w:rPr>
        <w:t>Item 1. Legal Proceedings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See Note 10, “</w:t>
      </w:r>
      <w:r>
        <w:rPr>
          <w:rFonts w:ascii="Times New Roman;Times;serif" w:hAnsi="Times New Roman;Times;serif"/>
          <w:i/>
          <w:sz w:val="20"/>
        </w:rPr>
        <w:t>Commitments and Contingencies”</w:t>
      </w:r>
      <w:r>
        <w:rPr>
          <w:rFonts w:ascii="Times New Roman;Times;serif" w:hAnsi="Times New Roman;Times;serif"/>
          <w:sz w:val="20"/>
        </w:rPr>
        <w:t xml:space="preserve"> to our unaudited condensed consolidated financial statements in Item 1. </w:t>
      </w:r>
      <w:r>
        <w:rPr>
          <w:rFonts w:ascii="Times New Roman;Times;serif" w:hAnsi="Times New Roman;Times;serif"/>
          <w:i/>
          <w:sz w:val="20"/>
        </w:rPr>
        <w:t xml:space="preserve">Condensed Consolidated Financial Statements (Unaudited) </w:t>
      </w:r>
      <w:r>
        <w:rPr>
          <w:rFonts w:ascii="Times New Roman;Times;serif" w:hAnsi="Times New Roman;Times;serif"/>
          <w:sz w:val="20"/>
        </w:rPr>
        <w:t>for a description of any legal proceedings, which is incorporated herein by reference.</w:t>
      </w:r>
    </w:p>
    <w:p>
      <w:pPr>
        <w:pStyle w:val="TextBody"/>
        <w:bidi w:val="0"/>
        <w:spacing w:before="0" w:after="240"/>
        <w:ind w:left="0" w:right="0" w:hanging="0"/>
        <w:jc w:val="left"/>
        <w:rPr>
          <w:rFonts w:ascii="Times New Roman;Times;serif" w:hAnsi="Times New Roman;Times;serif"/>
          <w:b/>
          <w:sz w:val="20"/>
        </w:rPr>
      </w:pPr>
      <w:bookmarkStart w:id="1028" w:name="Item1ARiskFactors_401633"/>
      <w:bookmarkStart w:id="1029" w:name="_cb427152_0be5_461a_98fb_908b6f635a1a"/>
      <w:bookmarkStart w:id="1030" w:name="_Supplemental_Disclosure_about"/>
      <w:bookmarkEnd w:id="1028"/>
      <w:bookmarkEnd w:id="1029"/>
      <w:bookmarkEnd w:id="1030"/>
      <w:r>
        <w:rPr>
          <w:rFonts w:ascii="Times New Roman;Times;serif" w:hAnsi="Times New Roman;Times;serif"/>
          <w:b/>
          <w:sz w:val="20"/>
        </w:rPr>
        <w:t>Item 1A.   Risk Factors</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 xml:space="preserve">Our Annual Report on Form 10-K for the year ended June 30, 2025 includes a detailed description of our risk factors.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031" w:name="Item2UnregisteredSalesofEquitySecurities"/>
      <w:bookmarkStart w:id="1032" w:name="_1905a177_ba4f_4a85_a58e_cb5e017b52ab"/>
      <w:bookmarkEnd w:id="1031"/>
      <w:bookmarkEnd w:id="1032"/>
      <w:r>
        <w:rPr>
          <w:rFonts w:ascii="Times New Roman;Times;serif" w:hAnsi="Times New Roman;Times;serif"/>
          <w:b/>
          <w:sz w:val="20"/>
        </w:rPr>
        <w:t>Item 2. Unregistered Sales of Equity Securities and Use of Proceeds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Issuer Purchases of Equity Securities</w:t>
      </w:r>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The table below summarizes information about the Company's purchases of its equity securities during the three months ended September 30, 2025.</w:t>
      </w:r>
    </w:p>
    <w:tbl>
      <w:tblPr>
        <w:tblW w:w="8404" w:type="dxa"/>
        <w:jc w:val="left"/>
        <w:tblInd w:w="0" w:type="dxa"/>
        <w:tblLayout w:type="fixed"/>
        <w:tblCellMar>
          <w:top w:w="0" w:type="dxa"/>
          <w:left w:w="0" w:type="dxa"/>
          <w:bottom w:w="0" w:type="dxa"/>
          <w:right w:w="0" w:type="dxa"/>
        </w:tblCellMar>
      </w:tblPr>
      <w:tblGrid>
        <w:gridCol w:w="1276"/>
        <w:gridCol w:w="109"/>
        <w:gridCol w:w="1426"/>
        <w:gridCol w:w="109"/>
        <w:gridCol w:w="452"/>
        <w:gridCol w:w="973"/>
        <w:gridCol w:w="109"/>
        <w:gridCol w:w="1681"/>
        <w:gridCol w:w="109"/>
        <w:gridCol w:w="654"/>
        <w:gridCol w:w="1506"/>
      </w:tblGrid>
      <w:tr>
        <w:trPr/>
        <w:tc>
          <w:tcPr>
            <w:tcW w:w="12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905510" cy="175260"/>
                      <wp:effectExtent l="0" t="0" r="0" b="0"/>
                      <wp:wrapNone/>
                      <wp:docPr id="272" name="Frame271"/>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1"/>
              <w:ind w:left="0" w:right="0" w:hanging="0"/>
              <w:jc w:val="left"/>
              <w:rPr/>
            </w:pPr>
            <w:r>
              <w:rPr/>
              <w:t>​</w:t>
            </w:r>
          </w:p>
        </w:tc>
        <w:tc>
          <w:tcPr>
            <w:tcW w:w="452" w:type="dxa"/>
            <w:tcBorders/>
            <w:vAlign w:val="center"/>
          </w:tcPr>
          <w:p>
            <w:pPr>
              <w:pStyle w:val="TableContents"/>
              <w:bidi w:val="0"/>
              <w:spacing w:before="0" w:after="1"/>
              <w:ind w:left="0" w:right="0" w:hanging="0"/>
              <w:jc w:val="left"/>
              <w:rPr/>
            </w:pPr>
            <w:r>
              <w:rPr/>
              <w:t>​</w:t>
            </w:r>
          </w:p>
        </w:tc>
        <w:tc>
          <w:tcPr>
            <w:tcW w:w="9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17855" cy="175260"/>
                      <wp:effectExtent l="0" t="0" r="0" b="0"/>
                      <wp:wrapNone/>
                      <wp:docPr id="273" name="Frame272"/>
                      <a:graphic xmlns:a="http://schemas.openxmlformats.org/drawingml/2006/main">
                        <a:graphicData uri="http://schemas.microsoft.com/office/word/2010/wordprocessingShape">
                          <wps:wsp>
                            <wps:cNvSpPr txBox="1"/>
                            <wps:spPr>
                              <a:xfrm>
                                <a:off x="0" y="0"/>
                                <a:ext cx="617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1"/>
              <w:ind w:left="0" w:right="0" w:hanging="0"/>
              <w:jc w:val="left"/>
              <w:rPr/>
            </w:pPr>
            <w:r>
              <w:rPr/>
              <w:t>​</w:t>
            </w:r>
          </w:p>
        </w:tc>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1067435" cy="175260"/>
                      <wp:effectExtent l="0" t="0" r="0" b="0"/>
                      <wp:wrapNone/>
                      <wp:docPr id="274" name="Frame273"/>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1"/>
              <w:ind w:left="0" w:right="0" w:hanging="0"/>
              <w:jc w:val="left"/>
              <w:rPr/>
            </w:pPr>
            <w:r>
              <w:rPr/>
              <w:t>​</w:t>
            </w:r>
          </w:p>
        </w:tc>
        <w:tc>
          <w:tcPr>
            <w:tcW w:w="654" w:type="dxa"/>
            <w:tcBorders/>
            <w:vAlign w:val="center"/>
          </w:tcPr>
          <w:p>
            <w:pPr>
              <w:pStyle w:val="TableContents"/>
              <w:bidi w:val="0"/>
              <w:spacing w:before="0" w:after="1"/>
              <w:ind w:left="0" w:right="0" w:hanging="0"/>
              <w:jc w:val="left"/>
              <w:rPr/>
            </w:pPr>
            <w:r>
              <w:rPr/>
              <w:t>​</w:t>
            </w:r>
          </w:p>
        </w:tc>
        <w:tc>
          <w:tcPr>
            <w:tcW w:w="1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956310" cy="175260"/>
                      <wp:effectExtent l="0" t="0" r="0" b="0"/>
                      <wp:wrapNone/>
                      <wp:docPr id="275" name="Frame274"/>
                      <a:graphic xmlns:a="http://schemas.openxmlformats.org/drawingml/2006/main">
                        <a:graphicData uri="http://schemas.microsoft.com/office/word/2010/wordprocessingShape">
                          <wps:wsp>
                            <wps:cNvSpPr txBox="1"/>
                            <wps:spPr>
                              <a:xfrm>
                                <a:off x="0" y="0"/>
                                <a:ext cx="956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42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425"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68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(c) Total number </w:t>
            </w:r>
          </w:p>
        </w:tc>
        <w:tc>
          <w:tcPr>
            <w:tcW w:w="109" w:type="dxa"/>
            <w:tcBorders/>
            <w:vAlign w:val="center"/>
          </w:tcPr>
          <w:p>
            <w:pPr>
              <w:pStyle w:val="TableContents"/>
              <w:bidi w:val="0"/>
              <w:spacing w:before="0" w:after="1"/>
              <w:ind w:left="0" w:right="0" w:hanging="0"/>
              <w:jc w:val="left"/>
              <w:rPr/>
            </w:pPr>
            <w:r>
              <w:rPr/>
              <w:t>​</w:t>
            </w:r>
          </w:p>
        </w:tc>
        <w:tc>
          <w:tcPr>
            <w:tcW w:w="216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 Maximum dollar value</w:t>
            </w:r>
          </w:p>
        </w:tc>
      </w:tr>
      <w:tr>
        <w:trPr/>
        <w:tc>
          <w:tcPr>
            <w:tcW w:w="12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42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 Total number</w:t>
            </w:r>
          </w:p>
        </w:tc>
        <w:tc>
          <w:tcPr>
            <w:tcW w:w="109" w:type="dxa"/>
            <w:tcBorders/>
            <w:vAlign w:val="center"/>
          </w:tcPr>
          <w:p>
            <w:pPr>
              <w:pStyle w:val="TableContents"/>
              <w:bidi w:val="0"/>
              <w:spacing w:before="0" w:after="1"/>
              <w:ind w:left="0" w:right="0" w:hanging="0"/>
              <w:jc w:val="left"/>
              <w:rPr/>
            </w:pPr>
            <w:r>
              <w:rPr/>
              <w:t>​</w:t>
            </w:r>
          </w:p>
        </w:tc>
        <w:tc>
          <w:tcPr>
            <w:tcW w:w="1425"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68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of shares</w:t>
            </w:r>
          </w:p>
        </w:tc>
        <w:tc>
          <w:tcPr>
            <w:tcW w:w="109" w:type="dxa"/>
            <w:tcBorders/>
            <w:vAlign w:val="center"/>
          </w:tcPr>
          <w:p>
            <w:pPr>
              <w:pStyle w:val="TableContents"/>
              <w:bidi w:val="0"/>
              <w:spacing w:before="0" w:after="1"/>
              <w:ind w:left="0" w:right="0" w:hanging="0"/>
              <w:jc w:val="left"/>
              <w:rPr/>
            </w:pPr>
            <w:r>
              <w:rPr/>
              <w:t>​</w:t>
            </w:r>
          </w:p>
        </w:tc>
        <w:tc>
          <w:tcPr>
            <w:tcW w:w="216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of shares that may yet be</w:t>
            </w:r>
          </w:p>
        </w:tc>
      </w:tr>
      <w:tr>
        <w:trPr/>
        <w:tc>
          <w:tcPr>
            <w:tcW w:w="12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42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of shares</w:t>
            </w:r>
          </w:p>
        </w:tc>
        <w:tc>
          <w:tcPr>
            <w:tcW w:w="109" w:type="dxa"/>
            <w:tcBorders/>
            <w:vAlign w:val="center"/>
          </w:tcPr>
          <w:p>
            <w:pPr>
              <w:pStyle w:val="TableContents"/>
              <w:bidi w:val="0"/>
              <w:spacing w:before="0" w:after="1"/>
              <w:ind w:left="0" w:right="0" w:hanging="0"/>
              <w:jc w:val="left"/>
              <w:rPr/>
            </w:pPr>
            <w:r>
              <w:rPr/>
              <w:t>​</w:t>
            </w:r>
          </w:p>
        </w:tc>
        <w:tc>
          <w:tcPr>
            <w:tcW w:w="1425"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68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purchased as part</w:t>
            </w:r>
          </w:p>
        </w:tc>
        <w:tc>
          <w:tcPr>
            <w:tcW w:w="109" w:type="dxa"/>
            <w:tcBorders/>
            <w:vAlign w:val="center"/>
          </w:tcPr>
          <w:p>
            <w:pPr>
              <w:pStyle w:val="TableContents"/>
              <w:bidi w:val="0"/>
              <w:spacing w:before="0" w:after="1"/>
              <w:ind w:left="0" w:right="0" w:hanging="0"/>
              <w:jc w:val="left"/>
              <w:rPr/>
            </w:pPr>
            <w:r>
              <w:rPr/>
              <w:t>​</w:t>
            </w:r>
          </w:p>
        </w:tc>
        <w:tc>
          <w:tcPr>
            <w:tcW w:w="216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purchased under the </w:t>
            </w:r>
          </w:p>
        </w:tc>
      </w:tr>
      <w:tr>
        <w:trPr/>
        <w:tc>
          <w:tcPr>
            <w:tcW w:w="12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42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purchased and</w:t>
            </w:r>
          </w:p>
        </w:tc>
        <w:tc>
          <w:tcPr>
            <w:tcW w:w="109" w:type="dxa"/>
            <w:tcBorders/>
            <w:vAlign w:val="center"/>
          </w:tcPr>
          <w:p>
            <w:pPr>
              <w:pStyle w:val="TableContents"/>
              <w:bidi w:val="0"/>
              <w:spacing w:before="0" w:after="1"/>
              <w:ind w:left="0" w:right="0" w:hanging="0"/>
              <w:jc w:val="left"/>
              <w:rPr/>
            </w:pPr>
            <w:r>
              <w:rPr/>
              <w:t>​</w:t>
            </w:r>
          </w:p>
        </w:tc>
        <w:tc>
          <w:tcPr>
            <w:tcW w:w="142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(b) Average price</w:t>
            </w:r>
          </w:p>
        </w:tc>
        <w:tc>
          <w:tcPr>
            <w:tcW w:w="109" w:type="dxa"/>
            <w:tcBorders/>
            <w:vAlign w:val="center"/>
          </w:tcPr>
          <w:p>
            <w:pPr>
              <w:pStyle w:val="TableContents"/>
              <w:bidi w:val="0"/>
              <w:spacing w:before="0" w:after="1"/>
              <w:ind w:left="0" w:right="0" w:hanging="0"/>
              <w:jc w:val="left"/>
              <w:rPr/>
            </w:pPr>
            <w:r>
              <w:rPr/>
              <w:t>​</w:t>
            </w:r>
          </w:p>
        </w:tc>
        <w:tc>
          <w:tcPr>
            <w:tcW w:w="168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of public announced</w:t>
            </w:r>
          </w:p>
        </w:tc>
        <w:tc>
          <w:tcPr>
            <w:tcW w:w="109" w:type="dxa"/>
            <w:tcBorders/>
            <w:vAlign w:val="center"/>
          </w:tcPr>
          <w:p>
            <w:pPr>
              <w:pStyle w:val="TableContents"/>
              <w:bidi w:val="0"/>
              <w:spacing w:before="0" w:after="1"/>
              <w:ind w:left="0" w:right="0" w:hanging="0"/>
              <w:jc w:val="left"/>
              <w:rPr/>
            </w:pPr>
            <w:r>
              <w:rPr/>
              <w:t>​</w:t>
            </w:r>
          </w:p>
        </w:tc>
        <w:tc>
          <w:tcPr>
            <w:tcW w:w="216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plans or programs</w:t>
            </w:r>
          </w:p>
        </w:tc>
      </w:tr>
      <w:tr>
        <w:trPr/>
        <w:tc>
          <w:tcPr>
            <w:tcW w:w="127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Period</w:t>
            </w:r>
          </w:p>
        </w:tc>
        <w:tc>
          <w:tcPr>
            <w:tcW w:w="109" w:type="dxa"/>
            <w:tcBorders/>
            <w:vAlign w:val="center"/>
          </w:tcPr>
          <w:p>
            <w:pPr>
              <w:pStyle w:val="TableContents"/>
              <w:bidi w:val="0"/>
              <w:spacing w:before="0" w:after="1"/>
              <w:ind w:left="0" w:right="0" w:hanging="0"/>
              <w:jc w:val="left"/>
              <w:rPr/>
            </w:pPr>
            <w:r>
              <w:rPr/>
              <w:t>​</w:t>
            </w:r>
          </w:p>
        </w:tc>
        <w:tc>
          <w:tcPr>
            <w:tcW w:w="1426"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8"/>
              </w:rPr>
            </w:pPr>
            <w:r>
              <w:rPr>
                <w:rFonts w:ascii="Times New Roman;Times;serif" w:hAnsi="Times New Roman;Times;serif"/>
                <w:b/>
                <w:sz w:val="18"/>
              </w:rPr>
              <w:t xml:space="preserve">received </w:t>
            </w:r>
            <w:r>
              <w:rPr>
                <w:rFonts w:ascii="Times New Roman;Times;serif" w:hAnsi="Times New Roman;Times;serif"/>
                <w:b/>
                <w:sz w:val="14"/>
              </w:rPr>
              <w:t>(1)</w:t>
            </w:r>
          </w:p>
        </w:tc>
        <w:tc>
          <w:tcPr>
            <w:tcW w:w="109" w:type="dxa"/>
            <w:tcBorders/>
            <w:vAlign w:val="center"/>
          </w:tcPr>
          <w:p>
            <w:pPr>
              <w:pStyle w:val="TableContents"/>
              <w:bidi w:val="0"/>
              <w:spacing w:before="0" w:after="1"/>
              <w:ind w:left="0" w:right="0" w:hanging="0"/>
              <w:jc w:val="left"/>
              <w:rPr/>
            </w:pPr>
            <w:r>
              <w:rPr/>
              <w:t>​</w:t>
            </w:r>
          </w:p>
        </w:tc>
        <w:tc>
          <w:tcPr>
            <w:tcW w:w="1425"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8"/>
              </w:rPr>
            </w:pPr>
            <w:r>
              <w:rPr>
                <w:rFonts w:ascii="Times New Roman;Times;serif" w:hAnsi="Times New Roman;Times;serif"/>
                <w:b/>
                <w:sz w:val="18"/>
              </w:rPr>
              <w:t xml:space="preserve">paid per share </w:t>
            </w:r>
            <w:r>
              <w:rPr>
                <w:rFonts w:ascii="Times New Roman;Times;serif" w:hAnsi="Times New Roman;Times;serif"/>
                <w:b/>
                <w:sz w:val="14"/>
              </w:rPr>
              <w:t>(1)</w:t>
            </w:r>
          </w:p>
        </w:tc>
        <w:tc>
          <w:tcPr>
            <w:tcW w:w="109" w:type="dxa"/>
            <w:tcBorders/>
            <w:vAlign w:val="center"/>
          </w:tcPr>
          <w:p>
            <w:pPr>
              <w:pStyle w:val="TableContents"/>
              <w:bidi w:val="0"/>
              <w:spacing w:before="0" w:after="1"/>
              <w:ind w:left="0" w:right="0" w:hanging="0"/>
              <w:jc w:val="left"/>
              <w:rPr/>
            </w:pPr>
            <w:r>
              <w:rPr/>
              <w:t>​</w:t>
            </w:r>
          </w:p>
        </w:tc>
        <w:tc>
          <w:tcPr>
            <w:tcW w:w="16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plans or programs</w:t>
            </w:r>
          </w:p>
        </w:tc>
        <w:tc>
          <w:tcPr>
            <w:tcW w:w="109" w:type="dxa"/>
            <w:tcBorders/>
            <w:vAlign w:val="center"/>
          </w:tcPr>
          <w:p>
            <w:pPr>
              <w:pStyle w:val="TableContents"/>
              <w:bidi w:val="0"/>
              <w:spacing w:before="0" w:after="1"/>
              <w:ind w:left="0" w:right="0" w:hanging="0"/>
              <w:jc w:val="left"/>
              <w:rPr/>
            </w:pPr>
            <w:r>
              <w:rPr/>
              <w:t>​</w:t>
            </w:r>
          </w:p>
        </w:tc>
        <w:tc>
          <w:tcPr>
            <w:tcW w:w="21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(in thousands)</w:t>
            </w:r>
          </w:p>
        </w:tc>
      </w:tr>
      <w:tr>
        <w:trPr/>
        <w:tc>
          <w:tcPr>
            <w:tcW w:w="12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July 2025</w:t>
            </w:r>
          </w:p>
        </w:tc>
        <w:tc>
          <w:tcPr>
            <w:tcW w:w="109" w:type="dxa"/>
            <w:tcBorders/>
            <w:shd w:fill="CCEEFF" w:val="clear"/>
            <w:vAlign w:val="center"/>
          </w:tcPr>
          <w:p>
            <w:pPr>
              <w:pStyle w:val="TableContents"/>
              <w:bidi w:val="0"/>
              <w:spacing w:before="0" w:after="1"/>
              <w:ind w:left="0" w:right="0" w:hanging="0"/>
              <w:jc w:val="left"/>
              <w:rPr/>
            </w:pPr>
            <w:r>
              <w:rPr/>
              <w:t>​</w:t>
            </w:r>
          </w:p>
        </w:tc>
        <w:tc>
          <w:tcPr>
            <w:tcW w:w="14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5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7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68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5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506" w:type="dxa"/>
            <w:tcBorders/>
            <w:shd w:fill="CCEEFF" w:val="clear"/>
            <w:vAlign w:val="center"/>
          </w:tcPr>
          <w:p>
            <w:pPr>
              <w:pStyle w:val="TableContents"/>
              <w:bidi w:val="0"/>
              <w:spacing w:before="0" w:after="1"/>
              <w:ind w:left="0" w:right="0" w:hanging="0"/>
              <w:jc w:val="right"/>
              <w:rPr/>
            </w:pPr>
            <w:r>
              <w:rPr/>
              <w:t>—</w:t>
            </w:r>
          </w:p>
        </w:tc>
      </w:tr>
      <w:tr>
        <w:trPr/>
        <w:tc>
          <w:tcPr>
            <w:tcW w:w="12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August 2025</w:t>
            </w:r>
          </w:p>
        </w:tc>
        <w:tc>
          <w:tcPr>
            <w:tcW w:w="109" w:type="dxa"/>
            <w:tcBorders/>
            <w:vAlign w:val="center"/>
          </w:tcPr>
          <w:p>
            <w:pPr>
              <w:pStyle w:val="TableContents"/>
              <w:bidi w:val="0"/>
              <w:spacing w:before="0" w:after="1"/>
              <w:ind w:left="0" w:right="0" w:hanging="0"/>
              <w:jc w:val="left"/>
              <w:rPr/>
            </w:pPr>
            <w:r>
              <w:rPr/>
              <w:t>​</w:t>
            </w:r>
          </w:p>
        </w:tc>
        <w:tc>
          <w:tcPr>
            <w:tcW w:w="14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25,645</w:t>
            </w:r>
          </w:p>
        </w:tc>
        <w:tc>
          <w:tcPr>
            <w:tcW w:w="109" w:type="dxa"/>
            <w:tcBorders/>
            <w:vAlign w:val="center"/>
          </w:tcPr>
          <w:p>
            <w:pPr>
              <w:pStyle w:val="TableContents"/>
              <w:bidi w:val="0"/>
              <w:spacing w:before="0" w:after="1"/>
              <w:ind w:left="0" w:right="0" w:hanging="0"/>
              <w:jc w:val="left"/>
              <w:rPr/>
            </w:pPr>
            <w:r>
              <w:rPr/>
              <w:t>​</w:t>
            </w:r>
          </w:p>
        </w:tc>
        <w:tc>
          <w:tcPr>
            <w:tcW w:w="452" w:type="dxa"/>
            <w:tcBorders/>
            <w:vAlign w:val="center"/>
          </w:tcPr>
          <w:p>
            <w:pPr>
              <w:pStyle w:val="TableContents"/>
              <w:bidi w:val="0"/>
              <w:spacing w:before="0" w:after="1"/>
              <w:ind w:left="0" w:right="0" w:hanging="0"/>
              <w:jc w:val="left"/>
              <w:rPr/>
            </w:pPr>
            <w:r>
              <w:rPr/>
              <w:t>​</w:t>
            </w:r>
          </w:p>
        </w:tc>
        <w:tc>
          <w:tcPr>
            <w:tcW w:w="97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5.16</w:t>
            </w:r>
          </w:p>
        </w:tc>
        <w:tc>
          <w:tcPr>
            <w:tcW w:w="109" w:type="dxa"/>
            <w:tcBorders/>
            <w:vAlign w:val="center"/>
          </w:tcPr>
          <w:p>
            <w:pPr>
              <w:pStyle w:val="TableContents"/>
              <w:bidi w:val="0"/>
              <w:spacing w:before="0" w:after="1"/>
              <w:ind w:left="0" w:right="0" w:hanging="0"/>
              <w:jc w:val="left"/>
              <w:rPr/>
            </w:pPr>
            <w:r>
              <w:rPr/>
              <w:t>​</w:t>
            </w:r>
          </w:p>
        </w:tc>
        <w:tc>
          <w:tcPr>
            <w:tcW w:w="168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654" w:type="dxa"/>
            <w:tcBorders/>
            <w:vAlign w:val="center"/>
          </w:tcPr>
          <w:p>
            <w:pPr>
              <w:pStyle w:val="TableContents"/>
              <w:bidi w:val="0"/>
              <w:spacing w:before="0" w:after="1"/>
              <w:ind w:left="0" w:right="0" w:hanging="0"/>
              <w:jc w:val="left"/>
              <w:rPr/>
            </w:pPr>
            <w:r>
              <w:rPr/>
              <w:t>​</w:t>
            </w:r>
          </w:p>
        </w:tc>
        <w:tc>
          <w:tcPr>
            <w:tcW w:w="1506" w:type="dxa"/>
            <w:tcBorders/>
            <w:vAlign w:val="center"/>
          </w:tcPr>
          <w:p>
            <w:pPr>
              <w:pStyle w:val="TableContents"/>
              <w:bidi w:val="0"/>
              <w:spacing w:before="0" w:after="1"/>
              <w:ind w:left="0" w:right="0" w:hanging="0"/>
              <w:jc w:val="right"/>
              <w:rPr/>
            </w:pPr>
            <w:r>
              <w:rPr/>
              <w:t>—</w:t>
            </w:r>
          </w:p>
        </w:tc>
      </w:tr>
      <w:tr>
        <w:trPr/>
        <w:tc>
          <w:tcPr>
            <w:tcW w:w="12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September 2025</w:t>
            </w:r>
          </w:p>
        </w:tc>
        <w:tc>
          <w:tcPr>
            <w:tcW w:w="109" w:type="dxa"/>
            <w:tcBorders/>
            <w:shd w:fill="CCEEFF" w:val="clear"/>
            <w:vAlign w:val="center"/>
          </w:tcPr>
          <w:p>
            <w:pPr>
              <w:pStyle w:val="TableContents"/>
              <w:bidi w:val="0"/>
              <w:spacing w:before="0" w:after="1"/>
              <w:ind w:left="0" w:right="0" w:hanging="0"/>
              <w:jc w:val="left"/>
              <w:rPr/>
            </w:pPr>
            <w:r>
              <w:rPr/>
              <w:t>​</w:t>
            </w:r>
          </w:p>
        </w:tc>
        <w:tc>
          <w:tcPr>
            <w:tcW w:w="14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52" w:type="dxa"/>
            <w:tcBorders/>
            <w:shd w:fill="CCEEFF" w:val="clear"/>
            <w:vAlign w:val="center"/>
          </w:tcPr>
          <w:p>
            <w:pPr>
              <w:pStyle w:val="TableContents"/>
              <w:bidi w:val="0"/>
              <w:spacing w:before="0" w:after="1"/>
              <w:ind w:left="0" w:right="0" w:hanging="0"/>
              <w:jc w:val="left"/>
              <w:rPr/>
            </w:pPr>
            <w:r>
              <w:rPr/>
              <w:t>​</w:t>
            </w:r>
          </w:p>
        </w:tc>
        <w:tc>
          <w:tcPr>
            <w:tcW w:w="97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68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54" w:type="dxa"/>
            <w:tcBorders/>
            <w:shd w:fill="CCEEFF" w:val="clear"/>
            <w:vAlign w:val="center"/>
          </w:tcPr>
          <w:p>
            <w:pPr>
              <w:pStyle w:val="TableContents"/>
              <w:bidi w:val="0"/>
              <w:spacing w:before="0" w:after="1"/>
              <w:ind w:left="0" w:right="0" w:hanging="0"/>
              <w:jc w:val="left"/>
              <w:rPr/>
            </w:pPr>
            <w:r>
              <w:rPr/>
              <w:t>​</w:t>
            </w:r>
          </w:p>
        </w:tc>
        <w:tc>
          <w:tcPr>
            <w:tcW w:w="1506" w:type="dxa"/>
            <w:tcBorders/>
            <w:shd w:fill="CCEEFF" w:val="clear"/>
            <w:vAlign w:val="center"/>
          </w:tcPr>
          <w:p>
            <w:pPr>
              <w:pStyle w:val="TableContents"/>
              <w:bidi w:val="0"/>
              <w:spacing w:before="0" w:after="1"/>
              <w:ind w:left="0" w:right="60" w:hanging="0"/>
              <w:jc w:val="right"/>
              <w:rPr/>
            </w:pPr>
            <w:r>
              <w:rPr/>
              <w:t>—</w:t>
            </w:r>
          </w:p>
        </w:tc>
      </w:tr>
    </w:tbl>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rFonts w:ascii="Times New Roman;Times;serif" w:hAnsi="Times New Roman;Times;serif"/>
                <w:i/>
                <w:sz w:val="15"/>
              </w:rPr>
            </w:pPr>
            <w:r>
              <w:rPr>
                <w:rFonts w:ascii="Times New Roman;Times;serif" w:hAnsi="Times New Roman;Times;serif"/>
                <w:i/>
                <w:sz w:val="15"/>
              </w:rPr>
              <w:t>(1)</w:t>
            </w:r>
          </w:p>
        </w:tc>
        <w:tc>
          <w:tcPr>
            <w:tcW w:w="994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During the three months ended September 30, 2025, </w:t>
            </w:r>
            <w:r>
              <w:rPr>
                <w:rFonts w:ascii="Times New Roman;Times;serif" w:hAnsi="Times New Roman;Times;serif"/>
                <w:b w:val="false"/>
                <w:i w:val="false"/>
                <w:caps w:val="false"/>
                <w:smallCaps w:val="false"/>
                <w:sz w:val="20"/>
                <w:shd w:fill="FFFFFF" w:val="clear"/>
              </w:rPr>
              <w:t>all of the shares received were surrendered by employees in exchange for the payment of tax withholding upon the vesting of restricted stock awards.</w:t>
            </w:r>
          </w:p>
        </w:tc>
      </w:tr>
    </w:tbl>
    <w:p>
      <w:pPr>
        <w:pStyle w:val="TextBody"/>
        <w:bidi w:val="0"/>
        <w:spacing w:before="0" w:after="240"/>
        <w:ind w:left="360" w:right="0" w:hanging="0"/>
        <w:jc w:val="left"/>
        <w:rPr/>
      </w:pPr>
      <w:r>
        <w:rPr/>
        <w:t>​</w:t>
      </w:r>
    </w:p>
    <w:p>
      <w:pPr>
        <w:pStyle w:val="TextBody"/>
        <w:bidi w:val="0"/>
        <w:spacing w:before="0" w:after="240"/>
        <w:ind w:left="36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33" w:name="Item3DefaultsUponSeniorSecurities"/>
      <w:bookmarkStart w:id="1034" w:name="_ddefe94c_ae48_42e8_a8e7_b971feae7d97"/>
      <w:bookmarkEnd w:id="1033"/>
      <w:bookmarkEnd w:id="1034"/>
      <w:r>
        <w:rPr>
          <w:rFonts w:ascii="Times New Roman;Times;serif" w:hAnsi="Times New Roman;Times;serif"/>
          <w:b/>
          <w:sz w:val="20"/>
        </w:rPr>
        <w:t>Item 3. Defaults Upon Senior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1035" w:name="Item4MineSafetyDisclosures_798178"/>
      <w:bookmarkStart w:id="1036" w:name="MineSaftty"/>
      <w:bookmarkStart w:id="1037" w:name="_b1ef9f82_f8de_4526_a8fd_30680b7fb44b"/>
      <w:bookmarkEnd w:id="1035"/>
      <w:bookmarkEnd w:id="1036"/>
      <w:bookmarkEnd w:id="1037"/>
      <w:r>
        <w:rPr>
          <w:rFonts w:ascii="Times New Roman;Times;serif" w:hAnsi="Times New Roman;Times;serif"/>
          <w:b/>
          <w:sz w:val="20"/>
        </w:rPr>
        <w:t>Item 4. Mine Safety Disclosures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38" w:name="Item5OtherInformation"/>
      <w:bookmarkStart w:id="1039" w:name="_a994a8ef_f8b2_44dd_933d_10c2602de3cb"/>
      <w:bookmarkEnd w:id="1038"/>
      <w:bookmarkEnd w:id="1039"/>
      <w:r>
        <w:rPr>
          <w:rFonts w:ascii="Times New Roman;Times;serif" w:hAnsi="Times New Roman;Times;serif"/>
          <w:b/>
          <w:sz w:val="20"/>
        </w:rPr>
        <w:t>Item 5. Other Information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1040" w:name="Item6Exhibits"/>
      <w:bookmarkStart w:id="1041" w:name="_cc44334c_4a4d_4e8e_94dc_eed6f3a392e9"/>
      <w:bookmarkEnd w:id="1040"/>
      <w:bookmarkEnd w:id="1041"/>
      <w:r>
        <w:rPr>
          <w:rFonts w:ascii="Times New Roman;Times;serif" w:hAnsi="Times New Roman;Times;serif"/>
          <w:b/>
          <w:sz w:val="20"/>
        </w:rPr>
        <w:t>Item 6. Exhibits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documents are included as exhibits to the Quarterly Report on Form 10-Q. Those exhibits incorporated by reference are so indicated by the information supplied with respect thereto. Those exhibits which are not incorporated by reference are attached hereto.</w:t>
      </w:r>
    </w:p>
    <w:tbl>
      <w:tblPr>
        <w:tblW w:w="10205" w:type="dxa"/>
        <w:jc w:val="left"/>
        <w:tblInd w:w="0" w:type="dxa"/>
        <w:tblLayout w:type="fixed"/>
        <w:tblCellMar>
          <w:top w:w="0" w:type="dxa"/>
          <w:left w:w="0" w:type="dxa"/>
          <w:bottom w:w="0" w:type="dxa"/>
          <w:right w:w="0" w:type="dxa"/>
        </w:tblCellMar>
      </w:tblPr>
      <w:tblGrid>
        <w:gridCol w:w="767"/>
        <w:gridCol w:w="109"/>
        <w:gridCol w:w="9329"/>
      </w:tblGrid>
      <w:tr>
        <w:trPr/>
        <w:tc>
          <w:tcPr>
            <w:tcW w:w="767" w:type="dxa"/>
            <w:tcBorders/>
            <w:vAlign w:val="center"/>
          </w:tcPr>
          <w:p>
            <w:pPr>
              <w:pStyle w:val="TableHeading"/>
              <w:bidi w:val="0"/>
              <w:spacing w:before="0" w:after="30"/>
              <w:ind w:left="0" w:right="0" w:hanging="0"/>
              <w:jc w:val="center"/>
              <w:rPr/>
            </w:pPr>
            <w:r>
              <w:rPr/>
              <w:t>​</w:t>
            </w:r>
          </w:p>
        </w:tc>
        <w:tc>
          <w:tcPr>
            <w:tcW w:w="109" w:type="dxa"/>
            <w:tcBorders/>
            <w:vAlign w:val="center"/>
          </w:tcPr>
          <w:p>
            <w:pPr>
              <w:pStyle w:val="TableHeading"/>
              <w:bidi w:val="0"/>
              <w:spacing w:before="0" w:after="0"/>
              <w:ind w:left="0" w:right="0" w:hanging="0"/>
              <w:jc w:val="left"/>
              <w:rPr/>
            </w:pPr>
            <w:r>
              <w:rPr/>
              <w:t>​</w:t>
            </w:r>
          </w:p>
        </w:tc>
        <w:tc>
          <w:tcPr>
            <w:tcW w:w="9329" w:type="dxa"/>
            <w:tcBorders/>
            <w:vAlign w:val="center"/>
          </w:tcPr>
          <w:p>
            <w:pPr>
              <w:pStyle w:val="TableHeading"/>
              <w:bidi w:val="0"/>
              <w:spacing w:before="0" w:after="0"/>
              <w:ind w:left="0" w:right="0" w:hanging="0"/>
              <w:jc w:val="left"/>
              <w:rPr/>
            </w:pPr>
            <w:r>
              <w:rPr/>
              <w:t>​</w:t>
            </w:r>
          </w:p>
        </w:tc>
      </w:tr>
      <w:tr>
        <w:trPr/>
        <w:tc>
          <w:tcPr>
            <w:tcW w:w="767" w:type="dxa"/>
            <w:tcBorders/>
            <w:vAlign w:val="center"/>
          </w:tcPr>
          <w:p>
            <w:pPr>
              <w:pStyle w:val="TableHeading"/>
              <w:bidi w:val="0"/>
              <w:spacing w:before="0" w:after="30"/>
              <w:ind w:left="0" w:right="0" w:hanging="0"/>
              <w:jc w:val="center"/>
              <w:rPr/>
            </w:pPr>
            <w:r>
              <w:rPr/>
              <w:t>​</w:t>
            </w:r>
          </w:p>
        </w:tc>
        <w:tc>
          <w:tcPr>
            <w:tcW w:w="109" w:type="dxa"/>
            <w:tcBorders/>
            <w:vAlign w:val="center"/>
          </w:tcPr>
          <w:p>
            <w:pPr>
              <w:pStyle w:val="TableHeading"/>
              <w:bidi w:val="0"/>
              <w:spacing w:before="0" w:after="0"/>
              <w:ind w:left="0" w:right="0" w:hanging="0"/>
              <w:jc w:val="left"/>
              <w:rPr/>
            </w:pPr>
            <w:r>
              <w:rPr/>
              <w:t>​</w:t>
            </w:r>
          </w:p>
        </w:tc>
        <w:tc>
          <w:tcPr>
            <w:tcW w:w="9329" w:type="dxa"/>
            <w:tcBorders/>
            <w:vAlign w:val="center"/>
          </w:tcPr>
          <w:p>
            <w:pPr>
              <w:pStyle w:val="TableHeading"/>
              <w:bidi w:val="0"/>
              <w:spacing w:before="0" w:after="0"/>
              <w:ind w:left="0" w:right="0" w:hanging="0"/>
              <w:jc w:val="left"/>
              <w:rPr/>
            </w:pPr>
            <w:r>
              <w:rPr/>
              <w:t>​</w:t>
            </w:r>
          </w:p>
        </w:tc>
      </w:tr>
      <w:tr>
        <w:trPr/>
        <w:tc>
          <w:tcPr>
            <w:tcW w:w="767" w:type="dxa"/>
            <w:tcBorders/>
            <w:vAlign w:val="center"/>
          </w:tcPr>
          <w:p>
            <w:pPr>
              <w:pStyle w:val="TableHeading"/>
              <w:bidi w:val="0"/>
              <w:spacing w:before="0" w:after="30"/>
              <w:ind w:left="0" w:right="0" w:hanging="0"/>
              <w:jc w:val="center"/>
              <w:rPr/>
            </w:pPr>
            <w:r>
              <w:rPr/>
              <w:t>​</w:t>
            </w:r>
          </w:p>
        </w:tc>
        <w:tc>
          <w:tcPr>
            <w:tcW w:w="109" w:type="dxa"/>
            <w:tcBorders/>
            <w:vAlign w:val="center"/>
          </w:tcPr>
          <w:p>
            <w:pPr>
              <w:pStyle w:val="TableHeading"/>
              <w:bidi w:val="0"/>
              <w:spacing w:before="0" w:after="0"/>
              <w:ind w:left="0" w:right="0" w:hanging="0"/>
              <w:jc w:val="left"/>
              <w:rPr/>
            </w:pPr>
            <w:r>
              <w:rPr/>
              <w:t>​</w:t>
            </w:r>
          </w:p>
        </w:tc>
        <w:tc>
          <w:tcPr>
            <w:tcW w:w="9329" w:type="dxa"/>
            <w:tcBorders/>
            <w:vAlign w:val="center"/>
          </w:tcPr>
          <w:p>
            <w:pPr>
              <w:pStyle w:val="TableHeading"/>
              <w:bidi w:val="0"/>
              <w:spacing w:before="0" w:after="0"/>
              <w:ind w:left="0" w:right="0" w:hanging="0"/>
              <w:jc w:val="left"/>
              <w:rPr/>
            </w:pPr>
            <w:r>
              <w:rPr/>
              <w:t>​</w:t>
            </w:r>
          </w:p>
        </w:tc>
      </w:tr>
      <w:tr>
        <w:trPr/>
        <w:tc>
          <w:tcPr>
            <w:tcW w:w="767" w:type="dxa"/>
            <w:tcBorders/>
            <w:vAlign w:val="center"/>
          </w:tcPr>
          <w:p>
            <w:pPr>
              <w:pStyle w:val="TableHeading"/>
              <w:bidi w:val="0"/>
              <w:spacing w:before="0" w:after="30"/>
              <w:ind w:left="0" w:right="0" w:hanging="0"/>
              <w:jc w:val="center"/>
              <w:rPr/>
            </w:pPr>
            <w:r>
              <w:rPr/>
              <w:t>​</w:t>
            </w:r>
          </w:p>
        </w:tc>
        <w:tc>
          <w:tcPr>
            <w:tcW w:w="109" w:type="dxa"/>
            <w:tcBorders/>
            <w:vAlign w:val="center"/>
          </w:tcPr>
          <w:p>
            <w:pPr>
              <w:pStyle w:val="TableHeading"/>
              <w:bidi w:val="0"/>
              <w:spacing w:before="0" w:after="0"/>
              <w:ind w:left="0" w:right="0" w:hanging="0"/>
              <w:jc w:val="left"/>
              <w:rPr/>
            </w:pPr>
            <w:r>
              <w:rPr/>
              <w:t>​</w:t>
            </w:r>
          </w:p>
        </w:tc>
        <w:tc>
          <w:tcPr>
            <w:tcW w:w="9329" w:type="dxa"/>
            <w:tcBorders/>
            <w:vAlign w:val="center"/>
          </w:tcPr>
          <w:p>
            <w:pPr>
              <w:pStyle w:val="TableHeading"/>
              <w:bidi w:val="0"/>
              <w:spacing w:before="0" w:after="0"/>
              <w:ind w:left="0" w:right="0" w:hanging="0"/>
              <w:jc w:val="left"/>
              <w:rPr/>
            </w:pPr>
            <w:r>
              <w:rPr/>
              <w:t>​</w:t>
            </w:r>
          </w:p>
        </w:tc>
      </w:tr>
      <w:tr>
        <w:trPr/>
        <w:tc>
          <w:tcPr>
            <w:tcW w:w="767" w:type="dxa"/>
            <w:tcBorders/>
            <w:vAlign w:val="center"/>
          </w:tcPr>
          <w:p>
            <w:pPr>
              <w:pStyle w:val="TableHeading"/>
              <w:bidi w:val="0"/>
              <w:spacing w:before="0" w:after="30"/>
              <w:ind w:left="0" w:right="0" w:hanging="0"/>
              <w:jc w:val="center"/>
              <w:rPr/>
            </w:pPr>
            <w:r>
              <w:rPr/>
              <w:t>​</w:t>
            </w:r>
          </w:p>
        </w:tc>
        <w:tc>
          <w:tcPr>
            <w:tcW w:w="109" w:type="dxa"/>
            <w:tcBorders/>
            <w:vAlign w:val="center"/>
          </w:tcPr>
          <w:p>
            <w:pPr>
              <w:pStyle w:val="TableHeading"/>
              <w:bidi w:val="0"/>
              <w:spacing w:before="0" w:after="0"/>
              <w:ind w:left="0" w:right="0" w:hanging="0"/>
              <w:jc w:val="left"/>
              <w:rPr/>
            </w:pPr>
            <w:r>
              <w:rPr/>
              <w:t>​</w:t>
            </w:r>
          </w:p>
        </w:tc>
        <w:tc>
          <w:tcPr>
            <w:tcW w:w="9329" w:type="dxa"/>
            <w:tcBorders/>
            <w:vAlign w:val="center"/>
          </w:tcPr>
          <w:p>
            <w:pPr>
              <w:pStyle w:val="TableHeading"/>
              <w:bidi w:val="0"/>
              <w:spacing w:before="0" w:after="0"/>
              <w:ind w:left="0" w:right="0" w:hanging="0"/>
              <w:jc w:val="left"/>
              <w:rPr/>
            </w:pPr>
            <w:r>
              <w:rPr/>
              <w:t>​</w:t>
            </w:r>
          </w:p>
        </w:tc>
      </w:tr>
      <w:tr>
        <w:trPr/>
        <w:tc>
          <w:tcPr>
            <w:tcW w:w="767" w:type="dxa"/>
            <w:tcBorders/>
            <w:vAlign w:val="center"/>
          </w:tcPr>
          <w:p>
            <w:pPr>
              <w:pStyle w:val="TableHeading"/>
              <w:bidi w:val="0"/>
              <w:spacing w:before="0" w:after="30"/>
              <w:ind w:left="0" w:right="0" w:hanging="0"/>
              <w:jc w:val="center"/>
              <w:rPr/>
            </w:pPr>
            <w:r>
              <w:rPr/>
              <w:t>​</w:t>
            </w:r>
          </w:p>
        </w:tc>
        <w:tc>
          <w:tcPr>
            <w:tcW w:w="109" w:type="dxa"/>
            <w:tcBorders/>
            <w:vAlign w:val="center"/>
          </w:tcPr>
          <w:p>
            <w:pPr>
              <w:pStyle w:val="TableHeading"/>
              <w:bidi w:val="0"/>
              <w:spacing w:before="0" w:after="0"/>
              <w:ind w:left="0" w:right="0" w:hanging="0"/>
              <w:jc w:val="left"/>
              <w:rPr/>
            </w:pPr>
            <w:r>
              <w:rPr/>
              <w:t>​</w:t>
            </w:r>
          </w:p>
        </w:tc>
        <w:tc>
          <w:tcPr>
            <w:tcW w:w="9329" w:type="dxa"/>
            <w:tcBorders/>
            <w:vAlign w:val="center"/>
          </w:tcPr>
          <w:p>
            <w:pPr>
              <w:pStyle w:val="TableHeading"/>
              <w:bidi w:val="0"/>
              <w:spacing w:before="0" w:after="0"/>
              <w:ind w:left="0" w:right="0" w:hanging="0"/>
              <w:jc w:val="left"/>
              <w:rPr/>
            </w:pPr>
            <w:r>
              <w:rPr/>
              <w:t>​</w:t>
            </w:r>
          </w:p>
        </w:tc>
      </w:tr>
      <w:tr>
        <w:trPr/>
        <w:tc>
          <w:tcPr>
            <w:tcW w:w="767" w:type="dxa"/>
            <w:tcBorders/>
            <w:vAlign w:val="center"/>
          </w:tcPr>
          <w:p>
            <w:pPr>
              <w:pStyle w:val="TableHeading"/>
              <w:bidi w:val="0"/>
              <w:spacing w:before="0" w:after="30"/>
              <w:ind w:left="0" w:right="0" w:hanging="0"/>
              <w:jc w:val="center"/>
              <w:rPr/>
            </w:pPr>
            <w:r>
              <w:rPr/>
              <w:t>​</w:t>
            </w:r>
          </w:p>
        </w:tc>
        <w:tc>
          <w:tcPr>
            <w:tcW w:w="109" w:type="dxa"/>
            <w:tcBorders/>
            <w:vAlign w:val="center"/>
          </w:tcPr>
          <w:p>
            <w:pPr>
              <w:pStyle w:val="TableHeading"/>
              <w:bidi w:val="0"/>
              <w:spacing w:before="0" w:after="0"/>
              <w:ind w:left="0" w:right="0" w:hanging="0"/>
              <w:jc w:val="left"/>
              <w:rPr/>
            </w:pPr>
            <w:r>
              <w:rPr/>
              <w:t>​</w:t>
            </w:r>
          </w:p>
        </w:tc>
        <w:tc>
          <w:tcPr>
            <w:tcW w:w="9329" w:type="dxa"/>
            <w:tcBorders/>
            <w:vAlign w:val="center"/>
          </w:tcPr>
          <w:p>
            <w:pPr>
              <w:pStyle w:val="TableHeading"/>
              <w:bidi w:val="0"/>
              <w:spacing w:before="0" w:after="0"/>
              <w:ind w:left="0" w:right="0" w:hanging="0"/>
              <w:jc w:val="left"/>
              <w:rPr/>
            </w:pPr>
            <w:r>
              <w:rPr/>
              <w:t>​</w:t>
            </w:r>
          </w:p>
        </w:tc>
      </w:tr>
      <w:tr>
        <w:trPr/>
        <w:tc>
          <w:tcPr>
            <w:tcW w:w="767" w:type="dxa"/>
            <w:tcBorders/>
            <w:vAlign w:val="center"/>
          </w:tcPr>
          <w:p>
            <w:pPr>
              <w:pStyle w:val="TableHeading"/>
              <w:bidi w:val="0"/>
              <w:spacing w:before="0" w:after="30"/>
              <w:ind w:left="0" w:right="0" w:hanging="0"/>
              <w:jc w:val="center"/>
              <w:rPr/>
            </w:pPr>
            <w:r>
              <w:rPr/>
              <w:t>​</w:t>
            </w:r>
          </w:p>
        </w:tc>
        <w:tc>
          <w:tcPr>
            <w:tcW w:w="109" w:type="dxa"/>
            <w:tcBorders/>
            <w:vAlign w:val="center"/>
          </w:tcPr>
          <w:p>
            <w:pPr>
              <w:pStyle w:val="TableHeading"/>
              <w:bidi w:val="0"/>
              <w:spacing w:before="0" w:after="0"/>
              <w:ind w:left="0" w:right="0" w:hanging="0"/>
              <w:jc w:val="left"/>
              <w:rPr/>
            </w:pPr>
            <w:r>
              <w:rPr/>
              <w:t>​</w:t>
            </w:r>
          </w:p>
        </w:tc>
        <w:tc>
          <w:tcPr>
            <w:tcW w:w="9329" w:type="dxa"/>
            <w:tcBorders/>
            <w:vAlign w:val="center"/>
          </w:tcPr>
          <w:p>
            <w:pPr>
              <w:pStyle w:val="TableHeading"/>
              <w:bidi w:val="0"/>
              <w:spacing w:before="0" w:after="0"/>
              <w:ind w:left="0" w:right="0" w:hanging="0"/>
              <w:jc w:val="left"/>
              <w:rPr/>
            </w:pPr>
            <w:r>
              <w:rPr/>
              <w:t>​</w:t>
            </w:r>
          </w:p>
        </w:tc>
      </w:tr>
      <w:tr>
        <w:trPr/>
        <w:tc>
          <w:tcPr>
            <w:tcW w:w="767" w:type="dxa"/>
            <w:tcBorders/>
            <w:shd w:fill="CCEEFF" w:val="clear"/>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3.1</w:t>
            </w:r>
          </w:p>
        </w:tc>
        <w:tc>
          <w:tcPr>
            <w:tcW w:w="109" w:type="dxa"/>
            <w:tcBorders/>
            <w:shd w:fill="CCEEFF" w:val="clear"/>
            <w:vAlign w:val="center"/>
          </w:tcPr>
          <w:p>
            <w:pPr>
              <w:pStyle w:val="TableContents"/>
              <w:bidi w:val="0"/>
              <w:spacing w:before="0" w:after="0"/>
              <w:ind w:left="0" w:right="0" w:hanging="0"/>
              <w:jc w:val="left"/>
              <w:rPr/>
            </w:pPr>
            <w:r>
              <w:rPr/>
              <w:t>​</w:t>
            </w:r>
          </w:p>
        </w:tc>
        <w:tc>
          <w:tcPr>
            <w:tcW w:w="9329" w:type="dxa"/>
            <w:tcBorders/>
            <w:shd w:fill="CCEEFF" w:val="clear"/>
            <w:vAlign w:val="center"/>
          </w:tcPr>
          <w:p>
            <w:pPr>
              <w:pStyle w:val="TableContents"/>
              <w:bidi w:val="0"/>
              <w:spacing w:before="0" w:after="30"/>
              <w:ind w:left="0" w:right="0" w:hanging="0"/>
              <w:jc w:val="left"/>
              <w:rPr/>
            </w:pPr>
            <w:hyperlink r:id="rId3">
              <w:r>
                <w:rPr>
                  <w:rStyle w:val="InternetLink"/>
                  <w:rFonts w:ascii="Times New Roman;Times;serif" w:hAnsi="Times New Roman;Times;serif"/>
                  <w:b w:val="false"/>
                  <w:i w:val="false"/>
                  <w:caps w:val="false"/>
                  <w:smallCaps w:val="false"/>
                  <w:sz w:val="20"/>
                </w:rPr>
                <w:t>Restated Articles of Incorporation (incorporated by reference to Exhibit 3.1 of our Quarterly Report on Form 10-Q filed February 8, 2023).</w:t>
              </w:r>
            </w:hyperlink>
          </w:p>
        </w:tc>
      </w:tr>
      <w:tr>
        <w:trPr/>
        <w:tc>
          <w:tcPr>
            <w:tcW w:w="767"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3.3</w:t>
            </w:r>
          </w:p>
        </w:tc>
        <w:tc>
          <w:tcPr>
            <w:tcW w:w="109" w:type="dxa"/>
            <w:tcBorders/>
            <w:vAlign w:val="center"/>
          </w:tcPr>
          <w:p>
            <w:pPr>
              <w:pStyle w:val="TableContents"/>
              <w:bidi w:val="0"/>
              <w:spacing w:before="0" w:after="30"/>
              <w:ind w:left="0" w:right="0" w:hanging="0"/>
              <w:jc w:val="left"/>
              <w:rPr/>
            </w:pPr>
            <w:r>
              <w:rPr/>
              <w:t>​</w:t>
            </w:r>
          </w:p>
        </w:tc>
        <w:tc>
          <w:tcPr>
            <w:tcW w:w="9329" w:type="dxa"/>
            <w:tcBorders/>
            <w:vAlign w:val="center"/>
          </w:tcPr>
          <w:p>
            <w:pPr>
              <w:pStyle w:val="TableContents"/>
              <w:bidi w:val="0"/>
              <w:spacing w:before="0" w:after="30"/>
              <w:ind w:left="0" w:right="0" w:hanging="0"/>
              <w:jc w:val="left"/>
              <w:rPr/>
            </w:pPr>
            <w:hyperlink r:id="rId4">
              <w:r>
                <w:rPr>
                  <w:rStyle w:val="InternetLink"/>
                  <w:rFonts w:ascii="Times New Roman;Times;serif" w:hAnsi="Times New Roman;Times;serif"/>
                  <w:b w:val="false"/>
                  <w:i w:val="false"/>
                  <w:caps w:val="false"/>
                  <w:smallCaps w:val="false"/>
                  <w:sz w:val="20"/>
                </w:rPr>
                <w:t>Amended and Restated Bylaws (incorporated by reference to Exhibit 3.3 of our Annual Report on Form 10- filed September 13, 2023)</w:t>
              </w:r>
            </w:hyperlink>
          </w:p>
        </w:tc>
      </w:tr>
      <w:tr>
        <w:trPr/>
        <w:tc>
          <w:tcPr>
            <w:tcW w:w="767" w:type="dxa"/>
            <w:tcBorders/>
            <w:shd w:fill="CCEEFF" w:val="clear"/>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31.1**</w:t>
            </w:r>
          </w:p>
        </w:tc>
        <w:tc>
          <w:tcPr>
            <w:tcW w:w="109" w:type="dxa"/>
            <w:tcBorders/>
            <w:shd w:fill="CCEEFF" w:val="clear"/>
            <w:vAlign w:val="center"/>
          </w:tcPr>
          <w:p>
            <w:pPr>
              <w:pStyle w:val="TableContents"/>
              <w:bidi w:val="0"/>
              <w:spacing w:before="0" w:after="0"/>
              <w:ind w:left="0" w:right="0" w:hanging="0"/>
              <w:jc w:val="left"/>
              <w:rPr/>
            </w:pPr>
            <w:r>
              <w:rPr/>
              <w:t>​</w:t>
            </w:r>
          </w:p>
        </w:tc>
        <w:tc>
          <w:tcPr>
            <w:tcW w:w="9329" w:type="dxa"/>
            <w:tcBorders/>
            <w:shd w:fill="CCEEFF" w:val="clear"/>
            <w:vAlign w:val="center"/>
          </w:tcPr>
          <w:p>
            <w:pPr>
              <w:pStyle w:val="TableContents"/>
              <w:bidi w:val="0"/>
              <w:spacing w:before="0" w:after="30"/>
              <w:ind w:left="0" w:right="0" w:hanging="0"/>
              <w:jc w:val="left"/>
              <w:rPr/>
            </w:pPr>
            <w:hyperlink w:anchor="epm-20250930xex31d1.htm">
              <w:r>
                <w:rPr>
                  <w:rStyle w:val="InternetLink"/>
                  <w:rFonts w:ascii="Times New Roman;Times;serif" w:hAnsi="Times New Roman;Times;serif"/>
                  <w:b w:val="false"/>
                  <w:i w:val="false"/>
                  <w:caps w:val="false"/>
                  <w:smallCaps w:val="false"/>
                  <w:sz w:val="20"/>
                </w:rPr>
                <w:t>Certification of Principal Executive Officer Pursuant to Rule 15D-14 of the Securities Exchange Act of 1934, as Amended as Adopted Pursuant to Section 302 of the Sarbanes-Oxley Act of 2002</w:t>
              </w:r>
            </w:hyperlink>
          </w:p>
        </w:tc>
      </w:tr>
      <w:tr>
        <w:trPr/>
        <w:tc>
          <w:tcPr>
            <w:tcW w:w="767"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31.2**</w:t>
            </w:r>
          </w:p>
        </w:tc>
        <w:tc>
          <w:tcPr>
            <w:tcW w:w="109" w:type="dxa"/>
            <w:tcBorders/>
            <w:vAlign w:val="center"/>
          </w:tcPr>
          <w:p>
            <w:pPr>
              <w:pStyle w:val="TableContents"/>
              <w:bidi w:val="0"/>
              <w:spacing w:before="0" w:after="0"/>
              <w:ind w:left="0" w:right="0" w:hanging="0"/>
              <w:jc w:val="left"/>
              <w:rPr/>
            </w:pPr>
            <w:r>
              <w:rPr/>
              <w:t>​</w:t>
            </w:r>
          </w:p>
        </w:tc>
        <w:tc>
          <w:tcPr>
            <w:tcW w:w="9329" w:type="dxa"/>
            <w:tcBorders/>
            <w:vAlign w:val="center"/>
          </w:tcPr>
          <w:p>
            <w:pPr>
              <w:pStyle w:val="TableContents"/>
              <w:bidi w:val="0"/>
              <w:spacing w:before="0" w:after="30"/>
              <w:ind w:left="0" w:right="0" w:hanging="0"/>
              <w:jc w:val="left"/>
              <w:rPr/>
            </w:pPr>
            <w:hyperlink w:anchor="epm-20250930xex31d2.htm">
              <w:r>
                <w:rPr>
                  <w:rStyle w:val="InternetLink"/>
                  <w:rFonts w:ascii="Times New Roman;Times;serif" w:hAnsi="Times New Roman;Times;serif"/>
                  <w:b w:val="false"/>
                  <w:i w:val="false"/>
                  <w:caps w:val="false"/>
                  <w:smallCaps w:val="false"/>
                  <w:sz w:val="20"/>
                </w:rPr>
                <w:t>Certification of Principal Financial Officer Pursuant to Rule 15D-14 of the Securities Exchange Act of 1934, as Amended as Adopted Pursuant to Section 302 of the Sarbanes-Oxley Act of 2002</w:t>
              </w:r>
            </w:hyperlink>
          </w:p>
        </w:tc>
      </w:tr>
      <w:tr>
        <w:trPr/>
        <w:tc>
          <w:tcPr>
            <w:tcW w:w="767" w:type="dxa"/>
            <w:tcBorders/>
            <w:shd w:fill="CCEEFF" w:val="clear"/>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32.1**</w:t>
            </w:r>
          </w:p>
        </w:tc>
        <w:tc>
          <w:tcPr>
            <w:tcW w:w="109" w:type="dxa"/>
            <w:tcBorders/>
            <w:shd w:fill="CCEEFF" w:val="clear"/>
            <w:vAlign w:val="center"/>
          </w:tcPr>
          <w:p>
            <w:pPr>
              <w:pStyle w:val="TableContents"/>
              <w:bidi w:val="0"/>
              <w:spacing w:before="0" w:after="0"/>
              <w:ind w:left="0" w:right="0" w:hanging="0"/>
              <w:jc w:val="left"/>
              <w:rPr/>
            </w:pPr>
            <w:r>
              <w:rPr/>
              <w:t>​</w:t>
            </w:r>
          </w:p>
        </w:tc>
        <w:tc>
          <w:tcPr>
            <w:tcW w:w="9329" w:type="dxa"/>
            <w:tcBorders/>
            <w:shd w:fill="CCEEFF" w:val="clear"/>
            <w:vAlign w:val="center"/>
          </w:tcPr>
          <w:p>
            <w:pPr>
              <w:pStyle w:val="TableContents"/>
              <w:bidi w:val="0"/>
              <w:spacing w:before="0" w:after="30"/>
              <w:ind w:left="0" w:right="0" w:hanging="0"/>
              <w:jc w:val="left"/>
              <w:rPr/>
            </w:pPr>
            <w:hyperlink w:anchor="epm-20250930xex32d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w:t>
              </w:r>
            </w:hyperlink>
          </w:p>
        </w:tc>
      </w:tr>
      <w:tr>
        <w:trPr/>
        <w:tc>
          <w:tcPr>
            <w:tcW w:w="767"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32.2**</w:t>
            </w:r>
          </w:p>
        </w:tc>
        <w:tc>
          <w:tcPr>
            <w:tcW w:w="109" w:type="dxa"/>
            <w:tcBorders/>
            <w:vAlign w:val="center"/>
          </w:tcPr>
          <w:p>
            <w:pPr>
              <w:pStyle w:val="TableContents"/>
              <w:bidi w:val="0"/>
              <w:spacing w:before="0" w:after="0"/>
              <w:ind w:left="0" w:right="0" w:hanging="0"/>
              <w:jc w:val="left"/>
              <w:rPr/>
            </w:pPr>
            <w:r>
              <w:rPr/>
              <w:t>​</w:t>
            </w:r>
          </w:p>
        </w:tc>
        <w:tc>
          <w:tcPr>
            <w:tcW w:w="9329" w:type="dxa"/>
            <w:tcBorders/>
            <w:vAlign w:val="center"/>
          </w:tcPr>
          <w:p>
            <w:pPr>
              <w:pStyle w:val="TableContents"/>
              <w:bidi w:val="0"/>
              <w:spacing w:before="0" w:after="30"/>
              <w:ind w:left="0" w:right="0" w:hanging="0"/>
              <w:jc w:val="left"/>
              <w:rPr/>
            </w:pPr>
            <w:hyperlink w:anchor="epm-20250930xex32d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w:t>
              </w:r>
            </w:hyperlink>
          </w:p>
        </w:tc>
      </w:tr>
      <w:tr>
        <w:trPr/>
        <w:tc>
          <w:tcPr>
            <w:tcW w:w="767" w:type="dxa"/>
            <w:tcBorders/>
            <w:shd w:fill="CCEEFF" w:val="clear"/>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101.INS*</w:t>
            </w:r>
          </w:p>
        </w:tc>
        <w:tc>
          <w:tcPr>
            <w:tcW w:w="109" w:type="dxa"/>
            <w:tcBorders/>
            <w:shd w:fill="CCEEFF" w:val="clear"/>
            <w:vAlign w:val="center"/>
          </w:tcPr>
          <w:p>
            <w:pPr>
              <w:pStyle w:val="TableContents"/>
              <w:bidi w:val="0"/>
              <w:spacing w:before="0" w:after="0"/>
              <w:ind w:left="0" w:right="0" w:hanging="0"/>
              <w:jc w:val="left"/>
              <w:rPr/>
            </w:pPr>
            <w:r>
              <w:rPr/>
              <w:t>​</w:t>
            </w:r>
          </w:p>
        </w:tc>
        <w:tc>
          <w:tcPr>
            <w:tcW w:w="9329" w:type="dxa"/>
            <w:tcBorders/>
            <w:shd w:fill="CCEEFF" w:val="clear"/>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Instance Document</w:t>
            </w:r>
          </w:p>
        </w:tc>
      </w:tr>
      <w:tr>
        <w:trPr/>
        <w:tc>
          <w:tcPr>
            <w:tcW w:w="767"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101.SCH*</w:t>
            </w:r>
          </w:p>
        </w:tc>
        <w:tc>
          <w:tcPr>
            <w:tcW w:w="109" w:type="dxa"/>
            <w:tcBorders/>
            <w:vAlign w:val="center"/>
          </w:tcPr>
          <w:p>
            <w:pPr>
              <w:pStyle w:val="TableContents"/>
              <w:bidi w:val="0"/>
              <w:spacing w:before="0" w:after="0"/>
              <w:ind w:left="0" w:right="0" w:hanging="0"/>
              <w:jc w:val="left"/>
              <w:rPr/>
            </w:pPr>
            <w:r>
              <w:rPr/>
              <w:t>​</w:t>
            </w:r>
          </w:p>
        </w:tc>
        <w:tc>
          <w:tcPr>
            <w:tcW w:w="9329"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767" w:type="dxa"/>
            <w:tcBorders/>
            <w:shd w:fill="CCEEFF" w:val="clear"/>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101.CAL*</w:t>
            </w:r>
          </w:p>
        </w:tc>
        <w:tc>
          <w:tcPr>
            <w:tcW w:w="109" w:type="dxa"/>
            <w:tcBorders/>
            <w:shd w:fill="CCEEFF" w:val="clear"/>
            <w:vAlign w:val="center"/>
          </w:tcPr>
          <w:p>
            <w:pPr>
              <w:pStyle w:val="TableContents"/>
              <w:bidi w:val="0"/>
              <w:spacing w:before="0" w:after="0"/>
              <w:ind w:left="0" w:right="0" w:hanging="0"/>
              <w:jc w:val="left"/>
              <w:rPr/>
            </w:pPr>
            <w:r>
              <w:rPr/>
              <w:t>​</w:t>
            </w:r>
          </w:p>
        </w:tc>
        <w:tc>
          <w:tcPr>
            <w:tcW w:w="9329" w:type="dxa"/>
            <w:tcBorders/>
            <w:shd w:fill="CCEEFF" w:val="clear"/>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767"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101.DEF*</w:t>
            </w:r>
          </w:p>
        </w:tc>
        <w:tc>
          <w:tcPr>
            <w:tcW w:w="109" w:type="dxa"/>
            <w:tcBorders/>
            <w:vAlign w:val="center"/>
          </w:tcPr>
          <w:p>
            <w:pPr>
              <w:pStyle w:val="TableContents"/>
              <w:bidi w:val="0"/>
              <w:spacing w:before="0" w:after="0"/>
              <w:ind w:left="0" w:right="0" w:hanging="0"/>
              <w:jc w:val="left"/>
              <w:rPr/>
            </w:pPr>
            <w:r>
              <w:rPr/>
              <w:t>​</w:t>
            </w:r>
          </w:p>
        </w:tc>
        <w:tc>
          <w:tcPr>
            <w:tcW w:w="9329"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767" w:type="dxa"/>
            <w:tcBorders/>
            <w:shd w:fill="CCEEFF" w:val="clear"/>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101.LAB*</w:t>
            </w:r>
          </w:p>
        </w:tc>
        <w:tc>
          <w:tcPr>
            <w:tcW w:w="109" w:type="dxa"/>
            <w:tcBorders/>
            <w:shd w:fill="CCEEFF" w:val="clear"/>
            <w:vAlign w:val="center"/>
          </w:tcPr>
          <w:p>
            <w:pPr>
              <w:pStyle w:val="TableContents"/>
              <w:bidi w:val="0"/>
              <w:spacing w:before="0" w:after="0"/>
              <w:ind w:left="0" w:right="0" w:hanging="0"/>
              <w:jc w:val="left"/>
              <w:rPr/>
            </w:pPr>
            <w:r>
              <w:rPr/>
              <w:t>​</w:t>
            </w:r>
          </w:p>
        </w:tc>
        <w:tc>
          <w:tcPr>
            <w:tcW w:w="9329" w:type="dxa"/>
            <w:tcBorders/>
            <w:shd w:fill="CCEEFF" w:val="clear"/>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767"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101.PRE*</w:t>
            </w:r>
          </w:p>
        </w:tc>
        <w:tc>
          <w:tcPr>
            <w:tcW w:w="109" w:type="dxa"/>
            <w:tcBorders/>
            <w:vAlign w:val="center"/>
          </w:tcPr>
          <w:p>
            <w:pPr>
              <w:pStyle w:val="TableContents"/>
              <w:bidi w:val="0"/>
              <w:spacing w:before="0" w:after="0"/>
              <w:ind w:left="0" w:right="0" w:hanging="0"/>
              <w:jc w:val="left"/>
              <w:rPr/>
            </w:pPr>
            <w:r>
              <w:rPr/>
              <w:t>​</w:t>
            </w:r>
          </w:p>
        </w:tc>
        <w:tc>
          <w:tcPr>
            <w:tcW w:w="9329"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767" w:type="dxa"/>
            <w:tcBorders/>
            <w:shd w:fill="CCEEFF" w:val="clear"/>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104*</w:t>
            </w:r>
          </w:p>
        </w:tc>
        <w:tc>
          <w:tcPr>
            <w:tcW w:w="109" w:type="dxa"/>
            <w:tcBorders/>
            <w:shd w:fill="CCEEFF" w:val="clear"/>
            <w:vAlign w:val="center"/>
          </w:tcPr>
          <w:p>
            <w:pPr>
              <w:pStyle w:val="TableContents"/>
              <w:bidi w:val="0"/>
              <w:spacing w:before="0" w:after="0"/>
              <w:ind w:left="0" w:right="0" w:hanging="0"/>
              <w:jc w:val="left"/>
              <w:rPr/>
            </w:pPr>
            <w:r>
              <w:rPr/>
              <w:t>​</w:t>
            </w:r>
          </w:p>
        </w:tc>
        <w:tc>
          <w:tcPr>
            <w:tcW w:w="9329" w:type="dxa"/>
            <w:tcBorders/>
            <w:shd w:fill="CCEEFF" w:val="clear"/>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 Attached hereto.</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 Furnished herewith.</w:t>
      </w:r>
    </w:p>
    <w:p>
      <w:pPr>
        <w:pStyle w:val="TextBody"/>
        <w:bidi w:val="0"/>
        <w:spacing w:before="0" w:after="240"/>
        <w:ind w:left="0" w:right="0" w:hanging="0"/>
        <w:jc w:val="left"/>
        <w:rPr/>
      </w:pPr>
      <w:r>
        <w:rPr/>
        <w:t>​</w:t>
      </w:r>
    </w:p>
    <w:p>
      <w:pPr>
        <w:pStyle w:val="TextBody"/>
        <w:bidi w:val="0"/>
        <w:spacing w:before="0" w:after="240"/>
        <w:ind w:left="0" w:right="0" w:hanging="0"/>
        <w:jc w:val="center"/>
        <w:rPr/>
      </w:pPr>
      <w:bookmarkStart w:id="1042" w:name="_b6624a76_9ef5_4117_a221_8c6b3cd76b58"/>
      <w:bookmarkEnd w:id="1042"/>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043" w:name="SIGNATURES_679961"/>
      <w:bookmarkEnd w:id="1043"/>
      <w:r>
        <w:rPr>
          <w:rFonts w:ascii="Times New Roman;Times;serif" w:hAnsi="Times New Roman;Times;serif"/>
          <w:b/>
          <w:sz w:val="20"/>
        </w:rPr>
        <w:t>SIGNATURES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10205" w:type="dxa"/>
        <w:jc w:val="left"/>
        <w:tblInd w:w="0" w:type="dxa"/>
        <w:tblLayout w:type="fixed"/>
        <w:tblCellMar>
          <w:top w:w="0" w:type="dxa"/>
          <w:left w:w="0" w:type="dxa"/>
          <w:bottom w:w="0" w:type="dxa"/>
          <w:right w:w="0" w:type="dxa"/>
        </w:tblCellMar>
      </w:tblPr>
      <w:tblGrid>
        <w:gridCol w:w="2091"/>
        <w:gridCol w:w="326"/>
        <w:gridCol w:w="401"/>
        <w:gridCol w:w="7387"/>
      </w:tblGrid>
      <w:tr>
        <w:trPr/>
        <w:tc>
          <w:tcPr>
            <w:tcW w:w="2091" w:type="dxa"/>
            <w:tcBorders/>
            <w:vAlign w:val="center"/>
          </w:tcPr>
          <w:p>
            <w:pPr>
              <w:pStyle w:val="TableContents"/>
              <w:bidi w:val="0"/>
              <w:spacing w:before="0" w:after="3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7788" w:type="dxa"/>
            <w:gridSpan w:val="2"/>
            <w:tcBorders/>
            <w:vAlign w:val="center"/>
          </w:tcPr>
          <w:p>
            <w:pPr>
              <w:pStyle w:val="TableContents"/>
              <w:bidi w:val="0"/>
              <w:spacing w:before="0" w:after="30"/>
              <w:ind w:left="0" w:right="0" w:hanging="0"/>
              <w:jc w:val="left"/>
              <w:rPr>
                <w:rFonts w:ascii="Times New Roman;Times;serif" w:hAnsi="Times New Roman;Times;serif"/>
                <w:b/>
                <w:sz w:val="20"/>
              </w:rPr>
            </w:pPr>
            <w:r>
              <w:rPr>
                <w:rFonts w:ascii="Times New Roman;Times;serif" w:hAnsi="Times New Roman;Times;serif"/>
                <w:b/>
                <w:sz w:val="20"/>
              </w:rPr>
              <w:t>Evolution Petroleum Corporation</w:t>
            </w:r>
          </w:p>
        </w:tc>
      </w:tr>
      <w:tr>
        <w:trPr/>
        <w:tc>
          <w:tcPr>
            <w:tcW w:w="2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12, 2025</w:t>
            </w:r>
          </w:p>
        </w:tc>
        <w:tc>
          <w:tcPr>
            <w:tcW w:w="326" w:type="dxa"/>
            <w:tcBorders/>
            <w:vAlign w:val="center"/>
          </w:tcPr>
          <w:p>
            <w:pPr>
              <w:pStyle w:val="TableContents"/>
              <w:bidi w:val="0"/>
              <w:spacing w:before="0" w:after="0"/>
              <w:ind w:left="0" w:right="0" w:hanging="0"/>
              <w:jc w:val="center"/>
              <w:rPr/>
            </w:pPr>
            <w:r>
              <w:rPr/>
              <w:t>​</w:t>
            </w:r>
          </w:p>
        </w:tc>
        <w:tc>
          <w:tcPr>
            <w:tcW w:w="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7387"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KELLY W. LOYD</w:t>
            </w:r>
          </w:p>
        </w:tc>
      </w:tr>
      <w:tr>
        <w:trPr/>
        <w:tc>
          <w:tcPr>
            <w:tcW w:w="2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01" w:type="dxa"/>
            <w:tcBorders/>
            <w:vAlign w:val="center"/>
          </w:tcPr>
          <w:p>
            <w:pPr>
              <w:pStyle w:val="TableContents"/>
              <w:bidi w:val="0"/>
              <w:spacing w:before="0" w:after="0"/>
              <w:ind w:left="0" w:right="0" w:hanging="0"/>
              <w:jc w:val="left"/>
              <w:rPr/>
            </w:pPr>
            <w:r>
              <w:rPr/>
              <w:t>​</w:t>
            </w:r>
          </w:p>
        </w:tc>
        <w:tc>
          <w:tcPr>
            <w:tcW w:w="7387"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Kelly W. Loyd</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i/>
                <w:sz w:val="20"/>
              </w:rPr>
              <w:t>President and Chief Executive Officer (Principal Executive Officer) and Director</w:t>
            </w:r>
            <w:r>
              <w:rPr>
                <w:rFonts w:ascii="Times New Roman;Times;serif" w:hAnsi="Times New Roman;Times;serif"/>
                <w:sz w:val="20"/>
              </w:rPr>
              <w:br/>
              <w:t>​</w:t>
            </w:r>
          </w:p>
          <w:p>
            <w:pPr>
              <w:pStyle w:val="TableContents"/>
              <w:bidi w:val="0"/>
              <w:spacing w:before="0" w:after="0"/>
              <w:ind w:left="0" w:right="0" w:hanging="0"/>
              <w:jc w:val="center"/>
              <w:rPr/>
            </w:pPr>
            <w:r>
              <w:rPr/>
              <w:t>​</w:t>
            </w:r>
          </w:p>
        </w:tc>
      </w:tr>
      <w:tr>
        <w:trPr/>
        <w:tc>
          <w:tcPr>
            <w:tcW w:w="2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738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RYAN STASH</w:t>
            </w:r>
          </w:p>
        </w:tc>
      </w:tr>
      <w:tr>
        <w:trPr/>
        <w:tc>
          <w:tcPr>
            <w:tcW w:w="2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01" w:type="dxa"/>
            <w:tcBorders/>
            <w:vAlign w:val="center"/>
          </w:tcPr>
          <w:p>
            <w:pPr>
              <w:pStyle w:val="TableContents"/>
              <w:bidi w:val="0"/>
              <w:spacing w:before="0" w:after="0"/>
              <w:ind w:left="0" w:right="0" w:hanging="0"/>
              <w:jc w:val="left"/>
              <w:rPr/>
            </w:pPr>
            <w:r>
              <w:rPr/>
              <w:t>​</w:t>
            </w:r>
          </w:p>
        </w:tc>
        <w:tc>
          <w:tcPr>
            <w:tcW w:w="7387"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Ryan Stash</w:t>
            </w:r>
          </w:p>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Senior Vice President and Chief Financial Officer (Principal Financial Officer) and Treasurer</w:t>
            </w:r>
          </w:p>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240"/>
        <w:ind w:left="0" w:right="0" w:hanging="0"/>
        <w:jc w:val="right"/>
        <w:rPr>
          <w:rFonts w:ascii="Times New Roman;Times;serif" w:hAnsi="Times New Roman;Times;serif"/>
          <w:b/>
          <w:sz w:val="20"/>
        </w:rPr>
      </w:pPr>
      <w:bookmarkStart w:id="1044" w:name="epm-20250930xex31d1.htm"/>
      <w:bookmarkStart w:id="1045" w:name="ksepm20250930xex31d1"/>
      <w:bookmarkEnd w:id="1044"/>
      <w:bookmarkEnd w:id="1045"/>
      <w:r>
        <w:rPr>
          <w:rFonts w:ascii="Times New Roman;Times;serif" w:hAnsi="Times New Roman;Times;serif"/>
          <w:b/>
          <w:sz w:val="20"/>
        </w:rPr>
        <w:t>EXHIBIT 31.1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Kelly W. Loyd, President and Chief Executive Officer (Principal Executive Officer) and Director, of Evolution Petroleum Corporation, certify that:</w:t>
      </w:r>
    </w:p>
    <w:tbl>
      <w:tblPr>
        <w:tblW w:w="7353" w:type="dxa"/>
        <w:jc w:val="left"/>
        <w:tblInd w:w="0" w:type="dxa"/>
        <w:tblLayout w:type="fixed"/>
        <w:tblCellMar>
          <w:top w:w="0" w:type="dxa"/>
          <w:left w:w="0" w:type="dxa"/>
          <w:bottom w:w="0" w:type="dxa"/>
          <w:right w:w="0" w:type="dxa"/>
        </w:tblCellMar>
      </w:tblPr>
      <w:tblGrid>
        <w:gridCol w:w="23"/>
        <w:gridCol w:w="170"/>
        <w:gridCol w:w="71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Evolution Petroleum Corporation;</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pBdr/>
        <w:bidi w:val="0"/>
        <w:spacing w:before="0" w:after="0"/>
        <w:ind w:left="0" w:right="0" w:hanging="0"/>
        <w:jc w:val="left"/>
        <w:rPr/>
      </w:pPr>
      <w:r>
        <w:rPr/>
        <w:t>​</w:t>
      </w:r>
    </w:p>
    <w:tbl>
      <w:tblPr>
        <w:tblW w:w="9047" w:type="dxa"/>
        <w:jc w:val="center"/>
        <w:tblInd w:w="0" w:type="dxa"/>
        <w:tblLayout w:type="fixed"/>
        <w:tblCellMar>
          <w:top w:w="0" w:type="dxa"/>
          <w:left w:w="0" w:type="dxa"/>
          <w:bottom w:w="0" w:type="dxa"/>
          <w:right w:w="0" w:type="dxa"/>
        </w:tblCellMar>
      </w:tblPr>
      <w:tblGrid>
        <w:gridCol w:w="2311"/>
        <w:gridCol w:w="673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467485" cy="175260"/>
                      <wp:effectExtent l="0" t="0" r="0" b="0"/>
                      <wp:wrapNone/>
                      <wp:docPr id="276" name="Frame275"/>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4277360" cy="175260"/>
                      <wp:effectExtent l="0" t="0" r="0" b="0"/>
                      <wp:wrapNone/>
                      <wp:docPr id="277" name="Frame276"/>
                      <a:graphic xmlns:a="http://schemas.openxmlformats.org/drawingml/2006/main">
                        <a:graphicData uri="http://schemas.microsoft.com/office/word/2010/wordprocessingShape">
                          <wps:wsp>
                            <wps:cNvSpPr txBox="1"/>
                            <wps:spPr>
                              <a:xfrm>
                                <a:off x="0" y="0"/>
                                <a:ext cx="427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November 12, 2025</w:t>
            </w:r>
          </w:p>
        </w:tc>
        <w:tc>
          <w:tcPr>
            <w:tcW w:w="67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 KELLY W. LOYD </w:t>
            </w:r>
          </w:p>
        </w:tc>
      </w:tr>
      <w:tr>
        <w:trPr/>
        <w:tc>
          <w:tcPr>
            <w:tcW w:w="2311" w:type="dxa"/>
            <w:tcBorders/>
            <w:vAlign w:val="center"/>
          </w:tcPr>
          <w:p>
            <w:pPr>
              <w:pStyle w:val="TableContents"/>
              <w:bidi w:val="0"/>
              <w:spacing w:before="0" w:after="0"/>
              <w:ind w:left="0" w:right="0" w:hanging="0"/>
              <w:jc w:val="left"/>
              <w:rPr/>
            </w:pPr>
            <w:r>
              <w:rPr/>
              <w:t>​</w:t>
            </w:r>
          </w:p>
        </w:tc>
        <w:tc>
          <w:tcPr>
            <w:tcW w:w="673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Kelly W. Loyd</w:t>
            </w:r>
          </w:p>
        </w:tc>
      </w:tr>
      <w:tr>
        <w:trPr/>
        <w:tc>
          <w:tcPr>
            <w:tcW w:w="2311" w:type="dxa"/>
            <w:tcBorders/>
            <w:vAlign w:val="center"/>
          </w:tcPr>
          <w:p>
            <w:pPr>
              <w:pStyle w:val="TableContents"/>
              <w:bidi w:val="0"/>
              <w:spacing w:before="0" w:after="0"/>
              <w:ind w:left="0" w:right="0" w:hanging="0"/>
              <w:jc w:val="left"/>
              <w:rPr/>
            </w:pPr>
            <w:r>
              <w:rPr/>
              <w:t>​</w:t>
            </w:r>
          </w:p>
        </w:tc>
        <w:tc>
          <w:tcPr>
            <w:tcW w:w="673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President and Chief Executive Officer (Principal Executive Officer) and Director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046" w:name="epm-20250930xex31d2.htm"/>
      <w:bookmarkStart w:id="1047" w:name="ksepm20250930xex31d2"/>
      <w:bookmarkEnd w:id="1046"/>
      <w:bookmarkEnd w:id="1047"/>
      <w:r>
        <w:rPr>
          <w:rFonts w:ascii="Times New Roman;Times;serif" w:hAnsi="Times New Roman;Times;serif"/>
          <w:b/>
          <w:sz w:val="20"/>
        </w:rPr>
        <w:t>EXHIBIT 31.2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Ryan Stash, Senior Vice President, Chief Financial Officer (Principal Financial Officer) and Treasurer of Evolution Petroleum Corporation, certify that:</w:t>
      </w:r>
    </w:p>
    <w:tbl>
      <w:tblPr>
        <w:tblW w:w="7353" w:type="dxa"/>
        <w:jc w:val="left"/>
        <w:tblInd w:w="0" w:type="dxa"/>
        <w:tblLayout w:type="fixed"/>
        <w:tblCellMar>
          <w:top w:w="0" w:type="dxa"/>
          <w:left w:w="0" w:type="dxa"/>
          <w:bottom w:w="0" w:type="dxa"/>
          <w:right w:w="0" w:type="dxa"/>
        </w:tblCellMar>
      </w:tblPr>
      <w:tblGrid>
        <w:gridCol w:w="23"/>
        <w:gridCol w:w="170"/>
        <w:gridCol w:w="71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Evolution Petroleum Corporation;</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20"/>
        <w:ind w:left="0" w:right="0" w:hanging="0"/>
        <w:jc w:val="left"/>
        <w:rPr/>
      </w:pPr>
      <w:r>
        <w:rPr/>
        <w:t>​</w:t>
      </w:r>
    </w:p>
    <w:tbl>
      <w:tblPr>
        <w:tblW w:w="9857" w:type="dxa"/>
        <w:jc w:val="center"/>
        <w:tblInd w:w="0" w:type="dxa"/>
        <w:tblLayout w:type="fixed"/>
        <w:tblCellMar>
          <w:top w:w="0" w:type="dxa"/>
          <w:left w:w="0" w:type="dxa"/>
          <w:bottom w:w="0" w:type="dxa"/>
          <w:right w:w="0" w:type="dxa"/>
        </w:tblCellMar>
      </w:tblPr>
      <w:tblGrid>
        <w:gridCol w:w="2311"/>
        <w:gridCol w:w="754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1467485" cy="175260"/>
                      <wp:effectExtent l="0" t="0" r="0" b="0"/>
                      <wp:wrapNone/>
                      <wp:docPr id="278" name="Frame277"/>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4791710" cy="175260"/>
                      <wp:effectExtent l="0" t="0" r="0" b="0"/>
                      <wp:wrapNone/>
                      <wp:docPr id="279" name="Frame278"/>
                      <a:graphic xmlns:a="http://schemas.openxmlformats.org/drawingml/2006/main">
                        <a:graphicData uri="http://schemas.microsoft.com/office/word/2010/wordprocessingShape">
                          <wps:wsp>
                            <wps:cNvSpPr txBox="1"/>
                            <wps:spPr>
                              <a:xfrm>
                                <a:off x="0" y="0"/>
                                <a:ext cx="479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November 12, 2025</w:t>
            </w:r>
          </w:p>
        </w:tc>
        <w:tc>
          <w:tcPr>
            <w:tcW w:w="75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 RYAN STASH </w:t>
            </w:r>
          </w:p>
        </w:tc>
      </w:tr>
      <w:tr>
        <w:trPr/>
        <w:tc>
          <w:tcPr>
            <w:tcW w:w="2311" w:type="dxa"/>
            <w:tcBorders/>
            <w:vAlign w:val="center"/>
          </w:tcPr>
          <w:p>
            <w:pPr>
              <w:pStyle w:val="TableContents"/>
              <w:bidi w:val="0"/>
              <w:spacing w:before="0" w:after="0"/>
              <w:ind w:left="0" w:right="0" w:hanging="0"/>
              <w:jc w:val="left"/>
              <w:rPr/>
            </w:pPr>
            <w:r>
              <w:rPr/>
              <w:t>​</w:t>
            </w:r>
          </w:p>
        </w:tc>
        <w:tc>
          <w:tcPr>
            <w:tcW w:w="754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Ryan Stash</w:t>
            </w:r>
          </w:p>
        </w:tc>
      </w:tr>
      <w:tr>
        <w:trPr/>
        <w:tc>
          <w:tcPr>
            <w:tcW w:w="2311" w:type="dxa"/>
            <w:tcBorders/>
            <w:vAlign w:val="center"/>
          </w:tcPr>
          <w:p>
            <w:pPr>
              <w:pStyle w:val="TableContents"/>
              <w:bidi w:val="0"/>
              <w:spacing w:before="0" w:after="0"/>
              <w:ind w:left="0" w:right="0" w:hanging="0"/>
              <w:jc w:val="left"/>
              <w:rPr/>
            </w:pPr>
            <w:r>
              <w:rPr/>
              <w:t>​</w:t>
            </w:r>
          </w:p>
        </w:tc>
        <w:tc>
          <w:tcPr>
            <w:tcW w:w="754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Senior Vice President, Chief Financial Officer (Principal Financial Officer) and Treasurer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048" w:name="epm-20250930xex32d1.htm"/>
      <w:bookmarkStart w:id="1049" w:name="ksepm20250930xex32d1"/>
      <w:bookmarkEnd w:id="1048"/>
      <w:bookmarkEnd w:id="1049"/>
      <w:r>
        <w:rPr>
          <w:rFonts w:ascii="Times New Roman;Times;serif" w:hAnsi="Times New Roman;Times;serif"/>
          <w:b/>
          <w:sz w:val="20"/>
        </w:rPr>
        <w:t>EXHIBIT 32.1</w:t>
      </w:r>
      <w:r>
        <w:br w:type="page"/>
      </w:r>
    </w:p>
    <w:p>
      <w:pPr>
        <w:pStyle w:val="TextBody"/>
        <w:pBdr/>
        <w:bidi w:val="0"/>
        <w:spacing w:before="0" w:after="3"/>
        <w:ind w:left="0" w:right="0" w:hanging="230"/>
        <w:jc w:val="center"/>
        <w:rPr>
          <w:rFonts w:ascii="Times New Roman;Times;serif" w:hAnsi="Times New Roman;Times;serif"/>
          <w:b/>
          <w:sz w:val="20"/>
        </w:rPr>
      </w:pPr>
      <w:r>
        <w:rPr>
          <w:rFonts w:ascii="Times New Roman;Times;serif" w:hAnsi="Times New Roman;Times;serif"/>
          <w:b/>
          <w:sz w:val="20"/>
        </w:rPr>
        <w:t xml:space="preserve">CERTIFICATION PURSUANT TO </w:t>
      </w:r>
    </w:p>
    <w:p>
      <w:pPr>
        <w:pStyle w:val="TextBody"/>
        <w:pBdr/>
        <w:bidi w:val="0"/>
        <w:spacing w:before="0" w:after="3"/>
        <w:ind w:left="0" w:right="0" w:hanging="230"/>
        <w:jc w:val="center"/>
        <w:rPr>
          <w:rFonts w:ascii="Times New Roman;Times;serif" w:hAnsi="Times New Roman;Times;serif"/>
          <w:b/>
          <w:sz w:val="20"/>
        </w:rPr>
      </w:pPr>
      <w:r>
        <w:rPr>
          <w:rFonts w:ascii="Times New Roman;Times;serif" w:hAnsi="Times New Roman;Times;serif"/>
          <w:b/>
          <w:sz w:val="20"/>
        </w:rPr>
        <w:t>18 U.S.C. SECTION 1350,</w:t>
      </w:r>
    </w:p>
    <w:p>
      <w:pPr>
        <w:pStyle w:val="TextBody"/>
        <w:pBdr/>
        <w:bidi w:val="0"/>
        <w:spacing w:before="0" w:after="3"/>
        <w:ind w:left="0" w:right="0" w:hanging="23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pBdr/>
        <w:bidi w:val="0"/>
        <w:spacing w:before="0" w:after="240"/>
        <w:ind w:left="0" w:right="0" w:hanging="23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undersigned, Kelly W. Loyd, President and Chief Executive Officer (Principal Executive Officer) and Director of Evolution Petroleum Corporation (the “Company”), certifies in connection with the filing with the Securities and Exchange Commission of the Company’s Quarterly Report on Form 10-Q for the quarter ended September 30, 2025 (the “Report”) pursuant to 18 U.S.C. Section 1350, as adopted pursuant to Section 906 of the Sarbanes-Oxley Act of 2002, to his knowledge, that:</w:t>
      </w:r>
    </w:p>
    <w:tbl>
      <w:tblPr>
        <w:tblW w:w="9783" w:type="dxa"/>
        <w:jc w:val="left"/>
        <w:tblInd w:w="0" w:type="dxa"/>
        <w:tblLayout w:type="fixed"/>
        <w:tblCellMar>
          <w:top w:w="0" w:type="dxa"/>
          <w:left w:w="0" w:type="dxa"/>
          <w:bottom w:w="0" w:type="dxa"/>
          <w:right w:w="0" w:type="dxa"/>
        </w:tblCellMar>
      </w:tblPr>
      <w:tblGrid>
        <w:gridCol w:w="23"/>
        <w:gridCol w:w="170"/>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pBdr/>
        <w:bidi w:val="0"/>
        <w:spacing w:before="0" w:after="0"/>
        <w:ind w:left="720" w:right="0" w:hanging="720"/>
        <w:jc w:val="left"/>
        <w:rPr>
          <w:rFonts w:ascii="Times New Roman;Times;serif" w:hAnsi="Times New Roman;Times;serif"/>
          <w:sz w:val="20"/>
        </w:rPr>
      </w:pPr>
      <w:r>
        <w:rPr>
          <w:rFonts w:ascii="Times New Roman;Times;serif" w:hAnsi="Times New Roman;Times;serif"/>
          <w:sz w:val="20"/>
        </w:rPr>
        <w:t>IN WITNESS WHEREOF, the undersigned has executed this certification as of November 12, 2025.</w:t>
      </w:r>
    </w:p>
    <w:p>
      <w:pPr>
        <w:pStyle w:val="TextBody"/>
        <w:pBdr/>
        <w:bidi w:val="0"/>
        <w:spacing w:before="0" w:after="0"/>
        <w:ind w:left="0" w:right="0" w:hanging="720"/>
        <w:jc w:val="left"/>
        <w:rPr/>
      </w:pPr>
      <w:r>
        <w:rPr/>
        <w:t>​</w:t>
      </w:r>
    </w:p>
    <w:tbl>
      <w:tblPr>
        <w:tblW w:w="6860" w:type="dxa"/>
        <w:jc w:val="center"/>
        <w:tblInd w:w="0" w:type="dxa"/>
        <w:tblLayout w:type="fixed"/>
        <w:tblCellMar>
          <w:top w:w="0" w:type="dxa"/>
          <w:left w:w="0" w:type="dxa"/>
          <w:bottom w:w="0" w:type="dxa"/>
          <w:right w:w="0" w:type="dxa"/>
        </w:tblCellMar>
      </w:tblPr>
      <w:tblGrid>
        <w:gridCol w:w="124"/>
        <w:gridCol w:w="673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78740" cy="175260"/>
                      <wp:effectExtent l="0" t="0" r="0" b="0"/>
                      <wp:wrapNone/>
                      <wp:docPr id="280" name="Frame279"/>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4277995" cy="175260"/>
                      <wp:effectExtent l="0" t="0" r="0" b="0"/>
                      <wp:wrapNone/>
                      <wp:docPr id="281" name="Frame280"/>
                      <a:graphic xmlns:a="http://schemas.openxmlformats.org/drawingml/2006/main">
                        <a:graphicData uri="http://schemas.microsoft.com/office/word/2010/wordprocessingShape">
                          <wps:wsp>
                            <wps:cNvSpPr txBox="1"/>
                            <wps:spPr>
                              <a:xfrm>
                                <a:off x="0" y="0"/>
                                <a:ext cx="4277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6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KELLY W. LOYD</w:t>
            </w:r>
          </w:p>
        </w:tc>
      </w:tr>
      <w:tr>
        <w:trPr/>
        <w:tc>
          <w:tcPr>
            <w:tcW w:w="124" w:type="dxa"/>
            <w:tcBorders/>
            <w:vAlign w:val="center"/>
          </w:tcPr>
          <w:p>
            <w:pPr>
              <w:pStyle w:val="TableContents"/>
              <w:bidi w:val="0"/>
              <w:spacing w:before="0" w:after="0"/>
              <w:ind w:left="0" w:right="0" w:hanging="0"/>
              <w:jc w:val="left"/>
              <w:rPr/>
            </w:pPr>
            <w:r>
              <w:rPr/>
              <w:t>​</w:t>
            </w:r>
          </w:p>
        </w:tc>
        <w:tc>
          <w:tcPr>
            <w:tcW w:w="673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Kelly W. Loyd</w:t>
            </w:r>
          </w:p>
        </w:tc>
      </w:tr>
      <w:tr>
        <w:trPr/>
        <w:tc>
          <w:tcPr>
            <w:tcW w:w="124" w:type="dxa"/>
            <w:tcBorders/>
            <w:vAlign w:val="center"/>
          </w:tcPr>
          <w:p>
            <w:pPr>
              <w:pStyle w:val="TableContents"/>
              <w:bidi w:val="0"/>
              <w:spacing w:before="0" w:after="0"/>
              <w:ind w:left="0" w:right="0" w:hanging="0"/>
              <w:jc w:val="left"/>
              <w:rPr/>
            </w:pPr>
            <w:r>
              <w:rPr/>
              <w:t>​</w:t>
            </w:r>
          </w:p>
        </w:tc>
        <w:tc>
          <w:tcPr>
            <w:tcW w:w="673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President and Chief Executive Officer (Principal Executive Officer) and Director</w:t>
            </w:r>
          </w:p>
        </w:tc>
      </w:tr>
    </w:tbl>
    <w:p>
      <w:pPr>
        <w:pStyle w:val="TextBody"/>
        <w:bidi w:val="0"/>
        <w:spacing w:before="0" w:after="0"/>
        <w:ind w:left="0" w:right="0" w:hanging="0"/>
        <w:jc w:val="left"/>
        <w:rPr/>
      </w:pPr>
      <w:r>
        <w:rPr/>
        <w:t>​</w:t>
      </w:r>
    </w:p>
    <w:p>
      <w:pPr>
        <w:pStyle w:val="HorizontalLine"/>
        <w:pBdr>
          <w:bottom w:val="single" w:sz="6" w:space="0" w:color="000000"/>
        </w:pBdr>
        <w:bidi w:val="0"/>
        <w:spacing w:before="0" w:after="200"/>
        <w:jc w:val="left"/>
        <w:rPr/>
      </w:pPr>
      <w:r>
        <w:rPr/>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signed original of this written statement required by Section 906 has been provided to Evolution Petroleum Corporation and will be retained by Evolution Petroleum Corporation and furnished to the Securities and Exchange Commission or its staff upon request. The foregoing certificate is being furnished to the Securities and Exchange Commission as an exhibit to this Form 10-Q and shall not be considered filed as part of the Form 10-Q.</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050" w:name="epm-20250930xex32d2.htm"/>
      <w:bookmarkStart w:id="1051" w:name="ksepm20250930xex32d2"/>
      <w:bookmarkEnd w:id="1050"/>
      <w:bookmarkEnd w:id="1051"/>
      <w:r>
        <w:rPr>
          <w:rFonts w:ascii="Times New Roman;Times;serif" w:hAnsi="Times New Roman;Times;serif"/>
          <w:b/>
          <w:sz w:val="20"/>
        </w:rPr>
        <w:t>EXHIBIT 32.2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undersigned, Ryan Stash, Senior Vice President, Chief Financial Officer (Principal Financial Officer) and Treasurer of Evolution Petroleum Corporation (the “Company”), certifies in connection with the filing with the Securities and Exchange Commission of the Company’s Quarterly Report on Form 10-Q for the quarter ended September 30, 2025 (the “Report”) pursuant to 18 U.S.C. Section 1350, as adopted pursuant to Section 906 of the Sarbanes-Oxley Act of 2002, to his knowledge, that:</w:t>
      </w:r>
    </w:p>
    <w:tbl>
      <w:tblPr>
        <w:tblW w:w="9783" w:type="dxa"/>
        <w:jc w:val="left"/>
        <w:tblInd w:w="0" w:type="dxa"/>
        <w:tblLayout w:type="fixed"/>
        <w:tblCellMar>
          <w:top w:w="0" w:type="dxa"/>
          <w:left w:w="0" w:type="dxa"/>
          <w:bottom w:w="0" w:type="dxa"/>
          <w:right w:w="0" w:type="dxa"/>
        </w:tblCellMar>
      </w:tblPr>
      <w:tblGrid>
        <w:gridCol w:w="23"/>
        <w:gridCol w:w="170"/>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pBdr/>
        <w:bidi w:val="0"/>
        <w:spacing w:before="0" w:after="240"/>
        <w:ind w:left="720" w:right="0" w:hanging="720"/>
        <w:jc w:val="left"/>
        <w:rPr>
          <w:rFonts w:ascii="Times New Roman;Times;serif" w:hAnsi="Times New Roman;Times;serif"/>
          <w:sz w:val="20"/>
        </w:rPr>
      </w:pPr>
      <w:r>
        <w:rPr>
          <w:rFonts w:ascii="Times New Roman;Times;serif" w:hAnsi="Times New Roman;Times;serif"/>
          <w:sz w:val="20"/>
        </w:rPr>
        <w:t>IN WITNESS WHEREOF, the undersigned has executed this certification as of November 12, 2025.</w:t>
      </w:r>
    </w:p>
    <w:tbl>
      <w:tblPr>
        <w:tblW w:w="7670" w:type="dxa"/>
        <w:jc w:val="center"/>
        <w:tblInd w:w="0" w:type="dxa"/>
        <w:tblLayout w:type="fixed"/>
        <w:tblCellMar>
          <w:top w:w="0" w:type="dxa"/>
          <w:left w:w="0" w:type="dxa"/>
          <w:bottom w:w="0" w:type="dxa"/>
          <w:right w:w="0" w:type="dxa"/>
        </w:tblCellMar>
      </w:tblPr>
      <w:tblGrid>
        <w:gridCol w:w="124"/>
        <w:gridCol w:w="754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78740" cy="175260"/>
                      <wp:effectExtent l="0" t="0" r="0" b="0"/>
                      <wp:wrapNone/>
                      <wp:docPr id="282" name="Frame281"/>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4792345" cy="175260"/>
                      <wp:effectExtent l="0" t="0" r="0" b="0"/>
                      <wp:wrapNone/>
                      <wp:docPr id="283" name="Frame282"/>
                      <a:graphic xmlns:a="http://schemas.openxmlformats.org/drawingml/2006/main">
                        <a:graphicData uri="http://schemas.microsoft.com/office/word/2010/wordprocessingShape">
                          <wps:wsp>
                            <wps:cNvSpPr txBox="1"/>
                            <wps:spPr>
                              <a:xfrm>
                                <a:off x="0" y="0"/>
                                <a:ext cx="4792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7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RYAN STASH</w:t>
            </w:r>
          </w:p>
        </w:tc>
      </w:tr>
      <w:tr>
        <w:trPr/>
        <w:tc>
          <w:tcPr>
            <w:tcW w:w="124" w:type="dxa"/>
            <w:tcBorders/>
            <w:vAlign w:val="center"/>
          </w:tcPr>
          <w:p>
            <w:pPr>
              <w:pStyle w:val="TableContents"/>
              <w:bidi w:val="0"/>
              <w:spacing w:before="0" w:after="0"/>
              <w:ind w:left="0" w:right="0" w:hanging="0"/>
              <w:jc w:val="left"/>
              <w:rPr/>
            </w:pPr>
            <w:r>
              <w:rPr/>
              <w:t>​</w:t>
            </w:r>
          </w:p>
        </w:tc>
        <w:tc>
          <w:tcPr>
            <w:tcW w:w="754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Ryan Stash</w:t>
            </w:r>
          </w:p>
        </w:tc>
      </w:tr>
      <w:tr>
        <w:trPr/>
        <w:tc>
          <w:tcPr>
            <w:tcW w:w="124" w:type="dxa"/>
            <w:tcBorders/>
            <w:vAlign w:val="center"/>
          </w:tcPr>
          <w:p>
            <w:pPr>
              <w:pStyle w:val="TableContents"/>
              <w:bidi w:val="0"/>
              <w:spacing w:before="0" w:after="0"/>
              <w:ind w:left="0" w:right="0" w:hanging="0"/>
              <w:jc w:val="left"/>
              <w:rPr/>
            </w:pPr>
            <w:r>
              <w:rPr/>
              <w:t>​</w:t>
            </w:r>
          </w:p>
        </w:tc>
        <w:tc>
          <w:tcPr>
            <w:tcW w:w="754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Senior Vice President, Chief Financial Officer (Principal Financial Officer) and Treasurer</w:t>
            </w:r>
          </w:p>
        </w:tc>
      </w:tr>
    </w:tbl>
    <w:p>
      <w:pPr>
        <w:pStyle w:val="TextBody"/>
        <w:bidi w:val="0"/>
        <w:spacing w:before="0" w:after="0"/>
        <w:ind w:left="0" w:right="0" w:hanging="0"/>
        <w:jc w:val="left"/>
        <w:rPr/>
      </w:pPr>
      <w:r>
        <w:rPr/>
        <w:t>​</w:t>
      </w:r>
    </w:p>
    <w:p>
      <w:pPr>
        <w:pStyle w:val="HorizontalLine"/>
        <w:pBdr>
          <w:bottom w:val="single" w:sz="6" w:space="0" w:color="000000"/>
        </w:pBdr>
        <w:bidi w:val="0"/>
        <w:spacing w:before="0" w:after="200"/>
        <w:jc w:val="left"/>
        <w:rPr/>
      </w:pPr>
      <w:r>
        <w:rPr/>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signed original of this written statement required by Section 906 has been provided to Evolution Petroleum Corporation and will be retained by Evolution Petroleum Corporation and furnished to the Securities and Exchange Commission or its staff upon request. The foregoing certificate is being furnished to the Securities and Exchange Commission as an exhibit to this Form 10-Q and shall not be considered filed as part of the Form 10-Q.</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altName w:val="'Times'"/>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006655/000155837023001024/epm-20221231xex3d1.htm" TargetMode="External"/><Relationship Id="rId4" Type="http://schemas.openxmlformats.org/officeDocument/2006/relationships/hyperlink" Target="https://www.sec.gov/Archives/edgar/data/1006655/000155837023015706/epm-20230630xex3d3.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19999</Words>
  <Characters>111399</Characters>
  <CharactersWithSpaces>132543</CharactersWithSpaces>
  <Paragraphs>4861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