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040903.xml.htm"/>
      <w:bookmarkStart w:id="1" w:name="ksform409212026_04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Stash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EVOLUTION PETROLEUM CORP</w:t>
              </w:r>
            </w:hyperlink>
            <w:r>
              <w:rPr/>
              <w:t xml:space="preserve"> [ </w:t>
            </w:r>
            <w:r>
              <w:rPr>
                <w:rFonts w:ascii="Times;serif" w:hAnsi="Times;serif"/>
                <w:color w:val="0000FF"/>
                <w:sz w:val="24"/>
                <w:shd w:fill="FFFFFF" w:val="clear"/>
              </w:rPr>
              <w:t>EPM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97,561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370,974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48,781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pursuant to Company's Amended and Restated 2016 Equity Incentive Plan, subject to vesting terms and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Company granted performance stock units ("PSUs") pursuant to the Company's Amended and Restated 2016 Equity Incentive Plan. Each PSU represents a contingent right to receive one share of Issuer's common stock, subject to the attainment of performance goals and other vesting criteria. Common shares of stock will not be issued until the performance goals and other vesting criteria have been achieved.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STASH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972" TargetMode="External"/><Relationship Id="rId5" Type="http://schemas.openxmlformats.org/officeDocument/2006/relationships/hyperlink" Target="http://www.sec.gov/cgi-bin/browse-edgar?action=getcompany&amp;CIK=0001006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3595</Characters>
  <CharactersWithSpaces>4177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