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261620</wp:posOffset>
            </wp:positionV>
            <wp:extent cx="729996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ind w:left="500" w:hanging="397"/>
        <w:spacing w:after="0" w:line="221" w:lineRule="auto"/>
        <w:tabs>
          <w:tab w:leader="none" w:pos="500" w:val="left"/>
        </w:tabs>
        <w:numPr>
          <w:ilvl w:val="0"/>
          <w:numId w:val="1"/>
        </w:numPr>
        <w:rPr>
          <w:rFonts w:ascii="MS PGothic" w:cs="MS PGothic" w:eastAsia="MS PGothic" w:hAnsi="MS PGothic"/>
          <w:sz w:val="34"/>
          <w:szCs w:val="34"/>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June 30, 2019</w:t>
      </w:r>
    </w:p>
    <w:p>
      <w:pPr>
        <w:spacing w:after="0" w:line="212" w:lineRule="exact"/>
        <w:rPr>
          <w:sz w:val="24"/>
          <w:szCs w:val="24"/>
          <w:color w:val="auto"/>
        </w:rPr>
      </w:pPr>
    </w:p>
    <w:p>
      <w:pPr>
        <w:ind w:left="500" w:hanging="364"/>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3" w:lineRule="exact"/>
        <w:rPr>
          <w:sz w:val="24"/>
          <w:szCs w:val="24"/>
          <w:color w:val="auto"/>
        </w:rPr>
      </w:pPr>
    </w:p>
    <w:p>
      <w:pPr>
        <w:ind w:left="4520"/>
        <w:spacing w:after="0"/>
        <w:tabs>
          <w:tab w:leader="none" w:pos="6440" w:val="left"/>
        </w:tabs>
        <w:rPr>
          <w:sz w:val="20"/>
          <w:szCs w:val="20"/>
          <w:color w:val="auto"/>
        </w:rPr>
      </w:pPr>
      <w:r>
        <w:rPr>
          <w:rFonts w:ascii="Arial" w:cs="Arial" w:eastAsia="Arial" w:hAnsi="Arial"/>
          <w:sz w:val="11"/>
          <w:szCs w:val="11"/>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Commission File Number 001-32942</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EVOLUTION PETROLEUM CORPORATION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2898775</wp:posOffset>
            </wp:positionH>
            <wp:positionV relativeFrom="paragraph">
              <wp:posOffset>94615</wp:posOffset>
            </wp:positionV>
            <wp:extent cx="1485265" cy="382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5265" cy="382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900" w:type="dxa"/>
            <w:vAlign w:val="bottom"/>
            <w:gridSpan w:val="2"/>
          </w:tcPr>
          <w:p>
            <w:pPr>
              <w:jc w:val="center"/>
              <w:ind w:left="1543"/>
              <w:spacing w:after="0"/>
              <w:rPr>
                <w:sz w:val="20"/>
                <w:szCs w:val="20"/>
                <w:color w:val="auto"/>
              </w:rPr>
            </w:pPr>
            <w:r>
              <w:rPr>
                <w:rFonts w:ascii="Arial" w:cs="Arial" w:eastAsia="Arial" w:hAnsi="Arial"/>
                <w:sz w:val="11"/>
                <w:szCs w:val="11"/>
                <w:b w:val="1"/>
                <w:bCs w:val="1"/>
                <w:color w:val="auto"/>
                <w:w w:val="96"/>
              </w:rPr>
              <w:t>Nevada</w:t>
            </w:r>
          </w:p>
        </w:tc>
        <w:tc>
          <w:tcPr>
            <w:tcW w:w="19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80" w:type="dxa"/>
            <w:vAlign w:val="bottom"/>
          </w:tcPr>
          <w:p>
            <w:pPr>
              <w:jc w:val="center"/>
              <w:ind w:right="1703"/>
              <w:spacing w:after="0"/>
              <w:rPr>
                <w:sz w:val="20"/>
                <w:szCs w:val="20"/>
                <w:color w:val="auto"/>
              </w:rPr>
            </w:pPr>
            <w:r>
              <w:rPr>
                <w:rFonts w:ascii="Arial" w:cs="Arial" w:eastAsia="Arial" w:hAnsi="Arial"/>
                <w:sz w:val="11"/>
                <w:szCs w:val="11"/>
                <w:b w:val="1"/>
                <w:bCs w:val="1"/>
                <w:color w:val="auto"/>
                <w:w w:val="91"/>
              </w:rPr>
              <w:t>41-1781991</w:t>
            </w:r>
          </w:p>
        </w:tc>
        <w:tc>
          <w:tcPr>
            <w:tcW w:w="0" w:type="dxa"/>
            <w:vAlign w:val="bottom"/>
          </w:tcPr>
          <w:p>
            <w:pPr>
              <w:spacing w:after="0"/>
              <w:rPr>
                <w:sz w:val="1"/>
                <w:szCs w:val="1"/>
                <w:color w:val="auto"/>
              </w:rPr>
            </w:pPr>
          </w:p>
        </w:tc>
      </w:tr>
      <w:tr>
        <w:trPr>
          <w:trHeight w:val="119"/>
        </w:trPr>
        <w:tc>
          <w:tcPr>
            <w:tcW w:w="3900" w:type="dxa"/>
            <w:vAlign w:val="bottom"/>
            <w:gridSpan w:val="2"/>
          </w:tcPr>
          <w:p>
            <w:pPr>
              <w:jc w:val="center"/>
              <w:ind w:left="1543"/>
              <w:spacing w:after="0" w:line="119" w:lineRule="exact"/>
              <w:rPr>
                <w:sz w:val="20"/>
                <w:szCs w:val="20"/>
                <w:color w:val="auto"/>
              </w:rPr>
            </w:pPr>
            <w:r>
              <w:rPr>
                <w:rFonts w:ascii="Arial" w:cs="Arial" w:eastAsia="Arial" w:hAnsi="Arial"/>
                <w:sz w:val="11"/>
                <w:szCs w:val="11"/>
                <w:color w:val="auto"/>
                <w:w w:val="97"/>
              </w:rPr>
              <w:t>(State or other jurisdiction of</w:t>
            </w:r>
          </w:p>
        </w:tc>
        <w:tc>
          <w:tcPr>
            <w:tcW w:w="19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80" w:type="dxa"/>
            <w:vAlign w:val="bottom"/>
          </w:tcPr>
          <w:p>
            <w:pPr>
              <w:jc w:val="center"/>
              <w:ind w:right="1703"/>
              <w:spacing w:after="0" w:line="119" w:lineRule="exact"/>
              <w:rPr>
                <w:sz w:val="20"/>
                <w:szCs w:val="20"/>
                <w:color w:val="auto"/>
              </w:rPr>
            </w:pPr>
            <w:r>
              <w:rPr>
                <w:rFonts w:ascii="Arial" w:cs="Arial" w:eastAsia="Arial" w:hAnsi="Arial"/>
                <w:sz w:val="11"/>
                <w:szCs w:val="11"/>
                <w:color w:val="auto"/>
                <w:w w:val="97"/>
              </w:rPr>
              <w:t>(IRS Employer</w:t>
            </w:r>
          </w:p>
        </w:tc>
        <w:tc>
          <w:tcPr>
            <w:tcW w:w="0" w:type="dxa"/>
            <w:vAlign w:val="bottom"/>
          </w:tcPr>
          <w:p>
            <w:pPr>
              <w:spacing w:after="0"/>
              <w:rPr>
                <w:sz w:val="1"/>
                <w:szCs w:val="1"/>
                <w:color w:val="auto"/>
              </w:rPr>
            </w:pPr>
          </w:p>
        </w:tc>
      </w:tr>
      <w:tr>
        <w:trPr>
          <w:trHeight w:val="146"/>
        </w:trPr>
        <w:tc>
          <w:tcPr>
            <w:tcW w:w="3900" w:type="dxa"/>
            <w:vAlign w:val="bottom"/>
            <w:gridSpan w:val="2"/>
          </w:tcPr>
          <w:p>
            <w:pPr>
              <w:jc w:val="center"/>
              <w:ind w:left="1543"/>
              <w:spacing w:after="0"/>
              <w:rPr>
                <w:sz w:val="20"/>
                <w:szCs w:val="20"/>
                <w:color w:val="auto"/>
              </w:rPr>
            </w:pPr>
            <w:r>
              <w:rPr>
                <w:rFonts w:ascii="Arial" w:cs="Arial" w:eastAsia="Arial" w:hAnsi="Arial"/>
                <w:sz w:val="11"/>
                <w:szCs w:val="11"/>
                <w:color w:val="auto"/>
                <w:w w:val="96"/>
              </w:rPr>
              <w:t>incorporation or organization)</w:t>
            </w:r>
          </w:p>
        </w:tc>
        <w:tc>
          <w:tcPr>
            <w:tcW w:w="19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tcPr>
          <w:p>
            <w:pPr>
              <w:jc w:val="center"/>
              <w:ind w:right="1703"/>
              <w:spacing w:after="0"/>
              <w:rPr>
                <w:sz w:val="20"/>
                <w:szCs w:val="20"/>
                <w:color w:val="auto"/>
              </w:rPr>
            </w:pPr>
            <w:r>
              <w:rPr>
                <w:rFonts w:ascii="Arial" w:cs="Arial" w:eastAsia="Arial" w:hAnsi="Arial"/>
                <w:sz w:val="11"/>
                <w:szCs w:val="11"/>
                <w:color w:val="auto"/>
              </w:rPr>
              <w:t>Identification No.)</w:t>
            </w: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8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3"/>
              </w:rPr>
              <w:t>1155 Dairy Ashford Road, Suite 425, Houston, Texas 77079</w:t>
            </w: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gridSpan w:val="3"/>
          </w:tcPr>
          <w:p>
            <w:pPr>
              <w:jc w:val="center"/>
              <w:ind w:right="140"/>
              <w:spacing w:after="0"/>
              <w:rPr>
                <w:sz w:val="20"/>
                <w:szCs w:val="20"/>
                <w:color w:val="auto"/>
              </w:rPr>
            </w:pPr>
            <w:r>
              <w:rPr>
                <w:rFonts w:ascii="Arial" w:cs="Arial" w:eastAsia="Arial" w:hAnsi="Arial"/>
                <w:sz w:val="11"/>
                <w:szCs w:val="11"/>
                <w:color w:val="auto"/>
                <w:w w:val="96"/>
              </w:rPr>
              <w:t>(Address of principal executive offices and zip code)</w:t>
            </w: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5"/>
              </w:rPr>
              <w:t>(713) 935-0122</w:t>
            </w:r>
          </w:p>
        </w:tc>
        <w:tc>
          <w:tcPr>
            <w:tcW w:w="1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00" w:type="dxa"/>
            <w:vAlign w:val="bottom"/>
            <w:gridSpan w:val="2"/>
            <w:vMerge w:val="restart"/>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3780" w:type="dxa"/>
            <w:vAlign w:val="bottom"/>
            <w:gridSpan w:val="3"/>
          </w:tcPr>
          <w:p>
            <w:pPr>
              <w:jc w:val="center"/>
              <w:ind w:right="160"/>
              <w:spacing w:after="0"/>
              <w:rPr>
                <w:sz w:val="20"/>
                <w:szCs w:val="20"/>
                <w:color w:val="auto"/>
              </w:rPr>
            </w:pPr>
            <w:r>
              <w:rPr>
                <w:rFonts w:ascii="Arial" w:cs="Arial" w:eastAsia="Arial" w:hAnsi="Arial"/>
                <w:sz w:val="11"/>
                <w:szCs w:val="11"/>
                <w:color w:val="auto"/>
                <w:w w:val="93"/>
              </w:rPr>
              <w:t>(Registrant's telephone number, including area code)</w:t>
            </w: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90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3780" w:type="dxa"/>
            <w:vAlign w:val="bottom"/>
            <w:tcBorders>
              <w:bottom w:val="single" w:sz="8" w:color="auto"/>
            </w:tcBorders>
          </w:tcPr>
          <w:p>
            <w:pPr>
              <w:ind w:left="1440"/>
              <w:spacing w:after="0"/>
              <w:rPr>
                <w:sz w:val="20"/>
                <w:szCs w:val="20"/>
                <w:color w:val="auto"/>
              </w:rPr>
            </w:pPr>
            <w:r>
              <w:rPr>
                <w:rFonts w:ascii="Arial" w:cs="Arial" w:eastAsia="Arial" w:hAnsi="Arial"/>
                <w:sz w:val="11"/>
                <w:szCs w:val="11"/>
                <w:b w:val="1"/>
                <w:bCs w:val="1"/>
                <w:color w:val="auto"/>
              </w:rPr>
              <w:t>Title of Each Class</w:t>
            </w:r>
          </w:p>
        </w:tc>
        <w:tc>
          <w:tcPr>
            <w:tcW w:w="120" w:type="dxa"/>
            <w:vAlign w:val="bottom"/>
          </w:tcPr>
          <w:p>
            <w:pPr>
              <w:spacing w:after="0"/>
              <w:rPr>
                <w:sz w:val="24"/>
                <w:szCs w:val="24"/>
                <w:color w:val="auto"/>
              </w:rPr>
            </w:pPr>
          </w:p>
        </w:tc>
        <w:tc>
          <w:tcPr>
            <w:tcW w:w="36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5"/>
              </w:rPr>
              <w:t>Trading Symbol(s)</w:t>
            </w:r>
          </w:p>
        </w:tc>
        <w:tc>
          <w:tcPr>
            <w:tcW w:w="100" w:type="dxa"/>
            <w:vAlign w:val="bottom"/>
          </w:tcPr>
          <w:p>
            <w:pPr>
              <w:spacing w:after="0"/>
              <w:rPr>
                <w:sz w:val="24"/>
                <w:szCs w:val="24"/>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Name of Each Exchange On Which Registered</w:t>
            </w:r>
          </w:p>
        </w:tc>
        <w:tc>
          <w:tcPr>
            <w:tcW w:w="0" w:type="dxa"/>
            <w:vAlign w:val="bottom"/>
          </w:tcPr>
          <w:p>
            <w:pPr>
              <w:spacing w:after="0"/>
              <w:rPr>
                <w:sz w:val="1"/>
                <w:szCs w:val="1"/>
                <w:color w:val="auto"/>
              </w:rPr>
            </w:pPr>
          </w:p>
        </w:tc>
      </w:tr>
      <w:tr>
        <w:trPr>
          <w:trHeight w:val="185"/>
        </w:trPr>
        <w:tc>
          <w:tcPr>
            <w:tcW w:w="3900" w:type="dxa"/>
            <w:vAlign w:val="bottom"/>
            <w:gridSpan w:val="2"/>
          </w:tcPr>
          <w:p>
            <w:pPr>
              <w:ind w:left="1120"/>
              <w:spacing w:after="0"/>
              <w:rPr>
                <w:sz w:val="20"/>
                <w:szCs w:val="20"/>
                <w:color w:val="auto"/>
              </w:rPr>
            </w:pPr>
            <w:r>
              <w:rPr>
                <w:rFonts w:ascii="Arial" w:cs="Arial" w:eastAsia="Arial" w:hAnsi="Arial"/>
                <w:sz w:val="11"/>
                <w:szCs w:val="11"/>
                <w:color w:val="auto"/>
              </w:rPr>
              <w:t>Common Stock, $0.001 par value</w:t>
            </w:r>
          </w:p>
        </w:tc>
        <w:tc>
          <w:tcPr>
            <w:tcW w:w="3780" w:type="dxa"/>
            <w:vAlign w:val="bottom"/>
            <w:gridSpan w:val="3"/>
          </w:tcPr>
          <w:p>
            <w:pPr>
              <w:jc w:val="center"/>
              <w:ind w:right="100"/>
              <w:spacing w:after="0"/>
              <w:rPr>
                <w:sz w:val="20"/>
                <w:szCs w:val="20"/>
                <w:color w:val="auto"/>
              </w:rPr>
            </w:pPr>
            <w:r>
              <w:rPr>
                <w:rFonts w:ascii="Arial" w:cs="Arial" w:eastAsia="Arial" w:hAnsi="Arial"/>
                <w:sz w:val="11"/>
                <w:szCs w:val="11"/>
                <w:color w:val="auto"/>
              </w:rPr>
              <w:t>EPM</w:t>
            </w:r>
          </w:p>
        </w:tc>
        <w:tc>
          <w:tcPr>
            <w:tcW w:w="3780" w:type="dxa"/>
            <w:vAlign w:val="bottom"/>
          </w:tcPr>
          <w:p>
            <w:pPr>
              <w:jc w:val="center"/>
              <w:spacing w:after="0"/>
              <w:rPr>
                <w:sz w:val="20"/>
                <w:szCs w:val="20"/>
                <w:color w:val="auto"/>
              </w:rPr>
            </w:pPr>
            <w:r>
              <w:rPr>
                <w:rFonts w:ascii="Arial" w:cs="Arial" w:eastAsia="Arial" w:hAnsi="Arial"/>
                <w:sz w:val="11"/>
                <w:szCs w:val="11"/>
                <w:color w:val="auto"/>
                <w:w w:val="98"/>
              </w:rPr>
              <w:t>NYSE American</w:t>
            </w:r>
          </w:p>
        </w:tc>
        <w:tc>
          <w:tcPr>
            <w:tcW w:w="0" w:type="dxa"/>
            <w:vAlign w:val="bottom"/>
          </w:tcPr>
          <w:p>
            <w:pPr>
              <w:spacing w:after="0"/>
              <w:rPr>
                <w:sz w:val="1"/>
                <w:szCs w:val="1"/>
                <w:color w:val="auto"/>
              </w:rPr>
            </w:pPr>
          </w:p>
        </w:tc>
      </w:tr>
      <w:tr>
        <w:trPr>
          <w:trHeight w:val="146"/>
        </w:trPr>
        <w:tc>
          <w:tcPr>
            <w:tcW w:w="3900" w:type="dxa"/>
            <w:vAlign w:val="bottom"/>
            <w:gridSpan w:val="2"/>
          </w:tcPr>
          <w:p>
            <w:pPr>
              <w:spacing w:after="0"/>
              <w:rPr>
                <w:sz w:val="20"/>
                <w:szCs w:val="20"/>
                <w:color w:val="auto"/>
              </w:rPr>
            </w:pPr>
            <w:r>
              <w:rPr>
                <w:rFonts w:ascii="Arial" w:cs="Arial" w:eastAsia="Arial" w:hAnsi="Arial"/>
                <w:sz w:val="11"/>
                <w:szCs w:val="11"/>
                <w:color w:val="auto"/>
              </w:rPr>
              <w:t>Securities registered pursuant to Section 12(g) of the Act:</w:t>
            </w:r>
          </w:p>
        </w:tc>
        <w:tc>
          <w:tcPr>
            <w:tcW w:w="378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4"/>
              </w:rPr>
              <w:t>None</w:t>
            </w: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80" w:type="dxa"/>
            <w:vAlign w:val="bottom"/>
            <w:gridSpan w:val="3"/>
            <w:vMerge w:val="continue"/>
          </w:tcPr>
          <w:p>
            <w:pPr>
              <w:spacing w:after="0"/>
              <w:rPr>
                <w:sz w:val="9"/>
                <w:szCs w:val="9"/>
                <w:color w:val="auto"/>
              </w:rPr>
            </w:pPr>
          </w:p>
        </w:tc>
        <w:tc>
          <w:tcPr>
            <w:tcW w:w="3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80" w:type="dxa"/>
            <w:vAlign w:val="bottom"/>
            <w:gridSpan w:val="3"/>
          </w:tcPr>
          <w:p>
            <w:pPr>
              <w:jc w:val="center"/>
              <w:ind w:right="120"/>
              <w:spacing w:after="0"/>
              <w:rPr>
                <w:sz w:val="20"/>
                <w:szCs w:val="20"/>
                <w:color w:val="auto"/>
              </w:rPr>
            </w:pPr>
            <w:r>
              <w:rPr>
                <w:rFonts w:ascii="Arial" w:cs="Arial" w:eastAsia="Arial" w:hAnsi="Arial"/>
                <w:sz w:val="11"/>
                <w:szCs w:val="11"/>
                <w:color w:val="auto"/>
                <w:w w:val="98"/>
              </w:rPr>
              <w:t>(Title of Class)</w:t>
            </w:r>
          </w:p>
        </w:tc>
        <w:tc>
          <w:tcPr>
            <w:tcW w:w="3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820" w:type="dxa"/>
            <w:vAlign w:val="bottom"/>
            <w:gridSpan w:val="3"/>
          </w:tcPr>
          <w:p>
            <w:pPr>
              <w:spacing w:after="0"/>
              <w:rPr>
                <w:sz w:val="20"/>
                <w:szCs w:val="20"/>
                <w:color w:val="auto"/>
              </w:rPr>
            </w:pPr>
            <w:r>
              <w:rPr>
                <w:rFonts w:ascii="Arial" w:cs="Arial" w:eastAsia="Arial" w:hAnsi="Arial"/>
                <w:sz w:val="11"/>
                <w:szCs w:val="11"/>
                <w:color w:val="auto"/>
                <w:w w:val="96"/>
              </w:rPr>
              <w:t>Indicate by check mark if the registrant is a well-known seasoned issuer, as defined in Rule 405 of the Securities Act. Yes: o</w:t>
            </w:r>
          </w:p>
        </w:tc>
        <w:tc>
          <w:tcPr>
            <w:tcW w:w="1860" w:type="dxa"/>
            <w:vAlign w:val="bottom"/>
            <w:gridSpan w:val="2"/>
          </w:tcPr>
          <w:p>
            <w:pPr>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820" w:type="dxa"/>
            <w:vAlign w:val="bottom"/>
            <w:gridSpan w:val="3"/>
          </w:tcPr>
          <w:p>
            <w:pPr>
              <w:spacing w:after="0"/>
              <w:rPr>
                <w:sz w:val="20"/>
                <w:szCs w:val="20"/>
                <w:color w:val="auto"/>
              </w:rPr>
            </w:pPr>
            <w:r>
              <w:rPr>
                <w:rFonts w:ascii="Arial" w:cs="Arial" w:eastAsia="Arial" w:hAnsi="Arial"/>
                <w:sz w:val="11"/>
                <w:szCs w:val="11"/>
                <w:color w:val="auto"/>
                <w:w w:val="95"/>
              </w:rPr>
              <w:t>Indicate by check mark if the registrant is not required to file reports pursuant to Section 13 or Section 15(d) of the Act. Yes: o</w:t>
            </w:r>
          </w:p>
        </w:tc>
        <w:tc>
          <w:tcPr>
            <w:tcW w:w="1860" w:type="dxa"/>
            <w:vAlign w:val="bottom"/>
            <w:gridSpan w:val="2"/>
          </w:tcPr>
          <w:p>
            <w:pPr>
              <w:ind w:left="100"/>
              <w:spacing w:after="0" w:line="127" w:lineRule="exact"/>
              <w:rPr>
                <w:sz w:val="20"/>
                <w:szCs w:val="20"/>
                <w:color w:val="auto"/>
              </w:rPr>
            </w:pP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jc w:val="both"/>
        <w:spacing w:after="0" w:line="144"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90" w:lineRule="exact"/>
        <w:rPr>
          <w:sz w:val="24"/>
          <w:szCs w:val="24"/>
          <w:color w:val="auto"/>
        </w:rPr>
      </w:pPr>
    </w:p>
    <w:p>
      <w:pPr>
        <w:ind w:right="380"/>
        <w:spacing w:after="0" w:line="144"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112" w:lineRule="exact"/>
        <w:rPr>
          <w:sz w:val="24"/>
          <w:szCs w:val="24"/>
          <w:color w:val="auto"/>
        </w:rPr>
      </w:pPr>
    </w:p>
    <w:p>
      <w:pPr>
        <w:ind w:right="280"/>
        <w:spacing w:after="0" w:line="364"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179"/>
        </w:trPr>
        <w:tc>
          <w:tcPr>
            <w:tcW w:w="4560" w:type="dxa"/>
            <w:vAlign w:val="bottom"/>
          </w:tcPr>
          <w:p>
            <w:pPr>
              <w:spacing w:after="0"/>
              <w:rPr>
                <w:sz w:val="20"/>
                <w:szCs w:val="20"/>
                <w:color w:val="auto"/>
              </w:rPr>
            </w:pPr>
            <w:r>
              <w:rPr>
                <w:rFonts w:ascii="Arial" w:cs="Arial" w:eastAsia="Arial" w:hAnsi="Arial"/>
                <w:sz w:val="11"/>
                <w:szCs w:val="11"/>
                <w:color w:val="auto"/>
              </w:rPr>
              <w:t>Large accelerated filer o</w:t>
            </w:r>
          </w:p>
        </w:tc>
        <w:tc>
          <w:tcPr>
            <w:tcW w:w="4840" w:type="dxa"/>
            <w:vAlign w:val="bottom"/>
          </w:tcPr>
          <w:p>
            <w:pPr>
              <w:ind w:left="3420"/>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tc>
      </w:tr>
      <w:tr>
        <w:trPr>
          <w:trHeight w:val="216"/>
        </w:trPr>
        <w:tc>
          <w:tcPr>
            <w:tcW w:w="4560" w:type="dxa"/>
            <w:vAlign w:val="bottom"/>
          </w:tcPr>
          <w:p>
            <w:pPr>
              <w:spacing w:after="0"/>
              <w:rPr>
                <w:sz w:val="20"/>
                <w:szCs w:val="20"/>
                <w:color w:val="auto"/>
              </w:rPr>
            </w:pPr>
            <w:r>
              <w:rPr>
                <w:rFonts w:ascii="Arial" w:cs="Arial" w:eastAsia="Arial" w:hAnsi="Arial"/>
                <w:sz w:val="11"/>
                <w:szCs w:val="11"/>
                <w:color w:val="auto"/>
              </w:rPr>
              <w:t>Non-accelerated filer o</w:t>
            </w:r>
          </w:p>
        </w:tc>
        <w:tc>
          <w:tcPr>
            <w:tcW w:w="4840" w:type="dxa"/>
            <w:vAlign w:val="bottom"/>
          </w:tcPr>
          <w:p>
            <w:pPr>
              <w:ind w:left="3420"/>
              <w:spacing w:after="0" w:line="127" w:lineRule="exact"/>
              <w:rPr>
                <w:sz w:val="20"/>
                <w:szCs w:val="20"/>
                <w:color w:val="auto"/>
              </w:rPr>
            </w:pPr>
            <w:r>
              <w:rPr>
                <w:rFonts w:ascii="Arial" w:cs="Arial" w:eastAsia="Arial" w:hAnsi="Arial"/>
                <w:sz w:val="11"/>
                <w:szCs w:val="11"/>
                <w:color w:val="auto"/>
                <w:w w:val="96"/>
              </w:rPr>
              <w:t xml:space="preserve">Smaller reporting company </w:t>
            </w:r>
            <w:r>
              <w:rPr>
                <w:rFonts w:ascii="MS PGothic" w:cs="MS PGothic" w:eastAsia="MS PGothic" w:hAnsi="MS PGothic"/>
                <w:sz w:val="11"/>
                <w:szCs w:val="11"/>
                <w:color w:val="auto"/>
                <w:w w:val="96"/>
              </w:rPr>
              <w:t>☒</w:t>
            </w:r>
          </w:p>
        </w:tc>
      </w:tr>
      <w:tr>
        <w:trPr>
          <w:trHeight w:val="214"/>
        </w:trPr>
        <w:tc>
          <w:tcPr>
            <w:tcW w:w="4560" w:type="dxa"/>
            <w:vAlign w:val="bottom"/>
          </w:tcPr>
          <w:p>
            <w:pPr>
              <w:spacing w:after="0"/>
              <w:rPr>
                <w:sz w:val="18"/>
                <w:szCs w:val="18"/>
                <w:color w:val="auto"/>
              </w:rPr>
            </w:pPr>
          </w:p>
        </w:tc>
        <w:tc>
          <w:tcPr>
            <w:tcW w:w="4840" w:type="dxa"/>
            <w:vAlign w:val="bottom"/>
          </w:tcPr>
          <w:p>
            <w:pPr>
              <w:ind w:left="3420"/>
              <w:spacing w:after="0"/>
              <w:rPr>
                <w:sz w:val="20"/>
                <w:szCs w:val="20"/>
                <w:color w:val="auto"/>
              </w:rPr>
            </w:pPr>
            <w:r>
              <w:rPr>
                <w:rFonts w:ascii="Arial" w:cs="Arial" w:eastAsia="Arial" w:hAnsi="Arial"/>
                <w:sz w:val="11"/>
                <w:szCs w:val="11"/>
                <w:color w:val="auto"/>
                <w:w w:val="99"/>
              </w:rPr>
              <w:t>Emerging growth company o</w:t>
            </w:r>
          </w:p>
        </w:tc>
      </w:tr>
    </w:tbl>
    <w:p>
      <w:pPr>
        <w:spacing w:after="0" w:line="102" w:lineRule="exact"/>
        <w:rPr>
          <w:sz w:val="24"/>
          <w:szCs w:val="24"/>
          <w:color w:val="auto"/>
        </w:rPr>
      </w:pPr>
    </w:p>
    <w:p>
      <w:pPr>
        <w:ind w:right="80"/>
        <w:spacing w:after="0" w:line="283"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8" w:lineRule="exact"/>
        <w:rPr>
          <w:sz w:val="24"/>
          <w:szCs w:val="24"/>
          <w:color w:val="auto"/>
        </w:rPr>
      </w:pPr>
    </w:p>
    <w:p>
      <w:pPr>
        <w:spacing w:after="0" w:line="127" w:lineRule="exact"/>
        <w:tabs>
          <w:tab w:leader="none" w:pos="566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p>
      <w:pPr>
        <w:spacing w:after="0" w:line="131" w:lineRule="exact"/>
        <w:rPr>
          <w:sz w:val="24"/>
          <w:szCs w:val="24"/>
          <w:color w:val="auto"/>
        </w:rPr>
      </w:pPr>
    </w:p>
    <w:p>
      <w:pPr>
        <w:ind w:right="100"/>
        <w:spacing w:after="0" w:line="283" w:lineRule="auto"/>
        <w:rPr>
          <w:sz w:val="20"/>
          <w:szCs w:val="20"/>
          <w:color w:val="auto"/>
        </w:rPr>
      </w:pPr>
      <w:r>
        <w:rPr>
          <w:rFonts w:ascii="Arial" w:cs="Arial" w:eastAsia="Arial" w:hAnsi="Arial"/>
          <w:sz w:val="11"/>
          <w:szCs w:val="11"/>
          <w:color w:val="auto"/>
        </w:rPr>
        <w:t>The aggregate market value of the voting and non-voting common equity held by non-affiliates on December 31, 2018, the last business day of the registrant’s most recently completed second fiscal quarter, based on the closing price on that date of $6.75 on the NYSE American was $158,319,105.</w:t>
      </w:r>
    </w:p>
    <w:p>
      <w:pPr>
        <w:spacing w:after="0" w:line="68" w:lineRule="exact"/>
        <w:rPr>
          <w:sz w:val="24"/>
          <w:szCs w:val="24"/>
          <w:color w:val="auto"/>
        </w:rPr>
      </w:pPr>
    </w:p>
    <w:p>
      <w:pPr>
        <w:spacing w:after="0"/>
        <w:rPr>
          <w:sz w:val="20"/>
          <w:szCs w:val="20"/>
          <w:color w:val="auto"/>
        </w:rPr>
      </w:pPr>
      <w:r>
        <w:rPr>
          <w:rFonts w:ascii="Arial" w:cs="Arial" w:eastAsia="Arial" w:hAnsi="Arial"/>
          <w:sz w:val="11"/>
          <w:szCs w:val="11"/>
          <w:color w:val="auto"/>
        </w:rPr>
        <w:t>The number of shares outstanding of the registrant's common stock, par value $0.001, as of September 6, 2019, was 33,064,797.</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DOCUMENTS INCORPORATED BY REFERENCE</w:t>
      </w:r>
    </w:p>
    <w:p>
      <w:pPr>
        <w:spacing w:after="0" w:line="134" w:lineRule="exact"/>
        <w:rPr>
          <w:sz w:val="24"/>
          <w:szCs w:val="24"/>
          <w:color w:val="auto"/>
        </w:rPr>
      </w:pPr>
    </w:p>
    <w:p>
      <w:pPr>
        <w:spacing w:after="0"/>
        <w:rPr>
          <w:sz w:val="20"/>
          <w:szCs w:val="20"/>
          <w:color w:val="auto"/>
        </w:rPr>
      </w:pPr>
      <w:r>
        <w:rPr>
          <w:rFonts w:ascii="Arial" w:cs="Arial" w:eastAsia="Arial" w:hAnsi="Arial"/>
          <w:sz w:val="11"/>
          <w:szCs w:val="11"/>
          <w:color w:val="auto"/>
        </w:rPr>
        <w:t>Portions of the proxy statement related to the registrant's 2019 Annual Meeting of Stockholders to be filed within 120 days of the end of the fiscal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7299960"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215"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0" w:type="dxa"/>
            <w:vAlign w:val="bottom"/>
            <w:gridSpan w:val="8"/>
          </w:tcPr>
          <w:p>
            <w:pPr>
              <w:jc w:val="center"/>
              <w:ind w:right="3240"/>
              <w:spacing w:after="0"/>
              <w:rPr>
                <w:sz w:val="20"/>
                <w:szCs w:val="20"/>
                <w:color w:val="auto"/>
              </w:rPr>
            </w:pPr>
            <w:r>
              <w:rPr>
                <w:rFonts w:ascii="Arial" w:cs="Arial" w:eastAsia="Arial" w:hAnsi="Arial"/>
                <w:sz w:val="14"/>
                <w:szCs w:val="14"/>
                <w:b w:val="1"/>
                <w:bCs w:val="1"/>
                <w:color w:val="auto"/>
              </w:rPr>
              <w:t>EVOLUTION PETROLEUM CORPORATION AND SUBSIDIARIES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9"/>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60" w:type="dxa"/>
            <w:vAlign w:val="bottom"/>
            <w:gridSpan w:val="6"/>
          </w:tcPr>
          <w:p>
            <w:pPr>
              <w:jc w:val="center"/>
              <w:ind w:right="3980"/>
              <w:spacing w:after="0"/>
              <w:rPr>
                <w:sz w:val="20"/>
                <w:szCs w:val="20"/>
                <w:color w:val="auto"/>
              </w:rPr>
            </w:pPr>
            <w:r>
              <w:rPr>
                <w:rFonts w:ascii="Arial" w:cs="Arial" w:eastAsia="Arial" w:hAnsi="Arial"/>
                <w:sz w:val="14"/>
                <w:szCs w:val="14"/>
                <w:b w:val="1"/>
                <w:bCs w:val="1"/>
                <w:color w:val="auto"/>
              </w:rPr>
              <w:t>2019 ANNUAL REPORT ON FORM 10-K</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88"/>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80" w:type="dxa"/>
            <w:vAlign w:val="bottom"/>
            <w:gridSpan w:val="5"/>
          </w:tcPr>
          <w:p>
            <w:pPr>
              <w:jc w:val="center"/>
              <w:ind w:right="4780"/>
              <w:spacing w:after="0"/>
              <w:rPr>
                <w:sz w:val="20"/>
                <w:szCs w:val="20"/>
                <w:color w:val="auto"/>
              </w:rPr>
            </w:pPr>
            <w:r>
              <w:rPr>
                <w:rFonts w:ascii="Arial" w:cs="Arial" w:eastAsia="Arial" w:hAnsi="Arial"/>
                <w:sz w:val="14"/>
                <w:szCs w:val="14"/>
                <w:b w:val="1"/>
                <w:bCs w:val="1"/>
                <w:color w:val="auto"/>
              </w:rPr>
              <w:t>TABLE OF CONTENTS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9"/>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1"/>
        </w:trPr>
        <w:tc>
          <w:tcPr>
            <w:tcW w:w="20" w:type="dxa"/>
            <w:vAlign w:val="bottom"/>
            <w:shd w:val="clear" w:color="auto" w:fill="CCEEFF"/>
          </w:tcPr>
          <w:p>
            <w:pPr>
              <w:spacing w:after="0"/>
              <w:rPr>
                <w:sz w:val="13"/>
                <w:szCs w:val="13"/>
                <w:color w:val="auto"/>
              </w:rPr>
            </w:pPr>
          </w:p>
        </w:tc>
        <w:tc>
          <w:tcPr>
            <w:tcW w:w="1640" w:type="dxa"/>
            <w:vAlign w:val="bottom"/>
            <w:gridSpan w:val="13"/>
            <w:shd w:val="clear" w:color="auto" w:fill="CCEEFF"/>
          </w:tcPr>
          <w:p>
            <w:pPr>
              <w:spacing w:after="0"/>
              <w:rPr>
                <w:rFonts w:ascii="Arial" w:cs="Arial" w:eastAsia="Arial" w:hAnsi="Arial"/>
                <w:sz w:val="13"/>
                <w:szCs w:val="13"/>
                <w:b w:val="1"/>
                <w:bCs w:val="1"/>
                <w:color w:val="0000EE"/>
                <w:w w:val="90"/>
              </w:rPr>
            </w:pPr>
            <w:hyperlink w:anchor="page3">
              <w:r>
                <w:rPr>
                  <w:rFonts w:ascii="Arial" w:cs="Arial" w:eastAsia="Arial" w:hAnsi="Arial"/>
                  <w:sz w:val="13"/>
                  <w:szCs w:val="13"/>
                  <w:b w:val="1"/>
                  <w:bCs w:val="1"/>
                  <w:color w:val="0000EE"/>
                  <w:w w:val="90"/>
                </w:rPr>
                <w:t>Forward-Looking Statements</w:t>
              </w:r>
            </w:hyperlink>
          </w:p>
        </w:tc>
        <w:tc>
          <w:tcPr>
            <w:tcW w:w="9680" w:type="dxa"/>
            <w:vAlign w:val="bottom"/>
            <w:tcBorders>
              <w:right w:val="single" w:sz="8" w:color="CCEEFF"/>
            </w:tcBorders>
            <w:gridSpan w:val="20"/>
            <w:shd w:val="clear" w:color="auto" w:fill="CCEEFF"/>
          </w:tcPr>
          <w:p>
            <w:pPr>
              <w:spacing w:after="0"/>
              <w:rPr>
                <w:sz w:val="13"/>
                <w:szCs w:val="13"/>
                <w:color w:val="auto"/>
              </w:rPr>
            </w:pPr>
          </w:p>
        </w:tc>
        <w:tc>
          <w:tcPr>
            <w:tcW w:w="100" w:type="dxa"/>
            <w:vAlign w:val="bottom"/>
            <w:gridSpan w:val="2"/>
            <w:shd w:val="clear" w:color="auto" w:fill="CCEEFF"/>
          </w:tcPr>
          <w:p>
            <w:pPr>
              <w:jc w:val="right"/>
              <w:ind w:right="40"/>
              <w:spacing w:after="0"/>
              <w:rPr>
                <w:rFonts w:ascii="Arial" w:cs="Arial" w:eastAsia="Arial" w:hAnsi="Arial"/>
                <w:sz w:val="10"/>
                <w:szCs w:val="10"/>
                <w:b w:val="1"/>
                <w:bCs w:val="1"/>
                <w:color w:val="0000EE"/>
                <w:w w:val="71"/>
              </w:rPr>
            </w:pPr>
            <w:hyperlink w:anchor="page3">
              <w:r>
                <w:rPr>
                  <w:rFonts w:ascii="Arial" w:cs="Arial" w:eastAsia="Arial" w:hAnsi="Arial"/>
                  <w:sz w:val="10"/>
                  <w:szCs w:val="10"/>
                  <w:b w:val="1"/>
                  <w:bCs w:val="1"/>
                  <w:color w:val="0000EE"/>
                  <w:w w:val="71"/>
                </w:rPr>
                <w:t>ii</w:t>
              </w:r>
            </w:hyperlink>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62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51"/>
        </w:trPr>
        <w:tc>
          <w:tcPr>
            <w:tcW w:w="20" w:type="dxa"/>
            <w:vAlign w:val="bottom"/>
          </w:tcPr>
          <w:p>
            <w:pPr>
              <w:spacing w:after="0"/>
              <w:rPr>
                <w:sz w:val="13"/>
                <w:szCs w:val="13"/>
                <w:color w:val="auto"/>
              </w:rPr>
            </w:pPr>
          </w:p>
        </w:tc>
        <w:tc>
          <w:tcPr>
            <w:tcW w:w="11320" w:type="dxa"/>
            <w:vAlign w:val="bottom"/>
            <w:gridSpan w:val="33"/>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Glossary of Selected Petroleum Terms</w:t>
              </w:r>
            </w:hyperlink>
          </w:p>
        </w:tc>
        <w:tc>
          <w:tcPr>
            <w:tcW w:w="100" w:type="dxa"/>
            <w:vAlign w:val="bottom"/>
            <w:gridSpan w:val="2"/>
          </w:tcPr>
          <w:p>
            <w:pPr>
              <w:jc w:val="right"/>
              <w:ind w:right="40"/>
              <w:spacing w:after="0"/>
              <w:rPr>
                <w:rFonts w:ascii="Arial" w:cs="Arial" w:eastAsia="Arial" w:hAnsi="Arial"/>
                <w:sz w:val="8"/>
                <w:szCs w:val="8"/>
                <w:color w:val="0000EE"/>
                <w:w w:val="74"/>
              </w:rPr>
            </w:pPr>
            <w:hyperlink w:anchor="page4">
              <w:r>
                <w:rPr>
                  <w:rFonts w:ascii="Arial" w:cs="Arial" w:eastAsia="Arial" w:hAnsi="Arial"/>
                  <w:sz w:val="8"/>
                  <w:szCs w:val="8"/>
                  <w:color w:val="0000EE"/>
                  <w:w w:val="74"/>
                </w:rPr>
                <w:t>iii</w:t>
              </w:r>
            </w:hyperlink>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8"/>
            <w:shd w:val="clear" w:color="auto" w:fill="CCEEFF"/>
          </w:tcPr>
          <w:p>
            <w:pPr>
              <w:spacing w:after="0"/>
              <w:rPr>
                <w:rFonts w:ascii="Arial" w:cs="Arial" w:eastAsia="Arial" w:hAnsi="Arial"/>
                <w:sz w:val="13"/>
                <w:szCs w:val="13"/>
                <w:b w:val="1"/>
                <w:bCs w:val="1"/>
                <w:color w:val="0000EE"/>
              </w:rPr>
            </w:pPr>
            <w:hyperlink w:anchor="page7">
              <w:r>
                <w:rPr>
                  <w:rFonts w:ascii="Arial" w:cs="Arial" w:eastAsia="Arial" w:hAnsi="Arial"/>
                  <w:sz w:val="13"/>
                  <w:szCs w:val="13"/>
                  <w:b w:val="1"/>
                  <w:bCs w:val="1"/>
                  <w:color w:val="0000EE"/>
                </w:rPr>
                <w:t>PART I</w:t>
              </w:r>
            </w:hyperlink>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51"/>
        </w:trPr>
        <w:tc>
          <w:tcPr>
            <w:tcW w:w="20" w:type="dxa"/>
            <w:vAlign w:val="bottom"/>
            <w:tcBorders>
              <w:top w:val="single" w:sz="8" w:color="CCEEFF"/>
            </w:tcBorders>
          </w:tcPr>
          <w:p>
            <w:pPr>
              <w:spacing w:after="0"/>
              <w:rPr>
                <w:sz w:val="13"/>
                <w:szCs w:val="13"/>
                <w:color w:val="auto"/>
              </w:rPr>
            </w:pPr>
          </w:p>
        </w:tc>
        <w:tc>
          <w:tcPr>
            <w:tcW w:w="420" w:type="dxa"/>
            <w:vAlign w:val="bottom"/>
            <w:tcBorders>
              <w:top w:val="single" w:sz="8" w:color="0000EE"/>
            </w:tcBorders>
            <w:gridSpan w:val="3"/>
          </w:tcPr>
          <w:p>
            <w:pPr>
              <w:spacing w:after="0"/>
              <w:rPr>
                <w:rFonts w:ascii="Arial" w:cs="Arial" w:eastAsia="Arial" w:hAnsi="Arial"/>
                <w:sz w:val="13"/>
                <w:szCs w:val="13"/>
                <w:color w:val="0000EE"/>
              </w:rPr>
            </w:pPr>
            <w:hyperlink w:anchor="page7">
              <w:r>
                <w:rPr>
                  <w:rFonts w:ascii="Arial" w:cs="Arial" w:eastAsia="Arial" w:hAnsi="Arial"/>
                  <w:sz w:val="13"/>
                  <w:szCs w:val="13"/>
                  <w:color w:val="0000EE"/>
                </w:rPr>
                <w:t>Item 1</w:t>
              </w:r>
            </w:hyperlink>
            <w:r>
              <w:rPr>
                <w:rFonts w:ascii="Arial" w:cs="Arial" w:eastAsia="Arial" w:hAnsi="Arial"/>
                <w:sz w:val="13"/>
                <w:szCs w:val="13"/>
                <w:color w:val="000000"/>
              </w:rPr>
              <w:t>.</w:t>
            </w:r>
          </w:p>
        </w:tc>
        <w:tc>
          <w:tcPr>
            <w:tcW w:w="500" w:type="dxa"/>
            <w:vAlign w:val="bottom"/>
            <w:tcBorders>
              <w:top w:val="single" w:sz="8" w:color="CCEEFF"/>
            </w:tcBorders>
            <w:gridSpan w:val="5"/>
          </w:tcPr>
          <w:p>
            <w:pPr>
              <w:spacing w:after="0"/>
              <w:rPr>
                <w:sz w:val="13"/>
                <w:szCs w:val="13"/>
                <w:color w:val="auto"/>
              </w:rPr>
            </w:pPr>
          </w:p>
        </w:tc>
        <w:tc>
          <w:tcPr>
            <w:tcW w:w="10400" w:type="dxa"/>
            <w:vAlign w:val="bottom"/>
            <w:tcBorders>
              <w:top w:val="single" w:sz="8" w:color="CCEEFF"/>
            </w:tcBorders>
            <w:gridSpan w:val="25"/>
          </w:tcPr>
          <w:p>
            <w:pPr>
              <w:spacing w:after="0"/>
              <w:rPr>
                <w:rFonts w:ascii="Arial" w:cs="Arial" w:eastAsia="Arial" w:hAnsi="Arial"/>
                <w:sz w:val="13"/>
                <w:szCs w:val="13"/>
                <w:color w:val="0000EE"/>
              </w:rPr>
            </w:pPr>
            <w:hyperlink w:anchor="page7">
              <w:r>
                <w:rPr>
                  <w:rFonts w:ascii="Arial" w:cs="Arial" w:eastAsia="Arial" w:hAnsi="Arial"/>
                  <w:sz w:val="13"/>
                  <w:szCs w:val="13"/>
                  <w:color w:val="0000EE"/>
                </w:rPr>
                <w:t>Business</w:t>
              </w:r>
            </w:hyperlink>
          </w:p>
        </w:tc>
        <w:tc>
          <w:tcPr>
            <w:tcW w:w="60" w:type="dxa"/>
            <w:vAlign w:val="bottom"/>
            <w:tcBorders>
              <w:top w:val="single" w:sz="8" w:color="CCEEFF"/>
            </w:tcBorders>
          </w:tcPr>
          <w:p>
            <w:pPr>
              <w:jc w:val="right"/>
              <w:spacing w:after="0"/>
              <w:rPr>
                <w:rFonts w:ascii="Arial" w:cs="Arial" w:eastAsia="Arial" w:hAnsi="Arial"/>
                <w:sz w:val="10"/>
                <w:szCs w:val="10"/>
                <w:color w:val="0000EE"/>
                <w:w w:val="71"/>
              </w:rPr>
            </w:pPr>
            <w:hyperlink w:anchor="page7">
              <w:r>
                <w:rPr>
                  <w:rFonts w:ascii="Arial" w:cs="Arial" w:eastAsia="Arial" w:hAnsi="Arial"/>
                  <w:sz w:val="10"/>
                  <w:szCs w:val="10"/>
                  <w:color w:val="0000EE"/>
                  <w:w w:val="71"/>
                </w:rPr>
                <w:t>1</w:t>
              </w:r>
            </w:hyperlink>
          </w:p>
        </w:tc>
        <w:tc>
          <w:tcPr>
            <w:tcW w:w="40" w:type="dxa"/>
            <w:vAlign w:val="bottom"/>
            <w:tcBorders>
              <w:top w:val="single" w:sz="8" w:color="CCEEFF"/>
            </w:tcBorders>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920" w:type="dxa"/>
            <w:vAlign w:val="bottom"/>
            <w:gridSpan w:val="8"/>
            <w:shd w:val="clear" w:color="auto" w:fill="CCEEFF"/>
          </w:tcPr>
          <w:p>
            <w:pPr>
              <w:spacing w:after="0"/>
              <w:rPr>
                <w:rFonts w:ascii="Arial" w:cs="Arial" w:eastAsia="Arial" w:hAnsi="Arial"/>
                <w:sz w:val="13"/>
                <w:szCs w:val="13"/>
                <w:color w:val="0000EE"/>
              </w:rPr>
            </w:pPr>
            <w:hyperlink w:anchor="page19">
              <w:r>
                <w:rPr>
                  <w:rFonts w:ascii="Arial" w:cs="Arial" w:eastAsia="Arial" w:hAnsi="Arial"/>
                  <w:sz w:val="13"/>
                  <w:szCs w:val="13"/>
                  <w:color w:val="0000EE"/>
                </w:rPr>
                <w:t>Item 1A.</w:t>
              </w:r>
            </w:hyperlink>
          </w:p>
        </w:tc>
        <w:tc>
          <w:tcPr>
            <w:tcW w:w="10400" w:type="dxa"/>
            <w:vAlign w:val="bottom"/>
            <w:tcBorders>
              <w:right w:val="single" w:sz="8" w:color="CCEEFF"/>
            </w:tcBorders>
            <w:gridSpan w:val="25"/>
            <w:shd w:val="clear" w:color="auto" w:fill="CCEEFF"/>
          </w:tcPr>
          <w:p>
            <w:pPr>
              <w:spacing w:after="0"/>
              <w:rPr>
                <w:rFonts w:ascii="Arial" w:cs="Arial" w:eastAsia="Arial" w:hAnsi="Arial"/>
                <w:sz w:val="13"/>
                <w:szCs w:val="13"/>
                <w:color w:val="0000EE"/>
              </w:rPr>
            </w:pPr>
            <w:hyperlink w:anchor="page19">
              <w:r>
                <w:rPr>
                  <w:rFonts w:ascii="Arial" w:cs="Arial" w:eastAsia="Arial" w:hAnsi="Arial"/>
                  <w:sz w:val="13"/>
                  <w:szCs w:val="13"/>
                  <w:color w:val="0000EE"/>
                </w:rPr>
                <w:t>Risk Factors</w:t>
              </w:r>
            </w:hyperlink>
          </w:p>
        </w:tc>
        <w:tc>
          <w:tcPr>
            <w:tcW w:w="60" w:type="dxa"/>
            <w:vAlign w:val="bottom"/>
            <w:shd w:val="clear" w:color="auto" w:fill="CCEEFF"/>
          </w:tcPr>
          <w:p>
            <w:pPr>
              <w:jc w:val="right"/>
              <w:spacing w:after="0"/>
              <w:rPr>
                <w:rFonts w:ascii="Arial" w:cs="Arial" w:eastAsia="Arial" w:hAnsi="Arial"/>
                <w:sz w:val="5"/>
                <w:szCs w:val="5"/>
                <w:color w:val="0000EE"/>
                <w:w w:val="71"/>
              </w:rPr>
            </w:pPr>
            <w:hyperlink w:anchor="page19">
              <w:r>
                <w:rPr>
                  <w:rFonts w:ascii="Arial" w:cs="Arial" w:eastAsia="Arial" w:hAnsi="Arial"/>
                  <w:sz w:val="5"/>
                  <w:szCs w:val="5"/>
                  <w:color w:val="0000EE"/>
                  <w:w w:val="71"/>
                </w:rPr>
                <w:t>13</w:t>
              </w:r>
            </w:hyperlink>
          </w:p>
        </w:tc>
        <w:tc>
          <w:tcPr>
            <w:tcW w:w="40" w:type="dxa"/>
            <w:vAlign w:val="bottom"/>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62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51"/>
        </w:trPr>
        <w:tc>
          <w:tcPr>
            <w:tcW w:w="20" w:type="dxa"/>
            <w:vAlign w:val="bottom"/>
          </w:tcPr>
          <w:p>
            <w:pPr>
              <w:spacing w:after="0"/>
              <w:rPr>
                <w:sz w:val="13"/>
                <w:szCs w:val="13"/>
                <w:color w:val="auto"/>
              </w:rPr>
            </w:pPr>
          </w:p>
        </w:tc>
        <w:tc>
          <w:tcPr>
            <w:tcW w:w="460" w:type="dxa"/>
            <w:vAlign w:val="bottom"/>
            <w:gridSpan w:val="5"/>
          </w:tcPr>
          <w:p>
            <w:pPr>
              <w:spacing w:after="0"/>
              <w:rPr>
                <w:rFonts w:ascii="Arial" w:cs="Arial" w:eastAsia="Arial" w:hAnsi="Arial"/>
                <w:sz w:val="13"/>
                <w:szCs w:val="13"/>
                <w:color w:val="0000EE"/>
                <w:w w:val="90"/>
              </w:rPr>
            </w:pPr>
            <w:hyperlink w:anchor="page27">
              <w:r>
                <w:rPr>
                  <w:rFonts w:ascii="Arial" w:cs="Arial" w:eastAsia="Arial" w:hAnsi="Arial"/>
                  <w:sz w:val="13"/>
                  <w:szCs w:val="13"/>
                  <w:color w:val="0000EE"/>
                  <w:w w:val="90"/>
                </w:rPr>
                <w:t>Item 1B.</w:t>
              </w:r>
            </w:hyperlink>
          </w:p>
        </w:tc>
        <w:tc>
          <w:tcPr>
            <w:tcW w:w="460" w:type="dxa"/>
            <w:vAlign w:val="bottom"/>
            <w:gridSpan w:val="3"/>
          </w:tcPr>
          <w:p>
            <w:pPr>
              <w:spacing w:after="0"/>
              <w:rPr>
                <w:sz w:val="13"/>
                <w:szCs w:val="13"/>
                <w:color w:val="auto"/>
              </w:rPr>
            </w:pPr>
          </w:p>
        </w:tc>
        <w:tc>
          <w:tcPr>
            <w:tcW w:w="10400" w:type="dxa"/>
            <w:vAlign w:val="bottom"/>
            <w:gridSpan w:val="25"/>
          </w:tcPr>
          <w:p>
            <w:pPr>
              <w:spacing w:after="0"/>
              <w:rPr>
                <w:rFonts w:ascii="Arial" w:cs="Arial" w:eastAsia="Arial" w:hAnsi="Arial"/>
                <w:sz w:val="13"/>
                <w:szCs w:val="13"/>
                <w:color w:val="0000EE"/>
              </w:rPr>
            </w:pPr>
            <w:hyperlink w:anchor="page27">
              <w:r>
                <w:rPr>
                  <w:rFonts w:ascii="Arial" w:cs="Arial" w:eastAsia="Arial" w:hAnsi="Arial"/>
                  <w:sz w:val="13"/>
                  <w:szCs w:val="13"/>
                  <w:color w:val="0000EE"/>
                </w:rPr>
                <w:t>Unresolved Staff Comments</w:t>
              </w:r>
            </w:hyperlink>
          </w:p>
        </w:tc>
        <w:tc>
          <w:tcPr>
            <w:tcW w:w="60" w:type="dxa"/>
            <w:vAlign w:val="bottom"/>
          </w:tcPr>
          <w:p>
            <w:pPr>
              <w:jc w:val="right"/>
              <w:spacing w:after="0"/>
              <w:rPr>
                <w:rFonts w:ascii="Arial" w:cs="Arial" w:eastAsia="Arial" w:hAnsi="Arial"/>
                <w:sz w:val="5"/>
                <w:szCs w:val="5"/>
                <w:color w:val="0000EE"/>
                <w:w w:val="71"/>
              </w:rPr>
            </w:pPr>
            <w:hyperlink w:anchor="page27">
              <w:r>
                <w:rPr>
                  <w:rFonts w:ascii="Arial" w:cs="Arial" w:eastAsia="Arial" w:hAnsi="Arial"/>
                  <w:sz w:val="5"/>
                  <w:szCs w:val="5"/>
                  <w:color w:val="0000EE"/>
                  <w:w w:val="71"/>
                </w:rPr>
                <w:t>21</w:t>
              </w:r>
            </w:hyperlink>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spacing w:after="0"/>
              <w:rPr>
                <w:rFonts w:ascii="Arial" w:cs="Arial" w:eastAsia="Arial" w:hAnsi="Arial"/>
                <w:sz w:val="13"/>
                <w:szCs w:val="13"/>
                <w:color w:val="0000EE"/>
                <w:w w:val="90"/>
              </w:rPr>
            </w:pPr>
            <w:hyperlink w:anchor="page27">
              <w:r>
                <w:rPr>
                  <w:rFonts w:ascii="Arial" w:cs="Arial" w:eastAsia="Arial" w:hAnsi="Arial"/>
                  <w:sz w:val="13"/>
                  <w:szCs w:val="13"/>
                  <w:color w:val="0000EE"/>
                  <w:w w:val="90"/>
                </w:rPr>
                <w:t>Item 2.</w:t>
              </w:r>
            </w:hyperlink>
          </w:p>
        </w:tc>
        <w:tc>
          <w:tcPr>
            <w:tcW w:w="540" w:type="dxa"/>
            <w:vAlign w:val="bottom"/>
            <w:gridSpan w:val="6"/>
            <w:shd w:val="clear" w:color="auto" w:fill="CCEEFF"/>
          </w:tcPr>
          <w:p>
            <w:pPr>
              <w:spacing w:after="0"/>
              <w:rPr>
                <w:sz w:val="13"/>
                <w:szCs w:val="13"/>
                <w:color w:val="auto"/>
              </w:rPr>
            </w:pPr>
          </w:p>
        </w:tc>
        <w:tc>
          <w:tcPr>
            <w:tcW w:w="10400" w:type="dxa"/>
            <w:vAlign w:val="bottom"/>
            <w:tcBorders>
              <w:right w:val="single" w:sz="8" w:color="CCEEFF"/>
            </w:tcBorders>
            <w:gridSpan w:val="25"/>
            <w:shd w:val="clear" w:color="auto" w:fill="CCEEFF"/>
          </w:tcPr>
          <w:p>
            <w:pPr>
              <w:spacing w:after="0"/>
              <w:rPr>
                <w:rFonts w:ascii="Arial" w:cs="Arial" w:eastAsia="Arial" w:hAnsi="Arial"/>
                <w:sz w:val="13"/>
                <w:szCs w:val="13"/>
                <w:color w:val="0000EE"/>
              </w:rPr>
            </w:pPr>
            <w:hyperlink w:anchor="page27">
              <w:r>
                <w:rPr>
                  <w:rFonts w:ascii="Arial" w:cs="Arial" w:eastAsia="Arial" w:hAnsi="Arial"/>
                  <w:sz w:val="13"/>
                  <w:szCs w:val="13"/>
                  <w:color w:val="0000EE"/>
                </w:rPr>
                <w:t>Properties</w:t>
              </w:r>
            </w:hyperlink>
          </w:p>
        </w:tc>
        <w:tc>
          <w:tcPr>
            <w:tcW w:w="60" w:type="dxa"/>
            <w:vAlign w:val="bottom"/>
            <w:shd w:val="clear" w:color="auto" w:fill="CCEEFF"/>
          </w:tcPr>
          <w:p>
            <w:pPr>
              <w:jc w:val="right"/>
              <w:spacing w:after="0"/>
              <w:rPr>
                <w:rFonts w:ascii="Arial" w:cs="Arial" w:eastAsia="Arial" w:hAnsi="Arial"/>
                <w:sz w:val="5"/>
                <w:szCs w:val="5"/>
                <w:color w:val="0000EE"/>
                <w:w w:val="71"/>
              </w:rPr>
            </w:pPr>
            <w:hyperlink w:anchor="page27">
              <w:r>
                <w:rPr>
                  <w:rFonts w:ascii="Arial" w:cs="Arial" w:eastAsia="Arial" w:hAnsi="Arial"/>
                  <w:sz w:val="5"/>
                  <w:szCs w:val="5"/>
                  <w:color w:val="0000EE"/>
                  <w:w w:val="71"/>
                </w:rPr>
                <w:t>21</w:t>
              </w:r>
            </w:hyperlink>
          </w:p>
        </w:tc>
        <w:tc>
          <w:tcPr>
            <w:tcW w:w="40" w:type="dxa"/>
            <w:vAlign w:val="bottom"/>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62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51"/>
        </w:trPr>
        <w:tc>
          <w:tcPr>
            <w:tcW w:w="20" w:type="dxa"/>
            <w:vAlign w:val="bottom"/>
          </w:tcPr>
          <w:p>
            <w:pPr>
              <w:spacing w:after="0"/>
              <w:rPr>
                <w:sz w:val="13"/>
                <w:szCs w:val="13"/>
                <w:color w:val="auto"/>
              </w:rPr>
            </w:pPr>
          </w:p>
        </w:tc>
        <w:tc>
          <w:tcPr>
            <w:tcW w:w="380" w:type="dxa"/>
            <w:vAlign w:val="bottom"/>
            <w:gridSpan w:val="2"/>
          </w:tcPr>
          <w:p>
            <w:pPr>
              <w:spacing w:after="0"/>
              <w:rPr>
                <w:rFonts w:ascii="Arial" w:cs="Arial" w:eastAsia="Arial" w:hAnsi="Arial"/>
                <w:sz w:val="13"/>
                <w:szCs w:val="13"/>
                <w:color w:val="0000EE"/>
                <w:w w:val="90"/>
              </w:rPr>
            </w:pPr>
            <w:hyperlink w:anchor="page27">
              <w:r>
                <w:rPr>
                  <w:rFonts w:ascii="Arial" w:cs="Arial" w:eastAsia="Arial" w:hAnsi="Arial"/>
                  <w:sz w:val="13"/>
                  <w:szCs w:val="13"/>
                  <w:color w:val="0000EE"/>
                  <w:w w:val="90"/>
                </w:rPr>
                <w:t>Item 3.</w:t>
              </w:r>
            </w:hyperlink>
          </w:p>
        </w:tc>
        <w:tc>
          <w:tcPr>
            <w:tcW w:w="540" w:type="dxa"/>
            <w:vAlign w:val="bottom"/>
            <w:gridSpan w:val="6"/>
          </w:tcPr>
          <w:p>
            <w:pPr>
              <w:spacing w:after="0"/>
              <w:rPr>
                <w:sz w:val="13"/>
                <w:szCs w:val="13"/>
                <w:color w:val="auto"/>
              </w:rPr>
            </w:pPr>
          </w:p>
        </w:tc>
        <w:tc>
          <w:tcPr>
            <w:tcW w:w="10400" w:type="dxa"/>
            <w:vAlign w:val="bottom"/>
            <w:gridSpan w:val="25"/>
          </w:tcPr>
          <w:p>
            <w:pPr>
              <w:spacing w:after="0"/>
              <w:rPr>
                <w:rFonts w:ascii="Arial" w:cs="Arial" w:eastAsia="Arial" w:hAnsi="Arial"/>
                <w:sz w:val="13"/>
                <w:szCs w:val="13"/>
                <w:color w:val="0000EE"/>
              </w:rPr>
            </w:pPr>
            <w:hyperlink w:anchor="page27">
              <w:r>
                <w:rPr>
                  <w:rFonts w:ascii="Arial" w:cs="Arial" w:eastAsia="Arial" w:hAnsi="Arial"/>
                  <w:sz w:val="13"/>
                  <w:szCs w:val="13"/>
                  <w:color w:val="0000EE"/>
                </w:rPr>
                <w:t>Legal Proceedings</w:t>
              </w:r>
            </w:hyperlink>
          </w:p>
        </w:tc>
        <w:tc>
          <w:tcPr>
            <w:tcW w:w="60" w:type="dxa"/>
            <w:vAlign w:val="bottom"/>
          </w:tcPr>
          <w:p>
            <w:pPr>
              <w:jc w:val="right"/>
              <w:spacing w:after="0"/>
              <w:rPr>
                <w:rFonts w:ascii="Arial" w:cs="Arial" w:eastAsia="Arial" w:hAnsi="Arial"/>
                <w:sz w:val="5"/>
                <w:szCs w:val="5"/>
                <w:color w:val="0000EE"/>
                <w:w w:val="71"/>
              </w:rPr>
            </w:pPr>
            <w:hyperlink w:anchor="page27">
              <w:r>
                <w:rPr>
                  <w:rFonts w:ascii="Arial" w:cs="Arial" w:eastAsia="Arial" w:hAnsi="Arial"/>
                  <w:sz w:val="5"/>
                  <w:szCs w:val="5"/>
                  <w:color w:val="0000EE"/>
                  <w:w w:val="71"/>
                </w:rPr>
                <w:t>21</w:t>
              </w:r>
            </w:hyperlink>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0000EE"/>
            </w:tcBorders>
            <w:gridSpan w:val="2"/>
            <w:shd w:val="clear" w:color="auto" w:fill="CCEEFF"/>
          </w:tcPr>
          <w:p>
            <w:pPr>
              <w:spacing w:after="0"/>
              <w:rPr>
                <w:rFonts w:ascii="Arial" w:cs="Arial" w:eastAsia="Arial" w:hAnsi="Arial"/>
                <w:sz w:val="13"/>
                <w:szCs w:val="13"/>
                <w:color w:val="0000EE"/>
                <w:w w:val="90"/>
              </w:rPr>
            </w:pPr>
            <w:hyperlink w:anchor="page27">
              <w:r>
                <w:rPr>
                  <w:rFonts w:ascii="Arial" w:cs="Arial" w:eastAsia="Arial" w:hAnsi="Arial"/>
                  <w:sz w:val="13"/>
                  <w:szCs w:val="13"/>
                  <w:color w:val="0000EE"/>
                  <w:w w:val="90"/>
                </w:rPr>
                <w:t>Item 4.</w:t>
              </w:r>
            </w:hyperlink>
          </w:p>
        </w:tc>
        <w:tc>
          <w:tcPr>
            <w:tcW w:w="540" w:type="dxa"/>
            <w:vAlign w:val="bottom"/>
            <w:tcBorders>
              <w:bottom w:val="single" w:sz="8" w:color="CCEEFF"/>
            </w:tcBorders>
            <w:gridSpan w:val="6"/>
            <w:shd w:val="clear" w:color="auto" w:fill="CCEEFF"/>
          </w:tcPr>
          <w:p>
            <w:pPr>
              <w:spacing w:after="0"/>
              <w:rPr>
                <w:sz w:val="16"/>
                <w:szCs w:val="16"/>
                <w:color w:val="auto"/>
              </w:rPr>
            </w:pPr>
          </w:p>
        </w:tc>
        <w:tc>
          <w:tcPr>
            <w:tcW w:w="1280" w:type="dxa"/>
            <w:vAlign w:val="bottom"/>
            <w:tcBorders>
              <w:bottom w:val="single" w:sz="8" w:color="0000EE"/>
            </w:tcBorders>
            <w:gridSpan w:val="11"/>
            <w:shd w:val="clear" w:color="auto" w:fill="CCEEFF"/>
          </w:tcPr>
          <w:p>
            <w:pPr>
              <w:spacing w:after="0"/>
              <w:rPr>
                <w:rFonts w:ascii="Arial" w:cs="Arial" w:eastAsia="Arial" w:hAnsi="Arial"/>
                <w:sz w:val="13"/>
                <w:szCs w:val="13"/>
                <w:color w:val="0000EE"/>
                <w:w w:val="90"/>
              </w:rPr>
            </w:pPr>
            <w:hyperlink w:anchor="page27">
              <w:r>
                <w:rPr>
                  <w:rFonts w:ascii="Arial" w:cs="Arial" w:eastAsia="Arial" w:hAnsi="Arial"/>
                  <w:sz w:val="13"/>
                  <w:szCs w:val="13"/>
                  <w:color w:val="0000EE"/>
                  <w:w w:val="90"/>
                </w:rPr>
                <w:t>Mine Safety Disclosures</w:t>
              </w:r>
            </w:hyperlink>
          </w:p>
        </w:tc>
        <w:tc>
          <w:tcPr>
            <w:tcW w:w="9120" w:type="dxa"/>
            <w:vAlign w:val="bottom"/>
            <w:tcBorders>
              <w:bottom w:val="single" w:sz="8" w:color="CCEEFF"/>
              <w:right w:val="single" w:sz="8" w:color="CCEEFF"/>
            </w:tcBorders>
            <w:gridSpan w:val="14"/>
            <w:shd w:val="clear" w:color="auto" w:fill="CCEEFF"/>
          </w:tcPr>
          <w:p>
            <w:pPr>
              <w:spacing w:after="0"/>
              <w:rPr>
                <w:sz w:val="16"/>
                <w:szCs w:val="16"/>
                <w:color w:val="auto"/>
              </w:rPr>
            </w:pPr>
          </w:p>
        </w:tc>
        <w:tc>
          <w:tcPr>
            <w:tcW w:w="60" w:type="dxa"/>
            <w:vAlign w:val="bottom"/>
            <w:tcBorders>
              <w:bottom w:val="single" w:sz="8" w:color="0000EE"/>
            </w:tcBorders>
            <w:shd w:val="clear" w:color="auto" w:fill="CCEEFF"/>
          </w:tcPr>
          <w:p>
            <w:pPr>
              <w:jc w:val="right"/>
              <w:spacing w:after="0"/>
              <w:rPr>
                <w:rFonts w:ascii="Arial" w:cs="Arial" w:eastAsia="Arial" w:hAnsi="Arial"/>
                <w:sz w:val="5"/>
                <w:szCs w:val="5"/>
                <w:color w:val="0000EE"/>
                <w:w w:val="71"/>
              </w:rPr>
            </w:pPr>
            <w:hyperlink w:anchor="page27">
              <w:r>
                <w:rPr>
                  <w:rFonts w:ascii="Arial" w:cs="Arial" w:eastAsia="Arial" w:hAnsi="Arial"/>
                  <w:sz w:val="5"/>
                  <w:szCs w:val="5"/>
                  <w:color w:val="0000EE"/>
                  <w:w w:val="71"/>
                </w:rPr>
                <w:t>21</w:t>
              </w:r>
            </w:hyperlink>
          </w:p>
        </w:tc>
        <w:tc>
          <w:tcPr>
            <w:tcW w:w="40" w:type="dxa"/>
            <w:vAlign w:val="bottom"/>
            <w:tcBorders>
              <w:bottom w:val="single" w:sz="8" w:color="CCEEFF"/>
            </w:tcBorders>
            <w:shd w:val="clear" w:color="auto" w:fill="CCEEFF"/>
          </w:tcPr>
          <w:p>
            <w:pPr>
              <w:spacing w:after="0"/>
              <w:rPr>
                <w:sz w:val="16"/>
                <w:szCs w:val="16"/>
                <w:color w:val="auto"/>
              </w:rPr>
            </w:pPr>
          </w:p>
        </w:tc>
      </w:tr>
      <w:tr>
        <w:trPr>
          <w:trHeight w:val="151"/>
        </w:trPr>
        <w:tc>
          <w:tcPr>
            <w:tcW w:w="20" w:type="dxa"/>
            <w:vAlign w:val="bottom"/>
          </w:tcPr>
          <w:p>
            <w:pPr>
              <w:spacing w:after="0"/>
              <w:rPr>
                <w:sz w:val="13"/>
                <w:szCs w:val="13"/>
                <w:color w:val="auto"/>
              </w:rPr>
            </w:pPr>
          </w:p>
        </w:tc>
        <w:tc>
          <w:tcPr>
            <w:tcW w:w="920" w:type="dxa"/>
            <w:vAlign w:val="bottom"/>
            <w:gridSpan w:val="8"/>
          </w:tcPr>
          <w:p>
            <w:pPr>
              <w:spacing w:after="0"/>
              <w:rPr>
                <w:rFonts w:ascii="Arial" w:cs="Arial" w:eastAsia="Arial" w:hAnsi="Arial"/>
                <w:sz w:val="13"/>
                <w:szCs w:val="13"/>
                <w:b w:val="1"/>
                <w:bCs w:val="1"/>
                <w:color w:val="0000EE"/>
              </w:rPr>
            </w:pPr>
            <w:hyperlink w:anchor="page28">
              <w:r>
                <w:rPr>
                  <w:rFonts w:ascii="Arial" w:cs="Arial" w:eastAsia="Arial" w:hAnsi="Arial"/>
                  <w:sz w:val="13"/>
                  <w:szCs w:val="13"/>
                  <w:b w:val="1"/>
                  <w:bCs w:val="1"/>
                  <w:color w:val="0000EE"/>
                </w:rPr>
                <w:t>PART II</w:t>
              </w:r>
            </w:hyperlink>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0" w:type="dxa"/>
            <w:vAlign w:val="bottom"/>
          </w:tcPr>
          <w:p>
            <w:pPr>
              <w:jc w:val="right"/>
              <w:spacing w:after="0"/>
              <w:rPr>
                <w:rFonts w:ascii="Arial" w:cs="Arial" w:eastAsia="Arial" w:hAnsi="Arial"/>
                <w:sz w:val="5"/>
                <w:szCs w:val="5"/>
                <w:color w:val="0000EE"/>
                <w:w w:val="71"/>
              </w:rPr>
            </w:pPr>
            <w:hyperlink w:anchor="page28">
              <w:r>
                <w:rPr>
                  <w:rFonts w:ascii="Arial" w:cs="Arial" w:eastAsia="Arial" w:hAnsi="Arial"/>
                  <w:sz w:val="5"/>
                  <w:szCs w:val="5"/>
                  <w:color w:val="0000EE"/>
                  <w:w w:val="71"/>
                </w:rPr>
                <w:t>22</w:t>
              </w:r>
            </w:hyperlink>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spacing w:after="0"/>
              <w:rPr>
                <w:rFonts w:ascii="Arial" w:cs="Arial" w:eastAsia="Arial" w:hAnsi="Arial"/>
                <w:sz w:val="13"/>
                <w:szCs w:val="13"/>
                <w:color w:val="0000EE"/>
                <w:w w:val="90"/>
              </w:rPr>
            </w:pPr>
            <w:hyperlink w:anchor="page28">
              <w:r>
                <w:rPr>
                  <w:rFonts w:ascii="Arial" w:cs="Arial" w:eastAsia="Arial" w:hAnsi="Arial"/>
                  <w:sz w:val="13"/>
                  <w:szCs w:val="13"/>
                  <w:color w:val="0000EE"/>
                  <w:w w:val="90"/>
                </w:rPr>
                <w:t>Item 5.</w:t>
              </w:r>
            </w:hyperlink>
          </w:p>
        </w:tc>
        <w:tc>
          <w:tcPr>
            <w:tcW w:w="540" w:type="dxa"/>
            <w:vAlign w:val="bottom"/>
            <w:gridSpan w:val="6"/>
            <w:shd w:val="clear" w:color="auto" w:fill="CCEEFF"/>
          </w:tcPr>
          <w:p>
            <w:pPr>
              <w:spacing w:after="0"/>
              <w:rPr>
                <w:sz w:val="16"/>
                <w:szCs w:val="16"/>
                <w:color w:val="auto"/>
              </w:rPr>
            </w:pPr>
          </w:p>
        </w:tc>
        <w:tc>
          <w:tcPr>
            <w:tcW w:w="10400" w:type="dxa"/>
            <w:vAlign w:val="bottom"/>
            <w:tcBorders>
              <w:right w:val="single" w:sz="8" w:color="CCEEFF"/>
            </w:tcBorders>
            <w:gridSpan w:val="25"/>
            <w:shd w:val="clear" w:color="auto" w:fill="CCEEFF"/>
          </w:tcPr>
          <w:p>
            <w:pPr>
              <w:spacing w:after="0"/>
              <w:rPr>
                <w:rFonts w:ascii="Arial" w:cs="Arial" w:eastAsia="Arial" w:hAnsi="Arial"/>
                <w:sz w:val="13"/>
                <w:szCs w:val="13"/>
                <w:color w:val="0000EE"/>
              </w:rPr>
            </w:pPr>
            <w:hyperlink w:anchor="page28">
              <w:r>
                <w:rPr>
                  <w:rFonts w:ascii="Arial" w:cs="Arial" w:eastAsia="Arial" w:hAnsi="Arial"/>
                  <w:sz w:val="13"/>
                  <w:szCs w:val="13"/>
                  <w:color w:val="0000EE"/>
                </w:rPr>
                <w:t>Market for Registrant's Common Equity, Related Stockholder Matters and Issuer Purchases of Equity Securities</w:t>
              </w:r>
            </w:hyperlink>
          </w:p>
        </w:tc>
        <w:tc>
          <w:tcPr>
            <w:tcW w:w="60" w:type="dxa"/>
            <w:vAlign w:val="bottom"/>
            <w:shd w:val="clear" w:color="auto" w:fill="CCEEFF"/>
          </w:tcPr>
          <w:p>
            <w:pPr>
              <w:jc w:val="right"/>
              <w:spacing w:after="0"/>
              <w:rPr>
                <w:rFonts w:ascii="Arial" w:cs="Arial" w:eastAsia="Arial" w:hAnsi="Arial"/>
                <w:sz w:val="5"/>
                <w:szCs w:val="5"/>
                <w:color w:val="0000EE"/>
                <w:w w:val="71"/>
              </w:rPr>
            </w:pPr>
            <w:hyperlink w:anchor="page28">
              <w:r>
                <w:rPr>
                  <w:rFonts w:ascii="Arial" w:cs="Arial" w:eastAsia="Arial" w:hAnsi="Arial"/>
                  <w:sz w:val="5"/>
                  <w:szCs w:val="5"/>
                  <w:color w:val="0000EE"/>
                  <w:w w:val="71"/>
                </w:rPr>
                <w:t>22</w:t>
              </w:r>
            </w:hyperlink>
          </w:p>
        </w:tc>
        <w:tc>
          <w:tcPr>
            <w:tcW w:w="40" w:type="dxa"/>
            <w:vAlign w:val="bottom"/>
            <w:shd w:val="clear" w:color="auto" w:fill="CCEEFF"/>
          </w:tcPr>
          <w:p>
            <w:pPr>
              <w:spacing w:after="0"/>
              <w:rPr>
                <w:sz w:val="16"/>
                <w:szCs w:val="16"/>
                <w:color w:val="auto"/>
              </w:rPr>
            </w:pPr>
          </w:p>
        </w:tc>
      </w:tr>
      <w:tr>
        <w:trPr>
          <w:trHeight w:val="151"/>
        </w:trPr>
        <w:tc>
          <w:tcPr>
            <w:tcW w:w="20" w:type="dxa"/>
            <w:vAlign w:val="bottom"/>
            <w:tcBorders>
              <w:top w:val="single" w:sz="8" w:color="CCEEFF"/>
            </w:tcBorders>
          </w:tcPr>
          <w:p>
            <w:pPr>
              <w:spacing w:after="0"/>
              <w:rPr>
                <w:sz w:val="13"/>
                <w:szCs w:val="13"/>
                <w:color w:val="auto"/>
              </w:rPr>
            </w:pPr>
          </w:p>
        </w:tc>
        <w:tc>
          <w:tcPr>
            <w:tcW w:w="380" w:type="dxa"/>
            <w:vAlign w:val="bottom"/>
            <w:tcBorders>
              <w:top w:val="single" w:sz="8" w:color="0000EE"/>
            </w:tcBorders>
            <w:gridSpan w:val="2"/>
          </w:tcPr>
          <w:p>
            <w:pPr>
              <w:spacing w:after="0"/>
              <w:rPr>
                <w:rFonts w:ascii="Arial" w:cs="Arial" w:eastAsia="Arial" w:hAnsi="Arial"/>
                <w:sz w:val="13"/>
                <w:szCs w:val="13"/>
                <w:color w:val="0000EE"/>
                <w:w w:val="90"/>
              </w:rPr>
            </w:pPr>
            <w:hyperlink w:anchor="page31">
              <w:r>
                <w:rPr>
                  <w:rFonts w:ascii="Arial" w:cs="Arial" w:eastAsia="Arial" w:hAnsi="Arial"/>
                  <w:sz w:val="13"/>
                  <w:szCs w:val="13"/>
                  <w:color w:val="0000EE"/>
                  <w:w w:val="90"/>
                </w:rPr>
                <w:t>Item 6.</w:t>
              </w:r>
            </w:hyperlink>
          </w:p>
        </w:tc>
        <w:tc>
          <w:tcPr>
            <w:tcW w:w="540" w:type="dxa"/>
            <w:vAlign w:val="bottom"/>
            <w:tcBorders>
              <w:top w:val="single" w:sz="8" w:color="CCEEFF"/>
            </w:tcBorders>
            <w:gridSpan w:val="6"/>
          </w:tcPr>
          <w:p>
            <w:pPr>
              <w:spacing w:after="0"/>
              <w:rPr>
                <w:sz w:val="13"/>
                <w:szCs w:val="13"/>
                <w:color w:val="auto"/>
              </w:rPr>
            </w:pPr>
          </w:p>
        </w:tc>
        <w:tc>
          <w:tcPr>
            <w:tcW w:w="5780" w:type="dxa"/>
            <w:vAlign w:val="bottom"/>
            <w:tcBorders>
              <w:top w:val="single" w:sz="8" w:color="0000EE"/>
            </w:tcBorders>
            <w:gridSpan w:val="24"/>
          </w:tcPr>
          <w:p>
            <w:pPr>
              <w:spacing w:after="0"/>
              <w:rPr>
                <w:rFonts w:ascii="Arial" w:cs="Arial" w:eastAsia="Arial" w:hAnsi="Arial"/>
                <w:sz w:val="13"/>
                <w:szCs w:val="13"/>
                <w:color w:val="0000EE"/>
              </w:rPr>
            </w:pPr>
            <w:hyperlink w:anchor="page31">
              <w:r>
                <w:rPr>
                  <w:rFonts w:ascii="Arial" w:cs="Arial" w:eastAsia="Arial" w:hAnsi="Arial"/>
                  <w:sz w:val="13"/>
                  <w:szCs w:val="13"/>
                  <w:color w:val="0000EE"/>
                </w:rPr>
                <w:t>Selected Financial Data</w:t>
              </w:r>
            </w:hyperlink>
          </w:p>
        </w:tc>
        <w:tc>
          <w:tcPr>
            <w:tcW w:w="4620" w:type="dxa"/>
            <w:vAlign w:val="bottom"/>
            <w:tcBorders>
              <w:top w:val="single" w:sz="8" w:color="CCEEFF"/>
            </w:tcBorders>
          </w:tcPr>
          <w:p>
            <w:pPr>
              <w:spacing w:after="0"/>
              <w:rPr>
                <w:sz w:val="13"/>
                <w:szCs w:val="13"/>
                <w:color w:val="auto"/>
              </w:rPr>
            </w:pPr>
          </w:p>
        </w:tc>
        <w:tc>
          <w:tcPr>
            <w:tcW w:w="60" w:type="dxa"/>
            <w:vAlign w:val="bottom"/>
            <w:tcBorders>
              <w:top w:val="single" w:sz="8" w:color="0000EE"/>
            </w:tcBorders>
          </w:tcPr>
          <w:p>
            <w:pPr>
              <w:jc w:val="right"/>
              <w:spacing w:after="0"/>
              <w:rPr>
                <w:rFonts w:ascii="Arial" w:cs="Arial" w:eastAsia="Arial" w:hAnsi="Arial"/>
                <w:sz w:val="5"/>
                <w:szCs w:val="5"/>
                <w:color w:val="0000EE"/>
                <w:w w:val="71"/>
              </w:rPr>
            </w:pPr>
            <w:hyperlink w:anchor="page31">
              <w:r>
                <w:rPr>
                  <w:rFonts w:ascii="Arial" w:cs="Arial" w:eastAsia="Arial" w:hAnsi="Arial"/>
                  <w:sz w:val="5"/>
                  <w:szCs w:val="5"/>
                  <w:color w:val="0000EE"/>
                  <w:w w:val="71"/>
                </w:rPr>
                <w:t>25</w:t>
              </w:r>
            </w:hyperlink>
          </w:p>
        </w:tc>
        <w:tc>
          <w:tcPr>
            <w:tcW w:w="40" w:type="dxa"/>
            <w:vAlign w:val="bottom"/>
            <w:tcBorders>
              <w:top w:val="single" w:sz="8" w:color="CCEEFF"/>
            </w:tcBorders>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spacing w:after="0"/>
              <w:rPr>
                <w:rFonts w:ascii="Arial" w:cs="Arial" w:eastAsia="Arial" w:hAnsi="Arial"/>
                <w:sz w:val="13"/>
                <w:szCs w:val="13"/>
                <w:color w:val="0000EE"/>
                <w:w w:val="90"/>
              </w:rPr>
            </w:pPr>
            <w:hyperlink w:anchor="page32">
              <w:r>
                <w:rPr>
                  <w:rFonts w:ascii="Arial" w:cs="Arial" w:eastAsia="Arial" w:hAnsi="Arial"/>
                  <w:sz w:val="13"/>
                  <w:szCs w:val="13"/>
                  <w:color w:val="0000EE"/>
                  <w:w w:val="90"/>
                </w:rPr>
                <w:t>Item 7.</w:t>
              </w:r>
            </w:hyperlink>
          </w:p>
        </w:tc>
        <w:tc>
          <w:tcPr>
            <w:tcW w:w="540" w:type="dxa"/>
            <w:vAlign w:val="bottom"/>
            <w:gridSpan w:val="6"/>
            <w:shd w:val="clear" w:color="auto" w:fill="CCEEFF"/>
          </w:tcPr>
          <w:p>
            <w:pPr>
              <w:spacing w:after="0"/>
              <w:rPr>
                <w:sz w:val="13"/>
                <w:szCs w:val="13"/>
                <w:color w:val="auto"/>
              </w:rPr>
            </w:pPr>
          </w:p>
        </w:tc>
        <w:tc>
          <w:tcPr>
            <w:tcW w:w="10400" w:type="dxa"/>
            <w:vAlign w:val="bottom"/>
            <w:tcBorders>
              <w:right w:val="single" w:sz="8" w:color="CCEEFF"/>
            </w:tcBorders>
            <w:gridSpan w:val="25"/>
            <w:shd w:val="clear" w:color="auto" w:fill="CCEEFF"/>
          </w:tcPr>
          <w:p>
            <w:pPr>
              <w:spacing w:after="0"/>
              <w:rPr>
                <w:rFonts w:ascii="Arial" w:cs="Arial" w:eastAsia="Arial" w:hAnsi="Arial"/>
                <w:sz w:val="13"/>
                <w:szCs w:val="13"/>
                <w:color w:val="0000EE"/>
              </w:rPr>
            </w:pPr>
            <w:hyperlink w:anchor="page32">
              <w:r>
                <w:rPr>
                  <w:rFonts w:ascii="Arial" w:cs="Arial" w:eastAsia="Arial" w:hAnsi="Arial"/>
                  <w:sz w:val="13"/>
                  <w:szCs w:val="13"/>
                  <w:color w:val="0000EE"/>
                </w:rPr>
                <w:t>Management's Discussion and Analysis of Financial Condition and Results of Operations</w:t>
              </w:r>
            </w:hyperlink>
          </w:p>
        </w:tc>
        <w:tc>
          <w:tcPr>
            <w:tcW w:w="60" w:type="dxa"/>
            <w:vAlign w:val="bottom"/>
            <w:shd w:val="clear" w:color="auto" w:fill="CCEEFF"/>
          </w:tcPr>
          <w:p>
            <w:pPr>
              <w:jc w:val="right"/>
              <w:spacing w:after="0"/>
              <w:rPr>
                <w:rFonts w:ascii="Arial" w:cs="Arial" w:eastAsia="Arial" w:hAnsi="Arial"/>
                <w:sz w:val="5"/>
                <w:szCs w:val="5"/>
                <w:color w:val="0000EE"/>
                <w:w w:val="71"/>
              </w:rPr>
            </w:pPr>
            <w:hyperlink w:anchor="page32">
              <w:r>
                <w:rPr>
                  <w:rFonts w:ascii="Arial" w:cs="Arial" w:eastAsia="Arial" w:hAnsi="Arial"/>
                  <w:sz w:val="5"/>
                  <w:szCs w:val="5"/>
                  <w:color w:val="0000EE"/>
                  <w:w w:val="71"/>
                </w:rPr>
                <w:t>26</w:t>
              </w:r>
            </w:hyperlink>
          </w:p>
        </w:tc>
        <w:tc>
          <w:tcPr>
            <w:tcW w:w="40" w:type="dxa"/>
            <w:vAlign w:val="bottom"/>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62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51"/>
        </w:trPr>
        <w:tc>
          <w:tcPr>
            <w:tcW w:w="20" w:type="dxa"/>
            <w:vAlign w:val="bottom"/>
          </w:tcPr>
          <w:p>
            <w:pPr>
              <w:spacing w:after="0"/>
              <w:rPr>
                <w:sz w:val="13"/>
                <w:szCs w:val="13"/>
                <w:color w:val="auto"/>
              </w:rPr>
            </w:pPr>
          </w:p>
        </w:tc>
        <w:tc>
          <w:tcPr>
            <w:tcW w:w="920" w:type="dxa"/>
            <w:vAlign w:val="bottom"/>
            <w:gridSpan w:val="8"/>
          </w:tcPr>
          <w:p>
            <w:pPr>
              <w:spacing w:after="0"/>
              <w:rPr>
                <w:rFonts w:ascii="Arial" w:cs="Arial" w:eastAsia="Arial" w:hAnsi="Arial"/>
                <w:sz w:val="13"/>
                <w:szCs w:val="13"/>
                <w:color w:val="0000EE"/>
              </w:rPr>
            </w:pPr>
            <w:hyperlink w:anchor="page40">
              <w:r>
                <w:rPr>
                  <w:rFonts w:ascii="Arial" w:cs="Arial" w:eastAsia="Arial" w:hAnsi="Arial"/>
                  <w:sz w:val="13"/>
                  <w:szCs w:val="13"/>
                  <w:color w:val="0000EE"/>
                </w:rPr>
                <w:t>Item 7A.</w:t>
              </w:r>
            </w:hyperlink>
          </w:p>
        </w:tc>
        <w:tc>
          <w:tcPr>
            <w:tcW w:w="10400" w:type="dxa"/>
            <w:vAlign w:val="bottom"/>
            <w:gridSpan w:val="25"/>
          </w:tcPr>
          <w:p>
            <w:pPr>
              <w:spacing w:after="0"/>
              <w:rPr>
                <w:rFonts w:ascii="Arial" w:cs="Arial" w:eastAsia="Arial" w:hAnsi="Arial"/>
                <w:sz w:val="13"/>
                <w:szCs w:val="13"/>
                <w:color w:val="0000EE"/>
              </w:rPr>
            </w:pPr>
            <w:hyperlink w:anchor="page40">
              <w:r>
                <w:rPr>
                  <w:rFonts w:ascii="Arial" w:cs="Arial" w:eastAsia="Arial" w:hAnsi="Arial"/>
                  <w:sz w:val="13"/>
                  <w:szCs w:val="13"/>
                  <w:color w:val="0000EE"/>
                </w:rPr>
                <w:t>Quantitative and Qualitative Disclosures About Market Risk</w:t>
              </w:r>
            </w:hyperlink>
          </w:p>
        </w:tc>
        <w:tc>
          <w:tcPr>
            <w:tcW w:w="60" w:type="dxa"/>
            <w:vAlign w:val="bottom"/>
          </w:tcPr>
          <w:p>
            <w:pPr>
              <w:jc w:val="right"/>
              <w:spacing w:after="0"/>
              <w:rPr>
                <w:rFonts w:ascii="Arial" w:cs="Arial" w:eastAsia="Arial" w:hAnsi="Arial"/>
                <w:sz w:val="5"/>
                <w:szCs w:val="5"/>
                <w:color w:val="0000EE"/>
                <w:w w:val="71"/>
              </w:rPr>
            </w:pPr>
            <w:hyperlink w:anchor="page40">
              <w:r>
                <w:rPr>
                  <w:rFonts w:ascii="Arial" w:cs="Arial" w:eastAsia="Arial" w:hAnsi="Arial"/>
                  <w:sz w:val="5"/>
                  <w:szCs w:val="5"/>
                  <w:color w:val="0000EE"/>
                  <w:w w:val="71"/>
                </w:rPr>
                <w:t>34</w:t>
              </w:r>
            </w:hyperlink>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0000EE"/>
            </w:tcBorders>
            <w:gridSpan w:val="2"/>
            <w:shd w:val="clear" w:color="auto" w:fill="CCEEFF"/>
          </w:tcPr>
          <w:p>
            <w:pPr>
              <w:spacing w:after="0"/>
              <w:rPr>
                <w:rFonts w:ascii="Arial" w:cs="Arial" w:eastAsia="Arial" w:hAnsi="Arial"/>
                <w:sz w:val="13"/>
                <w:szCs w:val="13"/>
                <w:color w:val="0000EE"/>
                <w:w w:val="90"/>
              </w:rPr>
            </w:pPr>
            <w:hyperlink w:anchor="page42">
              <w:r>
                <w:rPr>
                  <w:rFonts w:ascii="Arial" w:cs="Arial" w:eastAsia="Arial" w:hAnsi="Arial"/>
                  <w:sz w:val="13"/>
                  <w:szCs w:val="13"/>
                  <w:color w:val="0000EE"/>
                  <w:w w:val="90"/>
                </w:rPr>
                <w:t>Item 8.</w:t>
              </w:r>
            </w:hyperlink>
          </w:p>
        </w:tc>
        <w:tc>
          <w:tcPr>
            <w:tcW w:w="540" w:type="dxa"/>
            <w:vAlign w:val="bottom"/>
            <w:tcBorders>
              <w:bottom w:val="single" w:sz="8" w:color="CCEEFF"/>
            </w:tcBorders>
            <w:gridSpan w:val="6"/>
            <w:shd w:val="clear" w:color="auto" w:fill="CCEEFF"/>
          </w:tcPr>
          <w:p>
            <w:pPr>
              <w:spacing w:after="0"/>
              <w:rPr>
                <w:sz w:val="16"/>
                <w:szCs w:val="16"/>
                <w:color w:val="auto"/>
              </w:rPr>
            </w:pPr>
          </w:p>
        </w:tc>
        <w:tc>
          <w:tcPr>
            <w:tcW w:w="2400" w:type="dxa"/>
            <w:vAlign w:val="bottom"/>
            <w:tcBorders>
              <w:bottom w:val="single" w:sz="8" w:color="0000EE"/>
            </w:tcBorders>
            <w:gridSpan w:val="17"/>
            <w:shd w:val="clear" w:color="auto" w:fill="CCEEFF"/>
          </w:tcPr>
          <w:p>
            <w:pPr>
              <w:spacing w:after="0"/>
              <w:rPr>
                <w:rFonts w:ascii="Arial" w:cs="Arial" w:eastAsia="Arial" w:hAnsi="Arial"/>
                <w:sz w:val="13"/>
                <w:szCs w:val="13"/>
                <w:color w:val="0000EE"/>
                <w:w w:val="88"/>
              </w:rPr>
            </w:pPr>
            <w:hyperlink w:anchor="page42">
              <w:r>
                <w:rPr>
                  <w:rFonts w:ascii="Arial" w:cs="Arial" w:eastAsia="Arial" w:hAnsi="Arial"/>
                  <w:sz w:val="13"/>
                  <w:szCs w:val="13"/>
                  <w:color w:val="0000EE"/>
                  <w:w w:val="88"/>
                </w:rPr>
                <w:t>Financial Statements and Supplementary Data</w:t>
              </w:r>
            </w:hyperlink>
          </w:p>
        </w:tc>
        <w:tc>
          <w:tcPr>
            <w:tcW w:w="8000" w:type="dxa"/>
            <w:vAlign w:val="bottom"/>
            <w:tcBorders>
              <w:bottom w:val="single" w:sz="8" w:color="CCEEFF"/>
              <w:right w:val="single" w:sz="8" w:color="CCEEFF"/>
            </w:tcBorders>
            <w:gridSpan w:val="8"/>
            <w:shd w:val="clear" w:color="auto" w:fill="CCEEFF"/>
          </w:tcPr>
          <w:p>
            <w:pPr>
              <w:spacing w:after="0"/>
              <w:rPr>
                <w:sz w:val="16"/>
                <w:szCs w:val="16"/>
                <w:color w:val="auto"/>
              </w:rPr>
            </w:pPr>
          </w:p>
        </w:tc>
        <w:tc>
          <w:tcPr>
            <w:tcW w:w="60" w:type="dxa"/>
            <w:vAlign w:val="bottom"/>
            <w:tcBorders>
              <w:bottom w:val="single" w:sz="8" w:color="0000EE"/>
            </w:tcBorders>
            <w:shd w:val="clear" w:color="auto" w:fill="CCEEFF"/>
          </w:tcPr>
          <w:p>
            <w:pPr>
              <w:jc w:val="right"/>
              <w:spacing w:after="0"/>
              <w:rPr>
                <w:rFonts w:ascii="Arial" w:cs="Arial" w:eastAsia="Arial" w:hAnsi="Arial"/>
                <w:sz w:val="5"/>
                <w:szCs w:val="5"/>
                <w:color w:val="0000EE"/>
                <w:w w:val="71"/>
              </w:rPr>
            </w:pPr>
            <w:hyperlink w:anchor="page42">
              <w:r>
                <w:rPr>
                  <w:rFonts w:ascii="Arial" w:cs="Arial" w:eastAsia="Arial" w:hAnsi="Arial"/>
                  <w:sz w:val="5"/>
                  <w:szCs w:val="5"/>
                  <w:color w:val="0000EE"/>
                  <w:w w:val="71"/>
                </w:rPr>
                <w:t>36</w:t>
              </w:r>
            </w:hyperlink>
          </w:p>
        </w:tc>
        <w:tc>
          <w:tcPr>
            <w:tcW w:w="40" w:type="dxa"/>
            <w:vAlign w:val="bottom"/>
            <w:tcBorders>
              <w:bottom w:val="single" w:sz="8" w:color="CCEEFF"/>
            </w:tcBorders>
            <w:shd w:val="clear" w:color="auto" w:fill="CCEEFF"/>
          </w:tcPr>
          <w:p>
            <w:pPr>
              <w:spacing w:after="0"/>
              <w:rPr>
                <w:sz w:val="16"/>
                <w:szCs w:val="16"/>
                <w:color w:val="auto"/>
              </w:rPr>
            </w:pPr>
          </w:p>
        </w:tc>
      </w:tr>
      <w:tr>
        <w:trPr>
          <w:trHeight w:val="151"/>
        </w:trPr>
        <w:tc>
          <w:tcPr>
            <w:tcW w:w="20" w:type="dxa"/>
            <w:vAlign w:val="bottom"/>
          </w:tcPr>
          <w:p>
            <w:pPr>
              <w:spacing w:after="0"/>
              <w:rPr>
                <w:sz w:val="13"/>
                <w:szCs w:val="13"/>
                <w:color w:val="auto"/>
              </w:rPr>
            </w:pPr>
          </w:p>
        </w:tc>
        <w:tc>
          <w:tcPr>
            <w:tcW w:w="920" w:type="dxa"/>
            <w:vAlign w:val="bottom"/>
            <w:gridSpan w:val="8"/>
          </w:tcPr>
          <w:p>
            <w:pPr>
              <w:spacing w:after="0"/>
              <w:rPr>
                <w:rFonts w:ascii="Arial" w:cs="Arial" w:eastAsia="Arial" w:hAnsi="Arial"/>
                <w:sz w:val="13"/>
                <w:szCs w:val="13"/>
                <w:color w:val="0000EE"/>
              </w:rPr>
            </w:pPr>
            <w:hyperlink w:anchor="page68">
              <w:r>
                <w:rPr>
                  <w:rFonts w:ascii="Arial" w:cs="Arial" w:eastAsia="Arial" w:hAnsi="Arial"/>
                  <w:sz w:val="13"/>
                  <w:szCs w:val="13"/>
                  <w:color w:val="0000EE"/>
                </w:rPr>
                <w:t>Item 9.</w:t>
              </w:r>
            </w:hyperlink>
          </w:p>
        </w:tc>
        <w:tc>
          <w:tcPr>
            <w:tcW w:w="10400" w:type="dxa"/>
            <w:vAlign w:val="bottom"/>
            <w:gridSpan w:val="25"/>
          </w:tcPr>
          <w:p>
            <w:pPr>
              <w:spacing w:after="0"/>
              <w:rPr>
                <w:rFonts w:ascii="Arial" w:cs="Arial" w:eastAsia="Arial" w:hAnsi="Arial"/>
                <w:sz w:val="13"/>
                <w:szCs w:val="13"/>
                <w:color w:val="0000EE"/>
              </w:rPr>
            </w:pPr>
            <w:hyperlink w:anchor="page68">
              <w:r>
                <w:rPr>
                  <w:rFonts w:ascii="Arial" w:cs="Arial" w:eastAsia="Arial" w:hAnsi="Arial"/>
                  <w:sz w:val="13"/>
                  <w:szCs w:val="13"/>
                  <w:color w:val="0000EE"/>
                </w:rPr>
                <w:t>Changes In and Disagreements with Accountants on Accounting and Financial Disclosure</w:t>
              </w:r>
            </w:hyperlink>
          </w:p>
        </w:tc>
        <w:tc>
          <w:tcPr>
            <w:tcW w:w="60" w:type="dxa"/>
            <w:vAlign w:val="bottom"/>
          </w:tcPr>
          <w:p>
            <w:pPr>
              <w:jc w:val="right"/>
              <w:spacing w:after="0"/>
              <w:rPr>
                <w:rFonts w:ascii="Arial" w:cs="Arial" w:eastAsia="Arial" w:hAnsi="Arial"/>
                <w:sz w:val="5"/>
                <w:szCs w:val="5"/>
                <w:color w:val="0000EE"/>
                <w:w w:val="71"/>
              </w:rPr>
            </w:pPr>
            <w:hyperlink w:anchor="page68">
              <w:r>
                <w:rPr>
                  <w:rFonts w:ascii="Arial" w:cs="Arial" w:eastAsia="Arial" w:hAnsi="Arial"/>
                  <w:sz w:val="5"/>
                  <w:szCs w:val="5"/>
                  <w:color w:val="0000EE"/>
                  <w:w w:val="71"/>
                </w:rPr>
                <w:t>62</w:t>
              </w:r>
            </w:hyperlink>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8"/>
            <w:shd w:val="clear" w:color="auto" w:fill="CCEEFF"/>
          </w:tcPr>
          <w:p>
            <w:pPr>
              <w:spacing w:after="0"/>
              <w:rPr>
                <w:rFonts w:ascii="Arial" w:cs="Arial" w:eastAsia="Arial" w:hAnsi="Arial"/>
                <w:sz w:val="13"/>
                <w:szCs w:val="13"/>
                <w:color w:val="0000EE"/>
              </w:rPr>
            </w:pPr>
            <w:hyperlink w:anchor="page68">
              <w:r>
                <w:rPr>
                  <w:rFonts w:ascii="Arial" w:cs="Arial" w:eastAsia="Arial" w:hAnsi="Arial"/>
                  <w:sz w:val="13"/>
                  <w:szCs w:val="13"/>
                  <w:color w:val="0000EE"/>
                </w:rPr>
                <w:t>Item 9A.</w:t>
              </w:r>
            </w:hyperlink>
          </w:p>
        </w:tc>
        <w:tc>
          <w:tcPr>
            <w:tcW w:w="10400" w:type="dxa"/>
            <w:vAlign w:val="bottom"/>
            <w:tcBorders>
              <w:right w:val="single" w:sz="8" w:color="CCEEFF"/>
            </w:tcBorders>
            <w:gridSpan w:val="25"/>
            <w:shd w:val="clear" w:color="auto" w:fill="CCEEFF"/>
          </w:tcPr>
          <w:p>
            <w:pPr>
              <w:spacing w:after="0"/>
              <w:rPr>
                <w:rFonts w:ascii="Arial" w:cs="Arial" w:eastAsia="Arial" w:hAnsi="Arial"/>
                <w:sz w:val="13"/>
                <w:szCs w:val="13"/>
                <w:color w:val="0000EE"/>
              </w:rPr>
            </w:pPr>
            <w:hyperlink w:anchor="page68">
              <w:r>
                <w:rPr>
                  <w:rFonts w:ascii="Arial" w:cs="Arial" w:eastAsia="Arial" w:hAnsi="Arial"/>
                  <w:sz w:val="13"/>
                  <w:szCs w:val="13"/>
                  <w:color w:val="0000EE"/>
                </w:rPr>
                <w:t>Controls and Procedures</w:t>
              </w:r>
            </w:hyperlink>
          </w:p>
        </w:tc>
        <w:tc>
          <w:tcPr>
            <w:tcW w:w="60" w:type="dxa"/>
            <w:vAlign w:val="bottom"/>
            <w:shd w:val="clear" w:color="auto" w:fill="CCEEFF"/>
          </w:tcPr>
          <w:p>
            <w:pPr>
              <w:jc w:val="right"/>
              <w:spacing w:after="0"/>
              <w:rPr>
                <w:rFonts w:ascii="Arial" w:cs="Arial" w:eastAsia="Arial" w:hAnsi="Arial"/>
                <w:sz w:val="5"/>
                <w:szCs w:val="5"/>
                <w:color w:val="0000EE"/>
                <w:w w:val="71"/>
              </w:rPr>
            </w:pPr>
            <w:hyperlink w:anchor="page68">
              <w:r>
                <w:rPr>
                  <w:rFonts w:ascii="Arial" w:cs="Arial" w:eastAsia="Arial" w:hAnsi="Arial"/>
                  <w:sz w:val="5"/>
                  <w:szCs w:val="5"/>
                  <w:color w:val="0000EE"/>
                  <w:w w:val="71"/>
                </w:rPr>
                <w:t>62</w:t>
              </w:r>
            </w:hyperlink>
          </w:p>
        </w:tc>
        <w:tc>
          <w:tcPr>
            <w:tcW w:w="40" w:type="dxa"/>
            <w:vAlign w:val="bottom"/>
            <w:shd w:val="clear" w:color="auto" w:fill="CCEEFF"/>
          </w:tcPr>
          <w:p>
            <w:pPr>
              <w:spacing w:after="0"/>
              <w:rPr>
                <w:sz w:val="16"/>
                <w:szCs w:val="16"/>
                <w:color w:val="auto"/>
              </w:rPr>
            </w:pPr>
          </w:p>
        </w:tc>
      </w:tr>
      <w:tr>
        <w:trPr>
          <w:trHeight w:val="151"/>
        </w:trPr>
        <w:tc>
          <w:tcPr>
            <w:tcW w:w="20" w:type="dxa"/>
            <w:vAlign w:val="bottom"/>
            <w:tcBorders>
              <w:top w:val="single" w:sz="8" w:color="CCEEFF"/>
            </w:tcBorders>
          </w:tcPr>
          <w:p>
            <w:pPr>
              <w:spacing w:after="0"/>
              <w:rPr>
                <w:sz w:val="13"/>
                <w:szCs w:val="13"/>
                <w:color w:val="auto"/>
              </w:rPr>
            </w:pPr>
          </w:p>
        </w:tc>
        <w:tc>
          <w:tcPr>
            <w:tcW w:w="460" w:type="dxa"/>
            <w:vAlign w:val="bottom"/>
            <w:tcBorders>
              <w:top w:val="single" w:sz="8" w:color="0000EE"/>
            </w:tcBorders>
            <w:gridSpan w:val="5"/>
          </w:tcPr>
          <w:p>
            <w:pPr>
              <w:spacing w:after="0"/>
              <w:rPr>
                <w:rFonts w:ascii="Arial" w:cs="Arial" w:eastAsia="Arial" w:hAnsi="Arial"/>
                <w:sz w:val="13"/>
                <w:szCs w:val="13"/>
                <w:color w:val="0000EE"/>
                <w:w w:val="90"/>
              </w:rPr>
            </w:pPr>
            <w:hyperlink w:anchor="page68">
              <w:r>
                <w:rPr>
                  <w:rFonts w:ascii="Arial" w:cs="Arial" w:eastAsia="Arial" w:hAnsi="Arial"/>
                  <w:sz w:val="13"/>
                  <w:szCs w:val="13"/>
                  <w:color w:val="0000EE"/>
                  <w:w w:val="90"/>
                </w:rPr>
                <w:t>Item 9B.</w:t>
              </w:r>
            </w:hyperlink>
          </w:p>
        </w:tc>
        <w:tc>
          <w:tcPr>
            <w:tcW w:w="460" w:type="dxa"/>
            <w:vAlign w:val="bottom"/>
            <w:tcBorders>
              <w:top w:val="single" w:sz="8" w:color="CCEEFF"/>
            </w:tcBorders>
            <w:gridSpan w:val="3"/>
          </w:tcPr>
          <w:p>
            <w:pPr>
              <w:spacing w:after="0"/>
              <w:rPr>
                <w:sz w:val="13"/>
                <w:szCs w:val="13"/>
                <w:color w:val="auto"/>
              </w:rPr>
            </w:pPr>
          </w:p>
        </w:tc>
        <w:tc>
          <w:tcPr>
            <w:tcW w:w="1280" w:type="dxa"/>
            <w:vAlign w:val="bottom"/>
            <w:tcBorders>
              <w:top w:val="single" w:sz="8" w:color="0000EE"/>
            </w:tcBorders>
            <w:gridSpan w:val="11"/>
          </w:tcPr>
          <w:p>
            <w:pPr>
              <w:spacing w:after="0"/>
              <w:rPr>
                <w:rFonts w:ascii="Arial" w:cs="Arial" w:eastAsia="Arial" w:hAnsi="Arial"/>
                <w:sz w:val="13"/>
                <w:szCs w:val="13"/>
                <w:color w:val="0000EE"/>
              </w:rPr>
            </w:pPr>
            <w:hyperlink w:anchor="page68">
              <w:r>
                <w:rPr>
                  <w:rFonts w:ascii="Arial" w:cs="Arial" w:eastAsia="Arial" w:hAnsi="Arial"/>
                  <w:sz w:val="13"/>
                  <w:szCs w:val="13"/>
                  <w:color w:val="0000EE"/>
                </w:rPr>
                <w:t>Other Information</w:t>
              </w:r>
            </w:hyperlink>
          </w:p>
        </w:tc>
        <w:tc>
          <w:tcPr>
            <w:tcW w:w="9120" w:type="dxa"/>
            <w:vAlign w:val="bottom"/>
            <w:tcBorders>
              <w:top w:val="single" w:sz="8" w:color="CCEEFF"/>
            </w:tcBorders>
            <w:gridSpan w:val="14"/>
          </w:tcPr>
          <w:p>
            <w:pPr>
              <w:spacing w:after="0"/>
              <w:rPr>
                <w:sz w:val="13"/>
                <w:szCs w:val="13"/>
                <w:color w:val="auto"/>
              </w:rPr>
            </w:pPr>
          </w:p>
        </w:tc>
        <w:tc>
          <w:tcPr>
            <w:tcW w:w="60" w:type="dxa"/>
            <w:vAlign w:val="bottom"/>
            <w:tcBorders>
              <w:top w:val="single" w:sz="8" w:color="0000EE"/>
            </w:tcBorders>
          </w:tcPr>
          <w:p>
            <w:pPr>
              <w:jc w:val="right"/>
              <w:spacing w:after="0"/>
              <w:rPr>
                <w:rFonts w:ascii="Arial" w:cs="Arial" w:eastAsia="Arial" w:hAnsi="Arial"/>
                <w:sz w:val="5"/>
                <w:szCs w:val="5"/>
                <w:color w:val="0000EE"/>
                <w:w w:val="71"/>
              </w:rPr>
            </w:pPr>
            <w:hyperlink w:anchor="page68">
              <w:r>
                <w:rPr>
                  <w:rFonts w:ascii="Arial" w:cs="Arial" w:eastAsia="Arial" w:hAnsi="Arial"/>
                  <w:sz w:val="5"/>
                  <w:szCs w:val="5"/>
                  <w:color w:val="0000EE"/>
                  <w:w w:val="71"/>
                </w:rPr>
                <w:t>62</w:t>
              </w:r>
            </w:hyperlink>
          </w:p>
        </w:tc>
        <w:tc>
          <w:tcPr>
            <w:tcW w:w="40" w:type="dxa"/>
            <w:vAlign w:val="bottom"/>
            <w:tcBorders>
              <w:top w:val="single" w:sz="8" w:color="CCEEFF"/>
            </w:tcBorders>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20" w:type="dxa"/>
            <w:vAlign w:val="bottom"/>
            <w:shd w:val="clear" w:color="auto" w:fill="CCEEFF"/>
          </w:tcPr>
          <w:p>
            <w:pPr>
              <w:spacing w:after="0"/>
              <w:rPr>
                <w:sz w:val="16"/>
                <w:szCs w:val="16"/>
                <w:color w:val="auto"/>
              </w:rPr>
            </w:pPr>
          </w:p>
        </w:tc>
        <w:tc>
          <w:tcPr>
            <w:tcW w:w="920" w:type="dxa"/>
            <w:vAlign w:val="bottom"/>
            <w:gridSpan w:val="8"/>
            <w:shd w:val="clear" w:color="auto" w:fill="CCEEFF"/>
          </w:tcPr>
          <w:p>
            <w:pPr>
              <w:spacing w:after="0"/>
              <w:rPr>
                <w:rFonts w:ascii="Arial" w:cs="Arial" w:eastAsia="Arial" w:hAnsi="Arial"/>
                <w:sz w:val="13"/>
                <w:szCs w:val="13"/>
                <w:b w:val="1"/>
                <w:bCs w:val="1"/>
                <w:color w:val="0000EE"/>
              </w:rPr>
            </w:pPr>
            <w:hyperlink w:anchor="page69">
              <w:r>
                <w:rPr>
                  <w:rFonts w:ascii="Arial" w:cs="Arial" w:eastAsia="Arial" w:hAnsi="Arial"/>
                  <w:sz w:val="13"/>
                  <w:szCs w:val="13"/>
                  <w:b w:val="1"/>
                  <w:bCs w:val="1"/>
                  <w:color w:val="0000EE"/>
                </w:rPr>
                <w:t>PART III</w:t>
              </w:r>
            </w:hyperlink>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jc w:val="right"/>
              <w:spacing w:after="0"/>
              <w:rPr>
                <w:rFonts w:ascii="Arial" w:cs="Arial" w:eastAsia="Arial" w:hAnsi="Arial"/>
                <w:sz w:val="5"/>
                <w:szCs w:val="5"/>
                <w:color w:val="0000EE"/>
                <w:w w:val="71"/>
              </w:rPr>
            </w:pPr>
            <w:hyperlink w:anchor="page69">
              <w:r>
                <w:rPr>
                  <w:rFonts w:ascii="Arial" w:cs="Arial" w:eastAsia="Arial" w:hAnsi="Arial"/>
                  <w:sz w:val="5"/>
                  <w:szCs w:val="5"/>
                  <w:color w:val="0000EE"/>
                  <w:w w:val="71"/>
                </w:rPr>
                <w:t>63</w:t>
              </w:r>
            </w:hyperlink>
          </w:p>
        </w:tc>
        <w:tc>
          <w:tcPr>
            <w:tcW w:w="40" w:type="dxa"/>
            <w:vAlign w:val="bottom"/>
            <w:shd w:val="clear" w:color="auto" w:fill="CCEEFF"/>
          </w:tcPr>
          <w:p>
            <w:pPr>
              <w:spacing w:after="0"/>
              <w:rPr>
                <w:sz w:val="16"/>
                <w:szCs w:val="16"/>
                <w:color w:val="auto"/>
              </w:rPr>
            </w:pPr>
          </w:p>
        </w:tc>
      </w:tr>
      <w:tr>
        <w:trPr>
          <w:trHeight w:val="151"/>
        </w:trPr>
        <w:tc>
          <w:tcPr>
            <w:tcW w:w="20" w:type="dxa"/>
            <w:vAlign w:val="bottom"/>
            <w:tcBorders>
              <w:top w:val="single" w:sz="8" w:color="CCEEFF"/>
            </w:tcBorders>
          </w:tcPr>
          <w:p>
            <w:pPr>
              <w:spacing w:after="0"/>
              <w:rPr>
                <w:sz w:val="13"/>
                <w:szCs w:val="13"/>
                <w:color w:val="auto"/>
              </w:rPr>
            </w:pPr>
          </w:p>
        </w:tc>
        <w:tc>
          <w:tcPr>
            <w:tcW w:w="520" w:type="dxa"/>
            <w:vAlign w:val="bottom"/>
            <w:tcBorders>
              <w:top w:val="single" w:sz="8" w:color="0000EE"/>
            </w:tcBorders>
            <w:gridSpan w:val="7"/>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Item 10.</w:t>
              </w:r>
            </w:hyperlink>
          </w:p>
        </w:tc>
        <w:tc>
          <w:tcPr>
            <w:tcW w:w="400" w:type="dxa"/>
            <w:vAlign w:val="bottom"/>
            <w:tcBorders>
              <w:top w:val="single" w:sz="8" w:color="CCEEFF"/>
            </w:tcBorders>
          </w:tcPr>
          <w:p>
            <w:pPr>
              <w:spacing w:after="0"/>
              <w:rPr>
                <w:sz w:val="13"/>
                <w:szCs w:val="13"/>
                <w:color w:val="auto"/>
              </w:rPr>
            </w:pPr>
          </w:p>
        </w:tc>
        <w:tc>
          <w:tcPr>
            <w:tcW w:w="10400" w:type="dxa"/>
            <w:vAlign w:val="bottom"/>
            <w:tcBorders>
              <w:top w:val="single" w:sz="8" w:color="CCEEFF"/>
            </w:tcBorders>
            <w:gridSpan w:val="25"/>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Directors, Executive Officers and Corporate Governance</w:t>
              </w:r>
            </w:hyperlink>
          </w:p>
        </w:tc>
        <w:tc>
          <w:tcPr>
            <w:tcW w:w="60" w:type="dxa"/>
            <w:vAlign w:val="bottom"/>
            <w:tcBorders>
              <w:top w:val="single" w:sz="8" w:color="0000EE"/>
            </w:tcBorders>
          </w:tcPr>
          <w:p>
            <w:pPr>
              <w:jc w:val="right"/>
              <w:spacing w:after="0"/>
              <w:rPr>
                <w:rFonts w:ascii="Arial" w:cs="Arial" w:eastAsia="Arial" w:hAnsi="Arial"/>
                <w:sz w:val="5"/>
                <w:szCs w:val="5"/>
                <w:color w:val="0000EE"/>
                <w:w w:val="71"/>
              </w:rPr>
            </w:pPr>
            <w:hyperlink w:anchor="page69">
              <w:r>
                <w:rPr>
                  <w:rFonts w:ascii="Arial" w:cs="Arial" w:eastAsia="Arial" w:hAnsi="Arial"/>
                  <w:sz w:val="5"/>
                  <w:szCs w:val="5"/>
                  <w:color w:val="0000EE"/>
                  <w:w w:val="71"/>
                </w:rPr>
                <w:t>63</w:t>
              </w:r>
            </w:hyperlink>
          </w:p>
        </w:tc>
        <w:tc>
          <w:tcPr>
            <w:tcW w:w="40" w:type="dxa"/>
            <w:vAlign w:val="bottom"/>
            <w:tcBorders>
              <w:top w:val="single" w:sz="8" w:color="CCEEFF"/>
            </w:tcBorders>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920" w:type="dxa"/>
            <w:vAlign w:val="bottom"/>
            <w:gridSpan w:val="8"/>
            <w:shd w:val="clear" w:color="auto" w:fill="CCEEFF"/>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Item 11.</w:t>
              </w:r>
            </w:hyperlink>
          </w:p>
        </w:tc>
        <w:tc>
          <w:tcPr>
            <w:tcW w:w="10400" w:type="dxa"/>
            <w:vAlign w:val="bottom"/>
            <w:tcBorders>
              <w:right w:val="single" w:sz="8" w:color="CCEEFF"/>
            </w:tcBorders>
            <w:gridSpan w:val="25"/>
            <w:shd w:val="clear" w:color="auto" w:fill="CCEEFF"/>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Executive Compensation</w:t>
              </w:r>
            </w:hyperlink>
          </w:p>
        </w:tc>
        <w:tc>
          <w:tcPr>
            <w:tcW w:w="60" w:type="dxa"/>
            <w:vAlign w:val="bottom"/>
            <w:shd w:val="clear" w:color="auto" w:fill="CCEEFF"/>
          </w:tcPr>
          <w:p>
            <w:pPr>
              <w:jc w:val="right"/>
              <w:spacing w:after="0"/>
              <w:rPr>
                <w:rFonts w:ascii="Arial" w:cs="Arial" w:eastAsia="Arial" w:hAnsi="Arial"/>
                <w:sz w:val="5"/>
                <w:szCs w:val="5"/>
                <w:color w:val="0000EE"/>
                <w:w w:val="71"/>
              </w:rPr>
            </w:pPr>
            <w:hyperlink w:anchor="page69">
              <w:r>
                <w:rPr>
                  <w:rFonts w:ascii="Arial" w:cs="Arial" w:eastAsia="Arial" w:hAnsi="Arial"/>
                  <w:sz w:val="5"/>
                  <w:szCs w:val="5"/>
                  <w:color w:val="0000EE"/>
                  <w:w w:val="71"/>
                </w:rPr>
                <w:t>63</w:t>
              </w:r>
            </w:hyperlink>
          </w:p>
        </w:tc>
        <w:tc>
          <w:tcPr>
            <w:tcW w:w="40" w:type="dxa"/>
            <w:vAlign w:val="bottom"/>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right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62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51"/>
        </w:trPr>
        <w:tc>
          <w:tcPr>
            <w:tcW w:w="20" w:type="dxa"/>
            <w:vAlign w:val="bottom"/>
          </w:tcPr>
          <w:p>
            <w:pPr>
              <w:spacing w:after="0"/>
              <w:rPr>
                <w:sz w:val="13"/>
                <w:szCs w:val="13"/>
                <w:color w:val="auto"/>
              </w:rPr>
            </w:pPr>
          </w:p>
        </w:tc>
        <w:tc>
          <w:tcPr>
            <w:tcW w:w="920" w:type="dxa"/>
            <w:vAlign w:val="bottom"/>
            <w:gridSpan w:val="8"/>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Item 12.</w:t>
              </w:r>
            </w:hyperlink>
          </w:p>
        </w:tc>
        <w:tc>
          <w:tcPr>
            <w:tcW w:w="10400" w:type="dxa"/>
            <w:vAlign w:val="bottom"/>
            <w:gridSpan w:val="25"/>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Security Ownership of Certain Beneficial Owners and Management and Related Stockholder Matters</w:t>
              </w:r>
            </w:hyperlink>
          </w:p>
        </w:tc>
        <w:tc>
          <w:tcPr>
            <w:tcW w:w="60" w:type="dxa"/>
            <w:vAlign w:val="bottom"/>
          </w:tcPr>
          <w:p>
            <w:pPr>
              <w:jc w:val="right"/>
              <w:spacing w:after="0"/>
              <w:rPr>
                <w:rFonts w:ascii="Arial" w:cs="Arial" w:eastAsia="Arial" w:hAnsi="Arial"/>
                <w:sz w:val="5"/>
                <w:szCs w:val="5"/>
                <w:color w:val="0000EE"/>
                <w:w w:val="71"/>
              </w:rPr>
            </w:pPr>
            <w:hyperlink w:anchor="page69">
              <w:r>
                <w:rPr>
                  <w:rFonts w:ascii="Arial" w:cs="Arial" w:eastAsia="Arial" w:hAnsi="Arial"/>
                  <w:sz w:val="5"/>
                  <w:szCs w:val="5"/>
                  <w:color w:val="0000EE"/>
                  <w:w w:val="71"/>
                </w:rPr>
                <w:t>63</w:t>
              </w:r>
            </w:hyperlink>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0000EE"/>
            </w:tcBorders>
            <w:gridSpan w:val="4"/>
            <w:shd w:val="clear" w:color="auto" w:fill="CCEEFF"/>
          </w:tcPr>
          <w:p>
            <w:pPr>
              <w:spacing w:after="0"/>
              <w:rPr>
                <w:rFonts w:ascii="Arial" w:cs="Arial" w:eastAsia="Arial" w:hAnsi="Arial"/>
                <w:sz w:val="13"/>
                <w:szCs w:val="13"/>
                <w:color w:val="0000EE"/>
                <w:w w:val="89"/>
              </w:rPr>
            </w:pPr>
            <w:hyperlink w:anchor="page69">
              <w:r>
                <w:rPr>
                  <w:rFonts w:ascii="Arial" w:cs="Arial" w:eastAsia="Arial" w:hAnsi="Arial"/>
                  <w:sz w:val="13"/>
                  <w:szCs w:val="13"/>
                  <w:color w:val="0000EE"/>
                  <w:w w:val="89"/>
                </w:rPr>
                <w:t>Item 13.</w:t>
              </w:r>
            </w:hyperlink>
          </w:p>
        </w:tc>
        <w:tc>
          <w:tcPr>
            <w:tcW w:w="480" w:type="dxa"/>
            <w:vAlign w:val="bottom"/>
            <w:tcBorders>
              <w:bottom w:val="single" w:sz="8" w:color="CCEEFF"/>
            </w:tcBorders>
            <w:gridSpan w:val="4"/>
            <w:shd w:val="clear" w:color="auto" w:fill="CCEEFF"/>
          </w:tcPr>
          <w:p>
            <w:pPr>
              <w:spacing w:after="0"/>
              <w:rPr>
                <w:sz w:val="16"/>
                <w:szCs w:val="16"/>
                <w:color w:val="auto"/>
              </w:rPr>
            </w:pPr>
          </w:p>
        </w:tc>
        <w:tc>
          <w:tcPr>
            <w:tcW w:w="3920" w:type="dxa"/>
            <w:vAlign w:val="bottom"/>
            <w:tcBorders>
              <w:bottom w:val="single" w:sz="8" w:color="0000EE"/>
            </w:tcBorders>
            <w:gridSpan w:val="20"/>
            <w:shd w:val="clear" w:color="auto" w:fill="CCEEFF"/>
          </w:tcPr>
          <w:p>
            <w:pPr>
              <w:spacing w:after="0"/>
              <w:rPr>
                <w:rFonts w:ascii="Arial" w:cs="Arial" w:eastAsia="Arial" w:hAnsi="Arial"/>
                <w:sz w:val="13"/>
                <w:szCs w:val="13"/>
                <w:color w:val="0000EE"/>
                <w:w w:val="88"/>
              </w:rPr>
            </w:pPr>
            <w:hyperlink w:anchor="page69">
              <w:r>
                <w:rPr>
                  <w:rFonts w:ascii="Arial" w:cs="Arial" w:eastAsia="Arial" w:hAnsi="Arial"/>
                  <w:sz w:val="13"/>
                  <w:szCs w:val="13"/>
                  <w:color w:val="0000EE"/>
                  <w:w w:val="88"/>
                </w:rPr>
                <w:t>Certain Relationships and Related Transactions, and Director Independence</w:t>
              </w:r>
            </w:hyperlink>
          </w:p>
        </w:tc>
        <w:tc>
          <w:tcPr>
            <w:tcW w:w="6480" w:type="dxa"/>
            <w:vAlign w:val="bottom"/>
            <w:tcBorders>
              <w:bottom w:val="single" w:sz="8" w:color="CCEEFF"/>
              <w:right w:val="single" w:sz="8" w:color="CCEEFF"/>
            </w:tcBorders>
            <w:gridSpan w:val="5"/>
            <w:shd w:val="clear" w:color="auto" w:fill="CCEEFF"/>
          </w:tcPr>
          <w:p>
            <w:pPr>
              <w:spacing w:after="0"/>
              <w:rPr>
                <w:sz w:val="16"/>
                <w:szCs w:val="16"/>
                <w:color w:val="auto"/>
              </w:rPr>
            </w:pPr>
          </w:p>
        </w:tc>
        <w:tc>
          <w:tcPr>
            <w:tcW w:w="60" w:type="dxa"/>
            <w:vAlign w:val="bottom"/>
            <w:tcBorders>
              <w:bottom w:val="single" w:sz="8" w:color="0000EE"/>
            </w:tcBorders>
            <w:shd w:val="clear" w:color="auto" w:fill="CCEEFF"/>
          </w:tcPr>
          <w:p>
            <w:pPr>
              <w:jc w:val="right"/>
              <w:spacing w:after="0"/>
              <w:rPr>
                <w:rFonts w:ascii="Arial" w:cs="Arial" w:eastAsia="Arial" w:hAnsi="Arial"/>
                <w:sz w:val="5"/>
                <w:szCs w:val="5"/>
                <w:color w:val="0000EE"/>
                <w:w w:val="71"/>
              </w:rPr>
            </w:pPr>
            <w:hyperlink w:anchor="page69">
              <w:r>
                <w:rPr>
                  <w:rFonts w:ascii="Arial" w:cs="Arial" w:eastAsia="Arial" w:hAnsi="Arial"/>
                  <w:sz w:val="5"/>
                  <w:szCs w:val="5"/>
                  <w:color w:val="0000EE"/>
                  <w:w w:val="71"/>
                </w:rPr>
                <w:t>63</w:t>
              </w:r>
            </w:hyperlink>
          </w:p>
        </w:tc>
        <w:tc>
          <w:tcPr>
            <w:tcW w:w="40" w:type="dxa"/>
            <w:vAlign w:val="bottom"/>
            <w:tcBorders>
              <w:bottom w:val="single" w:sz="8" w:color="CCEEFF"/>
            </w:tcBorders>
            <w:shd w:val="clear" w:color="auto" w:fill="CCEEFF"/>
          </w:tcPr>
          <w:p>
            <w:pPr>
              <w:spacing w:after="0"/>
              <w:rPr>
                <w:sz w:val="16"/>
                <w:szCs w:val="16"/>
                <w:color w:val="auto"/>
              </w:rPr>
            </w:pPr>
          </w:p>
        </w:tc>
      </w:tr>
      <w:tr>
        <w:trPr>
          <w:trHeight w:val="151"/>
        </w:trPr>
        <w:tc>
          <w:tcPr>
            <w:tcW w:w="20" w:type="dxa"/>
            <w:vAlign w:val="bottom"/>
          </w:tcPr>
          <w:p>
            <w:pPr>
              <w:spacing w:after="0"/>
              <w:rPr>
                <w:sz w:val="13"/>
                <w:szCs w:val="13"/>
                <w:color w:val="auto"/>
              </w:rPr>
            </w:pPr>
          </w:p>
        </w:tc>
        <w:tc>
          <w:tcPr>
            <w:tcW w:w="920" w:type="dxa"/>
            <w:vAlign w:val="bottom"/>
            <w:gridSpan w:val="8"/>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Item 14.</w:t>
              </w:r>
            </w:hyperlink>
          </w:p>
        </w:tc>
        <w:tc>
          <w:tcPr>
            <w:tcW w:w="10400" w:type="dxa"/>
            <w:vAlign w:val="bottom"/>
            <w:gridSpan w:val="25"/>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Principal Accounting Fees and Services</w:t>
              </w:r>
            </w:hyperlink>
          </w:p>
        </w:tc>
        <w:tc>
          <w:tcPr>
            <w:tcW w:w="60" w:type="dxa"/>
            <w:vAlign w:val="bottom"/>
          </w:tcPr>
          <w:p>
            <w:pPr>
              <w:jc w:val="right"/>
              <w:spacing w:after="0"/>
              <w:rPr>
                <w:rFonts w:ascii="Arial" w:cs="Arial" w:eastAsia="Arial" w:hAnsi="Arial"/>
                <w:sz w:val="5"/>
                <w:szCs w:val="5"/>
                <w:color w:val="0000EE"/>
                <w:w w:val="71"/>
              </w:rPr>
            </w:pPr>
            <w:hyperlink w:anchor="page69">
              <w:r>
                <w:rPr>
                  <w:rFonts w:ascii="Arial" w:cs="Arial" w:eastAsia="Arial" w:hAnsi="Arial"/>
                  <w:sz w:val="5"/>
                  <w:szCs w:val="5"/>
                  <w:color w:val="0000EE"/>
                  <w:w w:val="71"/>
                </w:rPr>
                <w:t>63</w:t>
              </w:r>
            </w:hyperlink>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0000EE"/>
            </w:tcBorders>
            <w:gridSpan w:val="7"/>
            <w:shd w:val="clear" w:color="auto" w:fill="CCEEFF"/>
          </w:tcPr>
          <w:p>
            <w:pPr>
              <w:spacing w:after="0"/>
              <w:rPr>
                <w:rFonts w:ascii="Arial" w:cs="Arial" w:eastAsia="Arial" w:hAnsi="Arial"/>
                <w:sz w:val="13"/>
                <w:szCs w:val="13"/>
                <w:b w:val="1"/>
                <w:bCs w:val="1"/>
                <w:color w:val="0000EE"/>
                <w:w w:val="97"/>
              </w:rPr>
            </w:pPr>
            <w:hyperlink w:anchor="page70">
              <w:r>
                <w:rPr>
                  <w:rFonts w:ascii="Arial" w:cs="Arial" w:eastAsia="Arial" w:hAnsi="Arial"/>
                  <w:sz w:val="13"/>
                  <w:szCs w:val="13"/>
                  <w:b w:val="1"/>
                  <w:bCs w:val="1"/>
                  <w:color w:val="0000EE"/>
                  <w:w w:val="97"/>
                </w:rPr>
                <w:t>PART IV</w:t>
              </w:r>
            </w:hyperlink>
          </w:p>
        </w:tc>
        <w:tc>
          <w:tcPr>
            <w:tcW w:w="4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462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0000EE"/>
            </w:tcBorders>
            <w:shd w:val="clear" w:color="auto" w:fill="CCEEFF"/>
          </w:tcPr>
          <w:p>
            <w:pPr>
              <w:jc w:val="right"/>
              <w:spacing w:after="0"/>
              <w:rPr>
                <w:rFonts w:ascii="Arial" w:cs="Arial" w:eastAsia="Arial" w:hAnsi="Arial"/>
                <w:sz w:val="5"/>
                <w:szCs w:val="5"/>
                <w:color w:val="0000EE"/>
                <w:w w:val="71"/>
              </w:rPr>
            </w:pPr>
            <w:hyperlink w:anchor="page70">
              <w:r>
                <w:rPr>
                  <w:rFonts w:ascii="Arial" w:cs="Arial" w:eastAsia="Arial" w:hAnsi="Arial"/>
                  <w:sz w:val="5"/>
                  <w:szCs w:val="5"/>
                  <w:color w:val="0000EE"/>
                  <w:w w:val="71"/>
                </w:rPr>
                <w:t>64</w:t>
              </w:r>
            </w:hyperlink>
          </w:p>
        </w:tc>
        <w:tc>
          <w:tcPr>
            <w:tcW w:w="40" w:type="dxa"/>
            <w:vAlign w:val="bottom"/>
            <w:tcBorders>
              <w:bottom w:val="single" w:sz="8" w:color="CCEEFF"/>
            </w:tcBorders>
            <w:shd w:val="clear" w:color="auto" w:fill="CCEEFF"/>
          </w:tcPr>
          <w:p>
            <w:pPr>
              <w:spacing w:after="0"/>
              <w:rPr>
                <w:sz w:val="16"/>
                <w:szCs w:val="16"/>
                <w:color w:val="auto"/>
              </w:rPr>
            </w:pPr>
          </w:p>
        </w:tc>
      </w:tr>
      <w:tr>
        <w:trPr>
          <w:trHeight w:val="151"/>
        </w:trPr>
        <w:tc>
          <w:tcPr>
            <w:tcW w:w="20" w:type="dxa"/>
            <w:vAlign w:val="bottom"/>
          </w:tcPr>
          <w:p>
            <w:pPr>
              <w:spacing w:after="0"/>
              <w:rPr>
                <w:sz w:val="13"/>
                <w:szCs w:val="13"/>
                <w:color w:val="auto"/>
              </w:rPr>
            </w:pPr>
          </w:p>
        </w:tc>
        <w:tc>
          <w:tcPr>
            <w:tcW w:w="920" w:type="dxa"/>
            <w:vAlign w:val="bottom"/>
            <w:gridSpan w:val="8"/>
          </w:tcPr>
          <w:p>
            <w:pPr>
              <w:spacing w:after="0"/>
              <w:rPr>
                <w:rFonts w:ascii="Arial" w:cs="Arial" w:eastAsia="Arial" w:hAnsi="Arial"/>
                <w:sz w:val="13"/>
                <w:szCs w:val="13"/>
                <w:color w:val="0000EE"/>
              </w:rPr>
            </w:pPr>
            <w:hyperlink w:anchor="page70">
              <w:r>
                <w:rPr>
                  <w:rFonts w:ascii="Arial" w:cs="Arial" w:eastAsia="Arial" w:hAnsi="Arial"/>
                  <w:sz w:val="13"/>
                  <w:szCs w:val="13"/>
                  <w:color w:val="0000EE"/>
                </w:rPr>
                <w:t>Item 15.</w:t>
              </w:r>
            </w:hyperlink>
          </w:p>
        </w:tc>
        <w:tc>
          <w:tcPr>
            <w:tcW w:w="10400" w:type="dxa"/>
            <w:vAlign w:val="bottom"/>
            <w:gridSpan w:val="25"/>
          </w:tcPr>
          <w:p>
            <w:pPr>
              <w:spacing w:after="0"/>
              <w:rPr>
                <w:rFonts w:ascii="Arial" w:cs="Arial" w:eastAsia="Arial" w:hAnsi="Arial"/>
                <w:sz w:val="13"/>
                <w:szCs w:val="13"/>
                <w:color w:val="0000EE"/>
              </w:rPr>
            </w:pPr>
            <w:hyperlink w:anchor="page70">
              <w:r>
                <w:rPr>
                  <w:rFonts w:ascii="Arial" w:cs="Arial" w:eastAsia="Arial" w:hAnsi="Arial"/>
                  <w:sz w:val="13"/>
                  <w:szCs w:val="13"/>
                  <w:color w:val="0000EE"/>
                </w:rPr>
                <w:t>Exhibits and Financial Statement Schedules</w:t>
              </w:r>
            </w:hyperlink>
          </w:p>
        </w:tc>
        <w:tc>
          <w:tcPr>
            <w:tcW w:w="60" w:type="dxa"/>
            <w:vAlign w:val="bottom"/>
          </w:tcPr>
          <w:p>
            <w:pPr>
              <w:jc w:val="right"/>
              <w:spacing w:after="0"/>
              <w:rPr>
                <w:rFonts w:ascii="Arial" w:cs="Arial" w:eastAsia="Arial" w:hAnsi="Arial"/>
                <w:sz w:val="5"/>
                <w:szCs w:val="5"/>
                <w:color w:val="0000EE"/>
                <w:w w:val="71"/>
              </w:rPr>
            </w:pPr>
            <w:hyperlink w:anchor="page70">
              <w:r>
                <w:rPr>
                  <w:rFonts w:ascii="Arial" w:cs="Arial" w:eastAsia="Arial" w:hAnsi="Arial"/>
                  <w:sz w:val="5"/>
                  <w:szCs w:val="5"/>
                  <w:color w:val="0000EE"/>
                  <w:w w:val="71"/>
                </w:rPr>
                <w:t>64</w:t>
              </w:r>
            </w:hyperlink>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0000EE"/>
            </w:tcBorders>
            <w:gridSpan w:val="4"/>
            <w:shd w:val="clear" w:color="auto" w:fill="CCEEFF"/>
          </w:tcPr>
          <w:p>
            <w:pPr>
              <w:spacing w:after="0"/>
              <w:rPr>
                <w:rFonts w:ascii="Arial" w:cs="Arial" w:eastAsia="Arial" w:hAnsi="Arial"/>
                <w:sz w:val="13"/>
                <w:szCs w:val="13"/>
                <w:color w:val="0000EE"/>
                <w:w w:val="89"/>
              </w:rPr>
            </w:pPr>
            <w:hyperlink w:anchor="page70">
              <w:r>
                <w:rPr>
                  <w:rFonts w:ascii="Arial" w:cs="Arial" w:eastAsia="Arial" w:hAnsi="Arial"/>
                  <w:sz w:val="13"/>
                  <w:szCs w:val="13"/>
                  <w:color w:val="0000EE"/>
                  <w:w w:val="89"/>
                </w:rPr>
                <w:t>Item 16.</w:t>
              </w:r>
            </w:hyperlink>
          </w:p>
        </w:tc>
        <w:tc>
          <w:tcPr>
            <w:tcW w:w="480" w:type="dxa"/>
            <w:vAlign w:val="bottom"/>
            <w:tcBorders>
              <w:bottom w:val="single" w:sz="8" w:color="CCEEFF"/>
            </w:tcBorders>
            <w:gridSpan w:val="4"/>
            <w:shd w:val="clear" w:color="auto" w:fill="CCEEFF"/>
          </w:tcPr>
          <w:p>
            <w:pPr>
              <w:spacing w:after="0"/>
              <w:rPr>
                <w:sz w:val="16"/>
                <w:szCs w:val="16"/>
                <w:color w:val="auto"/>
              </w:rPr>
            </w:pPr>
          </w:p>
        </w:tc>
        <w:tc>
          <w:tcPr>
            <w:tcW w:w="1120" w:type="dxa"/>
            <w:vAlign w:val="bottom"/>
            <w:tcBorders>
              <w:bottom w:val="single" w:sz="8" w:color="0000EE"/>
            </w:tcBorders>
            <w:gridSpan w:val="8"/>
            <w:shd w:val="clear" w:color="auto" w:fill="CCEEFF"/>
          </w:tcPr>
          <w:p>
            <w:pPr>
              <w:spacing w:after="0"/>
              <w:rPr>
                <w:rFonts w:ascii="Arial" w:cs="Arial" w:eastAsia="Arial" w:hAnsi="Arial"/>
                <w:sz w:val="13"/>
                <w:szCs w:val="13"/>
                <w:color w:val="0000EE"/>
                <w:w w:val="91"/>
              </w:rPr>
            </w:pPr>
            <w:hyperlink w:anchor="page70">
              <w:r>
                <w:rPr>
                  <w:rFonts w:ascii="Arial" w:cs="Arial" w:eastAsia="Arial" w:hAnsi="Arial"/>
                  <w:sz w:val="13"/>
                  <w:szCs w:val="13"/>
                  <w:color w:val="0000EE"/>
                  <w:w w:val="91"/>
                </w:rPr>
                <w:t>From 10-K Summary</w:t>
              </w:r>
            </w:hyperlink>
          </w:p>
        </w:tc>
        <w:tc>
          <w:tcPr>
            <w:tcW w:w="9280" w:type="dxa"/>
            <w:vAlign w:val="bottom"/>
            <w:tcBorders>
              <w:bottom w:val="single" w:sz="8" w:color="CCEEFF"/>
              <w:right w:val="single" w:sz="8" w:color="CCEEFF"/>
            </w:tcBorders>
            <w:gridSpan w:val="17"/>
            <w:shd w:val="clear" w:color="auto" w:fill="CCEEFF"/>
          </w:tcPr>
          <w:p>
            <w:pPr>
              <w:spacing w:after="0"/>
              <w:rPr>
                <w:sz w:val="16"/>
                <w:szCs w:val="16"/>
                <w:color w:val="auto"/>
              </w:rPr>
            </w:pPr>
          </w:p>
        </w:tc>
        <w:tc>
          <w:tcPr>
            <w:tcW w:w="60" w:type="dxa"/>
            <w:vAlign w:val="bottom"/>
            <w:tcBorders>
              <w:bottom w:val="single" w:sz="8" w:color="0000EE"/>
            </w:tcBorders>
            <w:shd w:val="clear" w:color="auto" w:fill="CCEEFF"/>
          </w:tcPr>
          <w:p>
            <w:pPr>
              <w:jc w:val="right"/>
              <w:spacing w:after="0"/>
              <w:rPr>
                <w:rFonts w:ascii="Arial" w:cs="Arial" w:eastAsia="Arial" w:hAnsi="Arial"/>
                <w:sz w:val="5"/>
                <w:szCs w:val="5"/>
                <w:color w:val="0000EE"/>
                <w:w w:val="71"/>
              </w:rPr>
            </w:pPr>
            <w:hyperlink w:anchor="page70">
              <w:r>
                <w:rPr>
                  <w:rFonts w:ascii="Arial" w:cs="Arial" w:eastAsia="Arial" w:hAnsi="Arial"/>
                  <w:sz w:val="5"/>
                  <w:szCs w:val="5"/>
                  <w:color w:val="0000EE"/>
                  <w:w w:val="71"/>
                </w:rPr>
                <w:t>64</w:t>
              </w:r>
            </w:hyperlink>
          </w:p>
        </w:tc>
        <w:tc>
          <w:tcPr>
            <w:tcW w:w="40" w:type="dxa"/>
            <w:vAlign w:val="bottom"/>
            <w:tcBorders>
              <w:bottom w:val="single" w:sz="8" w:color="CCEEFF"/>
            </w:tcBorders>
            <w:shd w:val="clear" w:color="auto" w:fill="CCEEFF"/>
          </w:tcPr>
          <w:p>
            <w:pPr>
              <w:spacing w:after="0"/>
              <w:rPr>
                <w:sz w:val="16"/>
                <w:szCs w:val="16"/>
                <w:color w:val="auto"/>
              </w:rPr>
            </w:pPr>
          </w:p>
        </w:tc>
      </w:tr>
      <w:tr>
        <w:trPr>
          <w:trHeight w:val="15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0" w:type="dxa"/>
            <w:vAlign w:val="bottom"/>
            <w:gridSpan w:val="25"/>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Glossary of Selected Petroleum Terms</w:t>
              </w:r>
            </w:hyperlink>
          </w:p>
        </w:tc>
        <w:tc>
          <w:tcPr>
            <w:tcW w:w="100" w:type="dxa"/>
            <w:vAlign w:val="bottom"/>
            <w:gridSpan w:val="2"/>
          </w:tcPr>
          <w:p>
            <w:pPr>
              <w:jc w:val="right"/>
              <w:ind w:right="40"/>
              <w:spacing w:after="0"/>
              <w:rPr>
                <w:rFonts w:ascii="Arial" w:cs="Arial" w:eastAsia="Arial" w:hAnsi="Arial"/>
                <w:sz w:val="8"/>
                <w:szCs w:val="8"/>
                <w:color w:val="0000EE"/>
                <w:w w:val="74"/>
              </w:rPr>
            </w:pPr>
            <w:hyperlink w:anchor="page4">
              <w:r>
                <w:rPr>
                  <w:rFonts w:ascii="Arial" w:cs="Arial" w:eastAsia="Arial" w:hAnsi="Arial"/>
                  <w:sz w:val="8"/>
                  <w:szCs w:val="8"/>
                  <w:color w:val="0000EE"/>
                  <w:w w:val="74"/>
                </w:rPr>
                <w:t>iii</w:t>
              </w:r>
            </w:hyperlink>
          </w:p>
        </w:tc>
      </w:tr>
      <w:tr>
        <w:trPr>
          <w:trHeight w:val="45"/>
        </w:trPr>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20" w:type="dxa"/>
            <w:vAlign w:val="bottom"/>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r>
      <w:tr>
        <w:trPr>
          <w:trHeight w:val="151"/>
        </w:trPr>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0" w:type="dxa"/>
            <w:vAlign w:val="bottom"/>
            <w:tcBorders>
              <w:right w:val="single" w:sz="8" w:color="CCEEFF"/>
            </w:tcBorders>
            <w:gridSpan w:val="25"/>
            <w:shd w:val="clear" w:color="auto" w:fill="CCEEFF"/>
          </w:tcPr>
          <w:p>
            <w:pPr>
              <w:spacing w:after="0"/>
              <w:rPr>
                <w:rFonts w:ascii="Arial" w:cs="Arial" w:eastAsia="Arial" w:hAnsi="Arial"/>
                <w:sz w:val="13"/>
                <w:szCs w:val="13"/>
                <w:color w:val="0000EE"/>
              </w:rPr>
            </w:pPr>
            <w:hyperlink w:anchor="page71">
              <w:r>
                <w:rPr>
                  <w:rFonts w:ascii="Arial" w:cs="Arial" w:eastAsia="Arial" w:hAnsi="Arial"/>
                  <w:sz w:val="13"/>
                  <w:szCs w:val="13"/>
                  <w:color w:val="0000EE"/>
                </w:rPr>
                <w:t>Signatures</w:t>
              </w:r>
            </w:hyperlink>
          </w:p>
        </w:tc>
        <w:tc>
          <w:tcPr>
            <w:tcW w:w="60" w:type="dxa"/>
            <w:vAlign w:val="bottom"/>
            <w:shd w:val="clear" w:color="auto" w:fill="CCEEFF"/>
          </w:tcPr>
          <w:p>
            <w:pPr>
              <w:jc w:val="right"/>
              <w:spacing w:after="0"/>
              <w:rPr>
                <w:rFonts w:ascii="Arial" w:cs="Arial" w:eastAsia="Arial" w:hAnsi="Arial"/>
                <w:sz w:val="5"/>
                <w:szCs w:val="5"/>
                <w:color w:val="0000EE"/>
                <w:w w:val="71"/>
              </w:rPr>
            </w:pPr>
            <w:hyperlink w:anchor="page71">
              <w:r>
                <w:rPr>
                  <w:rFonts w:ascii="Arial" w:cs="Arial" w:eastAsia="Arial" w:hAnsi="Arial"/>
                  <w:sz w:val="5"/>
                  <w:szCs w:val="5"/>
                  <w:color w:val="0000EE"/>
                  <w:w w:val="71"/>
                </w:rPr>
                <w:t>65</w:t>
              </w:r>
            </w:hyperlink>
          </w:p>
        </w:tc>
        <w:tc>
          <w:tcPr>
            <w:tcW w:w="40" w:type="dxa"/>
            <w:vAlign w:val="bottom"/>
            <w:shd w:val="clear" w:color="auto" w:fill="CCEEFF"/>
          </w:tcPr>
          <w:p>
            <w:pPr>
              <w:spacing w:after="0"/>
              <w:rPr>
                <w:sz w:val="13"/>
                <w:szCs w:val="13"/>
                <w:color w:val="auto"/>
              </w:rPr>
            </w:pPr>
          </w:p>
        </w:tc>
      </w:tr>
      <w:tr>
        <w:trPr>
          <w:trHeight w:val="45"/>
        </w:trPr>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righ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462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5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0" w:type="dxa"/>
            <w:vAlign w:val="bottom"/>
            <w:gridSpan w:val="25"/>
          </w:tcPr>
          <w:p>
            <w:pPr>
              <w:spacing w:after="0"/>
              <w:rPr>
                <w:rFonts w:ascii="Arial" w:cs="Arial" w:eastAsia="Arial" w:hAnsi="Arial"/>
                <w:sz w:val="13"/>
                <w:szCs w:val="13"/>
                <w:color w:val="0000EE"/>
              </w:rPr>
            </w:pPr>
            <w:hyperlink w:anchor="page72">
              <w:r>
                <w:rPr>
                  <w:rFonts w:ascii="Arial" w:cs="Arial" w:eastAsia="Arial" w:hAnsi="Arial"/>
                  <w:sz w:val="13"/>
                  <w:szCs w:val="13"/>
                  <w:color w:val="0000EE"/>
                </w:rPr>
                <w:t>Exhibit Index</w:t>
              </w:r>
            </w:hyperlink>
          </w:p>
        </w:tc>
        <w:tc>
          <w:tcPr>
            <w:tcW w:w="60" w:type="dxa"/>
            <w:vAlign w:val="bottom"/>
          </w:tcPr>
          <w:p>
            <w:pPr>
              <w:jc w:val="right"/>
              <w:spacing w:after="0"/>
              <w:rPr>
                <w:rFonts w:ascii="Arial" w:cs="Arial" w:eastAsia="Arial" w:hAnsi="Arial"/>
                <w:sz w:val="5"/>
                <w:szCs w:val="5"/>
                <w:color w:val="0000EE"/>
                <w:w w:val="71"/>
              </w:rPr>
            </w:pPr>
            <w:hyperlink w:anchor="page72">
              <w:r>
                <w:rPr>
                  <w:rFonts w:ascii="Arial" w:cs="Arial" w:eastAsia="Arial" w:hAnsi="Arial"/>
                  <w:sz w:val="5"/>
                  <w:szCs w:val="5"/>
                  <w:color w:val="0000EE"/>
                  <w:w w:val="71"/>
                </w:rPr>
                <w:t>66</w:t>
              </w:r>
            </w:hyperlink>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We use the terms, "EPM," "Company," "we," "us" and "our" to refer to Evolution Petroleum Corporation, and unless the context otherwise requires, its wholly-owned subsidiaries.</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40"/>
          </w:cols>
          <w:pgMar w:left="240" w:top="362" w:right="21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360" w:lineRule="exact"/>
        <w:rPr>
          <w:sz w:val="20"/>
          <w:szCs w:val="20"/>
          <w:color w:val="auto"/>
        </w:rPr>
      </w:pPr>
    </w:p>
    <w:p>
      <w:pPr>
        <w:ind w:firstLine="388"/>
        <w:spacing w:after="0" w:line="260" w:lineRule="auto"/>
        <w:rPr>
          <w:sz w:val="20"/>
          <w:szCs w:val="20"/>
          <w:color w:val="auto"/>
        </w:rPr>
      </w:pPr>
      <w:r>
        <w:rPr>
          <w:rFonts w:ascii="Arial" w:cs="Arial" w:eastAsia="Arial" w:hAnsi="Arial"/>
          <w:sz w:val="14"/>
          <w:szCs w:val="14"/>
          <w:color w:val="auto"/>
        </w:rPr>
        <w:t>This Form 10-K and the information referenced herein contains forward-looking statements within the meaning of the Private Securities Litigations Reform Act of 1995, Section 27A of the Securities Act of 1933 and Section 21E of the Securities Exchange Act of 1934. The words “plan,” “expect,” “project,” “estimate,” “assume,” “believe,” “anticipate,” “intend,” “budget,” “forecast,” “predict” and other similar expressions are intended to identify forward-looking statements. These statements appear in a number of places and include statements regarding our plans, beliefs or current expectations, including the plans, beliefs and expectations of our officers and directors. When considering any forward-looking statement, you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and natural gas, operating risks and other risk factors as described in Part I, Item 1A, "Risk Factors" and elsewhere in this report and as also may be described from time to time in our future reports we file with the Securities and Exchange Commission. You should read such information in conjunction with our consolidated condensed financial statements and related notes and "Management's Discussion and Analysis of Financial Condition and Results of Operations" in this report. There also may be other factors that we cannot anticipate or that are not described in this report, generally because we do not currently perceive them to be material. Such factors could cause results to differ materially from our expectations.</w:t>
      </w:r>
    </w:p>
    <w:p>
      <w:pPr>
        <w:spacing w:after="0" w:line="153" w:lineRule="exact"/>
        <w:rPr>
          <w:sz w:val="20"/>
          <w:szCs w:val="20"/>
          <w:color w:val="auto"/>
        </w:rPr>
      </w:pPr>
    </w:p>
    <w:p>
      <w:pPr>
        <w:ind w:right="40" w:firstLine="388"/>
        <w:spacing w:after="0" w:line="288" w:lineRule="auto"/>
        <w:rPr>
          <w:sz w:val="20"/>
          <w:szCs w:val="20"/>
          <w:color w:val="auto"/>
        </w:rPr>
      </w:pPr>
      <w:r>
        <w:rPr>
          <w:rFonts w:ascii="Arial" w:cs="Arial" w:eastAsia="Arial" w:hAnsi="Arial"/>
          <w:sz w:val="14"/>
          <w:szCs w:val="14"/>
          <w:color w:val="auto"/>
        </w:rPr>
        <w:t>Forward-looking statements speak only as of the date they are made, and we do not undertake to update these statements other than as required by law. You are advised, however, to review any further disclosures we make on related subjects in our periodic filings with the Securities and Exchange Commission.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60"/>
          </w:cols>
          <w:pgMar w:left="220" w:top="129" w:right="2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GLOSSARY OF SELECTED PETROLEUM TERMS</w:t>
      </w:r>
    </w:p>
    <w:p>
      <w:pPr>
        <w:spacing w:after="0" w:line="200" w:lineRule="exact"/>
        <w:rPr>
          <w:sz w:val="20"/>
          <w:szCs w:val="20"/>
          <w:color w:val="auto"/>
        </w:rPr>
      </w:pPr>
    </w:p>
    <w:p>
      <w:pPr>
        <w:spacing w:after="0" w:line="20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abbreviations and definitions are terms commonly used in the crude oil and natural gas industry and throughout this form 10-K:</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BBL</w:t>
      </w:r>
      <w:r>
        <w:rPr>
          <w:rFonts w:ascii="Arial" w:cs="Arial" w:eastAsia="Arial" w:hAnsi="Arial"/>
          <w:sz w:val="13"/>
          <w:szCs w:val="13"/>
          <w:color w:val="auto"/>
        </w:rPr>
        <w:t>." A standard measure of volume for crude oil and liquid petroleum products; one barrel equals 42 U.S. gallons.</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BCF</w:t>
      </w:r>
      <w:r>
        <w:rPr>
          <w:rFonts w:ascii="Arial" w:cs="Arial" w:eastAsia="Arial" w:hAnsi="Arial"/>
          <w:sz w:val="13"/>
          <w:szCs w:val="13"/>
          <w:color w:val="auto"/>
        </w:rPr>
        <w:t>." Billion Cubic Feet of natural gas at standard temperature and pressure.</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BOE</w:t>
      </w:r>
      <w:r>
        <w:rPr>
          <w:rFonts w:ascii="Arial" w:cs="Arial" w:eastAsia="Arial" w:hAnsi="Arial"/>
          <w:sz w:val="13"/>
          <w:szCs w:val="13"/>
          <w:color w:val="auto"/>
        </w:rPr>
        <w:t>." Barrels of oil equivalent. BOE is calculated by converting 6 MCF of natural gas to 1 BBL of oil.</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BOPD</w:t>
      </w:r>
      <w:r>
        <w:rPr>
          <w:rFonts w:ascii="Arial" w:cs="Arial" w:eastAsia="Arial" w:hAnsi="Arial"/>
          <w:sz w:val="13"/>
          <w:szCs w:val="13"/>
          <w:color w:val="auto"/>
        </w:rPr>
        <w:t>." Barrels of oil per day.</w:t>
      </w:r>
    </w:p>
    <w:p>
      <w:pPr>
        <w:spacing w:after="0" w:line="217" w:lineRule="exact"/>
        <w:rPr>
          <w:sz w:val="20"/>
          <w:szCs w:val="20"/>
          <w:color w:val="auto"/>
        </w:rPr>
      </w:pPr>
    </w:p>
    <w:p>
      <w:pPr>
        <w:ind w:left="260" w:right="140" w:firstLine="259"/>
        <w:spacing w:after="0" w:line="27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BTU</w:t>
      </w:r>
      <w:r>
        <w:rPr>
          <w:rFonts w:ascii="Arial" w:cs="Arial" w:eastAsia="Arial" w:hAnsi="Arial"/>
          <w:sz w:val="13"/>
          <w:szCs w:val="13"/>
          <w:color w:val="auto"/>
        </w:rPr>
        <w:t>" or "British Thermal Unit." The standard unit of measure of energy equal to the amount of heat required to raise the temperature of one pound of water 1 degree Fahrenheit. One Bbl of crude is typically 5.8 MMBTU, and one standard MCF is typically one MMBTU.</w:t>
      </w:r>
    </w:p>
    <w:p>
      <w:pPr>
        <w:spacing w:after="0" w:line="181" w:lineRule="exact"/>
        <w:rPr>
          <w:sz w:val="20"/>
          <w:szCs w:val="20"/>
          <w:color w:val="auto"/>
        </w:rPr>
      </w:pPr>
    </w:p>
    <w:p>
      <w:pPr>
        <w:ind w:left="260" w:right="400" w:firstLine="259"/>
        <w:spacing w:after="0" w:line="27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w:t>
      </w:r>
      <w:r>
        <w:rPr>
          <w:rFonts w:ascii="Arial" w:cs="Arial" w:eastAsia="Arial" w:hAnsi="Arial"/>
          <w:sz w:val="8"/>
          <w:szCs w:val="8"/>
          <w:b w:val="1"/>
          <w:bCs w:val="1"/>
          <w:color w:val="auto"/>
        </w:rPr>
        <w:t>2</w:t>
      </w:r>
      <w:r>
        <w:rPr>
          <w:rFonts w:ascii="Arial" w:cs="Arial" w:eastAsia="Arial" w:hAnsi="Arial"/>
          <w:sz w:val="13"/>
          <w:szCs w:val="13"/>
          <w:color w:val="auto"/>
        </w:rPr>
        <w:t>." Carbon dioxide, a gas that can be found in naturally occurring reservoirs, typically associated with ancient volcanoes, and also is a major byproduct from manufacturing and power production also utilized in enhanced oil recovery through injection into an oil reservoir.</w:t>
      </w:r>
    </w:p>
    <w:p>
      <w:pPr>
        <w:spacing w:after="0" w:line="181" w:lineRule="exact"/>
        <w:rPr>
          <w:sz w:val="20"/>
          <w:szCs w:val="20"/>
          <w:color w:val="auto"/>
        </w:rPr>
      </w:pPr>
    </w:p>
    <w:p>
      <w:pPr>
        <w:jc w:val="both"/>
        <w:ind w:left="260" w:right="20" w:firstLine="259"/>
        <w:spacing w:after="0" w:line="363" w:lineRule="auto"/>
        <w:rPr>
          <w:sz w:val="20"/>
          <w:szCs w:val="20"/>
          <w:color w:val="auto"/>
        </w:rPr>
      </w:pPr>
      <w:r>
        <w:rPr>
          <w:rFonts w:ascii="Arial" w:cs="Arial" w:eastAsia="Arial" w:hAnsi="Arial"/>
          <w:sz w:val="11"/>
          <w:szCs w:val="11"/>
          <w:b w:val="1"/>
          <w:bCs w:val="1"/>
          <w:color w:val="auto"/>
        </w:rPr>
        <w:t xml:space="preserve">"Developed Reserves." </w:t>
      </w:r>
      <w:r>
        <w:rPr>
          <w:rFonts w:ascii="Arial" w:cs="Arial" w:eastAsia="Arial" w:hAnsi="Arial"/>
          <w:sz w:val="11"/>
          <w:szCs w:val="11"/>
          <w:color w:val="auto"/>
        </w:rPr>
        <w:t>Reserves of any category that can be expected to be recovered (i) through existing wells with existing equipment and operating methods or in which the cost of the required equipment is</w:t>
      </w:r>
      <w:r>
        <w:rPr>
          <w:rFonts w:ascii="Arial" w:cs="Arial" w:eastAsia="Arial" w:hAnsi="Arial"/>
          <w:sz w:val="11"/>
          <w:szCs w:val="11"/>
          <w:b w:val="1"/>
          <w:bCs w:val="1"/>
          <w:color w:val="auto"/>
        </w:rPr>
        <w:t xml:space="preserve"> </w:t>
      </w:r>
      <w:r>
        <w:rPr>
          <w:rFonts w:ascii="Arial" w:cs="Arial" w:eastAsia="Arial" w:hAnsi="Arial"/>
          <w:sz w:val="11"/>
          <w:szCs w:val="11"/>
          <w:color w:val="auto"/>
        </w:rPr>
        <w:t>relatively minor compared to the cost of a new well; and (ii) through installed extraction equipment and infrastructure operational at the time of the reserves estimate if the extraction is by means not involving a well.</w:t>
      </w:r>
    </w:p>
    <w:p>
      <w:pPr>
        <w:spacing w:after="0" w:line="135" w:lineRule="exact"/>
        <w:rPr>
          <w:sz w:val="20"/>
          <w:szCs w:val="20"/>
          <w:color w:val="auto"/>
        </w:rPr>
      </w:pPr>
    </w:p>
    <w:p>
      <w:pPr>
        <w:ind w:left="260" w:right="260" w:firstLine="259"/>
        <w:spacing w:after="0" w:line="270" w:lineRule="auto"/>
        <w:rPr>
          <w:sz w:val="20"/>
          <w:szCs w:val="20"/>
          <w:color w:val="auto"/>
        </w:rPr>
      </w:pPr>
      <w:r>
        <w:rPr>
          <w:rFonts w:ascii="Arial" w:cs="Arial" w:eastAsia="Arial" w:hAnsi="Arial"/>
          <w:sz w:val="13"/>
          <w:szCs w:val="13"/>
          <w:b w:val="1"/>
          <w:bCs w:val="1"/>
          <w:color w:val="auto"/>
        </w:rPr>
        <w:t>"EOR.</w:t>
      </w:r>
      <w:r>
        <w:rPr>
          <w:rFonts w:ascii="Arial" w:cs="Arial" w:eastAsia="Arial" w:hAnsi="Arial"/>
          <w:sz w:val="13"/>
          <w:szCs w:val="13"/>
          <w:color w:val="auto"/>
        </w:rPr>
        <w:t>" Enhanced Oil Recovery projects involve injection of heat, miscible or immiscible gas, or chemicals into oil reservoirs, typically following full primary and secondary waterflood recovery efforts, in</w:t>
      </w:r>
      <w:r>
        <w:rPr>
          <w:rFonts w:ascii="Arial" w:cs="Arial" w:eastAsia="Arial" w:hAnsi="Arial"/>
          <w:sz w:val="13"/>
          <w:szCs w:val="13"/>
          <w:b w:val="1"/>
          <w:bCs w:val="1"/>
          <w:color w:val="auto"/>
        </w:rPr>
        <w:t xml:space="preserve"> </w:t>
      </w:r>
      <w:r>
        <w:rPr>
          <w:rFonts w:ascii="Arial" w:cs="Arial" w:eastAsia="Arial" w:hAnsi="Arial"/>
          <w:sz w:val="13"/>
          <w:szCs w:val="13"/>
          <w:color w:val="auto"/>
        </w:rPr>
        <w:t>order to gain incremental recovery of oil from the reservoir.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"Field." </w:t>
      </w:r>
      <w:r>
        <w:rPr>
          <w:rFonts w:ascii="Arial" w:cs="Arial" w:eastAsia="Arial" w:hAnsi="Arial"/>
          <w:sz w:val="13"/>
          <w:szCs w:val="13"/>
          <w:color w:val="auto"/>
        </w:rPr>
        <w:t>An area consisting of a single reservoir or multiple reservoirs all grouped on or related to the same individual geologic structural feature and/or stratigraphic feature.*</w:t>
      </w:r>
    </w:p>
    <w:p>
      <w:pPr>
        <w:spacing w:after="0" w:line="217" w:lineRule="exact"/>
        <w:rPr>
          <w:sz w:val="20"/>
          <w:szCs w:val="20"/>
          <w:color w:val="auto"/>
        </w:rPr>
      </w:pPr>
    </w:p>
    <w:p>
      <w:pPr>
        <w:ind w:left="260" w:firstLine="259"/>
        <w:spacing w:after="0" w:line="256" w:lineRule="auto"/>
        <w:rPr>
          <w:sz w:val="20"/>
          <w:szCs w:val="20"/>
          <w:color w:val="auto"/>
        </w:rPr>
      </w:pPr>
      <w:r>
        <w:rPr>
          <w:rFonts w:ascii="Arial" w:cs="Arial" w:eastAsia="Arial" w:hAnsi="Arial"/>
          <w:sz w:val="13"/>
          <w:szCs w:val="13"/>
          <w:b w:val="1"/>
          <w:bCs w:val="1"/>
          <w:color w:val="auto"/>
        </w:rPr>
        <w:t xml:space="preserve">"Farmout." </w:t>
      </w:r>
      <w:r>
        <w:rPr>
          <w:rFonts w:ascii="Arial" w:cs="Arial" w:eastAsia="Arial" w:hAnsi="Arial"/>
          <w:sz w:val="13"/>
          <w:szCs w:val="13"/>
          <w:color w:val="auto"/>
        </w:rPr>
        <w:t>Sale or transfer of all or part of the operating rights from the working interest owner (the assignor or farm-out party), to an assignee (the farm-in party) who assumes all or some of the burden of</w:t>
      </w:r>
      <w:r>
        <w:rPr>
          <w:rFonts w:ascii="Arial" w:cs="Arial" w:eastAsia="Arial" w:hAnsi="Arial"/>
          <w:sz w:val="13"/>
          <w:szCs w:val="13"/>
          <w:b w:val="1"/>
          <w:bCs w:val="1"/>
          <w:color w:val="auto"/>
        </w:rPr>
        <w:t xml:space="preserve"> </w:t>
      </w:r>
      <w:r>
        <w:rPr>
          <w:rFonts w:ascii="Arial" w:cs="Arial" w:eastAsia="Arial" w:hAnsi="Arial"/>
          <w:sz w:val="13"/>
          <w:szCs w:val="13"/>
          <w:color w:val="auto"/>
        </w:rPr>
        <w:t>development, in return for an interest in the property. The assignor may retain an overriding royalty or any other type of interest. For Federal tax purposes, a farm-out may be structured as a sale or lease, depending on the specific rights and carved out interests retained by the assignor.</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"Gross Acres or Gross Wells." </w:t>
      </w:r>
      <w:r>
        <w:rPr>
          <w:rFonts w:ascii="Arial" w:cs="Arial" w:eastAsia="Arial" w:hAnsi="Arial"/>
          <w:sz w:val="13"/>
          <w:szCs w:val="13"/>
          <w:color w:val="auto"/>
        </w:rPr>
        <w:t>The total acres or number of wells participated in, regardless of the amount of working interest owned.</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"Horizontal Drilling." </w:t>
      </w:r>
      <w:r>
        <w:rPr>
          <w:rFonts w:ascii="Arial" w:cs="Arial" w:eastAsia="Arial" w:hAnsi="Arial"/>
          <w:sz w:val="13"/>
          <w:szCs w:val="13"/>
          <w:color w:val="auto"/>
        </w:rPr>
        <w:t>Involves drilling horizontally out from a vertical well bore, thereby potentially increasing the area and reach of the well bore that is in contact with the reservoir.</w:t>
      </w:r>
    </w:p>
    <w:p>
      <w:pPr>
        <w:spacing w:after="0" w:line="217" w:lineRule="exact"/>
        <w:rPr>
          <w:sz w:val="20"/>
          <w:szCs w:val="20"/>
          <w:color w:val="auto"/>
        </w:rPr>
      </w:pPr>
    </w:p>
    <w:p>
      <w:pPr>
        <w:ind w:left="260" w:right="80" w:firstLine="259"/>
        <w:spacing w:after="0" w:line="270" w:lineRule="auto"/>
        <w:rPr>
          <w:sz w:val="20"/>
          <w:szCs w:val="20"/>
          <w:color w:val="auto"/>
        </w:rPr>
      </w:pPr>
      <w:r>
        <w:rPr>
          <w:rFonts w:ascii="Arial" w:cs="Arial" w:eastAsia="Arial" w:hAnsi="Arial"/>
          <w:sz w:val="13"/>
          <w:szCs w:val="13"/>
          <w:b w:val="1"/>
          <w:bCs w:val="1"/>
          <w:color w:val="auto"/>
        </w:rPr>
        <w:t xml:space="preserve">"Hydraulic Fracturing." </w:t>
      </w:r>
      <w:r>
        <w:rPr>
          <w:rFonts w:ascii="Arial" w:cs="Arial" w:eastAsia="Arial" w:hAnsi="Arial"/>
          <w:sz w:val="13"/>
          <w:szCs w:val="13"/>
          <w:color w:val="auto"/>
        </w:rPr>
        <w:t>Involves pumping a fluid with or without particulates into a formation at high pressure, thereby creating fractures in the rock and leaving the particulates in the fractures to ensure that</w:t>
      </w:r>
      <w:r>
        <w:rPr>
          <w:rFonts w:ascii="Arial" w:cs="Arial" w:eastAsia="Arial" w:hAnsi="Arial"/>
          <w:sz w:val="13"/>
          <w:szCs w:val="13"/>
          <w:b w:val="1"/>
          <w:bCs w:val="1"/>
          <w:color w:val="auto"/>
        </w:rPr>
        <w:t xml:space="preserve"> </w:t>
      </w:r>
      <w:r>
        <w:rPr>
          <w:rFonts w:ascii="Arial" w:cs="Arial" w:eastAsia="Arial" w:hAnsi="Arial"/>
          <w:sz w:val="13"/>
          <w:szCs w:val="13"/>
          <w:color w:val="auto"/>
        </w:rPr>
        <w:t>the fractures remain open, thereby potentially increasing the ability of the reservoir to produce oil or gas.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"LOE." </w:t>
      </w:r>
      <w:r>
        <w:rPr>
          <w:rFonts w:ascii="Arial" w:cs="Arial" w:eastAsia="Arial" w:hAnsi="Arial"/>
          <w:sz w:val="13"/>
          <w:szCs w:val="13"/>
          <w:color w:val="auto"/>
        </w:rPr>
        <w:t>Means lease operating expense(s), a current period expense incurred to operate a well.</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"MBO.</w:t>
      </w:r>
      <w:r>
        <w:rPr>
          <w:rFonts w:ascii="Arial" w:cs="Arial" w:eastAsia="Arial" w:hAnsi="Arial"/>
          <w:sz w:val="13"/>
          <w:szCs w:val="13"/>
          <w:color w:val="auto"/>
        </w:rPr>
        <w:t>" One thousand barrels of oil</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"MBOE." </w:t>
      </w:r>
      <w:r>
        <w:rPr>
          <w:rFonts w:ascii="Arial" w:cs="Arial" w:eastAsia="Arial" w:hAnsi="Arial"/>
          <w:sz w:val="13"/>
          <w:szCs w:val="13"/>
          <w:color w:val="auto"/>
        </w:rPr>
        <w:t>One thousand barrels of oil equivalent.</w:t>
      </w:r>
    </w:p>
    <w:p>
      <w:pPr>
        <w:spacing w:after="0" w:line="217" w:lineRule="exact"/>
        <w:rPr>
          <w:sz w:val="20"/>
          <w:szCs w:val="20"/>
          <w:color w:val="auto"/>
        </w:rPr>
      </w:pPr>
    </w:p>
    <w:p>
      <w:pPr>
        <w:ind w:left="260" w:right="40" w:firstLine="259"/>
        <w:spacing w:after="0" w:line="270" w:lineRule="auto"/>
        <w:rPr>
          <w:sz w:val="20"/>
          <w:szCs w:val="20"/>
          <w:color w:val="auto"/>
        </w:rPr>
      </w:pPr>
      <w:r>
        <w:rPr>
          <w:rFonts w:ascii="Arial" w:cs="Arial" w:eastAsia="Arial" w:hAnsi="Arial"/>
          <w:sz w:val="13"/>
          <w:szCs w:val="13"/>
          <w:b w:val="1"/>
          <w:bCs w:val="1"/>
          <w:color w:val="auto"/>
        </w:rPr>
        <w:t xml:space="preserve">"MCF." </w:t>
      </w:r>
      <w:r>
        <w:rPr>
          <w:rFonts w:ascii="Arial" w:cs="Arial" w:eastAsia="Arial" w:hAnsi="Arial"/>
          <w:sz w:val="13"/>
          <w:szCs w:val="13"/>
          <w:color w:val="auto"/>
        </w:rPr>
        <w:t>One thousand cubic feet of natural gas at standard conditions, being approximately sea level pressure and 60 degrees Fahrenheit temperature. Standard pressure in the state of Louisiana is deemed to be</w:t>
      </w:r>
      <w:r>
        <w:rPr>
          <w:rFonts w:ascii="Arial" w:cs="Arial" w:eastAsia="Arial" w:hAnsi="Arial"/>
          <w:sz w:val="13"/>
          <w:szCs w:val="13"/>
          <w:b w:val="1"/>
          <w:bCs w:val="1"/>
          <w:color w:val="auto"/>
        </w:rPr>
        <w:t xml:space="preserve"> </w:t>
      </w:r>
      <w:r>
        <w:rPr>
          <w:rFonts w:ascii="Arial" w:cs="Arial" w:eastAsia="Arial" w:hAnsi="Arial"/>
          <w:sz w:val="13"/>
          <w:szCs w:val="13"/>
          <w:color w:val="auto"/>
        </w:rPr>
        <w:t>15.025 psi by regulation, but varies in other states.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"MMBOE." </w:t>
      </w:r>
      <w:r>
        <w:rPr>
          <w:rFonts w:ascii="Arial" w:cs="Arial" w:eastAsia="Arial" w:hAnsi="Arial"/>
          <w:sz w:val="13"/>
          <w:szCs w:val="13"/>
          <w:color w:val="auto"/>
        </w:rPr>
        <w:t>One million barrels of oil equivalent.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"MMBTU." </w:t>
      </w:r>
      <w:r>
        <w:rPr>
          <w:rFonts w:ascii="Arial" w:cs="Arial" w:eastAsia="Arial" w:hAnsi="Arial"/>
          <w:sz w:val="13"/>
          <w:szCs w:val="13"/>
          <w:color w:val="auto"/>
        </w:rPr>
        <w:t>One million British thermal units.</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"MMCF." </w:t>
      </w:r>
      <w:r>
        <w:rPr>
          <w:rFonts w:ascii="Arial" w:cs="Arial" w:eastAsia="Arial" w:hAnsi="Arial"/>
          <w:sz w:val="13"/>
          <w:szCs w:val="13"/>
          <w:color w:val="auto"/>
        </w:rPr>
        <w:t>One million cubic feet of natural gas at standard temperature and pressure.</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"Mineral Royalty Interest." </w:t>
      </w:r>
      <w:r>
        <w:rPr>
          <w:rFonts w:ascii="Arial" w:cs="Arial" w:eastAsia="Arial" w:hAnsi="Arial"/>
          <w:sz w:val="13"/>
          <w:szCs w:val="13"/>
          <w:color w:val="auto"/>
        </w:rPr>
        <w:t>A royalty interest that is retained by the owner of the minerals underlying a lease. See "Royalty Interest".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"Net Acres or Net Wells." </w:t>
      </w:r>
      <w:r>
        <w:rPr>
          <w:rFonts w:ascii="Arial" w:cs="Arial" w:eastAsia="Arial" w:hAnsi="Arial"/>
          <w:sz w:val="13"/>
          <w:szCs w:val="13"/>
          <w:color w:val="auto"/>
        </w:rPr>
        <w:t>The sum of the fractional working interests owned in gross acres or gross wells.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1440"/>
          </w:cols>
          <w:pgMar w:left="220" w:top="129"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left="260" w:right="20" w:firstLine="259"/>
        <w:spacing w:after="0" w:line="270" w:lineRule="auto"/>
        <w:rPr>
          <w:sz w:val="20"/>
          <w:szCs w:val="20"/>
          <w:color w:val="auto"/>
        </w:rPr>
      </w:pPr>
      <w:r>
        <w:rPr>
          <w:rFonts w:ascii="Arial" w:cs="Arial" w:eastAsia="Arial" w:hAnsi="Arial"/>
          <w:sz w:val="13"/>
          <w:szCs w:val="13"/>
          <w:b w:val="1"/>
          <w:bCs w:val="1"/>
          <w:color w:val="auto"/>
        </w:rPr>
        <w:t xml:space="preserve">"NGL." </w:t>
      </w:r>
      <w:r>
        <w:rPr>
          <w:rFonts w:ascii="Arial" w:cs="Arial" w:eastAsia="Arial" w:hAnsi="Arial"/>
          <w:sz w:val="13"/>
          <w:szCs w:val="13"/>
          <w:color w:val="auto"/>
        </w:rPr>
        <w:t>Natural gas liquids, being the combination of ethane, propane, butane and natural gasoline that can be removed from natural gas through processing, typically through refrigeration plants that utilize low</w:t>
      </w:r>
      <w:r>
        <w:rPr>
          <w:rFonts w:ascii="Arial" w:cs="Arial" w:eastAsia="Arial" w:hAnsi="Arial"/>
          <w:sz w:val="13"/>
          <w:szCs w:val="13"/>
          <w:b w:val="1"/>
          <w:bCs w:val="1"/>
          <w:color w:val="auto"/>
        </w:rPr>
        <w:t xml:space="preserve"> </w:t>
      </w:r>
      <w:r>
        <w:rPr>
          <w:rFonts w:ascii="Arial" w:cs="Arial" w:eastAsia="Arial" w:hAnsi="Arial"/>
          <w:sz w:val="13"/>
          <w:szCs w:val="13"/>
          <w:color w:val="auto"/>
        </w:rPr>
        <w:t>temperatures, or through J-T plants that utilize compression, temperature reduction and expansion to a lower pressure.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"NYMEX." </w:t>
      </w:r>
      <w:r>
        <w:rPr>
          <w:rFonts w:ascii="Arial" w:cs="Arial" w:eastAsia="Arial" w:hAnsi="Arial"/>
          <w:sz w:val="13"/>
          <w:szCs w:val="13"/>
          <w:color w:val="auto"/>
        </w:rPr>
        <w:t>New York Mercantile Exchange.</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"OOIP." </w:t>
      </w:r>
      <w:r>
        <w:rPr>
          <w:rFonts w:ascii="Arial" w:cs="Arial" w:eastAsia="Arial" w:hAnsi="Arial"/>
          <w:sz w:val="13"/>
          <w:szCs w:val="13"/>
          <w:color w:val="auto"/>
        </w:rPr>
        <w:t>Original Oil in Place. An estimate of the barrels originally contained in a reservoir before any production therefrom.</w:t>
      </w:r>
    </w:p>
    <w:p>
      <w:pPr>
        <w:spacing w:after="0" w:line="217" w:lineRule="exact"/>
        <w:rPr>
          <w:sz w:val="20"/>
          <w:szCs w:val="20"/>
          <w:color w:val="auto"/>
        </w:rPr>
      </w:pPr>
    </w:p>
    <w:p>
      <w:pPr>
        <w:ind w:left="260" w:right="240" w:firstLine="259"/>
        <w:spacing w:after="0" w:line="270" w:lineRule="auto"/>
        <w:rPr>
          <w:sz w:val="20"/>
          <w:szCs w:val="20"/>
          <w:color w:val="auto"/>
        </w:rPr>
      </w:pPr>
      <w:r>
        <w:rPr>
          <w:rFonts w:ascii="Arial" w:cs="Arial" w:eastAsia="Arial" w:hAnsi="Arial"/>
          <w:sz w:val="13"/>
          <w:szCs w:val="13"/>
          <w:b w:val="1"/>
          <w:bCs w:val="1"/>
          <w:color w:val="auto"/>
        </w:rPr>
        <w:t xml:space="preserve">"Operator." </w:t>
      </w:r>
      <w:r>
        <w:rPr>
          <w:rFonts w:ascii="Arial" w:cs="Arial" w:eastAsia="Arial" w:hAnsi="Arial"/>
          <w:sz w:val="13"/>
          <w:szCs w:val="13"/>
          <w:color w:val="auto"/>
        </w:rPr>
        <w:t>An oil and gas joint venture participant that manages the joint venture, pays venture costs and bills the venture's non-operators for their share of venture costs. The operator is also responsible to</w:t>
      </w:r>
      <w:r>
        <w:rPr>
          <w:rFonts w:ascii="Arial" w:cs="Arial" w:eastAsia="Arial" w:hAnsi="Arial"/>
          <w:sz w:val="13"/>
          <w:szCs w:val="13"/>
          <w:b w:val="1"/>
          <w:bCs w:val="1"/>
          <w:color w:val="auto"/>
        </w:rPr>
        <w:t xml:space="preserve"> </w:t>
      </w:r>
      <w:r>
        <w:rPr>
          <w:rFonts w:ascii="Arial" w:cs="Arial" w:eastAsia="Arial" w:hAnsi="Arial"/>
          <w:sz w:val="13"/>
          <w:szCs w:val="13"/>
          <w:color w:val="auto"/>
        </w:rPr>
        <w:t>market all oil and gas production, except for those non-operators who take their production in-kind.</w:t>
      </w:r>
    </w:p>
    <w:p>
      <w:pPr>
        <w:spacing w:after="0" w:line="181" w:lineRule="exact"/>
        <w:rPr>
          <w:sz w:val="20"/>
          <w:szCs w:val="20"/>
          <w:color w:val="auto"/>
        </w:rPr>
      </w:pPr>
    </w:p>
    <w:p>
      <w:pPr>
        <w:ind w:left="260" w:right="100" w:firstLine="259"/>
        <w:spacing w:after="0" w:line="270" w:lineRule="auto"/>
        <w:rPr>
          <w:sz w:val="20"/>
          <w:szCs w:val="20"/>
          <w:color w:val="auto"/>
        </w:rPr>
      </w:pPr>
      <w:r>
        <w:rPr>
          <w:rFonts w:ascii="Arial" w:cs="Arial" w:eastAsia="Arial" w:hAnsi="Arial"/>
          <w:sz w:val="13"/>
          <w:szCs w:val="13"/>
          <w:b w:val="1"/>
          <w:bCs w:val="1"/>
          <w:color w:val="auto"/>
        </w:rPr>
        <w:t xml:space="preserve">"Overriding Royalty Interest or ORRI." </w:t>
      </w:r>
      <w:r>
        <w:rPr>
          <w:rFonts w:ascii="Arial" w:cs="Arial" w:eastAsia="Arial" w:hAnsi="Arial"/>
          <w:sz w:val="13"/>
          <w:szCs w:val="13"/>
          <w:color w:val="auto"/>
        </w:rPr>
        <w:t>A royalty interest that is created out of the operating or working interest. Unlike a royalty interest, an overriding royalty interest terminates with the operating interest</w:t>
      </w:r>
      <w:r>
        <w:rPr>
          <w:rFonts w:ascii="Arial" w:cs="Arial" w:eastAsia="Arial" w:hAnsi="Arial"/>
          <w:sz w:val="13"/>
          <w:szCs w:val="13"/>
          <w:b w:val="1"/>
          <w:bCs w:val="1"/>
          <w:color w:val="auto"/>
        </w:rPr>
        <w:t xml:space="preserve"> </w:t>
      </w:r>
      <w:r>
        <w:rPr>
          <w:rFonts w:ascii="Arial" w:cs="Arial" w:eastAsia="Arial" w:hAnsi="Arial"/>
          <w:sz w:val="13"/>
          <w:szCs w:val="13"/>
          <w:color w:val="auto"/>
        </w:rPr>
        <w:t>from which it was created or carved out of. See "Royalty Interest".</w:t>
      </w:r>
    </w:p>
    <w:p>
      <w:pPr>
        <w:spacing w:after="0" w:line="181" w:lineRule="exact"/>
        <w:rPr>
          <w:sz w:val="20"/>
          <w:szCs w:val="20"/>
          <w:color w:val="auto"/>
        </w:rPr>
      </w:pPr>
    </w:p>
    <w:p>
      <w:pPr>
        <w:ind w:left="260" w:firstLine="259"/>
        <w:spacing w:after="0" w:line="256" w:lineRule="auto"/>
        <w:rPr>
          <w:sz w:val="20"/>
          <w:szCs w:val="20"/>
          <w:color w:val="auto"/>
        </w:rPr>
      </w:pPr>
      <w:r>
        <w:rPr>
          <w:rFonts w:ascii="Arial" w:cs="Arial" w:eastAsia="Arial" w:hAnsi="Arial"/>
          <w:sz w:val="13"/>
          <w:szCs w:val="13"/>
          <w:b w:val="1"/>
          <w:bCs w:val="1"/>
          <w:color w:val="auto"/>
        </w:rPr>
        <w:t xml:space="preserve">"Permeability." </w:t>
      </w:r>
      <w:r>
        <w:rPr>
          <w:rFonts w:ascii="Arial" w:cs="Arial" w:eastAsia="Arial" w:hAnsi="Arial"/>
          <w:sz w:val="13"/>
          <w:szCs w:val="13"/>
          <w:color w:val="auto"/>
        </w:rPr>
        <w:t>The measure of ease with which a fluid can move through a reservoir. The unit of measure is a darcy, or any metric derivation thereof, such as a millidarcy, where one darcy equals 1,000</w:t>
      </w:r>
      <w:r>
        <w:rPr>
          <w:rFonts w:ascii="Arial" w:cs="Arial" w:eastAsia="Arial" w:hAnsi="Arial"/>
          <w:sz w:val="13"/>
          <w:szCs w:val="13"/>
          <w:b w:val="1"/>
          <w:bCs w:val="1"/>
          <w:color w:val="auto"/>
        </w:rPr>
        <w:t xml:space="preserve"> </w:t>
      </w:r>
      <w:r>
        <w:rPr>
          <w:rFonts w:ascii="Arial" w:cs="Arial" w:eastAsia="Arial" w:hAnsi="Arial"/>
          <w:sz w:val="13"/>
          <w:szCs w:val="13"/>
          <w:color w:val="auto"/>
        </w:rPr>
        <w:t>millidarcys. Extremely low permeability of 10 millidarcys, or less, are often associated with source rocks, such as shale, making extraction of hydrocarbons more difficult, than say sandstone traps, where permeability can be one to two darcys or more.</w:t>
      </w:r>
    </w:p>
    <w:p>
      <w:pPr>
        <w:spacing w:after="0" w:line="190" w:lineRule="exact"/>
        <w:rPr>
          <w:sz w:val="20"/>
          <w:szCs w:val="20"/>
          <w:color w:val="auto"/>
        </w:rPr>
      </w:pPr>
    </w:p>
    <w:p>
      <w:pPr>
        <w:ind w:left="260" w:right="180" w:firstLine="259"/>
        <w:spacing w:after="0" w:line="270" w:lineRule="auto"/>
        <w:rPr>
          <w:sz w:val="20"/>
          <w:szCs w:val="20"/>
          <w:color w:val="auto"/>
        </w:rPr>
      </w:pPr>
      <w:r>
        <w:rPr>
          <w:rFonts w:ascii="Arial" w:cs="Arial" w:eastAsia="Arial" w:hAnsi="Arial"/>
          <w:sz w:val="13"/>
          <w:szCs w:val="13"/>
          <w:b w:val="1"/>
          <w:bCs w:val="1"/>
          <w:color w:val="auto"/>
        </w:rPr>
        <w:t xml:space="preserve">"Porosity." </w:t>
      </w:r>
      <w:r>
        <w:rPr>
          <w:rFonts w:ascii="Arial" w:cs="Arial" w:eastAsia="Arial" w:hAnsi="Arial"/>
          <w:sz w:val="13"/>
          <w:szCs w:val="13"/>
          <w:color w:val="auto"/>
        </w:rPr>
        <w:t>(of sand or sandstone). The relative volume of the pore space (or open area) compared to the total bulk volume of the reservoir, stated in percent. Higher porosity rocks provide more storage space</w:t>
      </w:r>
      <w:r>
        <w:rPr>
          <w:rFonts w:ascii="Arial" w:cs="Arial" w:eastAsia="Arial" w:hAnsi="Arial"/>
          <w:sz w:val="13"/>
          <w:szCs w:val="13"/>
          <w:b w:val="1"/>
          <w:bCs w:val="1"/>
          <w:color w:val="auto"/>
        </w:rPr>
        <w:t xml:space="preserve"> </w:t>
      </w:r>
      <w:r>
        <w:rPr>
          <w:rFonts w:ascii="Arial" w:cs="Arial" w:eastAsia="Arial" w:hAnsi="Arial"/>
          <w:sz w:val="13"/>
          <w:szCs w:val="13"/>
          <w:color w:val="auto"/>
        </w:rPr>
        <w:t>for hydrocarbon accumulations than lower porosity rocks in a given cubic volume of reservoir.</w:t>
      </w:r>
    </w:p>
    <w:p>
      <w:pPr>
        <w:spacing w:after="0" w:line="181" w:lineRule="exact"/>
        <w:rPr>
          <w:sz w:val="20"/>
          <w:szCs w:val="20"/>
          <w:color w:val="auto"/>
        </w:rPr>
      </w:pPr>
    </w:p>
    <w:p>
      <w:pPr>
        <w:ind w:left="260" w:right="40" w:firstLine="259"/>
        <w:spacing w:after="0" w:line="270" w:lineRule="auto"/>
        <w:rPr>
          <w:sz w:val="20"/>
          <w:szCs w:val="20"/>
          <w:color w:val="auto"/>
        </w:rPr>
      </w:pPr>
      <w:r>
        <w:rPr>
          <w:rFonts w:ascii="Arial" w:cs="Arial" w:eastAsia="Arial" w:hAnsi="Arial"/>
          <w:sz w:val="13"/>
          <w:szCs w:val="13"/>
          <w:b w:val="1"/>
          <w:bCs w:val="1"/>
          <w:color w:val="auto"/>
        </w:rPr>
        <w:t xml:space="preserve">“Possible Reserves.” </w:t>
      </w:r>
      <w:r>
        <w:rPr>
          <w:rFonts w:ascii="Arial" w:cs="Arial" w:eastAsia="Arial" w:hAnsi="Arial"/>
          <w:sz w:val="13"/>
          <w:szCs w:val="13"/>
          <w:color w:val="auto"/>
        </w:rPr>
        <w:t>Additional unproved reserves that analysis of geological and engineering data suggests are less likely to be recoverable than Probable Reserves, but have at least a ten percent probability of</w:t>
      </w:r>
      <w:r>
        <w:rPr>
          <w:rFonts w:ascii="Arial" w:cs="Arial" w:eastAsia="Arial" w:hAnsi="Arial"/>
          <w:sz w:val="13"/>
          <w:szCs w:val="13"/>
          <w:b w:val="1"/>
          <w:bCs w:val="1"/>
          <w:color w:val="auto"/>
        </w:rPr>
        <w:t xml:space="preserve"> </w:t>
      </w:r>
      <w:r>
        <w:rPr>
          <w:rFonts w:ascii="Arial" w:cs="Arial" w:eastAsia="Arial" w:hAnsi="Arial"/>
          <w:sz w:val="13"/>
          <w:szCs w:val="13"/>
          <w:color w:val="auto"/>
        </w:rPr>
        <w:t>being recovered.*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"Probable Developed Producing Reserves." </w:t>
      </w:r>
      <w:r>
        <w:rPr>
          <w:rFonts w:ascii="Arial" w:cs="Arial" w:eastAsia="Arial" w:hAnsi="Arial"/>
          <w:sz w:val="13"/>
          <w:szCs w:val="13"/>
          <w:color w:val="auto"/>
        </w:rPr>
        <w:t>Probable Reserves that are Developed and Producing.*</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"Probable Reserves." </w:t>
      </w:r>
      <w:r>
        <w:rPr>
          <w:rFonts w:ascii="Arial" w:cs="Arial" w:eastAsia="Arial" w:hAnsi="Arial"/>
          <w:sz w:val="13"/>
          <w:szCs w:val="13"/>
          <w:color w:val="auto"/>
        </w:rPr>
        <w:t>Additional reserves that are less certain to be recovered than Proved Reserves but which, together with Proved Reserves, are as likely as not to be recovered.*</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"Producing Reserves." </w:t>
      </w:r>
      <w:r>
        <w:rPr>
          <w:rFonts w:ascii="Arial" w:cs="Arial" w:eastAsia="Arial" w:hAnsi="Arial"/>
          <w:sz w:val="13"/>
          <w:szCs w:val="13"/>
          <w:color w:val="auto"/>
        </w:rPr>
        <w:t>Any category of reserves that have been developed and production has been initiated.*</w:t>
      </w:r>
    </w:p>
    <w:p>
      <w:pPr>
        <w:spacing w:after="0" w:line="217" w:lineRule="exact"/>
        <w:rPr>
          <w:sz w:val="20"/>
          <w:szCs w:val="20"/>
          <w:color w:val="auto"/>
        </w:rPr>
      </w:pPr>
    </w:p>
    <w:p>
      <w:pPr>
        <w:jc w:val="both"/>
        <w:ind w:left="260" w:right="60" w:firstLine="259"/>
        <w:spacing w:after="0" w:line="363" w:lineRule="auto"/>
        <w:rPr>
          <w:sz w:val="20"/>
          <w:szCs w:val="20"/>
          <w:color w:val="auto"/>
        </w:rPr>
      </w:pPr>
      <w:r>
        <w:rPr>
          <w:rFonts w:ascii="Arial" w:cs="Arial" w:eastAsia="Arial" w:hAnsi="Arial"/>
          <w:sz w:val="11"/>
          <w:szCs w:val="11"/>
          <w:b w:val="1"/>
          <w:bCs w:val="1"/>
          <w:color w:val="auto"/>
        </w:rPr>
        <w:t xml:space="preserve">"Proved Developed Reserves." </w:t>
      </w:r>
      <w:r>
        <w:rPr>
          <w:rFonts w:ascii="Arial" w:cs="Arial" w:eastAsia="Arial" w:hAnsi="Arial"/>
          <w:sz w:val="11"/>
          <w:szCs w:val="11"/>
          <w:color w:val="auto"/>
        </w:rPr>
        <w:t>Proved Reserves that can be expected to be recovered (i) through existing wells with existing equipment and operating methods or in which the cost of the required equipment is</w:t>
      </w:r>
      <w:r>
        <w:rPr>
          <w:rFonts w:ascii="Arial" w:cs="Arial" w:eastAsia="Arial" w:hAnsi="Arial"/>
          <w:sz w:val="11"/>
          <w:szCs w:val="11"/>
          <w:b w:val="1"/>
          <w:bCs w:val="1"/>
          <w:color w:val="auto"/>
        </w:rPr>
        <w:t xml:space="preserve"> </w:t>
      </w:r>
      <w:r>
        <w:rPr>
          <w:rFonts w:ascii="Arial" w:cs="Arial" w:eastAsia="Arial" w:hAnsi="Arial"/>
          <w:sz w:val="11"/>
          <w:szCs w:val="11"/>
          <w:color w:val="auto"/>
        </w:rPr>
        <w:t>relatively minor compared to the cost of a new well; and (ii) through installed extraction equipment and infrastructure operational at the time of the reserves estimate if the extraction is by means not involving a well.</w:t>
      </w:r>
    </w:p>
    <w:p>
      <w:pPr>
        <w:spacing w:after="0" w:line="135" w:lineRule="exact"/>
        <w:rPr>
          <w:sz w:val="20"/>
          <w:szCs w:val="20"/>
          <w:color w:val="auto"/>
        </w:rPr>
      </w:pPr>
    </w:p>
    <w:p>
      <w:pPr>
        <w:ind w:left="260" w:right="40" w:firstLine="259"/>
        <w:spacing w:after="0" w:line="270" w:lineRule="auto"/>
        <w:rPr>
          <w:sz w:val="20"/>
          <w:szCs w:val="20"/>
          <w:color w:val="auto"/>
        </w:rPr>
      </w:pPr>
      <w:r>
        <w:rPr>
          <w:rFonts w:ascii="Arial" w:cs="Arial" w:eastAsia="Arial" w:hAnsi="Arial"/>
          <w:sz w:val="13"/>
          <w:szCs w:val="13"/>
          <w:b w:val="1"/>
          <w:bCs w:val="1"/>
          <w:color w:val="auto"/>
        </w:rPr>
        <w:t>"Proved Developed Nonproducing Reserves ("PDNP")</w:t>
      </w:r>
      <w:r>
        <w:rPr>
          <w:rFonts w:ascii="Arial" w:cs="Arial" w:eastAsia="Arial" w:hAnsi="Arial"/>
          <w:sz w:val="13"/>
          <w:szCs w:val="13"/>
          <w:color w:val="auto"/>
        </w:rPr>
        <w:t>." Proved Reserves that have been developed and no material amount of capital expenditures are required to bring on production, but production has not</w:t>
      </w:r>
      <w:r>
        <w:rPr>
          <w:rFonts w:ascii="Arial" w:cs="Arial" w:eastAsia="Arial" w:hAnsi="Arial"/>
          <w:sz w:val="13"/>
          <w:szCs w:val="13"/>
          <w:b w:val="1"/>
          <w:bCs w:val="1"/>
          <w:color w:val="auto"/>
        </w:rPr>
        <w:t xml:space="preserve"> </w:t>
      </w:r>
      <w:r>
        <w:rPr>
          <w:rFonts w:ascii="Arial" w:cs="Arial" w:eastAsia="Arial" w:hAnsi="Arial"/>
          <w:sz w:val="13"/>
          <w:szCs w:val="13"/>
          <w:color w:val="auto"/>
        </w:rPr>
        <w:t>yet been initiated due to timing, markets, or lack of third party completed connection to a gas sales pipeline.*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"Proved Developed Producing Reserves ("PDP")." </w:t>
      </w:r>
      <w:r>
        <w:rPr>
          <w:rFonts w:ascii="Arial" w:cs="Arial" w:eastAsia="Arial" w:hAnsi="Arial"/>
          <w:sz w:val="13"/>
          <w:szCs w:val="13"/>
          <w:color w:val="auto"/>
        </w:rPr>
        <w:t>Proved Reserves that have been developed and production has been initiated.*</w:t>
      </w:r>
    </w:p>
    <w:p>
      <w:pPr>
        <w:spacing w:after="0" w:line="217" w:lineRule="exact"/>
        <w:rPr>
          <w:sz w:val="20"/>
          <w:szCs w:val="20"/>
          <w:color w:val="auto"/>
        </w:rPr>
      </w:pPr>
    </w:p>
    <w:p>
      <w:pPr>
        <w:ind w:left="260" w:right="140" w:firstLine="259"/>
        <w:spacing w:after="0" w:line="251" w:lineRule="auto"/>
        <w:rPr>
          <w:sz w:val="20"/>
          <w:szCs w:val="20"/>
          <w:color w:val="auto"/>
        </w:rPr>
      </w:pPr>
      <w:r>
        <w:rPr>
          <w:rFonts w:ascii="Arial" w:cs="Arial" w:eastAsia="Arial" w:hAnsi="Arial"/>
          <w:sz w:val="13"/>
          <w:szCs w:val="13"/>
          <w:b w:val="1"/>
          <w:bCs w:val="1"/>
          <w:color w:val="auto"/>
        </w:rPr>
        <w:t xml:space="preserve">"Proved Reserves." </w:t>
      </w:r>
      <w:r>
        <w:rPr>
          <w:rFonts w:ascii="Arial" w:cs="Arial" w:eastAsia="Arial" w:hAnsi="Arial"/>
          <w:sz w:val="13"/>
          <w:szCs w:val="13"/>
          <w:color w:val="auto"/>
        </w:rPr>
        <w:t>Estimated quantities of crude oil, natural gas, and natural gas liquids which geological and engineering data demonstrate with reasonable certainty to be recoverable in future years from</w:t>
      </w:r>
      <w:r>
        <w:rPr>
          <w:rFonts w:ascii="Arial" w:cs="Arial" w:eastAsia="Arial" w:hAnsi="Arial"/>
          <w:sz w:val="13"/>
          <w:szCs w:val="13"/>
          <w:b w:val="1"/>
          <w:bCs w:val="1"/>
          <w:color w:val="auto"/>
        </w:rPr>
        <w:t xml:space="preserve"> </w:t>
      </w:r>
      <w:r>
        <w:rPr>
          <w:rFonts w:ascii="Arial" w:cs="Arial" w:eastAsia="Arial" w:hAnsi="Arial"/>
          <w:sz w:val="13"/>
          <w:szCs w:val="13"/>
          <w:color w:val="auto"/>
        </w:rPr>
        <w:t>known reservoirs under existing economic,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4" w:lineRule="exact"/>
        <w:rPr>
          <w:sz w:val="20"/>
          <w:szCs w:val="20"/>
          <w:color w:val="auto"/>
        </w:rPr>
      </w:pPr>
    </w:p>
    <w:p>
      <w:pPr>
        <w:ind w:left="260" w:right="100" w:firstLine="259"/>
        <w:spacing w:after="0" w:line="270" w:lineRule="auto"/>
        <w:rPr>
          <w:sz w:val="20"/>
          <w:szCs w:val="20"/>
          <w:color w:val="auto"/>
        </w:rPr>
      </w:pPr>
      <w:r>
        <w:rPr>
          <w:rFonts w:ascii="Arial" w:cs="Arial" w:eastAsia="Arial" w:hAnsi="Arial"/>
          <w:sz w:val="13"/>
          <w:szCs w:val="13"/>
          <w:b w:val="1"/>
          <w:bCs w:val="1"/>
          <w:color w:val="auto"/>
        </w:rPr>
        <w:t xml:space="preserve">"Proved Undeveloped Reserves ("PUD")." </w:t>
      </w:r>
      <w:r>
        <w:rPr>
          <w:rFonts w:ascii="Arial" w:cs="Arial" w:eastAsia="Arial" w:hAnsi="Arial"/>
          <w:sz w:val="13"/>
          <w:szCs w:val="13"/>
          <w:color w:val="auto"/>
        </w:rPr>
        <w:t>Proved Reserves that are expected to be recovered from new wells on undrilled acreage, or from existing wells where a relatively major expenditure is required for</w:t>
      </w:r>
      <w:r>
        <w:rPr>
          <w:rFonts w:ascii="Arial" w:cs="Arial" w:eastAsia="Arial" w:hAnsi="Arial"/>
          <w:sz w:val="13"/>
          <w:szCs w:val="13"/>
          <w:b w:val="1"/>
          <w:bCs w:val="1"/>
          <w:color w:val="auto"/>
        </w:rPr>
        <w:t xml:space="preserve"> </w:t>
      </w:r>
      <w:r>
        <w:rPr>
          <w:rFonts w:ascii="Arial" w:cs="Arial" w:eastAsia="Arial" w:hAnsi="Arial"/>
          <w:sz w:val="13"/>
          <w:szCs w:val="13"/>
          <w:color w:val="auto"/>
        </w:rPr>
        <w:t>recompletion.*</w:t>
      </w:r>
    </w:p>
    <w:p>
      <w:pPr>
        <w:spacing w:after="0" w:line="185" w:lineRule="exact"/>
        <w:rPr>
          <w:sz w:val="20"/>
          <w:szCs w:val="20"/>
          <w:color w:val="auto"/>
        </w:rPr>
      </w:pPr>
    </w:p>
    <w:p>
      <w:pPr>
        <w:ind w:left="260" w:right="200" w:firstLine="263"/>
        <w:spacing w:after="0" w:line="264" w:lineRule="auto"/>
        <w:tabs>
          <w:tab w:leader="none" w:pos="705" w:val="left"/>
        </w:tabs>
        <w:numPr>
          <w:ilvl w:val="0"/>
          <w:numId w:val="3"/>
        </w:numPr>
        <w:rPr>
          <w:rFonts w:ascii="Arial" w:cs="Arial" w:eastAsia="Arial" w:hAnsi="Arial"/>
          <w:sz w:val="13"/>
          <w:szCs w:val="13"/>
          <w:color w:val="auto"/>
        </w:rPr>
      </w:pPr>
      <w:r>
        <w:rPr>
          <w:rFonts w:ascii="Arial" w:cs="Arial" w:eastAsia="Arial" w:hAnsi="Arial"/>
          <w:sz w:val="13"/>
          <w:szCs w:val="13"/>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88" w:lineRule="exact"/>
        <w:rPr>
          <w:rFonts w:ascii="Arial" w:cs="Arial" w:eastAsia="Arial" w:hAnsi="Arial"/>
          <w:sz w:val="13"/>
          <w:szCs w:val="13"/>
          <w:color w:val="auto"/>
        </w:rPr>
      </w:pPr>
    </w:p>
    <w:p>
      <w:pPr>
        <w:ind w:left="260" w:right="480" w:firstLine="263"/>
        <w:spacing w:after="0" w:line="264" w:lineRule="auto"/>
        <w:tabs>
          <w:tab w:leader="none" w:pos="741" w:val="left"/>
        </w:tabs>
        <w:numPr>
          <w:ilvl w:val="0"/>
          <w:numId w:val="3"/>
        </w:numPr>
        <w:rPr>
          <w:rFonts w:ascii="Arial" w:cs="Arial" w:eastAsia="Arial" w:hAnsi="Arial"/>
          <w:sz w:val="13"/>
          <w:szCs w:val="13"/>
          <w:color w:val="auto"/>
        </w:rPr>
      </w:pPr>
      <w:r>
        <w:rPr>
          <w:rFonts w:ascii="Arial" w:cs="Arial" w:eastAsia="Arial" w:hAnsi="Arial"/>
          <w:sz w:val="13"/>
          <w:szCs w:val="13"/>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88" w:lineRule="exact"/>
        <w:rPr>
          <w:rFonts w:ascii="Arial" w:cs="Arial" w:eastAsia="Arial" w:hAnsi="Arial"/>
          <w:sz w:val="13"/>
          <w:szCs w:val="13"/>
          <w:color w:val="auto"/>
        </w:rPr>
      </w:pPr>
    </w:p>
    <w:p>
      <w:pPr>
        <w:ind w:left="260" w:right="60" w:firstLine="263"/>
        <w:spacing w:after="0" w:line="306" w:lineRule="auto"/>
        <w:tabs>
          <w:tab w:leader="none" w:pos="777" w:val="left"/>
        </w:tabs>
        <w:numPr>
          <w:ilvl w:val="0"/>
          <w:numId w:val="3"/>
        </w:numPr>
        <w:rPr>
          <w:rFonts w:ascii="Arial" w:cs="Arial" w:eastAsia="Arial" w:hAnsi="Arial"/>
          <w:sz w:val="12"/>
          <w:szCs w:val="12"/>
          <w:color w:val="auto"/>
        </w:rPr>
      </w:pPr>
      <w:r>
        <w:rPr>
          <w:rFonts w:ascii="Arial" w:cs="Arial" w:eastAsia="Arial" w:hAnsi="Arial"/>
          <w:sz w:val="12"/>
          <w:szCs w:val="12"/>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11460"/>
          </w:cols>
          <w:pgMar w:left="220" w:top="129" w:right="21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left="260" w:right="120" w:firstLine="259"/>
        <w:spacing w:after="0" w:line="287" w:lineRule="auto"/>
        <w:rPr>
          <w:sz w:val="20"/>
          <w:szCs w:val="20"/>
          <w:color w:val="auto"/>
        </w:rPr>
      </w:pPr>
      <w:r>
        <w:rPr>
          <w:rFonts w:ascii="Arial" w:cs="Arial" w:eastAsia="Arial" w:hAnsi="Arial"/>
          <w:sz w:val="12"/>
          <w:szCs w:val="12"/>
          <w:b w:val="1"/>
          <w:bCs w:val="1"/>
          <w:color w:val="auto"/>
        </w:rPr>
        <w:t xml:space="preserve">"Present Value." </w:t>
      </w:r>
      <w:r>
        <w:rPr>
          <w:rFonts w:ascii="Arial" w:cs="Arial" w:eastAsia="Arial" w:hAnsi="Arial"/>
          <w:sz w:val="12"/>
          <w:szCs w:val="12"/>
          <w:color w:val="auto"/>
        </w:rPr>
        <w:t>When used with respect to oil and gas reserves, present value means the estimated future net revenues computed by applying current prices of oil and gas reserves (with consideration of price</w:t>
      </w:r>
      <w:r>
        <w:rPr>
          <w:rFonts w:ascii="Arial" w:cs="Arial" w:eastAsia="Arial" w:hAnsi="Arial"/>
          <w:sz w:val="12"/>
          <w:szCs w:val="12"/>
          <w:b w:val="1"/>
          <w:bCs w:val="1"/>
          <w:color w:val="auto"/>
        </w:rPr>
        <w:t xml:space="preserve"> </w:t>
      </w:r>
      <w:r>
        <w:rPr>
          <w:rFonts w:ascii="Arial" w:cs="Arial" w:eastAsia="Arial" w:hAnsi="Arial"/>
          <w:sz w:val="12"/>
          <w:szCs w:val="12"/>
          <w:color w:val="auto"/>
        </w:rPr>
        <w:t>changes only to the extent provided by contractual arrangements) to estimated future production of proved oil and gas reserves as of the date of the latest balance sheet presented, less estimated future expenditures (based on current costs to be incurred in developing and producing the proved reserves) computed using a discount factor and assuming continuation of existing economic conditions.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"Productive Well." </w:t>
      </w:r>
      <w:r>
        <w:rPr>
          <w:rFonts w:ascii="Arial" w:cs="Arial" w:eastAsia="Arial" w:hAnsi="Arial"/>
          <w:sz w:val="13"/>
          <w:szCs w:val="13"/>
          <w:color w:val="auto"/>
        </w:rPr>
        <w:t>A well that is producing oil or gas or that is capable of production.</w:t>
      </w:r>
    </w:p>
    <w:p>
      <w:pPr>
        <w:spacing w:after="0" w:line="217" w:lineRule="exact"/>
        <w:rPr>
          <w:sz w:val="20"/>
          <w:szCs w:val="20"/>
          <w:color w:val="auto"/>
        </w:rPr>
      </w:pPr>
    </w:p>
    <w:p>
      <w:pPr>
        <w:ind w:left="260" w:firstLine="259"/>
        <w:spacing w:after="0" w:line="279" w:lineRule="auto"/>
        <w:rPr>
          <w:sz w:val="20"/>
          <w:szCs w:val="20"/>
          <w:color w:val="auto"/>
        </w:rPr>
      </w:pPr>
      <w:r>
        <w:rPr>
          <w:rFonts w:ascii="Arial" w:cs="Arial" w:eastAsia="Arial" w:hAnsi="Arial"/>
          <w:sz w:val="12"/>
          <w:szCs w:val="12"/>
          <w:b w:val="1"/>
          <w:bCs w:val="1"/>
          <w:color w:val="auto"/>
        </w:rPr>
        <w:t xml:space="preserve">"PV-10." </w:t>
      </w:r>
      <w:r>
        <w:rPr>
          <w:rFonts w:ascii="Arial" w:cs="Arial" w:eastAsia="Arial" w:hAnsi="Arial"/>
          <w:sz w:val="12"/>
          <w:szCs w:val="12"/>
          <w:color w:val="auto"/>
        </w:rPr>
        <w:t>Means the present value, discounted at 10% per annum, of future net revenues (estimated future gross revenues less estimated future costs of production, development, and asset retirement costs)</w:t>
      </w:r>
      <w:r>
        <w:rPr>
          <w:rFonts w:ascii="Arial" w:cs="Arial" w:eastAsia="Arial" w:hAnsi="Arial"/>
          <w:sz w:val="12"/>
          <w:szCs w:val="12"/>
          <w:b w:val="1"/>
          <w:bCs w:val="1"/>
          <w:color w:val="auto"/>
        </w:rPr>
        <w:t xml:space="preserve"> </w:t>
      </w:r>
      <w:r>
        <w:rPr>
          <w:rFonts w:ascii="Arial" w:cs="Arial" w:eastAsia="Arial" w:hAnsi="Arial"/>
          <w:sz w:val="12"/>
          <w:szCs w:val="12"/>
          <w:color w:val="auto"/>
        </w:rPr>
        <w:t>associated with reserves and is not necessarily the same as market value. PV-10 does not include estimated future income taxes. Unless otherwise noted, PV-10 is calculated using the pricing scheme as required by the Securities and Exchange Commission ("SEC"). PV-10 of proved reserves is calculated the same as the standardized measure of discounted future net cash flows, except that the standardized measure of discounted future net cash flows includes future estimated income taxes discounted at 10% per annum. See the definition of standardized measure of discounted future net cash flows.</w:t>
      </w:r>
    </w:p>
    <w:p>
      <w:pPr>
        <w:spacing w:after="0" w:line="177" w:lineRule="exact"/>
        <w:rPr>
          <w:sz w:val="20"/>
          <w:szCs w:val="20"/>
          <w:color w:val="auto"/>
        </w:rPr>
      </w:pPr>
    </w:p>
    <w:p>
      <w:pPr>
        <w:jc w:val="both"/>
        <w:ind w:left="260" w:right="80" w:firstLine="259"/>
        <w:spacing w:after="0" w:line="256" w:lineRule="auto"/>
        <w:rPr>
          <w:sz w:val="20"/>
          <w:szCs w:val="20"/>
          <w:color w:val="auto"/>
        </w:rPr>
      </w:pPr>
      <w:r>
        <w:rPr>
          <w:rFonts w:ascii="Arial" w:cs="Arial" w:eastAsia="Arial" w:hAnsi="Arial"/>
          <w:sz w:val="13"/>
          <w:szCs w:val="13"/>
          <w:b w:val="1"/>
          <w:bCs w:val="1"/>
          <w:color w:val="auto"/>
        </w:rPr>
        <w:t xml:space="preserve">"Royalty" or "Royalty Interest." </w:t>
      </w:r>
      <w:r>
        <w:rPr>
          <w:rFonts w:ascii="Arial" w:cs="Arial" w:eastAsia="Arial" w:hAnsi="Arial"/>
          <w:sz w:val="13"/>
          <w:szCs w:val="13"/>
          <w:color w:val="auto"/>
        </w:rPr>
        <w:t>1) The mineral owner's share of oil or gas production (typically between 1/8 and 1/4), free of costs, but subject to severance taxes unless the lessor is a government. In certain</w:t>
      </w:r>
      <w:r>
        <w:rPr>
          <w:rFonts w:ascii="Arial" w:cs="Arial" w:eastAsia="Arial" w:hAnsi="Arial"/>
          <w:sz w:val="13"/>
          <w:szCs w:val="13"/>
          <w:b w:val="1"/>
          <w:bCs w:val="1"/>
          <w:color w:val="auto"/>
        </w:rPr>
        <w:t xml:space="preserve"> </w:t>
      </w:r>
      <w:r>
        <w:rPr>
          <w:rFonts w:ascii="Arial" w:cs="Arial" w:eastAsia="Arial" w:hAnsi="Arial"/>
          <w:sz w:val="13"/>
          <w:szCs w:val="13"/>
          <w:color w:val="auto"/>
        </w:rPr>
        <w:t>circumstances, the royalty owner bears a proportionate share of the costs of making the natural gas saleable, such as processing, compression and gathering. 2) When a royalty interest is coterminous with and carved out of an operating or working interest, it is an "Overriding Royalty Interest," which also may generically be referred to as a Royalty.</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1"/>
          <w:szCs w:val="11"/>
          <w:b w:val="1"/>
          <w:bCs w:val="1"/>
          <w:color w:val="auto"/>
        </w:rPr>
        <w:t xml:space="preserve">"Shut-in Well." </w:t>
      </w:r>
      <w:r>
        <w:rPr>
          <w:rFonts w:ascii="Arial" w:cs="Arial" w:eastAsia="Arial" w:hAnsi="Arial"/>
          <w:sz w:val="11"/>
          <w:szCs w:val="11"/>
          <w:color w:val="auto"/>
        </w:rPr>
        <w:t>A well that is not on production, but has not yet been plugged and abandoned. Wells may be shut-in in anticipation of future utility as a producing well, plugging and abandonment or other use.</w:t>
      </w:r>
    </w:p>
    <w:p>
      <w:pPr>
        <w:spacing w:after="0" w:line="240" w:lineRule="exact"/>
        <w:rPr>
          <w:sz w:val="20"/>
          <w:szCs w:val="20"/>
          <w:color w:val="auto"/>
        </w:rPr>
      </w:pPr>
    </w:p>
    <w:p>
      <w:pPr>
        <w:ind w:left="260" w:right="140" w:firstLine="259"/>
        <w:spacing w:after="0" w:line="251" w:lineRule="auto"/>
        <w:rPr>
          <w:sz w:val="20"/>
          <w:szCs w:val="20"/>
          <w:color w:val="auto"/>
        </w:rPr>
      </w:pPr>
      <w:r>
        <w:rPr>
          <w:rFonts w:ascii="Arial" w:cs="Arial" w:eastAsia="Arial" w:hAnsi="Arial"/>
          <w:sz w:val="13"/>
          <w:szCs w:val="13"/>
          <w:b w:val="1"/>
          <w:bCs w:val="1"/>
          <w:color w:val="auto"/>
        </w:rPr>
        <w:t xml:space="preserve">"Standardized Measure." </w:t>
      </w:r>
      <w:r>
        <w:rPr>
          <w:rFonts w:ascii="Arial" w:cs="Arial" w:eastAsia="Arial" w:hAnsi="Arial"/>
          <w:sz w:val="13"/>
          <w:szCs w:val="13"/>
          <w:color w:val="auto"/>
        </w:rPr>
        <w:t>The standardized measure of discounted future net cash flows. The Standardized Measure is an estimate of future net cash flows associated with proved reserves, discounted at 10%</w:t>
      </w:r>
      <w:r>
        <w:rPr>
          <w:rFonts w:ascii="Arial" w:cs="Arial" w:eastAsia="Arial" w:hAnsi="Arial"/>
          <w:sz w:val="13"/>
          <w:szCs w:val="13"/>
          <w:b w:val="1"/>
          <w:bCs w:val="1"/>
          <w:color w:val="auto"/>
        </w:rPr>
        <w:t xml:space="preserve"> </w:t>
      </w:r>
      <w:r>
        <w:rPr>
          <w:rFonts w:ascii="Arial" w:cs="Arial" w:eastAsia="Arial" w:hAnsi="Arial"/>
          <w:sz w:val="13"/>
          <w:szCs w:val="13"/>
          <w:color w:val="auto"/>
        </w:rPr>
        <w:t>per annum. Future net cash flows is calculated by reducing future net revenues by estimated future income tax expenses and discounting at 10% per annum. The Standardized Measure and the PV-10 of proved reserves is calculated in the same exact fashion, except that the Standardized Measure includes future estimated income taxes discounted at 10% per annum. The Standardized Measure is in accordance with accounting standards generally accepted in the United States of America ("GAAP").</w:t>
      </w:r>
    </w:p>
    <w:p>
      <w:pPr>
        <w:spacing w:after="0" w:line="200" w:lineRule="exact"/>
        <w:rPr>
          <w:sz w:val="20"/>
          <w:szCs w:val="20"/>
          <w:color w:val="auto"/>
        </w:rPr>
      </w:pPr>
    </w:p>
    <w:p>
      <w:pPr>
        <w:spacing w:after="0" w:line="360" w:lineRule="exact"/>
        <w:rPr>
          <w:sz w:val="20"/>
          <w:szCs w:val="20"/>
          <w:color w:val="auto"/>
        </w:rPr>
      </w:pPr>
    </w:p>
    <w:p>
      <w:pPr>
        <w:ind w:left="260" w:right="620" w:firstLine="259"/>
        <w:spacing w:after="0" w:line="270" w:lineRule="auto"/>
        <w:rPr>
          <w:sz w:val="20"/>
          <w:szCs w:val="20"/>
          <w:color w:val="auto"/>
        </w:rPr>
      </w:pPr>
      <w:r>
        <w:rPr>
          <w:rFonts w:ascii="Arial" w:cs="Arial" w:eastAsia="Arial" w:hAnsi="Arial"/>
          <w:sz w:val="13"/>
          <w:szCs w:val="13"/>
          <w:b w:val="1"/>
          <w:bCs w:val="1"/>
          <w:color w:val="auto"/>
        </w:rPr>
        <w:t xml:space="preserve">"Undeveloped Reserves." </w:t>
      </w:r>
      <w:r>
        <w:rPr>
          <w:rFonts w:ascii="Arial" w:cs="Arial" w:eastAsia="Arial" w:hAnsi="Arial"/>
          <w:sz w:val="13"/>
          <w:szCs w:val="13"/>
          <w:color w:val="auto"/>
        </w:rPr>
        <w:t>Reserves of any category that are expected to be recovered from new wells on undrilled acreage, or from existing wells where a relatively major expenditure is required for</w:t>
      </w:r>
      <w:r>
        <w:rPr>
          <w:rFonts w:ascii="Arial" w:cs="Arial" w:eastAsia="Arial" w:hAnsi="Arial"/>
          <w:sz w:val="13"/>
          <w:szCs w:val="13"/>
          <w:b w:val="1"/>
          <w:bCs w:val="1"/>
          <w:color w:val="auto"/>
        </w:rPr>
        <w:t xml:space="preserve"> </w:t>
      </w:r>
      <w:r>
        <w:rPr>
          <w:rFonts w:ascii="Arial" w:cs="Arial" w:eastAsia="Arial" w:hAnsi="Arial"/>
          <w:sz w:val="13"/>
          <w:szCs w:val="13"/>
          <w:color w:val="auto"/>
        </w:rPr>
        <w:t>recompletion.*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"Working Interest." </w:t>
      </w:r>
      <w:r>
        <w:rPr>
          <w:rFonts w:ascii="Arial" w:cs="Arial" w:eastAsia="Arial" w:hAnsi="Arial"/>
          <w:sz w:val="13"/>
          <w:szCs w:val="13"/>
          <w:color w:val="auto"/>
        </w:rPr>
        <w:t>The interest in the oil and gas in place which is burdened with the cost of development and operation of the property. Also called the operating interest.</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 xml:space="preserve">"Workover." </w:t>
      </w:r>
      <w:r>
        <w:rPr>
          <w:rFonts w:ascii="Arial" w:cs="Arial" w:eastAsia="Arial" w:hAnsi="Arial"/>
          <w:sz w:val="13"/>
          <w:szCs w:val="13"/>
          <w:color w:val="auto"/>
        </w:rPr>
        <w:t>A remedial operation on a completed well to restore, maintain or improve the well's production.</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w:t>
      </w:r>
    </w:p>
    <w:p>
      <w:pPr>
        <w:spacing w:after="0" w:line="109" w:lineRule="exact"/>
        <w:rPr>
          <w:sz w:val="20"/>
          <w:szCs w:val="20"/>
          <w:color w:val="auto"/>
        </w:rPr>
      </w:pPr>
    </w:p>
    <w:p>
      <w:pPr>
        <w:ind w:left="5700" w:right="4500" w:hanging="5694"/>
        <w:spacing w:after="0" w:line="781" w:lineRule="auto"/>
        <w:tabs>
          <w:tab w:leader="none" w:pos="20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This definition may be an abbreviated version of the complete definition as defined by the SEC in Rule 4-10(a) of Regulation S-X. </w:t>
      </w:r>
      <w:r>
        <w:rPr>
          <w:rFonts w:ascii="Arial" w:cs="Arial" w:eastAsia="Arial" w:hAnsi="Arial"/>
          <w:sz w:val="14"/>
          <w:szCs w:val="14"/>
          <w:color w:val="auto"/>
        </w:rPr>
        <w:t>v</w:t>
      </w:r>
    </w:p>
    <w:p>
      <w:pPr>
        <w:sectPr>
          <w:pgSz w:w="11900" w:h="16838" w:orient="portrait"/>
          <w:cols w:equalWidth="0" w:num="1">
            <w:col w:w="11460"/>
          </w:cols>
          <w:pgMar w:left="220" w:top="129" w:right="2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231" w:lineRule="exact"/>
        <w:rPr>
          <w:sz w:val="20"/>
          <w:szCs w:val="20"/>
          <w:color w:val="auto"/>
        </w:rPr>
      </w:pPr>
    </w:p>
    <w:p>
      <w:pPr>
        <w:spacing w:after="0"/>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i w:val="1"/>
          <w:iCs w:val="1"/>
          <w:color w:val="auto"/>
        </w:rPr>
        <w:t>See</w:t>
      </w:r>
      <w:r>
        <w:rPr>
          <w:rFonts w:ascii="Arial" w:cs="Arial" w:eastAsia="Arial" w:hAnsi="Arial"/>
          <w:sz w:val="14"/>
          <w:szCs w:val="14"/>
          <w:b w:val="1"/>
          <w:bCs w:val="1"/>
          <w:i w:val="1"/>
          <w:iCs w:val="1"/>
          <w:color w:val="auto"/>
        </w:rPr>
        <w:t xml:space="preserve"> </w:t>
      </w:r>
      <w:hyperlink w:anchor="page4">
        <w:r>
          <w:rPr>
            <w:rFonts w:ascii="Arial" w:cs="Arial" w:eastAsia="Arial" w:hAnsi="Arial"/>
            <w:sz w:val="14"/>
            <w:szCs w:val="14"/>
            <w:i w:val="1"/>
            <w:iCs w:val="1"/>
            <w:u w:val="single" w:color="auto"/>
            <w:color w:val="0000EE"/>
          </w:rPr>
          <w:t>Glossary of Selected Petroleum Industry Terms</w:t>
        </w:r>
        <w:r>
          <w:rPr>
            <w:rFonts w:ascii="Arial" w:cs="Arial" w:eastAsia="Arial" w:hAnsi="Arial"/>
            <w:sz w:val="14"/>
            <w:szCs w:val="14"/>
            <w:b w:val="1"/>
            <w:bCs w:val="1"/>
            <w:i w:val="1"/>
            <w:iCs w:val="1"/>
            <w:u w:val="single" w:color="auto"/>
            <w:color w:val="auto"/>
          </w:rPr>
          <w:t xml:space="preserve"> </w:t>
        </w:r>
      </w:hyperlink>
      <w:r>
        <w:rPr>
          <w:rFonts w:ascii="Arial" w:cs="Arial" w:eastAsia="Arial" w:hAnsi="Arial"/>
          <w:sz w:val="14"/>
          <w:szCs w:val="14"/>
          <w:i w:val="1"/>
          <w:iCs w:val="1"/>
          <w:color w:val="auto"/>
        </w:rPr>
        <w:t>starting</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on page</w:t>
      </w:r>
    </w:p>
    <w:p>
      <w:pPr>
        <w:spacing w:after="0" w:line="141" w:lineRule="exact"/>
        <w:rPr>
          <w:sz w:val="20"/>
          <w:szCs w:val="20"/>
          <w:color w:val="auto"/>
        </w:rPr>
      </w:pPr>
    </w:p>
    <w:p>
      <w:pPr>
        <w:ind w:left="2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iii</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31" w:lineRule="exact"/>
        <w:rPr>
          <w:sz w:val="20"/>
          <w:szCs w:val="20"/>
          <w:color w:val="auto"/>
        </w:rPr>
      </w:pPr>
    </w:p>
    <w:p>
      <w:pPr>
        <w:jc w:val="both"/>
        <w:ind w:right="360" w:firstLine="345"/>
        <w:spacing w:after="0" w:line="272" w:lineRule="auto"/>
        <w:rPr>
          <w:sz w:val="20"/>
          <w:szCs w:val="20"/>
          <w:color w:val="auto"/>
        </w:rPr>
      </w:pPr>
      <w:r>
        <w:rPr>
          <w:rFonts w:ascii="Arial" w:cs="Arial" w:eastAsia="Arial" w:hAnsi="Arial"/>
          <w:sz w:val="14"/>
          <w:szCs w:val="14"/>
          <w:color w:val="333333"/>
        </w:rPr>
        <w:t>Evolution Petroleum Corporation is an oil and gas company focused on delivering a sustainable dividend yield to its shareholders through the ownership, management and development of producing oil and gas properties. The Company's long-term goal is to build a diversified portfolio of oil and gas assets primarily through acquisition, while seeking opportunities to maintain and increase production through selective development, production enhancement and other exploitation efforts on its properties.</w:t>
      </w:r>
    </w:p>
    <w:p>
      <w:pPr>
        <w:spacing w:after="0" w:line="78" w:lineRule="exact"/>
        <w:rPr>
          <w:sz w:val="20"/>
          <w:szCs w:val="20"/>
          <w:color w:val="auto"/>
        </w:rPr>
      </w:pPr>
    </w:p>
    <w:p>
      <w:pPr>
        <w:ind w:right="40" w:firstLine="323"/>
        <w:spacing w:after="0" w:line="272" w:lineRule="auto"/>
        <w:rPr>
          <w:sz w:val="20"/>
          <w:szCs w:val="20"/>
          <w:color w:val="auto"/>
        </w:rPr>
      </w:pPr>
      <w:r>
        <w:rPr>
          <w:rFonts w:ascii="Arial" w:cs="Arial" w:eastAsia="Arial" w:hAnsi="Arial"/>
          <w:sz w:val="14"/>
          <w:szCs w:val="14"/>
          <w:color w:val="333333"/>
        </w:rPr>
        <w:t xml:space="preserve">Our producing assets over the last three fiscal years consisted of our interests in the </w:t>
      </w:r>
      <w:r>
        <w:rPr>
          <w:rFonts w:ascii="Arial" w:cs="Arial" w:eastAsia="Arial" w:hAnsi="Arial"/>
          <w:sz w:val="14"/>
          <w:szCs w:val="14"/>
          <w:color w:val="000000"/>
        </w:rPr>
        <w:t>Delhi Holt-Bryant Unit in the Delhi field (the "Unit")</w:t>
      </w:r>
      <w:r>
        <w:rPr>
          <w:rFonts w:ascii="Arial" w:cs="Arial" w:eastAsia="Arial" w:hAnsi="Arial"/>
          <w:sz w:val="14"/>
          <w:szCs w:val="14"/>
          <w:color w:val="333333"/>
        </w:rPr>
        <w:t xml:space="preserve"> in Northeast Louisiana, a CO</w:t>
      </w:r>
      <w:r>
        <w:rPr>
          <w:rFonts w:ascii="Arial" w:cs="Arial" w:eastAsia="Arial" w:hAnsi="Arial"/>
          <w:sz w:val="10"/>
          <w:szCs w:val="10"/>
          <w:color w:val="333333"/>
        </w:rPr>
        <w:t>2</w:t>
      </w:r>
      <w:r>
        <w:rPr>
          <w:rFonts w:ascii="Arial" w:cs="Arial" w:eastAsia="Arial" w:hAnsi="Arial"/>
          <w:sz w:val="14"/>
          <w:szCs w:val="14"/>
          <w:color w:val="333333"/>
        </w:rPr>
        <w:t xml:space="preserve"> enhanced oil recovery project, and a de minimis </w:t>
      </w:r>
      <w:r>
        <w:rPr>
          <w:rFonts w:ascii="Arial" w:cs="Arial" w:eastAsia="Arial" w:hAnsi="Arial"/>
          <w:sz w:val="14"/>
          <w:szCs w:val="14"/>
          <w:color w:val="000000"/>
        </w:rPr>
        <w:t>overriding royalty interest</w:t>
      </w:r>
      <w:r>
        <w:rPr>
          <w:rFonts w:ascii="Arial" w:cs="Arial" w:eastAsia="Arial" w:hAnsi="Arial"/>
          <w:sz w:val="14"/>
          <w:szCs w:val="14"/>
          <w:color w:val="333333"/>
        </w:rPr>
        <w:t xml:space="preserve"> retained in a past divestiture. We have a combined net revenue interest in the Unit of 26.2% comprised of </w:t>
      </w:r>
      <w:r>
        <w:rPr>
          <w:rFonts w:ascii="Arial" w:cs="Arial" w:eastAsia="Arial" w:hAnsi="Arial"/>
          <w:sz w:val="14"/>
          <w:szCs w:val="14"/>
          <w:color w:val="000000"/>
        </w:rPr>
        <w:t>7.2% of overriding royalty interests that</w:t>
      </w:r>
      <w:r>
        <w:rPr>
          <w:rFonts w:ascii="Arial" w:cs="Arial" w:eastAsia="Arial" w:hAnsi="Arial"/>
          <w:sz w:val="14"/>
          <w:szCs w:val="14"/>
          <w:color w:val="333333"/>
        </w:rPr>
        <w:t xml:space="preserve"> </w:t>
      </w:r>
      <w:r>
        <w:rPr>
          <w:rFonts w:ascii="Arial" w:cs="Arial" w:eastAsia="Arial" w:hAnsi="Arial"/>
          <w:sz w:val="14"/>
          <w:szCs w:val="14"/>
          <w:color w:val="000000"/>
        </w:rPr>
        <w:t>are in effect for the life of the Unit and mineral royalty interests and a 23.9% working interest with an associated 19.0% net revenue interest.</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Activity in Fiscal 2019</w:t>
      </w:r>
    </w:p>
    <w:p>
      <w:pPr>
        <w:spacing w:after="0" w:line="231" w:lineRule="exact"/>
        <w:rPr>
          <w:sz w:val="20"/>
          <w:szCs w:val="20"/>
          <w:color w:val="auto"/>
        </w:rPr>
      </w:pPr>
    </w:p>
    <w:p>
      <w:pPr>
        <w:ind w:left="520" w:right="20" w:hanging="255"/>
        <w:spacing w:after="0" w:line="288" w:lineRule="auto"/>
        <w:tabs>
          <w:tab w:leader="none" w:pos="52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Delhi proved oil equivalent reserves at June 30, 2019 were 9.0 MMBOE, a 4% decrease from the previous year. The Standardized Measure for proved reserves increased 7% to $127 million, reflecting a rise in realized commodity price from $54.71 to $58.50 per BOE. Our proved reserves consist of 85% crude oil and 15% natural gas liquids.</w:t>
      </w:r>
    </w:p>
    <w:p>
      <w:pPr>
        <w:spacing w:after="0" w:line="174" w:lineRule="exact"/>
        <w:rPr>
          <w:rFonts w:ascii="Arial" w:cs="Arial" w:eastAsia="Arial" w:hAnsi="Arial"/>
          <w:sz w:val="14"/>
          <w:szCs w:val="14"/>
          <w:b w:val="1"/>
          <w:bCs w:val="1"/>
          <w:color w:val="auto"/>
        </w:rPr>
      </w:pPr>
    </w:p>
    <w:p>
      <w:pPr>
        <w:ind w:left="520" w:right="120" w:hanging="255"/>
        <w:spacing w:after="0" w:line="288"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Delhi probable** reserves at June 30, 2019 were 4.8 MMBOE, a 7% increase over the previous year. 87% of these reserves are incremental reserves associated with existing developed and producing locations. No additional capital investment is required beyond what is captured in proved reserves.</w:t>
      </w:r>
    </w:p>
    <w:p>
      <w:pPr>
        <w:spacing w:after="0" w:line="174" w:lineRule="exact"/>
        <w:rPr>
          <w:rFonts w:ascii="Arial" w:cs="Arial" w:eastAsia="Arial" w:hAnsi="Arial"/>
          <w:sz w:val="14"/>
          <w:szCs w:val="14"/>
          <w:color w:val="auto"/>
        </w:rPr>
      </w:pPr>
    </w:p>
    <w:p>
      <w:pPr>
        <w:ind w:left="520" w:right="140" w:hanging="255"/>
        <w:spacing w:after="0" w:line="288"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Delhi possible** reserves at June 30, 2019 were 4.3 MMBOE, a 7% decrease over the previous year. 91% of these reserves are incremental reserves associated with existing developed and producing locations. No additional capital investment is required beyond what is captured in proved reserves.</w:t>
      </w:r>
    </w:p>
    <w:p>
      <w:pPr>
        <w:spacing w:after="0" w:line="174" w:lineRule="exact"/>
        <w:rPr>
          <w:rFonts w:ascii="Arial" w:cs="Arial" w:eastAsia="Arial" w:hAnsi="Arial"/>
          <w:sz w:val="14"/>
          <w:szCs w:val="14"/>
          <w:color w:val="auto"/>
        </w:rPr>
      </w:pPr>
    </w:p>
    <w:p>
      <w:pPr>
        <w:ind w:left="520" w:right="600" w:hanging="255"/>
        <w:spacing w:after="0" w:line="288"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twelve well infill program, consisting of ten producer wells and two CO</w:t>
      </w:r>
      <w:r>
        <w:rPr>
          <w:rFonts w:ascii="Arial" w:cs="Arial" w:eastAsia="Arial" w:hAnsi="Arial"/>
          <w:sz w:val="10"/>
          <w:szCs w:val="10"/>
          <w:color w:val="auto"/>
        </w:rPr>
        <w:t>2</w:t>
      </w:r>
      <w:r>
        <w:rPr>
          <w:rFonts w:ascii="Arial" w:cs="Arial" w:eastAsia="Arial" w:hAnsi="Arial"/>
          <w:sz w:val="14"/>
          <w:szCs w:val="14"/>
          <w:color w:val="auto"/>
        </w:rPr>
        <w:t xml:space="preserve"> injector wells, was completed and on production during fiscal 2019, converting 536 MBOE of proved undeveloped to proved developed reserves.</w:t>
      </w:r>
    </w:p>
    <w:p>
      <w:pPr>
        <w:spacing w:after="0" w:line="173" w:lineRule="exact"/>
        <w:rPr>
          <w:rFonts w:ascii="Arial" w:cs="Arial" w:eastAsia="Arial" w:hAnsi="Arial"/>
          <w:sz w:val="14"/>
          <w:szCs w:val="14"/>
          <w:color w:val="auto"/>
        </w:rPr>
      </w:pPr>
    </w:p>
    <w:p>
      <w:pPr>
        <w:ind w:left="520" w:right="460" w:hanging="255"/>
        <w:spacing w:after="0" w:line="288"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Capital expenditures for the six-well water curtain program and related infrastructure preceding the planned Delhi Phase V development is almost complete. The first pad commenced operations during fiscal 2019 and the second pad is expected to begin injections during our second quarter of fiscal 2020.</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Reserves: Delhi Field - Enhanced Oil Recovery - Onshore Louisiana</w:t>
      </w:r>
    </w:p>
    <w:p>
      <w:pPr>
        <w:spacing w:after="0" w:line="231" w:lineRule="exact"/>
        <w:rPr>
          <w:sz w:val="20"/>
          <w:szCs w:val="20"/>
          <w:color w:val="auto"/>
        </w:rPr>
      </w:pPr>
    </w:p>
    <w:p>
      <w:pPr>
        <w:ind w:right="80" w:firstLine="345"/>
        <w:spacing w:after="0" w:line="288" w:lineRule="auto"/>
        <w:rPr>
          <w:sz w:val="20"/>
          <w:szCs w:val="20"/>
          <w:color w:val="auto"/>
        </w:rPr>
      </w:pPr>
      <w:r>
        <w:rPr>
          <w:rFonts w:ascii="Arial" w:cs="Arial" w:eastAsia="Arial" w:hAnsi="Arial"/>
          <w:sz w:val="14"/>
          <w:szCs w:val="14"/>
          <w:color w:val="auto"/>
        </w:rPr>
        <w:t>Our independent petroleum engineering firm, DeGolyer &amp; MacNaughton ("D&amp;M"), assigned the estimated reserves net to our interests at Delhi as of June 30, 2019. We had 9.0 million bbls of proved oil equivalent reserves, with a Standardized Measure of $127 million, and PV-10* of $157 million. The following table summarizes the reserves assigned by D&amp;M:</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0"/>
              </w:rPr>
              <w:t>Reserves as of June 30, 2019</w:t>
            </w:r>
          </w:p>
        </w:tc>
        <w:tc>
          <w:tcPr>
            <w:tcW w:w="1520" w:type="dxa"/>
            <w:vAlign w:val="bottom"/>
            <w:tcBorders>
              <w:bottom w:val="single" w:sz="8" w:color="auto"/>
            </w:tcBorders>
          </w:tcPr>
          <w:p>
            <w:pPr>
              <w:spacing w:after="0"/>
              <w:rPr>
                <w:sz w:val="13"/>
                <w:szCs w:val="13"/>
                <w:color w:val="auto"/>
              </w:rPr>
            </w:pPr>
          </w:p>
        </w:tc>
      </w:tr>
      <w:tr>
        <w:trPr>
          <w:trHeight w:val="206"/>
        </w:trPr>
        <w:tc>
          <w:tcPr>
            <w:tcW w:w="37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Proved</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Probable**</w:t>
            </w:r>
          </w:p>
        </w:tc>
        <w:tc>
          <w:tcPr>
            <w:tcW w:w="1520" w:type="dxa"/>
            <w:vAlign w:val="bottom"/>
          </w:tcPr>
          <w:p>
            <w:pPr>
              <w:jc w:val="right"/>
              <w:ind w:right="432"/>
              <w:spacing w:after="0"/>
              <w:rPr>
                <w:sz w:val="20"/>
                <w:szCs w:val="20"/>
                <w:color w:val="auto"/>
              </w:rPr>
            </w:pPr>
            <w:r>
              <w:rPr>
                <w:rFonts w:ascii="Arial" w:cs="Arial" w:eastAsia="Arial" w:hAnsi="Arial"/>
                <w:sz w:val="11"/>
                <w:szCs w:val="11"/>
                <w:b w:val="1"/>
                <w:bCs w:val="1"/>
                <w:color w:val="auto"/>
              </w:rPr>
              <w:t>Possible**</w:t>
            </w:r>
          </w:p>
        </w:tc>
      </w:tr>
      <w:tr>
        <w:trPr>
          <w:trHeight w:val="191"/>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Reserves MBOE</w:t>
            </w:r>
          </w:p>
        </w:tc>
        <w:tc>
          <w:tcPr>
            <w:tcW w:w="26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8,981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4,783</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4,321</w:t>
            </w:r>
          </w:p>
        </w:tc>
      </w:tr>
      <w:tr>
        <w:trPr>
          <w:trHeight w:val="193"/>
        </w:trPr>
        <w:tc>
          <w:tcPr>
            <w:tcW w:w="3780" w:type="dxa"/>
            <w:vAlign w:val="bottom"/>
          </w:tcPr>
          <w:p>
            <w:pPr>
              <w:ind w:left="140"/>
              <w:spacing w:after="0"/>
              <w:rPr>
                <w:sz w:val="20"/>
                <w:szCs w:val="20"/>
                <w:color w:val="auto"/>
              </w:rPr>
            </w:pPr>
            <w:r>
              <w:rPr>
                <w:rFonts w:ascii="Arial" w:cs="Arial" w:eastAsia="Arial" w:hAnsi="Arial"/>
                <w:sz w:val="14"/>
                <w:szCs w:val="14"/>
                <w:color w:val="auto"/>
              </w:rPr>
              <w:t>% Developed</w:t>
            </w:r>
          </w:p>
        </w:tc>
        <w:tc>
          <w:tcPr>
            <w:tcW w:w="2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82%</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87%</w:t>
            </w: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3"/>
        </w:trPr>
        <w:tc>
          <w:tcPr>
            <w:tcW w:w="3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Liquids %</w:t>
            </w:r>
          </w:p>
        </w:tc>
        <w:tc>
          <w:tcPr>
            <w:tcW w:w="26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93"/>
        </w:trPr>
        <w:tc>
          <w:tcPr>
            <w:tcW w:w="3780" w:type="dxa"/>
            <w:vAlign w:val="bottom"/>
          </w:tcPr>
          <w:p>
            <w:pPr>
              <w:ind w:left="140"/>
              <w:spacing w:after="0"/>
              <w:rPr>
                <w:sz w:val="20"/>
                <w:szCs w:val="20"/>
                <w:color w:val="auto"/>
              </w:rPr>
            </w:pPr>
            <w:r>
              <w:rPr>
                <w:rFonts w:ascii="Arial" w:cs="Arial" w:eastAsia="Arial" w:hAnsi="Arial"/>
                <w:sz w:val="14"/>
                <w:szCs w:val="14"/>
                <w:color w:val="auto"/>
              </w:rPr>
              <w:t>Standardized Measure ($MM)</w:t>
            </w:r>
          </w:p>
        </w:tc>
        <w:tc>
          <w:tcPr>
            <w:tcW w:w="3660" w:type="dxa"/>
            <w:vAlign w:val="bottom"/>
            <w:gridSpan w:val="2"/>
          </w:tcPr>
          <w:p>
            <w:pPr>
              <w:jc w:val="right"/>
              <w:ind w:right="823"/>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
        </w:trPr>
        <w:tc>
          <w:tcPr>
            <w:tcW w:w="3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PV-10* ($MM)</w:t>
            </w:r>
          </w:p>
        </w:tc>
        <w:tc>
          <w:tcPr>
            <w:tcW w:w="3660" w:type="dxa"/>
            <w:vAlign w:val="bottom"/>
            <w:tcBorders>
              <w:bottom w:val="single" w:sz="8" w:color="CCEEFF"/>
            </w:tcBorders>
            <w:gridSpan w:val="2"/>
            <w:shd w:val="clear" w:color="auto" w:fill="CCEEFF"/>
          </w:tcPr>
          <w:p>
            <w:pPr>
              <w:jc w:val="right"/>
              <w:ind w:right="82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157</w:t>
            </w:r>
          </w:p>
        </w:tc>
        <w:tc>
          <w:tcPr>
            <w:tcW w:w="2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473"/>
        </w:trPr>
        <w:tc>
          <w:tcPr>
            <w:tcW w:w="3780" w:type="dxa"/>
            <w:vAlign w:val="bottom"/>
          </w:tcPr>
          <w:p>
            <w:pPr>
              <w:spacing w:after="0"/>
              <w:rPr>
                <w:sz w:val="24"/>
                <w:szCs w:val="24"/>
                <w:color w:val="auto"/>
              </w:rPr>
            </w:pPr>
          </w:p>
        </w:tc>
        <w:tc>
          <w:tcPr>
            <w:tcW w:w="2680" w:type="dxa"/>
            <w:vAlign w:val="bottom"/>
          </w:tcPr>
          <w:p>
            <w:pPr>
              <w:jc w:val="right"/>
              <w:ind w:right="608"/>
              <w:spacing w:after="0"/>
              <w:rPr>
                <w:sz w:val="20"/>
                <w:szCs w:val="20"/>
                <w:color w:val="auto"/>
              </w:rPr>
            </w:pPr>
            <w:r>
              <w:rPr>
                <w:rFonts w:ascii="Arial" w:cs="Arial" w:eastAsia="Arial" w:hAnsi="Arial"/>
                <w:sz w:val="14"/>
                <w:szCs w:val="14"/>
                <w:color w:val="auto"/>
              </w:rPr>
              <w:t>1</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w:t>
      </w:r>
    </w:p>
    <w:p>
      <w:pPr>
        <w:spacing w:after="0" w:line="115" w:lineRule="exact"/>
        <w:rPr>
          <w:sz w:val="20"/>
          <w:szCs w:val="20"/>
          <w:color w:val="auto"/>
        </w:rPr>
      </w:pPr>
    </w:p>
    <w:p>
      <w:pPr>
        <w:ind w:left="520" w:hanging="514"/>
        <w:spacing w:after="0" w:line="267" w:lineRule="auto"/>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PV-10 of proved reserves is a non-GAAP measure, reconciled to the Standardized Measure at "Estimated Oil and Natural Gas Reserves and Estimated Future Net Revenues" below in </w:t>
      </w:r>
      <w:r>
        <w:rPr>
          <w:rFonts w:ascii="Arial" w:cs="Arial" w:eastAsia="Arial" w:hAnsi="Arial"/>
          <w:sz w:val="14"/>
          <w:szCs w:val="14"/>
          <w:i w:val="1"/>
          <w:iCs w:val="1"/>
          <w:color w:val="auto"/>
        </w:rPr>
        <w:t xml:space="preserve">Item 1. Business </w:t>
      </w:r>
      <w:r>
        <w:rPr>
          <w:rFonts w:ascii="Arial" w:cs="Arial" w:eastAsia="Arial" w:hAnsi="Arial"/>
          <w:sz w:val="14"/>
          <w:szCs w:val="14"/>
          <w:color w:val="auto"/>
        </w:rPr>
        <w:t>in this 10-K. Both the Standardized Measure and PV-10 are based on the average first day of the month net commodity prices received at the Delhi field in the twelve</w:t>
      </w:r>
      <w:r>
        <w:rPr>
          <w:rFonts w:ascii="Arial" w:cs="Arial" w:eastAsia="Arial" w:hAnsi="Arial"/>
          <w:sz w:val="14"/>
          <w:szCs w:val="14"/>
          <w:i w:val="1"/>
          <w:iCs w:val="1"/>
          <w:color w:val="auto"/>
        </w:rPr>
        <w:t xml:space="preserve"> </w:t>
      </w:r>
      <w:r>
        <w:rPr>
          <w:rFonts w:ascii="Arial" w:cs="Arial" w:eastAsia="Arial" w:hAnsi="Arial"/>
          <w:sz w:val="14"/>
          <w:szCs w:val="14"/>
          <w:color w:val="auto"/>
        </w:rPr>
        <w:t>months ending June 30, 2019, which were $64.54 per barrel of oil and $23.83 per barrel of natural gas liquids ("NGL"). Probable and possible reserves are not recognized under GAAP nor is there a comparable GAAP measure for probable and possible reserves.</w:t>
      </w:r>
    </w:p>
    <w:p>
      <w:pPr>
        <w:spacing w:after="0" w:line="81" w:lineRule="exact"/>
        <w:rPr>
          <w:sz w:val="20"/>
          <w:szCs w:val="20"/>
          <w:color w:val="auto"/>
        </w:rPr>
      </w:pPr>
    </w:p>
    <w:p>
      <w:pPr>
        <w:ind w:left="520" w:right="20" w:hanging="514"/>
        <w:spacing w:after="0" w:line="261" w:lineRule="auto"/>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With respect to the above reserve numbers, and references to probable and possible reserves throughout this document, estimates of probable and possible reserves are inherently imprecise. When producing an estimate of the amount of oil and natural gas that is recoverable from a particular reservoir, probable reserves are those additional reserves that are less certain to be recovered than proved reserves and there must be at least a 50% probability that the actual quantities recovered will equal or exceed the proved plus probable reserve estimates. Possible reserves are even less certain and there must be at least a 10% probability that the actual quantities recovered will equal or exceed the sum of proved, probable and possible reserve estimates. All categories of reserves are continually subject to revisions based on production history, results of additional exploration and development, price changes and other factors. Estimates of probable and possible reserves are by their nature much more speculative than estimates of proved reserves and are subject to greater uncertainties, and accordingly the likelihood of recovering those reserves is subject to substantially greater risk. These three reserve categories have not been adjusted to different levels of recovery risk among these categories and are therefore not comparable and are not meaningfully combined.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Development History of the Delhi Field - Enhanced Oil Recovery - Onshore Louisiana</w:t>
      </w:r>
    </w:p>
    <w:p>
      <w:pPr>
        <w:spacing w:after="0" w:line="123" w:lineRule="exact"/>
        <w:rPr>
          <w:sz w:val="20"/>
          <w:szCs w:val="20"/>
          <w:color w:val="auto"/>
        </w:rPr>
      </w:pPr>
    </w:p>
    <w:p>
      <w:pPr>
        <w:ind w:right="100" w:firstLine="345"/>
        <w:spacing w:after="0" w:line="264" w:lineRule="auto"/>
        <w:rPr>
          <w:sz w:val="20"/>
          <w:szCs w:val="20"/>
          <w:color w:val="auto"/>
        </w:rPr>
      </w:pPr>
      <w:r>
        <w:rPr>
          <w:rFonts w:ascii="Arial" w:cs="Arial" w:eastAsia="Arial" w:hAnsi="Arial"/>
          <w:sz w:val="14"/>
          <w:szCs w:val="14"/>
          <w:color w:val="auto"/>
        </w:rPr>
        <w:t>Our working and royalty interests in the Delhi field are currently our primary producing assets. The Unit is approximately 13,636 acres in size and has had a prolific production history totaling approximately 195 million bbls of oil through primary and limited secondary recovery operations since its discovery in the mid-1940s. At the time of our purchase of the field in 2003, the Unit had minimal production. We conveyed our working interest in the field to a subsidiary of Denbury Resources, Inc. in May 2006 for $50 million for the purpose of installing an enhanced oil recovery ("EOR") project in the field. We retained a 23.9% reversionary working interest upon payout of the project, as defined in the purchase and sale agreements. Since EOR production began in March 2010, the Unit has produced over 20 million bbls of 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101600</wp:posOffset>
            </wp:positionV>
            <wp:extent cx="3736340" cy="189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634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firstLine="345"/>
        <w:spacing w:after="0" w:line="280" w:lineRule="auto"/>
        <w:rPr>
          <w:sz w:val="20"/>
          <w:szCs w:val="20"/>
          <w:color w:val="auto"/>
        </w:rPr>
      </w:pPr>
      <w:r>
        <w:rPr>
          <w:rFonts w:ascii="Arial" w:cs="Arial" w:eastAsia="Arial" w:hAnsi="Arial"/>
          <w:sz w:val="14"/>
          <w:szCs w:val="14"/>
          <w:color w:val="auto"/>
        </w:rPr>
        <w:t>After the May 2006 conveyance, Denbury Resources, Inc., as the operator, originally planned six primary phases for the installation of the CO</w:t>
      </w:r>
      <w:r>
        <w:rPr>
          <w:rFonts w:ascii="Arial" w:cs="Arial" w:eastAsia="Arial" w:hAnsi="Arial"/>
          <w:sz w:val="11"/>
          <w:szCs w:val="11"/>
          <w:color w:val="auto"/>
        </w:rPr>
        <w:t>2</w:t>
      </w:r>
      <w:r>
        <w:rPr>
          <w:rFonts w:ascii="Arial" w:cs="Arial" w:eastAsia="Arial" w:hAnsi="Arial"/>
          <w:sz w:val="14"/>
          <w:szCs w:val="14"/>
          <w:color w:val="auto"/>
        </w:rPr>
        <w:t xml:space="preserve"> flood in the Delhi field. Four of these phases have been completed as of June 30, 2017 and two remain undeveloped. One of the remaining two phases (Phase V) is reflected as Proved undeveloped in our current reserves report and the other was removed from proved reserves (Phase VI) as it was not deemed economic under current pricing guidelines for SEC purposes.</w:t>
      </w:r>
    </w:p>
    <w:p>
      <w:pPr>
        <w:spacing w:after="0" w:line="180" w:lineRule="exact"/>
        <w:rPr>
          <w:sz w:val="20"/>
          <w:szCs w:val="20"/>
          <w:color w:val="auto"/>
        </w:rPr>
      </w:pPr>
    </w:p>
    <w:p>
      <w:pPr>
        <w:ind w:right="140" w:firstLine="345"/>
        <w:spacing w:after="0" w:line="304" w:lineRule="auto"/>
        <w:rPr>
          <w:sz w:val="20"/>
          <w:szCs w:val="20"/>
          <w:color w:val="auto"/>
        </w:rPr>
      </w:pPr>
      <w:r>
        <w:rPr>
          <w:rFonts w:ascii="Arial" w:cs="Arial" w:eastAsia="Arial" w:hAnsi="Arial"/>
          <w:sz w:val="14"/>
          <w:szCs w:val="14"/>
          <w:color w:val="auto"/>
        </w:rPr>
        <w:t>Phase I began CO</w:t>
      </w:r>
      <w:r>
        <w:rPr>
          <w:rFonts w:ascii="Arial" w:cs="Arial" w:eastAsia="Arial" w:hAnsi="Arial"/>
          <w:sz w:val="11"/>
          <w:szCs w:val="11"/>
          <w:color w:val="auto"/>
        </w:rPr>
        <w:t>2</w:t>
      </w:r>
      <w:r>
        <w:rPr>
          <w:rFonts w:ascii="Arial" w:cs="Arial" w:eastAsia="Arial" w:hAnsi="Arial"/>
          <w:sz w:val="14"/>
          <w:szCs w:val="14"/>
          <w:color w:val="auto"/>
        </w:rPr>
        <w:t xml:space="preserve"> injection in November 2009. First oil production response occurred in March 2010 and production in the field increased to approximately 1,000 gross barrels of oil per day by December 2010.</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60"/>
          </w:cols>
          <w:pgMar w:left="220" w:top="129" w:right="21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right="380" w:firstLine="345"/>
        <w:spacing w:after="0" w:line="304" w:lineRule="auto"/>
        <w:rPr>
          <w:sz w:val="20"/>
          <w:szCs w:val="20"/>
          <w:color w:val="auto"/>
        </w:rPr>
      </w:pPr>
      <w:r>
        <w:rPr>
          <w:rFonts w:ascii="Arial" w:cs="Arial" w:eastAsia="Arial" w:hAnsi="Arial"/>
          <w:sz w:val="14"/>
          <w:szCs w:val="14"/>
          <w:color w:val="auto"/>
        </w:rPr>
        <w:t>Implementation of Phase II, which was more than double the size of Phase I, commenced with incremental CO</w:t>
      </w:r>
      <w:r>
        <w:rPr>
          <w:rFonts w:ascii="Arial" w:cs="Arial" w:eastAsia="Arial" w:hAnsi="Arial"/>
          <w:sz w:val="11"/>
          <w:szCs w:val="11"/>
          <w:color w:val="auto"/>
        </w:rPr>
        <w:t>2</w:t>
      </w:r>
      <w:r>
        <w:rPr>
          <w:rFonts w:ascii="Arial" w:cs="Arial" w:eastAsia="Arial" w:hAnsi="Arial"/>
          <w:sz w:val="14"/>
          <w:szCs w:val="14"/>
          <w:color w:val="auto"/>
        </w:rPr>
        <w:t xml:space="preserve"> injection at the end of December 2010. First oil production response from Phase II occurred during March 2011, and field gross production increased to more than 4,000 barrels of oil per day by June 2011.</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Phase III was installed during calendar 2011, and was expanded twice during calendar 2011. Production subsequently increased to more than 5,000 gross barrels of oil per day.</w:t>
      </w:r>
    </w:p>
    <w:p>
      <w:pPr>
        <w:spacing w:after="0" w:line="227" w:lineRule="exact"/>
        <w:rPr>
          <w:sz w:val="20"/>
          <w:szCs w:val="20"/>
          <w:color w:val="auto"/>
        </w:rPr>
      </w:pPr>
    </w:p>
    <w:p>
      <w:pPr>
        <w:ind w:firstLine="345"/>
        <w:spacing w:after="0" w:line="272" w:lineRule="auto"/>
        <w:rPr>
          <w:sz w:val="20"/>
          <w:szCs w:val="20"/>
          <w:color w:val="auto"/>
        </w:rPr>
      </w:pPr>
      <w:r>
        <w:rPr>
          <w:rFonts w:ascii="Arial" w:cs="Arial" w:eastAsia="Arial" w:hAnsi="Arial"/>
          <w:sz w:val="14"/>
          <w:szCs w:val="14"/>
          <w:color w:val="auto"/>
        </w:rPr>
        <w:t>Phase IV was substantially installed during the first six months of calendar 2012. During early calendar 2013, the operator intensified development in the previously redeveloped western side of the field based on production results and new geological mapping that included the results of seismic data acquired over the last few years. Gross field production increased to more than 7,500 gross barrels of oil per day.</w:t>
      </w:r>
    </w:p>
    <w:p>
      <w:pPr>
        <w:spacing w:after="0" w:line="185" w:lineRule="exact"/>
        <w:rPr>
          <w:sz w:val="20"/>
          <w:szCs w:val="20"/>
          <w:color w:val="auto"/>
        </w:rPr>
      </w:pPr>
    </w:p>
    <w:p>
      <w:pPr>
        <w:ind w:right="80" w:firstLine="345"/>
        <w:spacing w:after="0" w:line="288" w:lineRule="auto"/>
        <w:rPr>
          <w:sz w:val="20"/>
          <w:szCs w:val="20"/>
          <w:color w:val="auto"/>
        </w:rPr>
      </w:pPr>
      <w:r>
        <w:rPr>
          <w:rFonts w:ascii="Arial" w:cs="Arial" w:eastAsia="Arial" w:hAnsi="Arial"/>
          <w:sz w:val="14"/>
          <w:szCs w:val="14"/>
          <w:color w:val="auto"/>
        </w:rPr>
        <w:t>In June 2013, following an adverse fluid release event that consisted of the uncontrolled release of CO</w:t>
      </w:r>
      <w:r>
        <w:rPr>
          <w:rFonts w:ascii="Arial" w:cs="Arial" w:eastAsia="Arial" w:hAnsi="Arial"/>
          <w:sz w:val="11"/>
          <w:szCs w:val="11"/>
          <w:color w:val="auto"/>
        </w:rPr>
        <w:t>2,</w:t>
      </w:r>
      <w:r>
        <w:rPr>
          <w:rFonts w:ascii="Arial" w:cs="Arial" w:eastAsia="Arial" w:hAnsi="Arial"/>
          <w:sz w:val="14"/>
          <w:szCs w:val="14"/>
          <w:color w:val="auto"/>
        </w:rPr>
        <w:t xml:space="preserve"> water, natural gas and a small amount of oil from a previously plugged well in the southwest part of the field, the operator suspended CO</w:t>
      </w:r>
      <w:r>
        <w:rPr>
          <w:rFonts w:ascii="Arial" w:cs="Arial" w:eastAsia="Arial" w:hAnsi="Arial"/>
          <w:sz w:val="11"/>
          <w:szCs w:val="11"/>
          <w:color w:val="auto"/>
        </w:rPr>
        <w:t>2</w:t>
      </w:r>
      <w:r>
        <w:rPr>
          <w:rFonts w:ascii="Arial" w:cs="Arial" w:eastAsia="Arial" w:hAnsi="Arial"/>
          <w:sz w:val="14"/>
          <w:szCs w:val="14"/>
          <w:color w:val="auto"/>
        </w:rPr>
        <w:t xml:space="preserve"> injection in most of the southwestern tip of the field. The operator has fully remediated the affected area, but has isolated that part of the field with a water curtain, thus removing that area from the CO</w:t>
      </w:r>
      <w:r>
        <w:rPr>
          <w:rFonts w:ascii="Arial" w:cs="Arial" w:eastAsia="Arial" w:hAnsi="Arial"/>
          <w:sz w:val="10"/>
          <w:szCs w:val="10"/>
          <w:color w:val="auto"/>
        </w:rPr>
        <w:t>2</w:t>
      </w:r>
      <w:r>
        <w:rPr>
          <w:rFonts w:ascii="Arial" w:cs="Arial" w:eastAsia="Arial" w:hAnsi="Arial"/>
          <w:sz w:val="14"/>
          <w:szCs w:val="14"/>
          <w:color w:val="auto"/>
        </w:rPr>
        <w:t xml:space="preserve"> flood.</w:t>
      </w:r>
    </w:p>
    <w:p>
      <w:pPr>
        <w:spacing w:after="0" w:line="175" w:lineRule="exact"/>
        <w:rPr>
          <w:sz w:val="20"/>
          <w:szCs w:val="20"/>
          <w:color w:val="auto"/>
        </w:rPr>
      </w:pPr>
    </w:p>
    <w:p>
      <w:pPr>
        <w:ind w:right="200" w:firstLine="345"/>
        <w:spacing w:after="0" w:line="272" w:lineRule="auto"/>
        <w:rPr>
          <w:sz w:val="20"/>
          <w:szCs w:val="20"/>
          <w:color w:val="auto"/>
        </w:rPr>
      </w:pPr>
      <w:r>
        <w:rPr>
          <w:rFonts w:ascii="Arial" w:cs="Arial" w:eastAsia="Arial" w:hAnsi="Arial"/>
          <w:sz w:val="14"/>
          <w:szCs w:val="14"/>
          <w:color w:val="auto"/>
        </w:rPr>
        <w:t>Construction began on the NGL extraction plant in February 2015. During fiscal 2017, the NGL extraction plant was completed and began processing in December 2016. The plant extracts methane and NGL's from the CO</w:t>
      </w:r>
      <w:r>
        <w:rPr>
          <w:rFonts w:ascii="Arial" w:cs="Arial" w:eastAsia="Arial" w:hAnsi="Arial"/>
          <w:sz w:val="10"/>
          <w:szCs w:val="10"/>
          <w:color w:val="auto"/>
        </w:rPr>
        <w:t>2</w:t>
      </w:r>
      <w:r>
        <w:rPr>
          <w:rFonts w:ascii="Arial" w:cs="Arial" w:eastAsia="Arial" w:hAnsi="Arial"/>
          <w:sz w:val="14"/>
          <w:szCs w:val="14"/>
          <w:color w:val="auto"/>
        </w:rPr>
        <w:t xml:space="preserve"> recycle stream. The methane and part of the ethane produced by the NGL plant are used to generate electrical power for the benefit and use in the field. The extracted NGL's are sold at the field to a purchaser who transports them by truck to a plant for further processing. In addition to the value of these hydrocarbon products, the increased purity of the CO</w:t>
      </w:r>
      <w:r>
        <w:rPr>
          <w:rFonts w:ascii="Arial" w:cs="Arial" w:eastAsia="Arial" w:hAnsi="Arial"/>
          <w:sz w:val="10"/>
          <w:szCs w:val="10"/>
          <w:color w:val="auto"/>
        </w:rPr>
        <w:t>2</w:t>
      </w:r>
      <w:r>
        <w:rPr>
          <w:rFonts w:ascii="Arial" w:cs="Arial" w:eastAsia="Arial" w:hAnsi="Arial"/>
          <w:sz w:val="14"/>
          <w:szCs w:val="14"/>
          <w:color w:val="auto"/>
        </w:rPr>
        <w:t xml:space="preserve"> stream re-injected into the field has resulted in operational benefits to the CO</w:t>
      </w:r>
      <w:r>
        <w:rPr>
          <w:rFonts w:ascii="Arial" w:cs="Arial" w:eastAsia="Arial" w:hAnsi="Arial"/>
          <w:sz w:val="10"/>
          <w:szCs w:val="10"/>
          <w:color w:val="auto"/>
        </w:rPr>
        <w:t>2</w:t>
      </w:r>
      <w:r>
        <w:rPr>
          <w:rFonts w:ascii="Arial" w:cs="Arial" w:eastAsia="Arial" w:hAnsi="Arial"/>
          <w:sz w:val="14"/>
          <w:szCs w:val="14"/>
          <w:color w:val="auto"/>
        </w:rPr>
        <w:t xml:space="preserve"> flood. We have incurred a net capital cost of approximately $27 million for the plant, including capital upgrades since its commissioning.</w:t>
      </w:r>
    </w:p>
    <w:p>
      <w:pPr>
        <w:spacing w:after="0" w:line="187" w:lineRule="exact"/>
        <w:rPr>
          <w:sz w:val="20"/>
          <w:szCs w:val="20"/>
          <w:color w:val="auto"/>
        </w:rPr>
      </w:pPr>
    </w:p>
    <w:p>
      <w:pPr>
        <w:ind w:right="80" w:firstLine="345"/>
        <w:spacing w:after="0" w:line="272" w:lineRule="auto"/>
        <w:rPr>
          <w:sz w:val="20"/>
          <w:szCs w:val="20"/>
          <w:color w:val="auto"/>
        </w:rPr>
      </w:pPr>
      <w:r>
        <w:rPr>
          <w:rFonts w:ascii="Arial" w:cs="Arial" w:eastAsia="Arial" w:hAnsi="Arial"/>
          <w:sz w:val="14"/>
          <w:szCs w:val="14"/>
          <w:color w:val="auto"/>
        </w:rPr>
        <w:t>Subsequent to the reversion of our working interest to us in November 2014, the operator initiated work on the Phase V expansion of the CO</w:t>
      </w:r>
      <w:r>
        <w:rPr>
          <w:rFonts w:ascii="Arial" w:cs="Arial" w:eastAsia="Arial" w:hAnsi="Arial"/>
          <w:sz w:val="10"/>
          <w:szCs w:val="10"/>
          <w:color w:val="auto"/>
        </w:rPr>
        <w:t>2</w:t>
      </w:r>
      <w:r>
        <w:rPr>
          <w:rFonts w:ascii="Arial" w:cs="Arial" w:eastAsia="Arial" w:hAnsi="Arial"/>
          <w:sz w:val="14"/>
          <w:szCs w:val="14"/>
          <w:color w:val="auto"/>
        </w:rPr>
        <w:t xml:space="preserve"> flood in the undeveloped eastern part of the field. These operations were suspended shortly after reversion when the operator made significant cuts in its capital budget as a result of declining oil prices. Resumption of this work has been electively delayed due to prevailing oil prices and the partners' allocation of capital to other Delhi projects, primarily the large investment in the NGL plant together with the consensus that Phase V project economics would be enhanced if it were implemented after completion of the NGL plant.</w:t>
      </w:r>
    </w:p>
    <w:p>
      <w:pPr>
        <w:spacing w:after="0" w:line="186" w:lineRule="exact"/>
        <w:rPr>
          <w:sz w:val="20"/>
          <w:szCs w:val="20"/>
          <w:color w:val="auto"/>
        </w:rPr>
      </w:pPr>
    </w:p>
    <w:p>
      <w:pPr>
        <w:ind w:right="80" w:firstLine="345"/>
        <w:spacing w:after="0" w:line="288" w:lineRule="auto"/>
        <w:rPr>
          <w:sz w:val="20"/>
          <w:szCs w:val="20"/>
          <w:color w:val="auto"/>
        </w:rPr>
      </w:pPr>
      <w:r>
        <w:rPr>
          <w:rFonts w:ascii="Arial" w:cs="Arial" w:eastAsia="Arial" w:hAnsi="Arial"/>
          <w:sz w:val="14"/>
          <w:szCs w:val="14"/>
          <w:color w:val="auto"/>
        </w:rPr>
        <w:t>During fiscal 2019 the twelve well infill program, consisting of ten producing wells and two CO</w:t>
      </w:r>
      <w:r>
        <w:rPr>
          <w:rFonts w:ascii="Arial" w:cs="Arial" w:eastAsia="Arial" w:hAnsi="Arial"/>
          <w:sz w:val="10"/>
          <w:szCs w:val="10"/>
          <w:color w:val="auto"/>
        </w:rPr>
        <w:t>2</w:t>
      </w:r>
      <w:r>
        <w:rPr>
          <w:rFonts w:ascii="Arial" w:cs="Arial" w:eastAsia="Arial" w:hAnsi="Arial"/>
          <w:sz w:val="14"/>
          <w:szCs w:val="14"/>
          <w:color w:val="auto"/>
        </w:rPr>
        <w:t xml:space="preserve"> injection wells was completed and on production. The program commenced in March 2018 to target productive oil zones in the developed areas of the field that were not being swept effectively by the CO</w:t>
      </w:r>
      <w:r>
        <w:rPr>
          <w:rFonts w:ascii="Arial" w:cs="Arial" w:eastAsia="Arial" w:hAnsi="Arial"/>
          <w:sz w:val="10"/>
          <w:szCs w:val="10"/>
          <w:color w:val="auto"/>
        </w:rPr>
        <w:t>2</w:t>
      </w:r>
      <w:r>
        <w:rPr>
          <w:rFonts w:ascii="Arial" w:cs="Arial" w:eastAsia="Arial" w:hAnsi="Arial"/>
          <w:sz w:val="14"/>
          <w:szCs w:val="14"/>
          <w:color w:val="auto"/>
        </w:rPr>
        <w:t xml:space="preserve"> flood.</w:t>
      </w:r>
    </w:p>
    <w:p>
      <w:pPr>
        <w:spacing w:after="0" w:line="174" w:lineRule="exact"/>
        <w:rPr>
          <w:sz w:val="20"/>
          <w:szCs w:val="20"/>
          <w:color w:val="auto"/>
        </w:rPr>
      </w:pPr>
    </w:p>
    <w:p>
      <w:pPr>
        <w:ind w:right="80" w:firstLine="345"/>
        <w:spacing w:after="0" w:line="267" w:lineRule="auto"/>
        <w:rPr>
          <w:sz w:val="20"/>
          <w:szCs w:val="20"/>
          <w:color w:val="auto"/>
        </w:rPr>
      </w:pPr>
      <w:r>
        <w:rPr>
          <w:rFonts w:ascii="Arial" w:cs="Arial" w:eastAsia="Arial" w:hAnsi="Arial"/>
          <w:sz w:val="14"/>
          <w:szCs w:val="14"/>
          <w:color w:val="auto"/>
        </w:rPr>
        <w:t>Also during the year, one pad of the six-well water curtain program was completed and commenced water injection during the second half of fiscal 2019. The project began late in fiscal 2017 after completion of the NGL plant with the drilling of one well followed by three wells in fiscal 2018. During fiscal 2019, we drilled the two remaining wells and proceeded with completions and injection line work. In fiscal 2020, we expect to incur approximately $0.6 million of net capital expenditures for completing the installation of the second three-well pad planned to begin injection in the second fiscal quarter.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Estimated Oil and Natural Gas Reserves and Estimated Future Net Revenues</w:t>
      </w:r>
    </w:p>
    <w:p>
      <w:pPr>
        <w:spacing w:after="0" w:line="231" w:lineRule="exact"/>
        <w:rPr>
          <w:sz w:val="20"/>
          <w:szCs w:val="20"/>
          <w:color w:val="auto"/>
        </w:rPr>
      </w:pPr>
    </w:p>
    <w:p>
      <w:pPr>
        <w:ind w:right="40" w:firstLine="345"/>
        <w:spacing w:after="0" w:line="264" w:lineRule="auto"/>
        <w:rPr>
          <w:sz w:val="20"/>
          <w:szCs w:val="20"/>
          <w:color w:val="auto"/>
        </w:rPr>
      </w:pPr>
      <w:r>
        <w:rPr>
          <w:rFonts w:ascii="Arial" w:cs="Arial" w:eastAsia="Arial" w:hAnsi="Arial"/>
          <w:sz w:val="14"/>
          <w:szCs w:val="14"/>
          <w:color w:val="auto"/>
        </w:rPr>
        <w:t>The SEC sets rules related to reserve estimation and disclosure requirements for oil and natural gas companies. These rules require disclosure of oil and gas proved reserves by significant geographic area, using the trailing 12-month average price, calculated as the unweighted arithmetic average of the first-day-of-the-month price for each month within the 12-month period prior to the end of the reporting period, rather than year-end prices, and allows the use of new technologies in the determination of proved reserves if those technologies have been demonstrated empirically to lead to reliable conclusions about reserve volumes. Subject to limited exceptions, the rules also require that proved undeveloped reserves may only be classified as such if a development plan has been adopted indicating that they are scheduled to be drilled within five years.</w:t>
      </w:r>
    </w:p>
    <w:p>
      <w:pPr>
        <w:spacing w:after="0" w:line="192" w:lineRule="exact"/>
        <w:rPr>
          <w:sz w:val="20"/>
          <w:szCs w:val="20"/>
          <w:color w:val="auto"/>
        </w:rPr>
      </w:pPr>
    </w:p>
    <w:p>
      <w:pPr>
        <w:ind w:right="220" w:firstLine="323"/>
        <w:spacing w:after="0" w:line="288" w:lineRule="auto"/>
        <w:rPr>
          <w:sz w:val="20"/>
          <w:szCs w:val="20"/>
          <w:color w:val="auto"/>
        </w:rPr>
      </w:pPr>
      <w:r>
        <w:rPr>
          <w:rFonts w:ascii="Arial" w:cs="Arial" w:eastAsia="Arial" w:hAnsi="Arial"/>
          <w:sz w:val="14"/>
          <w:szCs w:val="14"/>
          <w:color w:val="auto"/>
        </w:rPr>
        <w:t>There are numerous uncertainties inherent in estimating quantities of proved reserves and estimates of reserves quantities and values must be viewed as being subject to significant change as more data about the properties becomes available.</w:t>
      </w:r>
    </w:p>
    <w:p>
      <w:pPr>
        <w:spacing w:after="0" w:line="174" w:lineRule="exact"/>
        <w:rPr>
          <w:sz w:val="20"/>
          <w:szCs w:val="20"/>
          <w:color w:val="auto"/>
        </w:rPr>
      </w:pPr>
    </w:p>
    <w:p>
      <w:pPr>
        <w:ind w:right="20" w:firstLine="323"/>
        <w:spacing w:after="0" w:line="264" w:lineRule="auto"/>
        <w:rPr>
          <w:sz w:val="20"/>
          <w:szCs w:val="20"/>
          <w:color w:val="auto"/>
        </w:rPr>
      </w:pPr>
      <w:r>
        <w:rPr>
          <w:rFonts w:ascii="Arial" w:cs="Arial" w:eastAsia="Arial" w:hAnsi="Arial"/>
          <w:sz w:val="14"/>
          <w:szCs w:val="14"/>
          <w:color w:val="auto"/>
        </w:rPr>
        <w:t>Estimates of probable and possible reserves are inherently imprecise. When producing an estimate of the amount of oil and natural gas liquids that is recoverable from a particular reservoir, probable reserves are those additional reserves that are less certain to be recovered than proved reserves but which, together with proved reserves, are as likely as not to be recovered, generally described as having a 50% probability that the actual quantities recovered will equal of exceed the proved plus probable reserve estimates. Possible reserves are even less certain and generally require only a 10% or greater probability of that actual quantities recovered will equal or exceed the sum of proved, probable and possible reserve estimates. All categories of reserves are continually subject to revisions based on production history, results of additional exploration and development,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40"/>
          </w:cols>
          <w:pgMar w:left="220" w:top="129"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both"/>
        <w:ind w:right="140"/>
        <w:spacing w:after="0" w:line="272" w:lineRule="auto"/>
        <w:rPr>
          <w:sz w:val="20"/>
          <w:szCs w:val="20"/>
          <w:color w:val="auto"/>
        </w:rPr>
      </w:pPr>
      <w:r>
        <w:rPr>
          <w:rFonts w:ascii="Arial" w:cs="Arial" w:eastAsia="Arial" w:hAnsi="Arial"/>
          <w:sz w:val="14"/>
          <w:szCs w:val="14"/>
          <w:color w:val="auto"/>
        </w:rPr>
        <w:t>price changes and other factors. Estimates of probable and possible reserves are by their nature much more speculative than estimates of proved reserves and are subject to greater uncertainties, and accordingly the likelihood of recovering those reserves is subject to substantially greater risk. These three reserve categories have not been adjusted to different levels of recovery risk among these categories and are therefore not comparable and are not meaningfully combined.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Information About the Standardized Measure of Discounted Future Net Cash Flows ("Standardized Measure") and pre-tax PV-10 of Proved Reserves</w:t>
      </w:r>
    </w:p>
    <w:p>
      <w:pPr>
        <w:spacing w:after="0" w:line="227" w:lineRule="exact"/>
        <w:rPr>
          <w:sz w:val="20"/>
          <w:szCs w:val="20"/>
          <w:color w:val="auto"/>
        </w:rPr>
      </w:pPr>
    </w:p>
    <w:p>
      <w:pPr>
        <w:ind w:firstLine="323"/>
        <w:spacing w:after="0" w:line="284" w:lineRule="auto"/>
        <w:rPr>
          <w:sz w:val="20"/>
          <w:szCs w:val="20"/>
          <w:color w:val="auto"/>
        </w:rPr>
      </w:pPr>
      <w:r>
        <w:rPr>
          <w:rFonts w:ascii="Arial" w:cs="Arial" w:eastAsia="Arial" w:hAnsi="Arial"/>
          <w:sz w:val="13"/>
          <w:szCs w:val="13"/>
          <w:color w:val="auto"/>
        </w:rPr>
        <w:t>Estimated pre-tax future net revenues from the production of proved reserves discounted at 10%, or PV-10, is a financial measure that is not recognized by GAAP. We believe that the presentation of the non-GAAP financial measure of PV-10 provides useful information to investors because it is widely used by analysts and investors in evaluating oil and natural gas companies, and that it is relevant and useful for evaluating the relative monetary significance of oil and natural gas properties. Further, analysts and investors may utilize the measure as a basis for comparison of the relative size and value of our reserves to other companies' reserves. We also use this pre-tax measure when assessing the potential return on investment related to oil and natural gas properties and in evaluating acquisition opportunities. Because there are many unique factors that can impact an individual company when estimating the amount of future income taxes to be paid, we believe the use of a pre-tax measure is valuable for evaluating our Company. PV-10 is not a measure of financial or operating performance under GAAP, nor is it intended to represent the current market value of our estimated oil and natural gas reserves. PV-10 should not be considered in isolation or as a substitute for the Standardized Measure as defined under GAAP, and reconciled herein. Refer to the "</w:t>
      </w:r>
      <w:r>
        <w:rPr>
          <w:rFonts w:ascii="Arial" w:cs="Arial" w:eastAsia="Arial" w:hAnsi="Arial"/>
          <w:sz w:val="13"/>
          <w:szCs w:val="13"/>
          <w:i w:val="1"/>
          <w:iCs w:val="1"/>
          <w:color w:val="auto"/>
        </w:rPr>
        <w:t>Reconciliation of PV-10 to the Standardized Measure of Discounted Future Net Cash Flows"</w:t>
      </w:r>
      <w:r>
        <w:rPr>
          <w:rFonts w:ascii="Arial" w:cs="Arial" w:eastAsia="Arial" w:hAnsi="Arial"/>
          <w:sz w:val="13"/>
          <w:szCs w:val="13"/>
          <w:color w:val="auto"/>
        </w:rPr>
        <w:t xml:space="preserve"> below.</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Summary of Oil &amp; Gas Reserves for Fiscal Year Ended 2019</w:t>
      </w:r>
    </w:p>
    <w:p>
      <w:pPr>
        <w:spacing w:after="0" w:line="227" w:lineRule="exact"/>
        <w:rPr>
          <w:sz w:val="20"/>
          <w:szCs w:val="20"/>
          <w:color w:val="auto"/>
        </w:rPr>
      </w:pPr>
    </w:p>
    <w:p>
      <w:pPr>
        <w:ind w:right="100" w:firstLine="345"/>
        <w:spacing w:after="0" w:line="268" w:lineRule="auto"/>
        <w:rPr>
          <w:sz w:val="20"/>
          <w:szCs w:val="20"/>
          <w:color w:val="auto"/>
        </w:rPr>
      </w:pPr>
      <w:r>
        <w:rPr>
          <w:rFonts w:ascii="Arial" w:cs="Arial" w:eastAsia="Arial" w:hAnsi="Arial"/>
          <w:sz w:val="14"/>
          <w:szCs w:val="14"/>
          <w:color w:val="auto"/>
        </w:rPr>
        <w:t>Our proved, probable and possible reserves at June 30, 2019, denominated in equivalent barrels using six MCF of gas and 42 gallons of natural gas liquids to one barrel of oil conversion ratio, were estimated by our independent petroleum engineer, DeGolyer and MacNaughton ("D&amp;M") which was formed in 1936, employs over 180 petroleum engineers, geologists and other technical personnel, and operates domestically and around the world. D&amp;M was selected to estimate reserves for our interests in the Delhi field due to their expertise in CO</w:t>
      </w:r>
      <w:r>
        <w:rPr>
          <w:rFonts w:ascii="Arial" w:cs="Arial" w:eastAsia="Arial" w:hAnsi="Arial"/>
          <w:sz w:val="11"/>
          <w:szCs w:val="11"/>
          <w:color w:val="auto"/>
        </w:rPr>
        <w:t>2</w:t>
      </w:r>
      <w:r>
        <w:rPr>
          <w:rFonts w:ascii="Arial" w:cs="Arial" w:eastAsia="Arial" w:hAnsi="Arial"/>
          <w:sz w:val="14"/>
          <w:szCs w:val="14"/>
          <w:color w:val="auto"/>
        </w:rPr>
        <w:t>-EOR projects and to ensure consistency with the operator of the Delhi field. The scope and results of their procedures are summarized in a letter from the firm, which is included as exhibit 99.1 to this Annual Report on Form 10-K.</w:t>
      </w:r>
    </w:p>
    <w:p>
      <w:pPr>
        <w:spacing w:after="0" w:line="82" w:lineRule="exact"/>
        <w:rPr>
          <w:sz w:val="20"/>
          <w:szCs w:val="20"/>
          <w:color w:val="auto"/>
        </w:rPr>
      </w:pPr>
    </w:p>
    <w:p>
      <w:pPr>
        <w:ind w:firstLine="323"/>
        <w:spacing w:after="0" w:line="264" w:lineRule="auto"/>
        <w:rPr>
          <w:sz w:val="20"/>
          <w:szCs w:val="20"/>
          <w:color w:val="auto"/>
        </w:rPr>
      </w:pPr>
      <w:r>
        <w:rPr>
          <w:rFonts w:ascii="Arial" w:cs="Arial" w:eastAsia="Arial" w:hAnsi="Arial"/>
          <w:sz w:val="14"/>
          <w:szCs w:val="14"/>
          <w:color w:val="auto"/>
        </w:rPr>
        <w:t xml:space="preserve">The following table sets forth our estimated proved, probable and possible reserves as of June 30, 2019. For additional reserve information see </w:t>
      </w:r>
      <w:r>
        <w:rPr>
          <w:rFonts w:ascii="Arial" w:cs="Arial" w:eastAsia="Arial" w:hAnsi="Arial"/>
          <w:sz w:val="14"/>
          <w:szCs w:val="14"/>
          <w:i w:val="1"/>
          <w:iCs w:val="1"/>
          <w:color w:val="auto"/>
        </w:rPr>
        <w:t>Note 20 – Supplemental Disclosures about Oil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Natural Gas Producing Properties (Unaudited) </w:t>
      </w:r>
      <w:r>
        <w:rPr>
          <w:rFonts w:ascii="Arial" w:cs="Arial" w:eastAsia="Arial" w:hAnsi="Arial"/>
          <w:sz w:val="14"/>
          <w:szCs w:val="14"/>
          <w:color w:val="auto"/>
        </w:rPr>
        <w:t>of the consolidated financial statements. The NYMEX previous 12-month unweighted arithmetic average first-day-of-the-month price used to</w:t>
      </w:r>
      <w:r>
        <w:rPr>
          <w:rFonts w:ascii="Arial" w:cs="Arial" w:eastAsia="Arial" w:hAnsi="Arial"/>
          <w:sz w:val="14"/>
          <w:szCs w:val="14"/>
          <w:i w:val="1"/>
          <w:iCs w:val="1"/>
          <w:color w:val="auto"/>
        </w:rPr>
        <w:t xml:space="preserve"> </w:t>
      </w:r>
      <w:r>
        <w:rPr>
          <w:rFonts w:ascii="Arial" w:cs="Arial" w:eastAsia="Arial" w:hAnsi="Arial"/>
          <w:sz w:val="14"/>
          <w:szCs w:val="14"/>
          <w:color w:val="auto"/>
        </w:rPr>
        <w:t>calculate estimated revenues was $61.62 per barrel of crude oil. The net price per barrel of natural gas liquids was $23.83, which does not have any single comparable reference index price. The NGL price was based on historical prices received. For periods for which no historical price information was available, we used comparable pricing in the area. Pricing differentials were applied based on quality, processing, transportation, location and other pricing aspects for each individual property and product.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40"/>
          </w:cols>
          <w:pgMar w:left="220" w:top="129"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Reserves as of June 30,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2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Reserve Category</w:t>
            </w: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Oil</w:t>
            </w:r>
          </w:p>
        </w:tc>
        <w:tc>
          <w:tcPr>
            <w:tcW w:w="13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NGLs</w:t>
            </w:r>
          </w:p>
        </w:tc>
        <w:tc>
          <w:tcPr>
            <w:tcW w:w="1280" w:type="dxa"/>
            <w:vAlign w:val="bottom"/>
          </w:tcPr>
          <w:p>
            <w:pPr>
              <w:jc w:val="right"/>
              <w:ind w:right="210"/>
              <w:spacing w:after="0"/>
              <w:rPr>
                <w:sz w:val="20"/>
                <w:szCs w:val="20"/>
                <w:color w:val="auto"/>
              </w:rPr>
            </w:pPr>
            <w:r>
              <w:rPr>
                <w:rFonts w:ascii="Arial" w:cs="Arial" w:eastAsia="Arial" w:hAnsi="Arial"/>
                <w:sz w:val="11"/>
                <w:szCs w:val="11"/>
                <w:b w:val="1"/>
                <w:bCs w:val="1"/>
                <w:color w:val="auto"/>
              </w:rPr>
              <w:t>Total Reserves</w:t>
            </w:r>
          </w:p>
        </w:tc>
        <w:tc>
          <w:tcPr>
            <w:tcW w:w="0" w:type="dxa"/>
            <w:vAlign w:val="bottom"/>
          </w:tcPr>
          <w:p>
            <w:pPr>
              <w:spacing w:after="0"/>
              <w:rPr>
                <w:sz w:val="1"/>
                <w:szCs w:val="1"/>
                <w:color w:val="auto"/>
              </w:rPr>
            </w:pPr>
          </w:p>
        </w:tc>
      </w:tr>
      <w:tr>
        <w:trPr>
          <w:trHeight w:val="153"/>
        </w:trPr>
        <w:tc>
          <w:tcPr>
            <w:tcW w:w="7260" w:type="dxa"/>
            <w:vAlign w:val="bottom"/>
            <w:vMerge w:val="continue"/>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(MBbls)</w:t>
            </w: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(MBbls)</w:t>
            </w:r>
          </w:p>
        </w:tc>
        <w:tc>
          <w:tcPr>
            <w:tcW w:w="1280" w:type="dxa"/>
            <w:vAlign w:val="bottom"/>
          </w:tcPr>
          <w:p>
            <w:pPr>
              <w:jc w:val="right"/>
              <w:ind w:right="330"/>
              <w:spacing w:after="0"/>
              <w:rPr>
                <w:sz w:val="20"/>
                <w:szCs w:val="20"/>
                <w:color w:val="auto"/>
              </w:rPr>
            </w:pPr>
            <w:r>
              <w:rPr>
                <w:rFonts w:ascii="Arial" w:cs="Arial" w:eastAsia="Arial" w:hAnsi="Arial"/>
                <w:sz w:val="11"/>
                <w:szCs w:val="11"/>
                <w:b w:val="1"/>
                <w:bCs w:val="1"/>
                <w:color w:val="auto"/>
              </w:rPr>
              <w:t>(MBOE)*</w:t>
            </w:r>
          </w:p>
        </w:tc>
        <w:tc>
          <w:tcPr>
            <w:tcW w:w="0" w:type="dxa"/>
            <w:vAlign w:val="bottom"/>
          </w:tcPr>
          <w:p>
            <w:pPr>
              <w:spacing w:after="0"/>
              <w:rPr>
                <w:sz w:val="1"/>
                <w:szCs w:val="1"/>
                <w:color w:val="auto"/>
              </w:rPr>
            </w:pPr>
          </w:p>
        </w:tc>
      </w:tr>
      <w:tr>
        <w:trPr>
          <w:trHeight w:val="191"/>
        </w:trPr>
        <w:tc>
          <w:tcPr>
            <w:tcW w:w="7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PROVED</w:t>
            </w: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260" w:type="dxa"/>
            <w:vAlign w:val="bottom"/>
          </w:tcPr>
          <w:p>
            <w:pPr>
              <w:ind w:left="140"/>
              <w:spacing w:after="0"/>
              <w:rPr>
                <w:sz w:val="20"/>
                <w:szCs w:val="20"/>
                <w:color w:val="auto"/>
              </w:rPr>
            </w:pPr>
            <w:r>
              <w:rPr>
                <w:rFonts w:ascii="Arial" w:cs="Arial" w:eastAsia="Arial" w:hAnsi="Arial"/>
                <w:sz w:val="14"/>
                <w:szCs w:val="14"/>
                <w:color w:val="auto"/>
              </w:rPr>
              <w:t>Developed Producing (82% of Proved)</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6,274</w:t>
            </w:r>
          </w:p>
        </w:tc>
        <w:tc>
          <w:tcPr>
            <w:tcW w:w="100" w:type="dxa"/>
            <w:vAlign w:val="bottom"/>
          </w:tcPr>
          <w:p>
            <w:pPr>
              <w:spacing w:after="0"/>
              <w:rPr>
                <w:sz w:val="16"/>
                <w:szCs w:val="16"/>
                <w:color w:val="auto"/>
              </w:rPr>
            </w:pP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6"/>
                <w:szCs w:val="16"/>
                <w:color w:val="auto"/>
              </w:rPr>
            </w:pPr>
          </w:p>
        </w:tc>
        <w:tc>
          <w:tcPr>
            <w:tcW w:w="1280" w:type="dxa"/>
            <w:vAlign w:val="bottom"/>
          </w:tcPr>
          <w:p>
            <w:pPr>
              <w:jc w:val="right"/>
              <w:ind w:right="90"/>
              <w:spacing w:after="0"/>
              <w:rPr>
                <w:sz w:val="20"/>
                <w:szCs w:val="20"/>
                <w:color w:val="auto"/>
              </w:rPr>
            </w:pPr>
            <w:r>
              <w:rPr>
                <w:rFonts w:ascii="Arial" w:cs="Arial" w:eastAsia="Arial" w:hAnsi="Arial"/>
                <w:sz w:val="14"/>
                <w:szCs w:val="14"/>
                <w:color w:val="auto"/>
              </w:rPr>
              <w:t>7,398</w:t>
            </w:r>
          </w:p>
        </w:tc>
        <w:tc>
          <w:tcPr>
            <w:tcW w:w="0" w:type="dxa"/>
            <w:vAlign w:val="bottom"/>
          </w:tcPr>
          <w:p>
            <w:pPr>
              <w:spacing w:after="0"/>
              <w:rPr>
                <w:sz w:val="1"/>
                <w:szCs w:val="1"/>
                <w:color w:val="auto"/>
              </w:rPr>
            </w:pPr>
          </w:p>
        </w:tc>
      </w:tr>
      <w:tr>
        <w:trPr>
          <w:trHeight w:val="23"/>
        </w:trPr>
        <w:tc>
          <w:tcPr>
            <w:tcW w:w="7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Undeveloped (18% of Proved)</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1,342</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24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PROVED</w:t>
            </w: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7,616</w:t>
            </w:r>
          </w:p>
        </w:tc>
        <w:tc>
          <w:tcPr>
            <w:tcW w:w="100" w:type="dxa"/>
            <w:vAlign w:val="bottom"/>
            <w:tcBorders>
              <w:bottom w:val="single" w:sz="8" w:color="CCEEFF"/>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1,365</w:t>
            </w:r>
          </w:p>
        </w:tc>
        <w:tc>
          <w:tcPr>
            <w:tcW w:w="100" w:type="dxa"/>
            <w:vAlign w:val="bottom"/>
            <w:tcBorders>
              <w:bottom w:val="single" w:sz="8" w:color="CCEEFF"/>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8,981</w:t>
            </w:r>
          </w:p>
        </w:tc>
        <w:tc>
          <w:tcPr>
            <w:tcW w:w="0" w:type="dxa"/>
            <w:vAlign w:val="bottom"/>
          </w:tcPr>
          <w:p>
            <w:pPr>
              <w:spacing w:after="0"/>
              <w:rPr>
                <w:sz w:val="1"/>
                <w:szCs w:val="1"/>
                <w:color w:val="auto"/>
              </w:rPr>
            </w:pPr>
          </w:p>
        </w:tc>
      </w:tr>
      <w:tr>
        <w:trPr>
          <w:trHeight w:val="174"/>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Product Mix</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3"/>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PROBABLE</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Developed Producing (87% of Probable)</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3,516</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630</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4,146</w:t>
            </w:r>
          </w:p>
        </w:tc>
        <w:tc>
          <w:tcPr>
            <w:tcW w:w="0" w:type="dxa"/>
            <w:vAlign w:val="bottom"/>
          </w:tcPr>
          <w:p>
            <w:pPr>
              <w:spacing w:after="0"/>
              <w:rPr>
                <w:sz w:val="1"/>
                <w:szCs w:val="1"/>
                <w:color w:val="auto"/>
              </w:rPr>
            </w:pPr>
          </w:p>
        </w:tc>
      </w:tr>
      <w:tr>
        <w:trPr>
          <w:trHeight w:val="193"/>
        </w:trPr>
        <w:tc>
          <w:tcPr>
            <w:tcW w:w="7260" w:type="dxa"/>
            <w:vAlign w:val="bottom"/>
          </w:tcPr>
          <w:p>
            <w:pPr>
              <w:ind w:left="140"/>
              <w:spacing w:after="0"/>
              <w:rPr>
                <w:sz w:val="20"/>
                <w:szCs w:val="20"/>
                <w:color w:val="auto"/>
              </w:rPr>
            </w:pPr>
            <w:r>
              <w:rPr>
                <w:rFonts w:ascii="Arial" w:cs="Arial" w:eastAsia="Arial" w:hAnsi="Arial"/>
                <w:sz w:val="14"/>
                <w:szCs w:val="14"/>
                <w:color w:val="auto"/>
              </w:rPr>
              <w:t>Undeveloped (13% of Probable)</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6"/>
                <w:szCs w:val="16"/>
                <w:color w:val="auto"/>
              </w:rPr>
            </w:pPr>
          </w:p>
        </w:tc>
        <w:tc>
          <w:tcPr>
            <w:tcW w:w="1280" w:type="dxa"/>
            <w:vAlign w:val="bottom"/>
          </w:tcPr>
          <w:p>
            <w:pPr>
              <w:jc w:val="right"/>
              <w:ind w:right="9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1280" w:type="dxa"/>
            <w:vAlign w:val="bottom"/>
          </w:tcPr>
          <w:p>
            <w:pPr>
              <w:jc w:val="right"/>
              <w:ind w:right="90"/>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23"/>
        </w:trPr>
        <w:tc>
          <w:tcPr>
            <w:tcW w:w="72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PROBABLE</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4,056</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727</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4,783</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260" w:type="dxa"/>
            <w:vAlign w:val="bottom"/>
          </w:tcPr>
          <w:p>
            <w:pPr>
              <w:ind w:left="140"/>
              <w:spacing w:after="0"/>
              <w:rPr>
                <w:sz w:val="20"/>
                <w:szCs w:val="20"/>
                <w:color w:val="auto"/>
              </w:rPr>
            </w:pPr>
            <w:r>
              <w:rPr>
                <w:rFonts w:ascii="Arial" w:cs="Arial" w:eastAsia="Arial" w:hAnsi="Arial"/>
                <w:sz w:val="14"/>
                <w:szCs w:val="14"/>
                <w:color w:val="auto"/>
              </w:rPr>
              <w:t>Product Mix</w:t>
            </w:r>
          </w:p>
        </w:tc>
        <w:tc>
          <w:tcPr>
            <w:tcW w:w="12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3"/>
        </w:trPr>
        <w:tc>
          <w:tcPr>
            <w:tcW w:w="7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POSSIBLE</w:t>
            </w: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260" w:type="dxa"/>
            <w:vAlign w:val="bottom"/>
          </w:tcPr>
          <w:p>
            <w:pPr>
              <w:ind w:left="140"/>
              <w:spacing w:after="0"/>
              <w:rPr>
                <w:sz w:val="20"/>
                <w:szCs w:val="20"/>
                <w:color w:val="auto"/>
              </w:rPr>
            </w:pPr>
            <w:r>
              <w:rPr>
                <w:rFonts w:ascii="Arial" w:cs="Arial" w:eastAsia="Arial" w:hAnsi="Arial"/>
                <w:sz w:val="14"/>
                <w:szCs w:val="14"/>
                <w:color w:val="auto"/>
              </w:rPr>
              <w:t>Developed Producing (91% of Possible)</w:t>
            </w: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3,323</w:t>
            </w:r>
          </w:p>
        </w:tc>
        <w:tc>
          <w:tcPr>
            <w:tcW w:w="100" w:type="dxa"/>
            <w:vAlign w:val="bottom"/>
          </w:tcPr>
          <w:p>
            <w:pPr>
              <w:spacing w:after="0"/>
              <w:rPr>
                <w:sz w:val="16"/>
                <w:szCs w:val="16"/>
                <w:color w:val="auto"/>
              </w:rPr>
            </w:pPr>
          </w:p>
        </w:tc>
        <w:tc>
          <w:tcPr>
            <w:tcW w:w="1280" w:type="dxa"/>
            <w:vAlign w:val="bottom"/>
          </w:tcPr>
          <w:p>
            <w:pPr>
              <w:jc w:val="right"/>
              <w:ind w:right="70"/>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6"/>
                <w:szCs w:val="16"/>
                <w:color w:val="auto"/>
              </w:rPr>
            </w:pPr>
          </w:p>
        </w:tc>
        <w:tc>
          <w:tcPr>
            <w:tcW w:w="1280" w:type="dxa"/>
            <w:vAlign w:val="bottom"/>
          </w:tcPr>
          <w:p>
            <w:pPr>
              <w:jc w:val="right"/>
              <w:ind w:right="90"/>
              <w:spacing w:after="0"/>
              <w:rPr>
                <w:sz w:val="20"/>
                <w:szCs w:val="20"/>
                <w:color w:val="auto"/>
              </w:rPr>
            </w:pPr>
            <w:r>
              <w:rPr>
                <w:rFonts w:ascii="Arial" w:cs="Arial" w:eastAsia="Arial" w:hAnsi="Arial"/>
                <w:sz w:val="14"/>
                <w:szCs w:val="14"/>
                <w:color w:val="auto"/>
              </w:rPr>
              <w:t>3,919</w:t>
            </w:r>
          </w:p>
        </w:tc>
        <w:tc>
          <w:tcPr>
            <w:tcW w:w="0" w:type="dxa"/>
            <w:vAlign w:val="bottom"/>
          </w:tcPr>
          <w:p>
            <w:pPr>
              <w:spacing w:after="0"/>
              <w:rPr>
                <w:sz w:val="1"/>
                <w:szCs w:val="1"/>
                <w:color w:val="auto"/>
              </w:rPr>
            </w:pPr>
          </w:p>
        </w:tc>
      </w:tr>
      <w:tr>
        <w:trPr>
          <w:trHeight w:val="23"/>
        </w:trPr>
        <w:tc>
          <w:tcPr>
            <w:tcW w:w="7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Undeveloped (9% of Possible)</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40"/>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POSSIBLE</w:t>
            </w: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3,664</w:t>
            </w:r>
          </w:p>
        </w:tc>
        <w:tc>
          <w:tcPr>
            <w:tcW w:w="100" w:type="dxa"/>
            <w:vAlign w:val="bottom"/>
            <w:tcBorders>
              <w:bottom w:val="single" w:sz="8" w:color="CCEEFF"/>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657</w:t>
            </w:r>
          </w:p>
        </w:tc>
        <w:tc>
          <w:tcPr>
            <w:tcW w:w="100" w:type="dxa"/>
            <w:vAlign w:val="bottom"/>
            <w:tcBorders>
              <w:bottom w:val="single" w:sz="8" w:color="CCEEFF"/>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4,321</w:t>
            </w:r>
          </w:p>
        </w:tc>
        <w:tc>
          <w:tcPr>
            <w:tcW w:w="0" w:type="dxa"/>
            <w:vAlign w:val="bottom"/>
          </w:tcPr>
          <w:p>
            <w:pPr>
              <w:spacing w:after="0"/>
              <w:rPr>
                <w:sz w:val="1"/>
                <w:szCs w:val="1"/>
                <w:color w:val="auto"/>
              </w:rPr>
            </w:pPr>
          </w:p>
        </w:tc>
      </w:tr>
      <w:tr>
        <w:trPr>
          <w:trHeight w:val="171"/>
        </w:trPr>
        <w:tc>
          <w:tcPr>
            <w:tcW w:w="7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Product Mix</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3"/>
        </w:trPr>
        <w:tc>
          <w:tcPr>
            <w:tcW w:w="72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*Equivalent oil reserves are defined as six MCF of gas and 42 gallons of natural gas liquids to one barrel of oil conversion ratio.</w:t>
      </w: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0"/>
          </w:cols>
          <w:pgMar w:left="220" w:top="129" w:right="37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right="1400" w:firstLine="517"/>
        <w:spacing w:after="0" w:line="428" w:lineRule="auto"/>
        <w:rPr>
          <w:sz w:val="20"/>
          <w:szCs w:val="20"/>
          <w:color w:val="auto"/>
        </w:rPr>
      </w:pPr>
      <w:r>
        <w:rPr>
          <w:rFonts w:ascii="Arial" w:cs="Arial" w:eastAsia="Arial" w:hAnsi="Arial"/>
          <w:sz w:val="14"/>
          <w:szCs w:val="14"/>
          <w:color w:val="auto"/>
        </w:rPr>
        <w:t xml:space="preserve">The following tables present a reconciliation of changes in our proved, probable and possible reserves by major property, on the basis of equivalent MBOE quantities. </w:t>
      </w:r>
      <w:r>
        <w:rPr>
          <w:rFonts w:ascii="Arial" w:cs="Arial" w:eastAsia="Arial" w:hAnsi="Arial"/>
          <w:sz w:val="14"/>
          <w:szCs w:val="14"/>
          <w:b w:val="1"/>
          <w:bCs w:val="1"/>
          <w:i w:val="1"/>
          <w:iCs w:val="1"/>
          <w:u w:val="single" w:color="auto"/>
          <w:color w:val="auto"/>
        </w:rPr>
        <w:t>Reconciliation of Changes in Proved Reserves by Major Property</w:t>
      </w:r>
    </w:p>
    <w:tbl>
      <w:tblPr>
        <w:tblLayout w:type="fixed"/>
        <w:tblInd w:w="0" w:type="dxa"/>
        <w:tblCellMar>
          <w:top w:w="0" w:type="dxa"/>
          <w:left w:w="0" w:type="dxa"/>
          <w:bottom w:w="0" w:type="dxa"/>
          <w:right w:w="0" w:type="dxa"/>
        </w:tblCellMar>
      </w:tblPr>
      <w:tr>
        <w:trPr>
          <w:trHeight w:val="120"/>
        </w:trPr>
        <w:tc>
          <w:tcPr>
            <w:tcW w:w="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tcPr>
          <w:p>
            <w:pPr>
              <w:jc w:val="right"/>
              <w:ind w:right="213"/>
              <w:spacing w:after="0" w:line="120" w:lineRule="exact"/>
              <w:rPr>
                <w:sz w:val="20"/>
                <w:szCs w:val="20"/>
                <w:color w:val="auto"/>
              </w:rPr>
            </w:pPr>
            <w:r>
              <w:rPr>
                <w:rFonts w:ascii="Arial" w:cs="Arial" w:eastAsia="Arial" w:hAnsi="Arial"/>
                <w:sz w:val="11"/>
                <w:szCs w:val="11"/>
                <w:b w:val="1"/>
                <w:bCs w:val="1"/>
                <w:color w:val="auto"/>
              </w:rPr>
              <w:t>Delhi Field Proved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900" w:type="dxa"/>
            <w:vAlign w:val="bottom"/>
            <w:gridSpan w:val="5"/>
          </w:tcPr>
          <w:p>
            <w:pPr>
              <w:ind w:left="20"/>
              <w:spacing w:after="0"/>
              <w:rPr>
                <w:sz w:val="20"/>
                <w:szCs w:val="20"/>
                <w:color w:val="auto"/>
              </w:rPr>
            </w:pPr>
            <w:r>
              <w:rPr>
                <w:rFonts w:ascii="Arial" w:cs="Arial" w:eastAsia="Arial" w:hAnsi="Arial"/>
                <w:sz w:val="14"/>
                <w:szCs w:val="14"/>
                <w:b w:val="1"/>
                <w:bCs w:val="1"/>
                <w:i w:val="1"/>
                <w:iCs w:val="1"/>
                <w:color w:val="auto"/>
              </w:rPr>
              <w:t>Proved reserves, MBOE</w:t>
            </w:r>
          </w:p>
        </w:tc>
        <w:tc>
          <w:tcPr>
            <w:tcW w:w="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MBOE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99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June 30, 2018</w:t>
            </w:r>
          </w:p>
        </w:tc>
        <w:tc>
          <w:tcPr>
            <w:tcW w:w="148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9,368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9840" w:type="dxa"/>
            <w:vAlign w:val="bottom"/>
            <w:gridSpan w:val="4"/>
          </w:tcPr>
          <w:p>
            <w:pPr>
              <w:ind w:left="80"/>
              <w:spacing w:after="0"/>
              <w:rPr>
                <w:sz w:val="20"/>
                <w:szCs w:val="20"/>
                <w:color w:val="auto"/>
              </w:rPr>
            </w:pPr>
            <w:r>
              <w:rPr>
                <w:rFonts w:ascii="Arial" w:cs="Arial" w:eastAsia="Arial" w:hAnsi="Arial"/>
                <w:sz w:val="14"/>
                <w:szCs w:val="14"/>
                <w:color w:val="auto"/>
              </w:rPr>
              <w:t>Production</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4"/>
                <w:szCs w:val="14"/>
                <w:color w:val="auto"/>
              </w:rPr>
              <w:t>Revisions</w:t>
            </w:r>
          </w:p>
        </w:tc>
        <w:tc>
          <w:tcPr>
            <w:tcW w:w="148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352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9840" w:type="dxa"/>
            <w:vAlign w:val="bottom"/>
            <w:gridSpan w:val="4"/>
          </w:tcPr>
          <w:p>
            <w:pPr>
              <w:ind w:left="80"/>
              <w:spacing w:after="0"/>
              <w:rPr>
                <w:sz w:val="20"/>
                <w:szCs w:val="20"/>
                <w:color w:val="auto"/>
              </w:rPr>
            </w:pPr>
            <w:r>
              <w:rPr>
                <w:rFonts w:ascii="Arial" w:cs="Arial" w:eastAsia="Arial" w:hAnsi="Arial"/>
                <w:sz w:val="14"/>
                <w:szCs w:val="14"/>
                <w:color w:val="auto"/>
              </w:rPr>
              <w:t>Sales of minerals in place</w:t>
            </w:r>
          </w:p>
        </w:tc>
        <w:tc>
          <w:tcPr>
            <w:tcW w:w="40" w:type="dxa"/>
            <w:vAlign w:val="bottom"/>
          </w:tcPr>
          <w:p>
            <w:pPr>
              <w:spacing w:after="0"/>
              <w:rPr>
                <w:sz w:val="16"/>
                <w:szCs w:val="16"/>
                <w:color w:val="auto"/>
              </w:rPr>
            </w:pPr>
          </w:p>
        </w:tc>
        <w:tc>
          <w:tcPr>
            <w:tcW w:w="144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4"/>
                <w:szCs w:val="14"/>
                <w:color w:val="auto"/>
              </w:rPr>
              <w:t>Improved recovery, extensions and discoveries</w:t>
            </w:r>
          </w:p>
        </w:tc>
        <w:tc>
          <w:tcPr>
            <w:tcW w:w="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900" w:type="dxa"/>
            <w:vAlign w:val="bottom"/>
            <w:gridSpan w:val="5"/>
          </w:tcPr>
          <w:p>
            <w:pPr>
              <w:ind w:left="20"/>
              <w:spacing w:after="0"/>
              <w:rPr>
                <w:sz w:val="20"/>
                <w:szCs w:val="20"/>
                <w:color w:val="auto"/>
              </w:rPr>
            </w:pPr>
            <w:r>
              <w:rPr>
                <w:rFonts w:ascii="Arial" w:cs="Arial" w:eastAsia="Arial" w:hAnsi="Arial"/>
                <w:sz w:val="14"/>
                <w:szCs w:val="14"/>
                <w:b w:val="1"/>
                <w:bCs w:val="1"/>
                <w:color w:val="auto"/>
              </w:rPr>
              <w:t>June 30, 2019</w:t>
            </w:r>
          </w:p>
        </w:tc>
        <w:tc>
          <w:tcPr>
            <w:tcW w:w="1480" w:type="dxa"/>
            <w:vAlign w:val="bottom"/>
            <w:tcBorders>
              <w:top w:val="single" w:sz="8" w:color="auto"/>
              <w:bottom w:val="single" w:sz="8" w:color="auto"/>
            </w:tcBorders>
            <w:gridSpan w:val="2"/>
          </w:tcPr>
          <w:p>
            <w:pPr>
              <w:jc w:val="right"/>
              <w:ind w:right="33"/>
              <w:spacing w:after="0"/>
              <w:rPr>
                <w:sz w:val="20"/>
                <w:szCs w:val="20"/>
                <w:color w:val="auto"/>
              </w:rPr>
            </w:pPr>
            <w:r>
              <w:rPr>
                <w:rFonts w:ascii="Arial" w:cs="Arial" w:eastAsia="Arial" w:hAnsi="Arial"/>
                <w:sz w:val="14"/>
                <w:szCs w:val="14"/>
                <w:color w:val="auto"/>
              </w:rPr>
              <w:t>8,981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900" w:type="dxa"/>
            <w:vAlign w:val="bottom"/>
            <w:gridSpan w:val="5"/>
            <w:vMerge w:val="restart"/>
          </w:tcPr>
          <w:p>
            <w:pPr>
              <w:spacing w:after="0"/>
              <w:rPr>
                <w:sz w:val="20"/>
                <w:szCs w:val="20"/>
                <w:color w:val="auto"/>
              </w:rPr>
            </w:pPr>
            <w:r>
              <w:rPr>
                <w:rFonts w:ascii="Arial" w:cs="Arial" w:eastAsia="Arial" w:hAnsi="Arial"/>
                <w:sz w:val="14"/>
                <w:szCs w:val="14"/>
                <w:b w:val="1"/>
                <w:bCs w:val="1"/>
                <w:i w:val="1"/>
                <w:iCs w:val="1"/>
                <w:color w:val="auto"/>
              </w:rPr>
              <w:t>Reconciliation of Changes in Probable Reserves by Major Property</w:t>
            </w: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900" w:type="dxa"/>
            <w:vAlign w:val="bottom"/>
            <w:gridSpan w:val="5"/>
            <w:vMerge w:val="continue"/>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Borders>
              <w:top w:val="single" w:sz="8" w:color="auto"/>
            </w:tcBorders>
          </w:tcPr>
          <w:p>
            <w:pPr>
              <w:spacing w:after="0"/>
              <w:rPr>
                <w:sz w:val="21"/>
                <w:szCs w:val="21"/>
                <w:color w:val="auto"/>
              </w:rPr>
            </w:pPr>
          </w:p>
        </w:tc>
        <w:tc>
          <w:tcPr>
            <w:tcW w:w="38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1"/>
                <w:szCs w:val="11"/>
                <w:b w:val="1"/>
                <w:bCs w:val="1"/>
                <w:color w:val="auto"/>
                <w:w w:val="96"/>
              </w:rPr>
              <w:t>Delhi Field Probable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900" w:type="dxa"/>
            <w:vAlign w:val="bottom"/>
            <w:gridSpan w:val="5"/>
          </w:tcPr>
          <w:p>
            <w:pPr>
              <w:ind w:left="20"/>
              <w:spacing w:after="0"/>
              <w:rPr>
                <w:sz w:val="20"/>
                <w:szCs w:val="20"/>
                <w:color w:val="auto"/>
              </w:rPr>
            </w:pPr>
            <w:r>
              <w:rPr>
                <w:rFonts w:ascii="Arial" w:cs="Arial" w:eastAsia="Arial" w:hAnsi="Arial"/>
                <w:sz w:val="14"/>
                <w:szCs w:val="14"/>
                <w:b w:val="1"/>
                <w:bCs w:val="1"/>
                <w:i w:val="1"/>
                <w:iCs w:val="1"/>
                <w:color w:val="auto"/>
              </w:rPr>
              <w:t>Probable reserves, MBOE</w:t>
            </w:r>
          </w:p>
        </w:tc>
        <w:tc>
          <w:tcPr>
            <w:tcW w:w="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MBOE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99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June 30, 2018</w:t>
            </w:r>
          </w:p>
        </w:tc>
        <w:tc>
          <w:tcPr>
            <w:tcW w:w="148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4,493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9840" w:type="dxa"/>
            <w:vAlign w:val="bottom"/>
            <w:gridSpan w:val="4"/>
          </w:tcPr>
          <w:p>
            <w:pPr>
              <w:ind w:left="80"/>
              <w:spacing w:after="0"/>
              <w:rPr>
                <w:sz w:val="20"/>
                <w:szCs w:val="20"/>
                <w:color w:val="auto"/>
              </w:rPr>
            </w:pPr>
            <w:r>
              <w:rPr>
                <w:rFonts w:ascii="Arial" w:cs="Arial" w:eastAsia="Arial" w:hAnsi="Arial"/>
                <w:sz w:val="14"/>
                <w:szCs w:val="14"/>
                <w:color w:val="auto"/>
              </w:rPr>
              <w:t>Revisions</w:t>
            </w:r>
          </w:p>
        </w:tc>
        <w:tc>
          <w:tcPr>
            <w:tcW w:w="1480" w:type="dxa"/>
            <w:vAlign w:val="bottom"/>
            <w:gridSpan w:val="2"/>
          </w:tcPr>
          <w:p>
            <w:pPr>
              <w:jc w:val="right"/>
              <w:ind w:right="33"/>
              <w:spacing w:after="0"/>
              <w:rPr>
                <w:sz w:val="20"/>
                <w:szCs w:val="20"/>
                <w:color w:val="auto"/>
              </w:rPr>
            </w:pPr>
            <w:r>
              <w:rPr>
                <w:rFonts w:ascii="Arial" w:cs="Arial" w:eastAsia="Arial" w:hAnsi="Arial"/>
                <w:sz w:val="14"/>
                <w:szCs w:val="14"/>
                <w:color w:val="auto"/>
              </w:rPr>
              <w:t>290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4"/>
                <w:szCs w:val="14"/>
                <w:color w:val="auto"/>
              </w:rPr>
              <w:t>Sales of minerals in place</w:t>
            </w:r>
          </w:p>
        </w:tc>
        <w:tc>
          <w:tcPr>
            <w:tcW w:w="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9840" w:type="dxa"/>
            <w:vAlign w:val="bottom"/>
            <w:gridSpan w:val="4"/>
          </w:tcPr>
          <w:p>
            <w:pPr>
              <w:ind w:left="80"/>
              <w:spacing w:after="0"/>
              <w:rPr>
                <w:sz w:val="20"/>
                <w:szCs w:val="20"/>
                <w:color w:val="auto"/>
              </w:rPr>
            </w:pPr>
            <w:r>
              <w:rPr>
                <w:rFonts w:ascii="Arial" w:cs="Arial" w:eastAsia="Arial" w:hAnsi="Arial"/>
                <w:sz w:val="14"/>
                <w:szCs w:val="14"/>
                <w:color w:val="auto"/>
              </w:rPr>
              <w:t>Improved recovery, extensions and discoveries</w:t>
            </w:r>
          </w:p>
        </w:tc>
        <w:tc>
          <w:tcPr>
            <w:tcW w:w="40" w:type="dxa"/>
            <w:vAlign w:val="bottom"/>
          </w:tcPr>
          <w:p>
            <w:pPr>
              <w:spacing w:after="0"/>
              <w:rPr>
                <w:sz w:val="16"/>
                <w:szCs w:val="16"/>
                <w:color w:val="auto"/>
              </w:rPr>
            </w:pPr>
          </w:p>
        </w:tc>
        <w:tc>
          <w:tcPr>
            <w:tcW w:w="144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9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June 30, 2019</w:t>
            </w:r>
          </w:p>
        </w:tc>
        <w:tc>
          <w:tcPr>
            <w:tcW w:w="1480" w:type="dxa"/>
            <w:vAlign w:val="bottom"/>
            <w:tcBorders>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4,783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900" w:type="dxa"/>
            <w:vAlign w:val="bottom"/>
            <w:gridSpan w:val="5"/>
            <w:vMerge w:val="restart"/>
          </w:tcPr>
          <w:p>
            <w:pPr>
              <w:spacing w:after="0"/>
              <w:rPr>
                <w:sz w:val="20"/>
                <w:szCs w:val="20"/>
                <w:color w:val="auto"/>
              </w:rPr>
            </w:pPr>
            <w:r>
              <w:rPr>
                <w:rFonts w:ascii="Arial" w:cs="Arial" w:eastAsia="Arial" w:hAnsi="Arial"/>
                <w:sz w:val="14"/>
                <w:szCs w:val="14"/>
                <w:b w:val="1"/>
                <w:bCs w:val="1"/>
                <w:i w:val="1"/>
                <w:iCs w:val="1"/>
                <w:color w:val="auto"/>
              </w:rPr>
              <w:t>Reconciliation of Changes in Possible Reserves by Major Property</w:t>
            </w: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9900" w:type="dxa"/>
            <w:vAlign w:val="bottom"/>
            <w:gridSpan w:val="5"/>
            <w:vMerge w:val="continue"/>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Borders>
              <w:top w:val="single" w:sz="8" w:color="auto"/>
            </w:tcBorders>
          </w:tcPr>
          <w:p>
            <w:pPr>
              <w:spacing w:after="0"/>
              <w:rPr>
                <w:sz w:val="21"/>
                <w:szCs w:val="21"/>
                <w:color w:val="auto"/>
              </w:rPr>
            </w:pPr>
          </w:p>
        </w:tc>
        <w:tc>
          <w:tcPr>
            <w:tcW w:w="38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1"/>
                <w:szCs w:val="11"/>
                <w:b w:val="1"/>
                <w:bCs w:val="1"/>
                <w:color w:val="auto"/>
                <w:w w:val="92"/>
              </w:rPr>
              <w:t>Delhi Field Possible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8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44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Total</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9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Possible reserves, MBOE</w:t>
            </w:r>
          </w:p>
        </w:tc>
        <w:tc>
          <w:tcPr>
            <w:tcW w:w="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MBOE</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984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 2018</w:t>
            </w:r>
          </w:p>
        </w:tc>
        <w:tc>
          <w:tcPr>
            <w:tcW w:w="40" w:type="dxa"/>
            <w:vAlign w:val="bottom"/>
          </w:tcPr>
          <w:p>
            <w:pPr>
              <w:spacing w:after="0"/>
              <w:rPr>
                <w:sz w:val="15"/>
                <w:szCs w:val="15"/>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4,570</w:t>
            </w:r>
          </w:p>
        </w:tc>
        <w:tc>
          <w:tcPr>
            <w:tcW w:w="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84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Revisions</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9840" w:type="dxa"/>
            <w:vAlign w:val="bottom"/>
            <w:gridSpan w:val="4"/>
          </w:tcPr>
          <w:p>
            <w:pPr>
              <w:ind w:left="120"/>
              <w:spacing w:after="0"/>
              <w:rPr>
                <w:sz w:val="20"/>
                <w:szCs w:val="20"/>
                <w:color w:val="auto"/>
              </w:rPr>
            </w:pPr>
            <w:r>
              <w:rPr>
                <w:rFonts w:ascii="Arial" w:cs="Arial" w:eastAsia="Arial" w:hAnsi="Arial"/>
                <w:sz w:val="14"/>
                <w:szCs w:val="14"/>
                <w:color w:val="auto"/>
              </w:rPr>
              <w:t>Sales of minerals in place</w:t>
            </w:r>
          </w:p>
        </w:tc>
        <w:tc>
          <w:tcPr>
            <w:tcW w:w="40" w:type="dxa"/>
            <w:vAlign w:val="bottom"/>
          </w:tcPr>
          <w:p>
            <w:pPr>
              <w:spacing w:after="0"/>
              <w:rPr>
                <w:sz w:val="16"/>
                <w:szCs w:val="16"/>
                <w:color w:val="auto"/>
              </w:rPr>
            </w:pPr>
          </w:p>
        </w:tc>
        <w:tc>
          <w:tcPr>
            <w:tcW w:w="14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984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Improved recovery, extensions, and discoveries</w:t>
            </w:r>
          </w:p>
        </w:tc>
        <w:tc>
          <w:tcPr>
            <w:tcW w:w="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984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 2019</w:t>
            </w:r>
          </w:p>
        </w:tc>
        <w:tc>
          <w:tcPr>
            <w:tcW w:w="4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4,321</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900" w:type="dxa"/>
            <w:vAlign w:val="bottom"/>
            <w:gridSpan w:val="5"/>
            <w:vMerge w:val="restart"/>
          </w:tcPr>
          <w:p>
            <w:pPr>
              <w:spacing w:after="0"/>
              <w:rPr>
                <w:sz w:val="20"/>
                <w:szCs w:val="20"/>
                <w:color w:val="auto"/>
              </w:rPr>
            </w:pPr>
            <w:r>
              <w:rPr>
                <w:rFonts w:ascii="Arial" w:cs="Arial" w:eastAsia="Arial" w:hAnsi="Arial"/>
                <w:sz w:val="14"/>
                <w:szCs w:val="14"/>
                <w:b w:val="1"/>
                <w:bCs w:val="1"/>
                <w:i w:val="1"/>
                <w:iCs w:val="1"/>
                <w:color w:val="auto"/>
              </w:rPr>
              <w:t>Reconciliation of PV-10 to the Standardized Measure of Discounted Future Net Cash Flows</w:t>
            </w:r>
          </w:p>
        </w:tc>
        <w:tc>
          <w:tcPr>
            <w:tcW w:w="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90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120" w:firstLine="323"/>
        <w:spacing w:after="0" w:line="288" w:lineRule="auto"/>
        <w:rPr>
          <w:sz w:val="20"/>
          <w:szCs w:val="20"/>
          <w:color w:val="auto"/>
        </w:rPr>
      </w:pPr>
      <w:r>
        <w:rPr>
          <w:rFonts w:ascii="Arial" w:cs="Arial" w:eastAsia="Arial" w:hAnsi="Arial"/>
          <w:sz w:val="14"/>
          <w:szCs w:val="14"/>
          <w:color w:val="auto"/>
        </w:rPr>
        <w:t>The following table provides a reconciliation of PV-10 (Non-GAAP) of our proved properties to the Standardized Measure (GAAP) as shown in Note 20 – Supplemental Disclosures about Oil and Natural Gas Producing Properties (Unaudited) of the consolidated financial statements.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1"/>
                <w:szCs w:val="11"/>
                <w:b w:val="1"/>
                <w:bCs w:val="1"/>
                <w:color w:val="auto"/>
              </w:rPr>
              <w:t>As of June 30,</w:t>
            </w:r>
          </w:p>
        </w:tc>
        <w:tc>
          <w:tcPr>
            <w:tcW w:w="940" w:type="dxa"/>
            <w:vAlign w:val="bottom"/>
            <w:tcBorders>
              <w:bottom w:val="single" w:sz="8" w:color="auto"/>
            </w:tcBorders>
          </w:tcPr>
          <w:p>
            <w:pPr>
              <w:spacing w:after="0"/>
              <w:rPr>
                <w:sz w:val="13"/>
                <w:szCs w:val="13"/>
                <w:color w:val="auto"/>
              </w:rPr>
            </w:pPr>
          </w:p>
        </w:tc>
      </w:tr>
      <w:tr>
        <w:trPr>
          <w:trHeight w:val="206"/>
        </w:trPr>
        <w:tc>
          <w:tcPr>
            <w:tcW w:w="86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2018</w:t>
            </w:r>
          </w:p>
        </w:tc>
      </w:tr>
      <w:tr>
        <w:trPr>
          <w:trHeight w:val="191"/>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future net revenues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297,102,269</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270,842,377</w:t>
            </w: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10% annual discount for estimated timing of future cash flows</w:t>
            </w:r>
          </w:p>
        </w:tc>
        <w:tc>
          <w:tcPr>
            <w:tcW w:w="320" w:type="dxa"/>
            <w:vAlign w:val="bottom"/>
          </w:tcPr>
          <w:p>
            <w:pPr>
              <w:spacing w:after="0"/>
              <w:rPr>
                <w:sz w:val="16"/>
                <w:szCs w:val="16"/>
                <w:color w:val="auto"/>
              </w:rPr>
            </w:pPr>
          </w:p>
        </w:tc>
        <w:tc>
          <w:tcPr>
            <w:tcW w:w="1080" w:type="dxa"/>
            <w:vAlign w:val="bottom"/>
          </w:tcPr>
          <w:p>
            <w:pPr>
              <w:jc w:val="right"/>
              <w:ind w:right="52"/>
              <w:spacing w:after="0"/>
              <w:rPr>
                <w:sz w:val="20"/>
                <w:szCs w:val="20"/>
                <w:color w:val="auto"/>
              </w:rPr>
            </w:pPr>
            <w:r>
              <w:rPr>
                <w:rFonts w:ascii="Arial" w:cs="Arial" w:eastAsia="Arial" w:hAnsi="Arial"/>
                <w:sz w:val="14"/>
                <w:szCs w:val="14"/>
                <w:color w:val="auto"/>
              </w:rPr>
              <w:t>140,489,586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124,798,505</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Estimated future net revenues discounted at 10% (PV-10)</w:t>
            </w: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156,612,683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146,043,872</w:t>
            </w: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Estimated future income tax expenses discounted at 10%</w:t>
            </w:r>
          </w:p>
        </w:tc>
        <w:tc>
          <w:tcPr>
            <w:tcW w:w="320" w:type="dxa"/>
            <w:vAlign w:val="bottom"/>
          </w:tcPr>
          <w:p>
            <w:pPr>
              <w:spacing w:after="0"/>
              <w:rPr>
                <w:sz w:val="16"/>
                <w:szCs w:val="16"/>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(29,880,641)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(27,085,458)</w:t>
            </w:r>
          </w:p>
        </w:tc>
      </w:tr>
      <w:tr>
        <w:trPr>
          <w:trHeight w:val="23"/>
        </w:trPr>
        <w:tc>
          <w:tcPr>
            <w:tcW w:w="8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0"/>
        </w:trPr>
        <w:tc>
          <w:tcPr>
            <w:tcW w:w="8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Standardized Measure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126,732,042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118,958,414</w:t>
            </w:r>
          </w:p>
        </w:tc>
      </w:tr>
      <w:tr>
        <w:trPr>
          <w:trHeight w:val="20"/>
        </w:trPr>
        <w:tc>
          <w:tcPr>
            <w:tcW w:w="8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primary proved producing assets as of June 30, 2019 and 2018 were our interests in the Delhi field.</w:t>
      </w:r>
    </w:p>
    <w:p>
      <w:pPr>
        <w:spacing w:after="0" w:line="205"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129" w:right="21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 Controls Over Reserves Estimation Process and Qualifications of Technical Persons with Oversight for the Company's Overall Reserve Estimation Process</w:t>
      </w:r>
    </w:p>
    <w:p>
      <w:pPr>
        <w:spacing w:after="0" w:line="231" w:lineRule="exact"/>
        <w:rPr>
          <w:sz w:val="20"/>
          <w:szCs w:val="20"/>
          <w:color w:val="auto"/>
        </w:rPr>
      </w:pPr>
    </w:p>
    <w:p>
      <w:pPr>
        <w:ind w:right="180" w:firstLine="345"/>
        <w:spacing w:after="0" w:line="272" w:lineRule="auto"/>
        <w:rPr>
          <w:sz w:val="20"/>
          <w:szCs w:val="20"/>
          <w:color w:val="auto"/>
        </w:rPr>
      </w:pPr>
      <w:r>
        <w:rPr>
          <w:rFonts w:ascii="Arial" w:cs="Arial" w:eastAsia="Arial" w:hAnsi="Arial"/>
          <w:sz w:val="14"/>
          <w:szCs w:val="14"/>
          <w:color w:val="auto"/>
        </w:rPr>
        <w:t>Our policies regarding internal controls over reserves estimates require such estimates to be prepared by an independent petroleum engineering firm under the supervision of our Chairman of the Board and interim Chief Executive Officer and Senior Vice President of Engineering and Business Development, a professional petroleum engineer. Such reserves estimates are to be in compliance with generally accepted petroleum engineering and evaluation principles and definitions and guidelines established by the SEC.</w:t>
      </w:r>
    </w:p>
    <w:p>
      <w:pPr>
        <w:spacing w:after="0" w:line="185" w:lineRule="exact"/>
        <w:rPr>
          <w:sz w:val="20"/>
          <w:szCs w:val="20"/>
          <w:color w:val="auto"/>
        </w:rPr>
      </w:pPr>
    </w:p>
    <w:p>
      <w:pPr>
        <w:ind w:right="200" w:firstLine="345"/>
        <w:spacing w:after="0" w:line="294" w:lineRule="auto"/>
        <w:rPr>
          <w:sz w:val="20"/>
          <w:szCs w:val="20"/>
          <w:color w:val="auto"/>
        </w:rPr>
      </w:pPr>
      <w:r>
        <w:rPr>
          <w:rFonts w:ascii="Arial" w:cs="Arial" w:eastAsia="Arial" w:hAnsi="Arial"/>
          <w:sz w:val="13"/>
          <w:szCs w:val="13"/>
          <w:color w:val="auto"/>
        </w:rPr>
        <w:t>The reserves information in this filing is based on estimates prepared by DeGolyer and MacNaughton, our independent petroleum engineering firm, which was formed in 1936, employs over 180 petroleum engineers, geologists and other technical personnel, and operates domestically and around the world. The person responsible for preparing the reserves report with D&amp;M is a Registered Professional Engineer in the State of Texas and a Senior Vice President of the firm. He received a Bachelor of Science degree in petroleum engineering from the University of Texas in 1984, has over 35 years of experience in the energy industry and is a member of the Society of Petroleum Engineers and the Society of Petroleum Evaluation Engineers.</w:t>
      </w:r>
    </w:p>
    <w:p>
      <w:pPr>
        <w:spacing w:after="0" w:line="173" w:lineRule="exact"/>
        <w:rPr>
          <w:sz w:val="20"/>
          <w:szCs w:val="20"/>
          <w:color w:val="auto"/>
        </w:rPr>
      </w:pPr>
    </w:p>
    <w:p>
      <w:pPr>
        <w:ind w:right="40" w:firstLine="345"/>
        <w:spacing w:after="0" w:line="287" w:lineRule="auto"/>
        <w:rPr>
          <w:sz w:val="20"/>
          <w:szCs w:val="20"/>
          <w:color w:val="auto"/>
        </w:rPr>
      </w:pPr>
      <w:r>
        <w:rPr>
          <w:rFonts w:ascii="Arial" w:cs="Arial" w:eastAsia="Arial" w:hAnsi="Arial"/>
          <w:sz w:val="13"/>
          <w:szCs w:val="13"/>
          <w:color w:val="auto"/>
        </w:rPr>
        <w:t>Our Chairman of the Board and interim Chief Executive Officer holds B.S. and M.E. degrees from Rice University in chemical engineering and earned an M.B.A. from Harvard University. He has over 30 years of experience in engineering, energy transactions, operations and finance with small independents, larger independents and major integrated oil companies. Our Senior Vice President of Engineering and Business Development received a Bachelor of Science degree in petroleum engineering from the University of Oklahoma in 1979 and has over 39 years of experience in the energy industry with upstream oil and gas companies. On July 10, 2019, Jason Brown was appointed President and Chief Executive Officer of the Company and Mr. Herlin remained as Chairman of the Board of Directors. Mr. Brown has over 20 years of experience in the energy industry and is a Registered Professional Engineer (Petroleum) in the State of Texas. He earned his B.S. degree in chemical engineering from the University of Tulsa and his M.B.A. from the Mendoza School of Business at the University of Notre Dame.</w:t>
      </w:r>
    </w:p>
    <w:p>
      <w:pPr>
        <w:spacing w:after="0" w:line="177" w:lineRule="exact"/>
        <w:rPr>
          <w:sz w:val="20"/>
          <w:szCs w:val="20"/>
          <w:color w:val="auto"/>
        </w:rPr>
      </w:pPr>
    </w:p>
    <w:p>
      <w:pPr>
        <w:ind w:right="40" w:firstLine="345"/>
        <w:spacing w:after="0" w:line="267" w:lineRule="auto"/>
        <w:rPr>
          <w:sz w:val="20"/>
          <w:szCs w:val="20"/>
          <w:color w:val="auto"/>
        </w:rPr>
      </w:pPr>
      <w:r>
        <w:rPr>
          <w:rFonts w:ascii="Arial" w:cs="Arial" w:eastAsia="Arial" w:hAnsi="Arial"/>
          <w:sz w:val="14"/>
          <w:szCs w:val="14"/>
          <w:color w:val="auto"/>
        </w:rPr>
        <w:t>We provide our independent petroleum engineering firm with our property interests, production, current operating costs, current production prices and other information. This information is reviewed by our Senior Vice President of Engineering and Business Development and other members of management to ensure accuracy and completeness of the data prior to submission to this firm. The scope and results of our independent petroleum engineering firm's procedures, as well as their professional qualifications, are summarized in the letter included as exhibit 99.1 to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Proved Undeveloped Reserves</w:t>
      </w:r>
    </w:p>
    <w:p>
      <w:pPr>
        <w:spacing w:after="0" w:line="231" w:lineRule="exact"/>
        <w:rPr>
          <w:sz w:val="20"/>
          <w:szCs w:val="20"/>
          <w:color w:val="auto"/>
        </w:rPr>
      </w:pPr>
    </w:p>
    <w:p>
      <w:pPr>
        <w:ind w:right="600" w:firstLine="345"/>
        <w:spacing w:after="0" w:line="288" w:lineRule="auto"/>
        <w:rPr>
          <w:sz w:val="20"/>
          <w:szCs w:val="20"/>
          <w:color w:val="auto"/>
        </w:rPr>
      </w:pPr>
      <w:r>
        <w:rPr>
          <w:rFonts w:ascii="Arial" w:cs="Arial" w:eastAsia="Arial" w:hAnsi="Arial"/>
          <w:sz w:val="14"/>
          <w:szCs w:val="14"/>
          <w:color w:val="auto"/>
        </w:rPr>
        <w:t>Our Proved undeveloped reserves were 1,583 MBOE at June 30, 2019, with associated future development costs of approximately $8.6 million, which are associated with the Phase V development in the eastern portion of Delhi field.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During the year ended June 30, 2019 our proved undeveloped reserves changed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left="403"/>
              <w:spacing w:after="0"/>
              <w:rPr>
                <w:sz w:val="20"/>
                <w:szCs w:val="20"/>
                <w:color w:val="auto"/>
              </w:rPr>
            </w:pPr>
            <w:r>
              <w:rPr>
                <w:rFonts w:ascii="Arial" w:cs="Arial" w:eastAsia="Arial" w:hAnsi="Arial"/>
                <w:sz w:val="11"/>
                <w:szCs w:val="11"/>
                <w:b w:val="1"/>
                <w:bCs w:val="1"/>
                <w:color w:val="auto"/>
              </w:rPr>
              <w:t>Oil</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2"/>
          </w:tcPr>
          <w:p>
            <w:pPr>
              <w:ind w:left="540"/>
              <w:spacing w:after="0"/>
              <w:rPr>
                <w:sz w:val="20"/>
                <w:szCs w:val="20"/>
                <w:color w:val="auto"/>
              </w:rPr>
            </w:pPr>
            <w:r>
              <w:rPr>
                <w:rFonts w:ascii="Arial" w:cs="Arial" w:eastAsia="Arial" w:hAnsi="Arial"/>
                <w:sz w:val="11"/>
                <w:szCs w:val="11"/>
                <w:b w:val="1"/>
                <w:bCs w:val="1"/>
                <w:color w:val="auto"/>
              </w:rPr>
              <w:t>NGLs</w:t>
            </w:r>
          </w:p>
        </w:tc>
        <w:tc>
          <w:tcPr>
            <w:tcW w:w="1360" w:type="dxa"/>
            <w:vAlign w:val="bottom"/>
          </w:tcPr>
          <w:p>
            <w:pPr>
              <w:jc w:val="right"/>
              <w:ind w:right="253"/>
              <w:spacing w:after="0"/>
              <w:rPr>
                <w:sz w:val="20"/>
                <w:szCs w:val="20"/>
                <w:color w:val="auto"/>
              </w:rPr>
            </w:pPr>
            <w:r>
              <w:rPr>
                <w:rFonts w:ascii="Arial" w:cs="Arial" w:eastAsia="Arial" w:hAnsi="Arial"/>
                <w:sz w:val="11"/>
                <w:szCs w:val="11"/>
                <w:b w:val="1"/>
                <w:bCs w:val="1"/>
                <w:color w:val="auto"/>
              </w:rPr>
              <w:t>Total Reserves</w:t>
            </w:r>
          </w:p>
        </w:tc>
      </w:tr>
      <w:tr>
        <w:trPr>
          <w:trHeight w:val="153"/>
        </w:trPr>
        <w:tc>
          <w:tcPr>
            <w:tcW w:w="66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center"/>
              <w:ind w:left="403"/>
              <w:spacing w:after="0"/>
              <w:rPr>
                <w:sz w:val="20"/>
                <w:szCs w:val="20"/>
                <w:color w:val="auto"/>
              </w:rPr>
            </w:pPr>
            <w:r>
              <w:rPr>
                <w:rFonts w:ascii="Arial" w:cs="Arial" w:eastAsia="Arial" w:hAnsi="Arial"/>
                <w:sz w:val="11"/>
                <w:szCs w:val="11"/>
                <w:b w:val="1"/>
                <w:bCs w:val="1"/>
                <w:color w:val="auto"/>
                <w:w w:val="99"/>
              </w:rPr>
              <w:t>(MBbls)</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(MBbls)</w:t>
            </w:r>
          </w:p>
        </w:tc>
        <w:tc>
          <w:tcPr>
            <w:tcW w:w="4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(MBOE)</w:t>
            </w:r>
          </w:p>
        </w:tc>
      </w:tr>
      <w:tr>
        <w:trPr>
          <w:trHeight w:val="191"/>
        </w:trPr>
        <w:tc>
          <w:tcPr>
            <w:tcW w:w="7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June 30, 2018</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1,798</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284</w:t>
            </w:r>
          </w:p>
        </w:tc>
        <w:tc>
          <w:tcPr>
            <w:tcW w:w="4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2,082</w:t>
            </w:r>
          </w:p>
        </w:tc>
      </w:tr>
      <w:tr>
        <w:trPr>
          <w:trHeight w:val="193"/>
        </w:trPr>
        <w:tc>
          <w:tcPr>
            <w:tcW w:w="7680" w:type="dxa"/>
            <w:vAlign w:val="bottom"/>
            <w:gridSpan w:val="3"/>
          </w:tcPr>
          <w:p>
            <w:pPr>
              <w:ind w:left="20"/>
              <w:spacing w:after="0"/>
              <w:rPr>
                <w:sz w:val="20"/>
                <w:szCs w:val="20"/>
                <w:color w:val="auto"/>
              </w:rPr>
            </w:pPr>
            <w:r>
              <w:rPr>
                <w:rFonts w:ascii="Arial" w:cs="Arial" w:eastAsia="Arial" w:hAnsi="Arial"/>
                <w:sz w:val="14"/>
                <w:szCs w:val="14"/>
                <w:color w:val="auto"/>
              </w:rPr>
              <w:t>Revisions to previous estimates</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380" w:type="dxa"/>
            <w:vAlign w:val="bottom"/>
          </w:tcPr>
          <w:p>
            <w:pPr>
              <w:jc w:val="right"/>
              <w:ind w:right="53"/>
              <w:spacing w:after="0"/>
              <w:rPr>
                <w:sz w:val="20"/>
                <w:szCs w:val="20"/>
                <w:color w:val="auto"/>
              </w:rPr>
            </w:pPr>
            <w:r>
              <w:rPr>
                <w:rFonts w:ascii="Arial" w:cs="Arial" w:eastAsia="Arial" w:hAnsi="Arial"/>
                <w:sz w:val="14"/>
                <w:szCs w:val="14"/>
                <w:color w:val="auto"/>
              </w:rPr>
              <w:t>30</w:t>
            </w:r>
          </w:p>
        </w:tc>
        <w:tc>
          <w:tcPr>
            <w:tcW w:w="440" w:type="dxa"/>
            <w:vAlign w:val="bottom"/>
          </w:tcPr>
          <w:p>
            <w:pPr>
              <w:spacing w:after="0"/>
              <w:rPr>
                <w:sz w:val="16"/>
                <w:szCs w:val="16"/>
                <w:color w:val="auto"/>
              </w:rPr>
            </w:pPr>
          </w:p>
        </w:tc>
        <w:tc>
          <w:tcPr>
            <w:tcW w:w="1360" w:type="dxa"/>
            <w:vAlign w:val="bottom"/>
          </w:tcPr>
          <w:p>
            <w:pPr>
              <w:jc w:val="right"/>
              <w:ind w:right="33"/>
              <w:spacing w:after="0"/>
              <w:rPr>
                <w:sz w:val="20"/>
                <w:szCs w:val="20"/>
                <w:color w:val="auto"/>
              </w:rPr>
            </w:pPr>
            <w:r>
              <w:rPr>
                <w:rFonts w:ascii="Arial" w:cs="Arial" w:eastAsia="Arial" w:hAnsi="Arial"/>
                <w:sz w:val="14"/>
                <w:szCs w:val="14"/>
                <w:color w:val="auto"/>
              </w:rPr>
              <w:t>37</w:t>
            </w:r>
          </w:p>
        </w:tc>
      </w:tr>
      <w:tr>
        <w:trPr>
          <w:trHeight w:val="23"/>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Conversion to proved developed reserves</w:t>
            </w:r>
          </w:p>
        </w:tc>
        <w:tc>
          <w:tcPr>
            <w:tcW w:w="9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(73)</w:t>
            </w:r>
          </w:p>
        </w:tc>
        <w:tc>
          <w:tcPr>
            <w:tcW w:w="4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(536)</w:t>
            </w:r>
          </w:p>
        </w:tc>
      </w:tr>
      <w:tr>
        <w:trPr>
          <w:trHeight w:val="200"/>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2019</w:t>
            </w:r>
          </w:p>
        </w:tc>
        <w:tc>
          <w:tcPr>
            <w:tcW w:w="9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1,342</w:t>
            </w:r>
          </w:p>
        </w:tc>
        <w:tc>
          <w:tcPr>
            <w:tcW w:w="12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241</w:t>
            </w:r>
          </w:p>
        </w:tc>
        <w:tc>
          <w:tcPr>
            <w:tcW w:w="44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1,583</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20" w:firstLine="323"/>
        <w:spacing w:after="0" w:line="302" w:lineRule="auto"/>
        <w:rPr>
          <w:sz w:val="20"/>
          <w:szCs w:val="20"/>
          <w:color w:val="auto"/>
        </w:rPr>
      </w:pPr>
      <w:r>
        <w:rPr>
          <w:rFonts w:ascii="Arial" w:cs="Arial" w:eastAsia="Arial" w:hAnsi="Arial"/>
          <w:sz w:val="13"/>
          <w:szCs w:val="13"/>
          <w:color w:val="auto"/>
        </w:rPr>
        <w:t>Oil and NGL reserves were revised upward 7 MBbls and 29 MBOE, respectively, reflecting improved existing well and NGL plant performance over the last year. The infill program, consisting of ten producer wells and two CO</w:t>
      </w:r>
      <w:r>
        <w:rPr>
          <w:rFonts w:ascii="Arial" w:cs="Arial" w:eastAsia="Arial" w:hAnsi="Arial"/>
          <w:sz w:val="9"/>
          <w:szCs w:val="9"/>
          <w:color w:val="auto"/>
        </w:rPr>
        <w:t>2</w:t>
      </w:r>
      <w:r>
        <w:rPr>
          <w:rFonts w:ascii="Arial" w:cs="Arial" w:eastAsia="Arial" w:hAnsi="Arial"/>
          <w:sz w:val="13"/>
          <w:szCs w:val="13"/>
          <w:color w:val="auto"/>
        </w:rPr>
        <w:t xml:space="preserve"> injection wells, was completed during 2019 resulting in the conversion of 463 MBbls of oil and and 73 MBOE of NGLs from Proved undeveloped reserves to proved developed reserves. Since the project's inception in March 2018, our infill project net capital expenditures have totaled $4.6 million, of which $1.8 million was incurred during fiscal 2019.</w:t>
      </w:r>
    </w:p>
    <w:p>
      <w:pPr>
        <w:spacing w:after="0" w:line="168" w:lineRule="exact"/>
        <w:rPr>
          <w:sz w:val="20"/>
          <w:szCs w:val="20"/>
          <w:color w:val="auto"/>
        </w:rPr>
      </w:pPr>
    </w:p>
    <w:p>
      <w:pPr>
        <w:ind w:right="160" w:firstLine="323"/>
        <w:spacing w:after="0" w:line="272" w:lineRule="auto"/>
        <w:rPr>
          <w:sz w:val="20"/>
          <w:szCs w:val="20"/>
          <w:color w:val="auto"/>
        </w:rPr>
      </w:pPr>
      <w:r>
        <w:rPr>
          <w:rFonts w:ascii="Arial" w:cs="Arial" w:eastAsia="Arial" w:hAnsi="Arial"/>
          <w:sz w:val="14"/>
          <w:szCs w:val="14"/>
          <w:color w:val="auto"/>
        </w:rPr>
        <w:t>The initial assignment of proved undeveloped reserves in the Delhi field was made on June 30, 2010, which encompassed a large scale CO</w:t>
      </w:r>
      <w:r>
        <w:rPr>
          <w:rFonts w:ascii="Arial" w:cs="Arial" w:eastAsia="Arial" w:hAnsi="Arial"/>
          <w:sz w:val="10"/>
          <w:szCs w:val="10"/>
          <w:color w:val="auto"/>
        </w:rPr>
        <w:t>2</w:t>
      </w:r>
      <w:r>
        <w:rPr>
          <w:rFonts w:ascii="Arial" w:cs="Arial" w:eastAsia="Arial" w:hAnsi="Arial"/>
          <w:sz w:val="14"/>
          <w:szCs w:val="14"/>
          <w:color w:val="auto"/>
        </w:rPr>
        <w:t xml:space="preserve"> enhanced oil recovery project. The operator’s development plans for the field were to have remained essentially unchanged and were originally scheduled to be completed by June 30, 2015, within five years from the initial recording of such proved reserves. Developed reserves are approximately 82% of total Proved reserves as of June 30, 2019. However, as a result of the adverse fluid release event in the field in June 2013 and the resulting delay in reversion of our working interest, development of the field has not proceeded as originally scheduled. Expansion of the CO</w:t>
      </w:r>
      <w:r>
        <w:rPr>
          <w:rFonts w:ascii="Arial" w:cs="Arial" w:eastAsia="Arial" w:hAnsi="Arial"/>
          <w:sz w:val="10"/>
          <w:szCs w:val="10"/>
          <w:color w:val="auto"/>
        </w:rPr>
        <w:t>2</w:t>
      </w:r>
      <w:r>
        <w:rPr>
          <w:rFonts w:ascii="Arial" w:cs="Arial" w:eastAsia="Arial" w:hAnsi="Arial"/>
          <w:sz w:val="14"/>
          <w:szCs w:val="14"/>
          <w:color w:val="auto"/>
        </w:rPr>
        <w:t xml:space="preserve"> flood to the remaining undeveloped eastern portion of the field commenced subsequent to reversion of our working interest in late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129" w:right="21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right="80"/>
        <w:spacing w:after="0" w:line="272" w:lineRule="auto"/>
        <w:rPr>
          <w:sz w:val="20"/>
          <w:szCs w:val="20"/>
          <w:color w:val="auto"/>
        </w:rPr>
      </w:pPr>
      <w:r>
        <w:rPr>
          <w:rFonts w:ascii="Arial" w:cs="Arial" w:eastAsia="Arial" w:hAnsi="Arial"/>
          <w:sz w:val="14"/>
          <w:szCs w:val="14"/>
          <w:color w:val="auto"/>
        </w:rPr>
        <w:t>calendar 2014. We incurred $3.8 million of capital expenditures before the operator electively deferred this project as a result of a reduction in its cash flows and capital spending from the significant drop in oil prices. This project was further electively deferred as we began work on the NGL recovery plant field in February 2015. It was determined that the economics of development of the remaining eastern portion of the field would be significantly improved after the NGL plant was completed.</w:t>
      </w:r>
    </w:p>
    <w:p>
      <w:pPr>
        <w:spacing w:after="0" w:line="185" w:lineRule="exact"/>
        <w:rPr>
          <w:sz w:val="20"/>
          <w:szCs w:val="20"/>
          <w:color w:val="auto"/>
        </w:rPr>
      </w:pPr>
    </w:p>
    <w:p>
      <w:pPr>
        <w:ind w:right="360" w:firstLine="323"/>
        <w:spacing w:after="0" w:line="328" w:lineRule="auto"/>
        <w:rPr>
          <w:sz w:val="20"/>
          <w:szCs w:val="20"/>
          <w:color w:val="auto"/>
        </w:rPr>
      </w:pPr>
      <w:r>
        <w:rPr>
          <w:rFonts w:ascii="Arial" w:cs="Arial" w:eastAsia="Arial" w:hAnsi="Arial"/>
          <w:sz w:val="13"/>
          <w:szCs w:val="13"/>
          <w:color w:val="auto"/>
        </w:rPr>
        <w:t>During fiscal 2015, we authorized the NGL plant project and from late in that fiscal year until January 2017 when production of NGLs began, we incurred $26.0 million of related capital expenditures. The NGL plant was completed in December 2016 and we converted approximately 1,377 MBOE of proved undeveloped reserves to proved developed reserves during fiscal 2017.</w:t>
      </w:r>
    </w:p>
    <w:p>
      <w:pPr>
        <w:spacing w:after="0" w:line="152" w:lineRule="exact"/>
        <w:rPr>
          <w:sz w:val="20"/>
          <w:szCs w:val="20"/>
          <w:color w:val="auto"/>
        </w:rPr>
      </w:pPr>
    </w:p>
    <w:p>
      <w:pPr>
        <w:ind w:firstLine="323"/>
        <w:spacing w:after="0" w:line="264" w:lineRule="auto"/>
        <w:rPr>
          <w:sz w:val="20"/>
          <w:szCs w:val="20"/>
          <w:color w:val="auto"/>
        </w:rPr>
      </w:pPr>
      <w:r>
        <w:rPr>
          <w:rFonts w:ascii="Arial" w:cs="Arial" w:eastAsia="Arial" w:hAnsi="Arial"/>
          <w:sz w:val="14"/>
          <w:szCs w:val="14"/>
          <w:color w:val="auto"/>
        </w:rPr>
        <w:t>Since completion of the plant, we have resumed work that had been suspended in late 2014 and further deferred until the NGL recovery plant was complete. Cumulatively, we have spent $3.1 million as of June 30, 2019, including $1.6 million in fiscal 2019, on the six well water curtain program and related infrastructure required to precede the development of Phase V. As of June 30, 2019 we had drilled all the wells, including four gross wells during fiscal 2019, and commenced operations for one of the program's pads. The program was configured as two pads with each having two injector wells and one water source well. The second pad is expected to begin operations in the second fiscal quarter of 2020 and we expect to incur approximately $0.6 million net of capital expenditures to complete the program.</w:t>
      </w:r>
    </w:p>
    <w:p>
      <w:pPr>
        <w:spacing w:after="0" w:line="192" w:lineRule="exact"/>
        <w:rPr>
          <w:sz w:val="20"/>
          <w:szCs w:val="20"/>
          <w:color w:val="auto"/>
        </w:rPr>
      </w:pPr>
    </w:p>
    <w:p>
      <w:pPr>
        <w:jc w:val="both"/>
        <w:ind w:right="40" w:firstLine="323"/>
        <w:spacing w:after="0" w:line="272" w:lineRule="auto"/>
        <w:rPr>
          <w:sz w:val="20"/>
          <w:szCs w:val="20"/>
          <w:color w:val="auto"/>
        </w:rPr>
      </w:pPr>
      <w:r>
        <w:rPr>
          <w:rFonts w:ascii="Arial" w:cs="Arial" w:eastAsia="Arial" w:hAnsi="Arial"/>
          <w:sz w:val="14"/>
          <w:szCs w:val="14"/>
          <w:color w:val="auto"/>
        </w:rPr>
        <w:t>As of June 30, 2019, we have estimated total future net capital expenditures of approximately $8.6 million for remaining curtain infrastructure and development of Phase V in the eastern part of the field, which we expect to commence in our fourth fiscal quarter of 2020 based on our discussions with the operator. The timing of Phase V is dependent on the field operator's available funds and capital spending plans and priorities within its portfolio of properties.</w:t>
      </w:r>
    </w:p>
    <w:p>
      <w:pPr>
        <w:spacing w:after="0" w:line="185" w:lineRule="exact"/>
        <w:rPr>
          <w:sz w:val="20"/>
          <w:szCs w:val="20"/>
          <w:color w:val="auto"/>
        </w:rPr>
      </w:pPr>
    </w:p>
    <w:p>
      <w:pPr>
        <w:ind w:right="60" w:firstLine="323"/>
        <w:spacing w:after="0" w:line="290" w:lineRule="auto"/>
        <w:rPr>
          <w:sz w:val="20"/>
          <w:szCs w:val="20"/>
          <w:color w:val="auto"/>
        </w:rPr>
      </w:pPr>
      <w:r>
        <w:rPr>
          <w:rFonts w:ascii="Arial" w:cs="Arial" w:eastAsia="Arial" w:hAnsi="Arial"/>
          <w:sz w:val="13"/>
          <w:szCs w:val="13"/>
          <w:color w:val="auto"/>
        </w:rPr>
        <w:t>We believe this project is economic in the current oil price environment and we expect it to be completed within the next two fiscal years. We have been continuously developing the Delhi field and have spent over $47 million subsequent to reversion of our working interest in November 2014. Given the long-term nature of CO</w:t>
      </w:r>
      <w:r>
        <w:rPr>
          <w:rFonts w:ascii="Arial" w:cs="Arial" w:eastAsia="Arial" w:hAnsi="Arial"/>
          <w:sz w:val="9"/>
          <w:szCs w:val="9"/>
          <w:color w:val="auto"/>
        </w:rPr>
        <w:t>2</w:t>
      </w:r>
      <w:r>
        <w:rPr>
          <w:rFonts w:ascii="Arial" w:cs="Arial" w:eastAsia="Arial" w:hAnsi="Arial"/>
          <w:sz w:val="13"/>
          <w:szCs w:val="13"/>
          <w:color w:val="auto"/>
        </w:rPr>
        <w:t xml:space="preserve"> EOR development projects, we believe that the remaining undeveloped reserves in the Delhi field satisfy the conditions to continue to be treated as proved undeveloped reserves because (1) we initially established the development plan for the Delhi field in 2010 and continue to follow that plan, as adjusted to incorporate the completion of the NGL plant in late 2016 and delays relating to the 2013 adverse fluid release event; (2) we have had significant ongoing development activities at this project that, as budgeted and currently being expended, reflect a significant and sufficient portion of remaining capital expenditures to convert proved undeveloped reserves to proved developed reserves; and (3) the operator has a historical record of completing the development of comparable long-term projects.</w:t>
      </w:r>
    </w:p>
    <w:p>
      <w:pPr>
        <w:spacing w:after="0" w:line="177" w:lineRule="exact"/>
        <w:rPr>
          <w:sz w:val="20"/>
          <w:szCs w:val="20"/>
          <w:color w:val="auto"/>
        </w:rPr>
      </w:pPr>
    </w:p>
    <w:p>
      <w:pPr>
        <w:ind w:right="20" w:firstLine="323"/>
        <w:spacing w:after="0" w:line="294" w:lineRule="auto"/>
        <w:rPr>
          <w:sz w:val="20"/>
          <w:szCs w:val="20"/>
          <w:color w:val="auto"/>
        </w:rPr>
      </w:pPr>
      <w:r>
        <w:rPr>
          <w:rFonts w:ascii="Arial" w:cs="Arial" w:eastAsia="Arial" w:hAnsi="Arial"/>
          <w:sz w:val="13"/>
          <w:szCs w:val="13"/>
          <w:color w:val="auto"/>
        </w:rPr>
        <w:t>As of June 30, 2019, no proved, probable or possible reserves were attributed to (a) the area beneath the inhabited portion of the town of Delhi in the northeast and (b) the farthest east of the two remaining undeveloped sites in the eastern portion of the field (Phase VI) due to the current economics and other technical aspects of our future development plans. In addition, no probable reserves are currently attributed to three smaller reservoirs within the Unit in similar formations with similar production history due to the lower oil price utilized in our reserves calculation. We also do not have proved or probable reserves associated with out interests in the Mengel Sand, a separate interval within the Unit that is not currently producing, but has produced oil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129" w:right="21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Volumes, Average Sales Prices and Average Production Costs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shows the Company's sales volumes and average sales prices received for crude oil, natural gas liquids, and natural gas for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3"/>
          </w:tcPr>
          <w:p>
            <w:pPr>
              <w:jc w:val="right"/>
              <w:ind w:right="68"/>
              <w:spacing w:after="0"/>
              <w:rPr>
                <w:sz w:val="20"/>
                <w:szCs w:val="20"/>
                <w:color w:val="auto"/>
              </w:rPr>
            </w:pPr>
            <w:r>
              <w:rPr>
                <w:rFonts w:ascii="Arial" w:cs="Arial" w:eastAsia="Arial" w:hAnsi="Arial"/>
                <w:sz w:val="11"/>
                <w:szCs w:val="11"/>
                <w:b w:val="1"/>
                <w:bCs w:val="1"/>
                <w:color w:val="auto"/>
              </w:rPr>
              <w:t>Year Ended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ind w:right="68"/>
              <w:spacing w:after="0"/>
              <w:rPr>
                <w:sz w:val="20"/>
                <w:szCs w:val="20"/>
                <w:color w:val="auto"/>
              </w:rPr>
            </w:pPr>
            <w:r>
              <w:rPr>
                <w:rFonts w:ascii="Arial" w:cs="Arial" w:eastAsia="Arial" w:hAnsi="Arial"/>
                <w:sz w:val="11"/>
                <w:szCs w:val="11"/>
                <w:b w:val="1"/>
                <w:bCs w:val="1"/>
                <w:color w:val="auto"/>
              </w:rPr>
              <w:t>Year Ended</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3"/>
          </w:tcPr>
          <w:p>
            <w:pPr>
              <w:jc w:val="right"/>
              <w:ind w:right="68"/>
              <w:spacing w:after="0"/>
              <w:rPr>
                <w:sz w:val="20"/>
                <w:szCs w:val="20"/>
                <w:color w:val="auto"/>
              </w:rPr>
            </w:pPr>
            <w:r>
              <w:rPr>
                <w:rFonts w:ascii="Arial" w:cs="Arial" w:eastAsia="Arial" w:hAnsi="Arial"/>
                <w:sz w:val="11"/>
                <w:szCs w:val="11"/>
                <w:b w:val="1"/>
                <w:bCs w:val="1"/>
                <w:color w:val="auto"/>
              </w:rPr>
              <w:t>Year Ended</w:t>
            </w:r>
          </w:p>
        </w:tc>
        <w:tc>
          <w:tcPr>
            <w:tcW w:w="820" w:type="dxa"/>
            <w:vAlign w:val="bottom"/>
          </w:tcPr>
          <w:p>
            <w:pPr>
              <w:spacing w:after="0"/>
              <w:rPr>
                <w:sz w:val="10"/>
                <w:szCs w:val="10"/>
                <w:color w:val="auto"/>
              </w:rPr>
            </w:pPr>
          </w:p>
        </w:tc>
      </w:tr>
      <w:tr>
        <w:trPr>
          <w:trHeight w:val="153"/>
        </w:trPr>
        <w:tc>
          <w:tcPr>
            <w:tcW w:w="3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1"/>
                <w:szCs w:val="11"/>
                <w:b w:val="1"/>
                <w:bCs w:val="1"/>
                <w:color w:val="auto"/>
              </w:rPr>
              <w:t>June 30, 2019</w:t>
            </w: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1"/>
                <w:szCs w:val="11"/>
                <w:b w:val="1"/>
                <w:bCs w:val="1"/>
                <w:color w:val="auto"/>
              </w:rPr>
              <w:t>June 30, 2018</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1"/>
                <w:szCs w:val="11"/>
                <w:b w:val="1"/>
                <w:bCs w:val="1"/>
                <w:color w:val="auto"/>
              </w:rPr>
              <w:t>June 30, 2017</w:t>
            </w:r>
          </w:p>
        </w:tc>
        <w:tc>
          <w:tcPr>
            <w:tcW w:w="820" w:type="dxa"/>
            <w:vAlign w:val="bottom"/>
            <w:tcBorders>
              <w:bottom w:val="single" w:sz="8" w:color="auto"/>
            </w:tcBorders>
          </w:tcPr>
          <w:p>
            <w:pPr>
              <w:spacing w:after="0"/>
              <w:rPr>
                <w:sz w:val="13"/>
                <w:szCs w:val="13"/>
                <w:color w:val="auto"/>
              </w:rPr>
            </w:pPr>
          </w:p>
        </w:tc>
      </w:tr>
      <w:tr>
        <w:trPr>
          <w:trHeight w:val="206"/>
        </w:trPr>
        <w:tc>
          <w:tcPr>
            <w:tcW w:w="3180" w:type="dxa"/>
            <w:vAlign w:val="bottom"/>
          </w:tcPr>
          <w:p>
            <w:pPr>
              <w:ind w:left="20"/>
              <w:spacing w:after="0"/>
              <w:rPr>
                <w:sz w:val="20"/>
                <w:szCs w:val="20"/>
                <w:color w:val="auto"/>
              </w:rPr>
            </w:pPr>
            <w:r>
              <w:rPr>
                <w:rFonts w:ascii="Arial" w:cs="Arial" w:eastAsia="Arial" w:hAnsi="Arial"/>
                <w:sz w:val="11"/>
                <w:szCs w:val="11"/>
                <w:b w:val="1"/>
                <w:bCs w:val="1"/>
                <w:color w:val="auto"/>
              </w:rPr>
              <w:t>Product</w:t>
            </w:r>
          </w:p>
        </w:tc>
        <w:tc>
          <w:tcPr>
            <w:tcW w:w="28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1"/>
                <w:szCs w:val="11"/>
                <w:b w:val="1"/>
                <w:bCs w:val="1"/>
                <w:color w:val="auto"/>
              </w:rPr>
              <w:t>Volume</w:t>
            </w:r>
          </w:p>
        </w:tc>
        <w:tc>
          <w:tcPr>
            <w:tcW w:w="260" w:type="dxa"/>
            <w:vAlign w:val="bottom"/>
          </w:tcPr>
          <w:p>
            <w:pPr>
              <w:spacing w:after="0"/>
              <w:rPr>
                <w:sz w:val="17"/>
                <w:szCs w:val="17"/>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Price</w:t>
            </w:r>
          </w:p>
        </w:tc>
        <w:tc>
          <w:tcPr>
            <w:tcW w:w="28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Arial" w:cs="Arial" w:eastAsia="Arial" w:hAnsi="Arial"/>
                <w:sz w:val="11"/>
                <w:szCs w:val="11"/>
                <w:b w:val="1"/>
                <w:bCs w:val="1"/>
                <w:color w:val="auto"/>
              </w:rPr>
              <w:t>Volume</w:t>
            </w:r>
          </w:p>
        </w:tc>
        <w:tc>
          <w:tcPr>
            <w:tcW w:w="260" w:type="dxa"/>
            <w:vAlign w:val="bottom"/>
          </w:tcPr>
          <w:p>
            <w:pPr>
              <w:spacing w:after="0"/>
              <w:rPr>
                <w:sz w:val="17"/>
                <w:szCs w:val="17"/>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Price</w:t>
            </w:r>
          </w:p>
        </w:tc>
        <w:tc>
          <w:tcPr>
            <w:tcW w:w="28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Volume</w:t>
            </w:r>
          </w:p>
        </w:tc>
        <w:tc>
          <w:tcPr>
            <w:tcW w:w="260" w:type="dxa"/>
            <w:vAlign w:val="bottom"/>
          </w:tcPr>
          <w:p>
            <w:pPr>
              <w:spacing w:after="0"/>
              <w:rPr>
                <w:sz w:val="17"/>
                <w:szCs w:val="17"/>
                <w:color w:val="auto"/>
              </w:rPr>
            </w:pPr>
          </w:p>
        </w:tc>
        <w:tc>
          <w:tcPr>
            <w:tcW w:w="820" w:type="dxa"/>
            <w:vAlign w:val="bottom"/>
          </w:tcPr>
          <w:p>
            <w:pPr>
              <w:jc w:val="right"/>
              <w:ind w:right="352"/>
              <w:spacing w:after="0"/>
              <w:rPr>
                <w:sz w:val="20"/>
                <w:szCs w:val="20"/>
                <w:color w:val="auto"/>
              </w:rPr>
            </w:pPr>
            <w:r>
              <w:rPr>
                <w:rFonts w:ascii="Arial" w:cs="Arial" w:eastAsia="Arial" w:hAnsi="Arial"/>
                <w:sz w:val="11"/>
                <w:szCs w:val="11"/>
                <w:b w:val="1"/>
                <w:bCs w:val="1"/>
                <w:color w:val="auto"/>
              </w:rPr>
              <w:t>Price</w:t>
            </w:r>
          </w:p>
        </w:tc>
      </w:tr>
      <w:tr>
        <w:trPr>
          <w:trHeight w:val="191"/>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Crude oil (Bbls)</w:t>
            </w: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626,879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65.05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651,931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58.52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724,523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46.31</w:t>
            </w:r>
          </w:p>
        </w:tc>
      </w:tr>
      <w:tr>
        <w:trPr>
          <w:trHeight w:val="193"/>
        </w:trPr>
        <w:tc>
          <w:tcPr>
            <w:tcW w:w="3180" w:type="dxa"/>
            <w:vAlign w:val="bottom"/>
          </w:tcPr>
          <w:p>
            <w:pPr>
              <w:ind w:left="20"/>
              <w:spacing w:after="0"/>
              <w:rPr>
                <w:sz w:val="20"/>
                <w:szCs w:val="20"/>
                <w:color w:val="auto"/>
              </w:rPr>
            </w:pPr>
            <w:r>
              <w:rPr>
                <w:rFonts w:ascii="Arial" w:cs="Arial" w:eastAsia="Arial" w:hAnsi="Arial"/>
                <w:sz w:val="14"/>
                <w:szCs w:val="14"/>
                <w:color w:val="auto"/>
              </w:rPr>
              <w:t>Natural gas liquids (Bbls)</w:t>
            </w:r>
          </w:p>
        </w:tc>
        <w:tc>
          <w:tcPr>
            <w:tcW w:w="280" w:type="dxa"/>
            <w:vAlign w:val="bottom"/>
          </w:tcPr>
          <w:p>
            <w:pPr>
              <w:spacing w:after="0"/>
              <w:rPr>
                <w:sz w:val="16"/>
                <w:szCs w:val="16"/>
                <w:color w:val="auto"/>
              </w:rPr>
            </w:pPr>
          </w:p>
        </w:tc>
        <w:tc>
          <w:tcPr>
            <w:tcW w:w="1060" w:type="dxa"/>
            <w:vAlign w:val="bottom"/>
          </w:tcPr>
          <w:p>
            <w:pPr>
              <w:jc w:val="right"/>
              <w:ind w:right="54"/>
              <w:spacing w:after="0"/>
              <w:rPr>
                <w:sz w:val="20"/>
                <w:szCs w:val="20"/>
                <w:color w:val="auto"/>
              </w:rPr>
            </w:pPr>
            <w:r>
              <w:rPr>
                <w:rFonts w:ascii="Arial" w:cs="Arial" w:eastAsia="Arial" w:hAnsi="Arial"/>
                <w:sz w:val="14"/>
                <w:szCs w:val="14"/>
                <w:color w:val="auto"/>
              </w:rPr>
              <w:t>112,013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21.87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4"/>
              <w:spacing w:after="0"/>
              <w:rPr>
                <w:sz w:val="20"/>
                <w:szCs w:val="20"/>
                <w:color w:val="auto"/>
              </w:rPr>
            </w:pPr>
            <w:r>
              <w:rPr>
                <w:rFonts w:ascii="Arial" w:cs="Arial" w:eastAsia="Arial" w:hAnsi="Arial"/>
                <w:sz w:val="14"/>
                <w:szCs w:val="14"/>
                <w:color w:val="auto"/>
              </w:rPr>
              <w:t>93,366</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28.06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4"/>
              <w:spacing w:after="0"/>
              <w:rPr>
                <w:sz w:val="20"/>
                <w:szCs w:val="20"/>
                <w:color w:val="auto"/>
              </w:rPr>
            </w:pPr>
            <w:r>
              <w:rPr>
                <w:rFonts w:ascii="Arial" w:cs="Arial" w:eastAsia="Arial" w:hAnsi="Arial"/>
                <w:sz w:val="14"/>
                <w:szCs w:val="14"/>
                <w:color w:val="auto"/>
              </w:rPr>
              <w:t>43,907</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16.01</w:t>
            </w:r>
          </w:p>
        </w:tc>
      </w:tr>
      <w:tr>
        <w:trPr>
          <w:trHeight w:val="23"/>
        </w:trPr>
        <w:tc>
          <w:tcPr>
            <w:tcW w:w="3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Natural gas (Mcf)</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(0.25)</w:t>
            </w:r>
          </w:p>
        </w:tc>
      </w:tr>
      <w:tr>
        <w:trPr>
          <w:trHeight w:val="24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Average price per BOE*</w:t>
            </w: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738,968</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58.50</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745,297</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54.71</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768,433</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44.58</w:t>
            </w:r>
          </w:p>
        </w:tc>
      </w:tr>
      <w:tr>
        <w:trPr>
          <w:trHeight w:val="237"/>
        </w:trPr>
        <w:tc>
          <w:tcPr>
            <w:tcW w:w="3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1"/>
        </w:trPr>
        <w:tc>
          <w:tcPr>
            <w:tcW w:w="3180" w:type="dxa"/>
            <w:vAlign w:val="bottom"/>
          </w:tcPr>
          <w:p>
            <w:pPr>
              <w:ind w:left="20"/>
              <w:spacing w:after="0"/>
              <w:rPr>
                <w:sz w:val="20"/>
                <w:szCs w:val="20"/>
                <w:color w:val="auto"/>
              </w:rPr>
            </w:pPr>
            <w:r>
              <w:rPr>
                <w:rFonts w:ascii="Arial" w:cs="Arial" w:eastAsia="Arial" w:hAnsi="Arial"/>
                <w:sz w:val="13"/>
                <w:szCs w:val="13"/>
                <w:b w:val="1"/>
                <w:bCs w:val="1"/>
                <w:color w:val="auto"/>
              </w:rPr>
              <w:t>Production costs</w:t>
            </w:r>
          </w:p>
        </w:tc>
        <w:tc>
          <w:tcPr>
            <w:tcW w:w="28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9"/>
              </w:rPr>
              <w:t>per BOE</w:t>
            </w: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9"/>
              </w:rPr>
              <w:t>per BOE</w:t>
            </w:r>
          </w:p>
        </w:tc>
        <w:tc>
          <w:tcPr>
            <w:tcW w:w="28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8"/>
                <w:szCs w:val="18"/>
                <w:color w:val="auto"/>
              </w:rPr>
            </w:pPr>
          </w:p>
        </w:tc>
        <w:tc>
          <w:tcPr>
            <w:tcW w:w="820" w:type="dxa"/>
            <w:vAlign w:val="bottom"/>
          </w:tcPr>
          <w:p>
            <w:pPr>
              <w:jc w:val="right"/>
              <w:ind w:right="252"/>
              <w:spacing w:after="0"/>
              <w:rPr>
                <w:sz w:val="20"/>
                <w:szCs w:val="20"/>
                <w:color w:val="auto"/>
              </w:rPr>
            </w:pPr>
            <w:r>
              <w:rPr>
                <w:rFonts w:ascii="Arial" w:cs="Arial" w:eastAsia="Arial" w:hAnsi="Arial"/>
                <w:sz w:val="11"/>
                <w:szCs w:val="11"/>
                <w:b w:val="1"/>
                <w:bCs w:val="1"/>
                <w:color w:val="auto"/>
              </w:rPr>
              <w:t>per BOE</w:t>
            </w:r>
          </w:p>
        </w:tc>
      </w:tr>
      <w:tr>
        <w:trPr>
          <w:trHeight w:val="168"/>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Production costs, excluding ad valorem and</w:t>
            </w: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r>
      <w:tr>
        <w:trPr>
          <w:trHeight w:val="185"/>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production taxes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14,027,461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18.98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11,497,759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15.43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10,390,041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13.52</w:t>
            </w:r>
          </w:p>
        </w:tc>
      </w:tr>
      <w:tr>
        <w:trPr>
          <w:trHeight w:val="183"/>
        </w:trPr>
        <w:tc>
          <w:tcPr>
            <w:tcW w:w="3180" w:type="dxa"/>
            <w:vAlign w:val="bottom"/>
          </w:tcPr>
          <w:p>
            <w:pPr>
              <w:ind w:left="20"/>
              <w:spacing w:after="0"/>
              <w:rPr>
                <w:sz w:val="20"/>
                <w:szCs w:val="20"/>
                <w:color w:val="auto"/>
              </w:rPr>
            </w:pPr>
            <w:r>
              <w:rPr>
                <w:rFonts w:ascii="Arial" w:cs="Arial" w:eastAsia="Arial" w:hAnsi="Arial"/>
                <w:sz w:val="14"/>
                <w:szCs w:val="14"/>
                <w:color w:val="auto"/>
              </w:rPr>
              <w:t>Total production costs, including ad valorem and</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2"/>
        </w:trPr>
        <w:tc>
          <w:tcPr>
            <w:tcW w:w="3180" w:type="dxa"/>
            <w:vAlign w:val="bottom"/>
          </w:tcPr>
          <w:p>
            <w:pPr>
              <w:ind w:left="20"/>
              <w:spacing w:after="0"/>
              <w:rPr>
                <w:sz w:val="20"/>
                <w:szCs w:val="20"/>
                <w:color w:val="auto"/>
              </w:rPr>
            </w:pPr>
            <w:r>
              <w:rPr>
                <w:rFonts w:ascii="Arial" w:cs="Arial" w:eastAsia="Arial" w:hAnsi="Arial"/>
                <w:sz w:val="14"/>
                <w:szCs w:val="14"/>
                <w:color w:val="auto"/>
              </w:rPr>
              <w:t>production taxes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54"/>
              <w:spacing w:after="0"/>
              <w:rPr>
                <w:sz w:val="20"/>
                <w:szCs w:val="20"/>
                <w:color w:val="auto"/>
              </w:rPr>
            </w:pPr>
            <w:r>
              <w:rPr>
                <w:rFonts w:ascii="Arial" w:cs="Arial" w:eastAsia="Arial" w:hAnsi="Arial"/>
                <w:sz w:val="14"/>
                <w:szCs w:val="14"/>
                <w:color w:val="auto"/>
              </w:rPr>
              <w:t>14,266,784</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19.31</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4"/>
              <w:spacing w:after="0"/>
              <w:rPr>
                <w:sz w:val="20"/>
                <w:szCs w:val="20"/>
                <w:color w:val="auto"/>
              </w:rPr>
            </w:pPr>
            <w:r>
              <w:rPr>
                <w:rFonts w:ascii="Arial" w:cs="Arial" w:eastAsia="Arial" w:hAnsi="Arial"/>
                <w:sz w:val="14"/>
                <w:szCs w:val="14"/>
                <w:color w:val="auto"/>
              </w:rPr>
              <w:t>11,685,817</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15.68</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4"/>
              <w:spacing w:after="0"/>
              <w:rPr>
                <w:sz w:val="20"/>
                <w:szCs w:val="20"/>
                <w:color w:val="auto"/>
              </w:rPr>
            </w:pPr>
            <w:r>
              <w:rPr>
                <w:rFonts w:ascii="Arial" w:cs="Arial" w:eastAsia="Arial" w:hAnsi="Arial"/>
                <w:sz w:val="14"/>
                <w:szCs w:val="14"/>
                <w:color w:val="auto"/>
              </w:rPr>
              <w:t>10,604,594</w:t>
            </w:r>
          </w:p>
        </w:tc>
        <w:tc>
          <w:tcPr>
            <w:tcW w:w="12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13.80</w:t>
            </w:r>
          </w:p>
        </w:tc>
      </w:tr>
    </w:tbl>
    <w:p>
      <w:pPr>
        <w:spacing w:after="0" w:line="55" w:lineRule="exact"/>
        <w:rPr>
          <w:sz w:val="20"/>
          <w:szCs w:val="20"/>
          <w:color w:val="auto"/>
        </w:rPr>
      </w:pPr>
    </w:p>
    <w:p>
      <w:pPr>
        <w:ind w:left="360"/>
        <w:spacing w:after="0"/>
        <w:rPr>
          <w:sz w:val="20"/>
          <w:szCs w:val="20"/>
          <w:color w:val="auto"/>
        </w:rPr>
      </w:pPr>
      <w:r>
        <w:rPr>
          <w:rFonts w:ascii="Arial" w:cs="Arial" w:eastAsia="Arial" w:hAnsi="Arial"/>
          <w:sz w:val="11"/>
          <w:szCs w:val="11"/>
          <w:color w:val="auto"/>
        </w:rPr>
        <w:t>* BOE computed on units of production using a six to one conversion ratio of MCF's to barrel</w:t>
      </w:r>
      <w:r>
        <w:rPr>
          <w:rFonts w:ascii="Arial" w:cs="Arial" w:eastAsia="Arial" w:hAnsi="Arial"/>
          <w:sz w:val="14"/>
          <w:szCs w:val="14"/>
          <w:color w:val="auto"/>
        </w:rPr>
        <w: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Drilling Activity</w:t>
      </w:r>
    </w:p>
    <w:p>
      <w:pPr>
        <w:spacing w:after="0" w:line="231" w:lineRule="exact"/>
        <w:rPr>
          <w:sz w:val="20"/>
          <w:szCs w:val="20"/>
          <w:color w:val="auto"/>
        </w:rPr>
      </w:pPr>
    </w:p>
    <w:p>
      <w:pPr>
        <w:jc w:val="both"/>
        <w:ind w:right="220" w:firstLine="323"/>
        <w:spacing w:after="0" w:line="272" w:lineRule="auto"/>
        <w:rPr>
          <w:sz w:val="20"/>
          <w:szCs w:val="20"/>
          <w:color w:val="auto"/>
        </w:rPr>
      </w:pPr>
      <w:r>
        <w:rPr>
          <w:rFonts w:ascii="Arial" w:cs="Arial" w:eastAsia="Arial" w:hAnsi="Arial"/>
          <w:sz w:val="14"/>
          <w:szCs w:val="14"/>
          <w:color w:val="auto"/>
        </w:rPr>
        <w:t>Our productive drilling activity during the past three fiscal years ended June 30, 2019, was limited to five gross (1.2 net) producer wells drilled and completed in fiscal 2019 and another five (1.2 net) producer wells completed in fiscal 2018. We completed one (0.239 net) CO</w:t>
      </w:r>
      <w:r>
        <w:rPr>
          <w:rFonts w:ascii="Arial" w:cs="Arial" w:eastAsia="Arial" w:hAnsi="Arial"/>
          <w:sz w:val="10"/>
          <w:szCs w:val="10"/>
          <w:color w:val="auto"/>
        </w:rPr>
        <w:t>2</w:t>
      </w:r>
      <w:r>
        <w:rPr>
          <w:rFonts w:ascii="Arial" w:cs="Arial" w:eastAsia="Arial" w:hAnsi="Arial"/>
          <w:sz w:val="14"/>
          <w:szCs w:val="14"/>
          <w:color w:val="auto"/>
        </w:rPr>
        <w:t xml:space="preserve"> injection well during fiscal 2019 and completed one (0.239 net) CO</w:t>
      </w:r>
      <w:r>
        <w:rPr>
          <w:rFonts w:ascii="Arial" w:cs="Arial" w:eastAsia="Arial" w:hAnsi="Arial"/>
          <w:sz w:val="10"/>
          <w:szCs w:val="10"/>
          <w:color w:val="auto"/>
        </w:rPr>
        <w:t>2</w:t>
      </w:r>
      <w:r>
        <w:rPr>
          <w:rFonts w:ascii="Arial" w:cs="Arial" w:eastAsia="Arial" w:hAnsi="Arial"/>
          <w:sz w:val="14"/>
          <w:szCs w:val="14"/>
          <w:color w:val="auto"/>
        </w:rPr>
        <w:t xml:space="preserve"> injection well during fiscal 2018. There were no completions of productive wells in fiscal 2017. No dry wells were drilled in the past three fiscal years.</w:t>
      </w:r>
    </w:p>
    <w:p>
      <w:pPr>
        <w:spacing w:after="0" w:line="185" w:lineRule="exact"/>
        <w:rPr>
          <w:sz w:val="20"/>
          <w:szCs w:val="20"/>
          <w:color w:val="auto"/>
        </w:rPr>
      </w:pPr>
    </w:p>
    <w:p>
      <w:pPr>
        <w:ind w:firstLine="323"/>
        <w:spacing w:after="0" w:line="272" w:lineRule="auto"/>
        <w:rPr>
          <w:sz w:val="20"/>
          <w:szCs w:val="20"/>
          <w:color w:val="auto"/>
        </w:rPr>
      </w:pPr>
      <w:r>
        <w:rPr>
          <w:rFonts w:ascii="Arial" w:cs="Arial" w:eastAsia="Arial" w:hAnsi="Arial"/>
          <w:sz w:val="14"/>
          <w:szCs w:val="14"/>
          <w:color w:val="auto"/>
        </w:rPr>
        <w:t>In connection with establishing a six-well water curtain in advance of Phase V site development, during fiscal 2019 we drilled two (0.48 net) wells and completed three (0.72 net) wells. In fiscal 2018, we had drilled three (0.72 net) wells and in fiscal 2017 one (0.239 net) well was drilled. The three completed wells comprise the northern pad of the water curtain program and commenced injection during fiscal 2019. A pad consists of one gross water source well and two gross water injector wells.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Present Activities</w:t>
      </w:r>
    </w:p>
    <w:p>
      <w:pPr>
        <w:spacing w:after="0" w:line="231" w:lineRule="exact"/>
        <w:rPr>
          <w:sz w:val="20"/>
          <w:szCs w:val="20"/>
          <w:color w:val="auto"/>
        </w:rPr>
      </w:pPr>
    </w:p>
    <w:p>
      <w:pPr>
        <w:ind w:right="100" w:firstLine="345"/>
        <w:spacing w:after="0" w:line="288" w:lineRule="auto"/>
        <w:rPr>
          <w:sz w:val="20"/>
          <w:szCs w:val="20"/>
          <w:color w:val="auto"/>
        </w:rPr>
      </w:pPr>
      <w:r>
        <w:rPr>
          <w:rFonts w:ascii="Arial" w:cs="Arial" w:eastAsia="Arial" w:hAnsi="Arial"/>
          <w:sz w:val="14"/>
          <w:szCs w:val="14"/>
          <w:color w:val="auto"/>
        </w:rPr>
        <w:t>As of June 30, 2019, we have three gross (0.72 net) water curtain wells remaining to be completed. We expect their completions will conclude and the wells to be online by early in our second quarter of fiscal 2020. These wells comprise the southern pad of the curtain program.</w:t>
      </w:r>
    </w:p>
    <w:p>
      <w:pPr>
        <w:spacing w:after="0" w:line="170" w:lineRule="exact"/>
        <w:rPr>
          <w:sz w:val="20"/>
          <w:szCs w:val="20"/>
          <w:color w:val="auto"/>
        </w:rPr>
      </w:pPr>
    </w:p>
    <w:p>
      <w:pPr>
        <w:ind w:firstLine="345"/>
        <w:spacing w:after="0" w:line="294" w:lineRule="auto"/>
        <w:rPr>
          <w:sz w:val="20"/>
          <w:szCs w:val="20"/>
          <w:color w:val="auto"/>
        </w:rPr>
      </w:pPr>
      <w:r>
        <w:rPr>
          <w:rFonts w:ascii="Arial" w:cs="Arial" w:eastAsia="Arial" w:hAnsi="Arial"/>
          <w:sz w:val="14"/>
          <w:szCs w:val="14"/>
          <w:color w:val="auto"/>
        </w:rPr>
        <w:t xml:space="preserve">For further discussion, see </w:t>
      </w:r>
      <w:r>
        <w:rPr>
          <w:rFonts w:ascii="Arial" w:cs="Arial" w:eastAsia="Arial" w:hAnsi="Arial"/>
          <w:sz w:val="14"/>
          <w:szCs w:val="14"/>
          <w:b w:val="1"/>
          <w:bCs w:val="1"/>
          <w:color w:val="auto"/>
        </w:rPr>
        <w:t>"</w:t>
      </w:r>
      <w:r>
        <w:rPr>
          <w:rFonts w:ascii="Arial" w:cs="Arial" w:eastAsia="Arial" w:hAnsi="Arial"/>
          <w:sz w:val="14"/>
          <w:szCs w:val="14"/>
          <w:color w:val="auto"/>
        </w:rPr>
        <w:t xml:space="preserve">Highlights for our fiscal year 2019" and "Capital Budget" under </w:t>
      </w:r>
      <w:r>
        <w:rPr>
          <w:rFonts w:ascii="Arial" w:cs="Arial" w:eastAsia="Arial" w:hAnsi="Arial"/>
          <w:sz w:val="14"/>
          <w:szCs w:val="14"/>
          <w:i w:val="1"/>
          <w:iCs w:val="1"/>
          <w:color w:val="auto"/>
        </w:rPr>
        <w:t>Item 7. Management's Discussion and Analysis of Financial Condition and Results of Operations</w:t>
      </w:r>
      <w:r>
        <w:rPr>
          <w:rFonts w:ascii="Arial" w:cs="Arial" w:eastAsia="Arial" w:hAnsi="Arial"/>
          <w:sz w:val="14"/>
          <w:szCs w:val="14"/>
          <w:color w:val="auto"/>
        </w:rPr>
        <w:t xml:space="preserve">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Delivery Commitments</w:t>
      </w:r>
    </w:p>
    <w:p>
      <w:pPr>
        <w:spacing w:after="0" w:line="231" w:lineRule="exact"/>
        <w:rPr>
          <w:sz w:val="20"/>
          <w:szCs w:val="20"/>
          <w:color w:val="auto"/>
        </w:rPr>
      </w:pPr>
    </w:p>
    <w:p>
      <w:pPr>
        <w:ind w:right="360" w:firstLine="345"/>
        <w:spacing w:after="0" w:line="288" w:lineRule="auto"/>
        <w:rPr>
          <w:sz w:val="20"/>
          <w:szCs w:val="20"/>
          <w:color w:val="auto"/>
        </w:rPr>
      </w:pPr>
      <w:r>
        <w:rPr>
          <w:rFonts w:ascii="Arial" w:cs="Arial" w:eastAsia="Arial" w:hAnsi="Arial"/>
          <w:sz w:val="14"/>
          <w:szCs w:val="14"/>
          <w:color w:val="auto"/>
        </w:rPr>
        <w:t>As of June 30, 2019, we were not committed to provide a fixed and determinable quantity of oil, NGLs or gas under existing agreements, nor do we currently intend to enter into any such agreements.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40"/>
          </w:cols>
          <w:pgMar w:left="220" w:top="129"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Productive Wells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number of productive oil and gas wells in which we owned a working interest as of June 30, 2019.</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Company Operated</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Borders>
              <w:bottom w:val="single" w:sz="8" w:color="auto"/>
            </w:tcBorders>
            <w:gridSpan w:val="3"/>
          </w:tcPr>
          <w:p>
            <w:pPr>
              <w:ind w:left="1220"/>
              <w:spacing w:after="0"/>
              <w:rPr>
                <w:sz w:val="20"/>
                <w:szCs w:val="20"/>
                <w:color w:val="auto"/>
              </w:rPr>
            </w:pPr>
            <w:r>
              <w:rPr>
                <w:rFonts w:ascii="Arial" w:cs="Arial" w:eastAsia="Arial" w:hAnsi="Arial"/>
                <w:sz w:val="11"/>
                <w:szCs w:val="11"/>
                <w:b w:val="1"/>
                <w:bCs w:val="1"/>
                <w:color w:val="auto"/>
              </w:rPr>
              <w:t>Non-Operated</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1335"/>
              <w:spacing w:after="0"/>
              <w:rPr>
                <w:sz w:val="20"/>
                <w:szCs w:val="20"/>
                <w:color w:val="auto"/>
              </w:rPr>
            </w:pPr>
            <w:r>
              <w:rPr>
                <w:rFonts w:ascii="Arial" w:cs="Arial" w:eastAsia="Arial" w:hAnsi="Arial"/>
                <w:sz w:val="11"/>
                <w:szCs w:val="11"/>
                <w:b w:val="1"/>
                <w:bCs w:val="1"/>
                <w:color w:val="auto"/>
                <w:w w:val="91"/>
              </w:rPr>
              <w:t>Total</w:t>
            </w:r>
          </w:p>
        </w:tc>
      </w:tr>
      <w:tr>
        <w:trPr>
          <w:trHeight w:val="206"/>
        </w:trPr>
        <w:tc>
          <w:tcPr>
            <w:tcW w:w="19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1"/>
                <w:szCs w:val="11"/>
                <w:b w:val="1"/>
                <w:bCs w:val="1"/>
                <w:color w:val="auto"/>
              </w:rPr>
              <w:t>Gross</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rPr>
              <w:t>Net</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gridSpan w:val="3"/>
          </w:tcPr>
          <w:p>
            <w:pPr>
              <w:ind w:left="620"/>
              <w:spacing w:after="0"/>
              <w:rPr>
                <w:sz w:val="20"/>
                <w:szCs w:val="20"/>
                <w:color w:val="auto"/>
              </w:rPr>
            </w:pPr>
            <w:r>
              <w:rPr>
                <w:rFonts w:ascii="Arial" w:cs="Arial" w:eastAsia="Arial" w:hAnsi="Arial"/>
                <w:sz w:val="11"/>
                <w:szCs w:val="11"/>
                <w:b w:val="1"/>
                <w:bCs w:val="1"/>
                <w:color w:val="auto"/>
              </w:rPr>
              <w:t>Gross</w:t>
            </w:r>
          </w:p>
        </w:tc>
        <w:tc>
          <w:tcPr>
            <w:tcW w:w="102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Net</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452"/>
              <w:spacing w:after="0"/>
              <w:rPr>
                <w:sz w:val="20"/>
                <w:szCs w:val="20"/>
                <w:color w:val="auto"/>
              </w:rPr>
            </w:pPr>
            <w:r>
              <w:rPr>
                <w:rFonts w:ascii="Arial" w:cs="Arial" w:eastAsia="Arial" w:hAnsi="Arial"/>
                <w:sz w:val="11"/>
                <w:szCs w:val="11"/>
                <w:b w:val="1"/>
                <w:bCs w:val="1"/>
                <w:color w:val="auto"/>
              </w:rPr>
              <w:t>Gross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Net</w:t>
            </w:r>
          </w:p>
        </w:tc>
      </w:tr>
      <w:tr>
        <w:trPr>
          <w:trHeight w:val="191"/>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Crude oil</w:t>
            </w:r>
          </w:p>
        </w:tc>
        <w:tc>
          <w:tcPr>
            <w:tcW w:w="16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660" w:type="dxa"/>
            <w:vAlign w:val="bottom"/>
            <w:tcBorders>
              <w:bottom w:val="single" w:sz="8" w:color="CCEEFF"/>
            </w:tcBorders>
            <w:gridSpan w:val="3"/>
            <w:shd w:val="clear" w:color="auto" w:fill="CCEEFF"/>
          </w:tcPr>
          <w:p>
            <w:pPr>
              <w:jc w:val="right"/>
              <w:ind w:right="35"/>
              <w:spacing w:after="0"/>
              <w:rPr>
                <w:sz w:val="20"/>
                <w:szCs w:val="20"/>
                <w:color w:val="auto"/>
              </w:rPr>
            </w:pPr>
            <w:r>
              <w:rPr>
                <w:rFonts w:ascii="Arial" w:cs="Arial" w:eastAsia="Arial" w:hAnsi="Arial"/>
                <w:sz w:val="14"/>
                <w:szCs w:val="14"/>
                <w:color w:val="auto"/>
              </w:rPr>
              <w:t>28.4</w:t>
            </w:r>
          </w:p>
        </w:tc>
      </w:tr>
      <w:tr>
        <w:trPr>
          <w:trHeight w:val="193"/>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1660" w:type="dxa"/>
            <w:vAlign w:val="bottom"/>
            <w:gridSpan w:val="3"/>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2100" w:type="dxa"/>
            <w:vAlign w:val="bottom"/>
            <w:gridSpan w:val="3"/>
          </w:tcPr>
          <w:p>
            <w:pPr>
              <w:jc w:val="right"/>
              <w:ind w:right="7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5"/>
              <w:spacing w:after="0"/>
              <w:rPr>
                <w:sz w:val="20"/>
                <w:szCs w:val="20"/>
                <w:color w:val="auto"/>
              </w:rPr>
            </w:pPr>
            <w:r>
              <w:rPr>
                <w:rFonts w:ascii="Arial" w:cs="Arial" w:eastAsia="Arial" w:hAnsi="Arial"/>
                <w:sz w:val="14"/>
                <w:szCs w:val="14"/>
                <w:color w:val="auto"/>
              </w:rPr>
              <w:t>—</w:t>
            </w:r>
          </w:p>
        </w:tc>
      </w:tr>
      <w:tr>
        <w:trPr>
          <w:trHeight w:val="23"/>
        </w:trPr>
        <w:tc>
          <w:tcPr>
            <w:tcW w:w="1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0"/>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66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660" w:type="dxa"/>
            <w:vAlign w:val="bottom"/>
            <w:gridSpan w:val="3"/>
            <w:shd w:val="clear" w:color="auto" w:fill="CCEEFF"/>
          </w:tcPr>
          <w:p>
            <w:pPr>
              <w:jc w:val="right"/>
              <w:ind w:right="35"/>
              <w:spacing w:after="0"/>
              <w:rPr>
                <w:sz w:val="20"/>
                <w:szCs w:val="20"/>
                <w:color w:val="auto"/>
              </w:rPr>
            </w:pPr>
            <w:r>
              <w:rPr>
                <w:rFonts w:ascii="Arial" w:cs="Arial" w:eastAsia="Arial" w:hAnsi="Arial"/>
                <w:sz w:val="14"/>
                <w:szCs w:val="14"/>
                <w:color w:val="auto"/>
              </w:rPr>
              <w:t>28.4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Acreage Data</w:t>
      </w:r>
    </w:p>
    <w:p>
      <w:pPr>
        <w:spacing w:after="0" w:line="231" w:lineRule="exact"/>
        <w:rPr>
          <w:sz w:val="20"/>
          <w:szCs w:val="20"/>
          <w:color w:val="auto"/>
        </w:rPr>
      </w:pPr>
    </w:p>
    <w:p>
      <w:pPr>
        <w:jc w:val="both"/>
        <w:ind w:right="220" w:firstLine="323"/>
        <w:spacing w:after="0" w:line="272" w:lineRule="auto"/>
        <w:rPr>
          <w:sz w:val="20"/>
          <w:szCs w:val="20"/>
          <w:color w:val="auto"/>
        </w:rPr>
      </w:pPr>
      <w:r>
        <w:rPr>
          <w:rFonts w:ascii="Arial" w:cs="Arial" w:eastAsia="Arial" w:hAnsi="Arial"/>
          <w:sz w:val="14"/>
          <w:szCs w:val="14"/>
          <w:color w:val="auto"/>
        </w:rPr>
        <w:t>The following table sets forth certain information regarding our developed and undeveloped lease acreage as of June 30, 2019. Developed acreage refers to acreage on which wells have been drilled or completed to a point that would permit production of oil and gas in commercial quantities. Undeveloped acreage refers to acreage on which wells have not been drilled or completed to a point that would permit production of oil and gas in commercial quantities whether or not the acreage contains proved reserves.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40" w:type="dxa"/>
            <w:vAlign w:val="bottom"/>
          </w:tcPr>
          <w:p>
            <w:pPr>
              <w:ind w:left="20"/>
              <w:spacing w:after="0"/>
              <w:rPr>
                <w:sz w:val="20"/>
                <w:szCs w:val="20"/>
                <w:color w:val="auto"/>
              </w:rPr>
            </w:pPr>
            <w:r>
              <w:rPr>
                <w:rFonts w:ascii="Arial" w:cs="Arial" w:eastAsia="Arial" w:hAnsi="Arial"/>
                <w:sz w:val="11"/>
                <w:szCs w:val="11"/>
                <w:b w:val="1"/>
                <w:bCs w:val="1"/>
                <w:color w:val="auto"/>
              </w:rPr>
              <w:t>Field</w:t>
            </w:r>
          </w:p>
        </w:tc>
        <w:tc>
          <w:tcPr>
            <w:tcW w:w="162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w w:val="92"/>
              </w:rPr>
              <w:t>Developed Acreage</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1"/>
                <w:szCs w:val="11"/>
                <w:b w:val="1"/>
                <w:bCs w:val="1"/>
                <w:color w:val="auto"/>
              </w:rPr>
              <w:t>Undeveloped Acreage</w:t>
            </w:r>
          </w:p>
        </w:tc>
        <w:tc>
          <w:tcPr>
            <w:tcW w:w="1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18"/>
              <w:spacing w:after="0"/>
              <w:rPr>
                <w:sz w:val="20"/>
                <w:szCs w:val="20"/>
                <w:color w:val="auto"/>
              </w:rPr>
            </w:pPr>
            <w:r>
              <w:rPr>
                <w:rFonts w:ascii="Arial" w:cs="Arial" w:eastAsia="Arial" w:hAnsi="Arial"/>
                <w:sz w:val="11"/>
                <w:szCs w:val="11"/>
                <w:b w:val="1"/>
                <w:bCs w:val="1"/>
                <w:color w:val="auto"/>
                <w:w w:val="98"/>
              </w:rPr>
              <w:t>Total</w:t>
            </w:r>
          </w:p>
        </w:tc>
      </w:tr>
      <w:tr>
        <w:trPr>
          <w:trHeight w:val="206"/>
        </w:trPr>
        <w:tc>
          <w:tcPr>
            <w:tcW w:w="4740" w:type="dxa"/>
            <w:vAlign w:val="bottom"/>
          </w:tcPr>
          <w:p>
            <w:pPr>
              <w:spacing w:after="0"/>
              <w:rPr>
                <w:sz w:val="17"/>
                <w:szCs w:val="17"/>
                <w:color w:val="auto"/>
              </w:rPr>
            </w:pPr>
          </w:p>
        </w:tc>
        <w:tc>
          <w:tcPr>
            <w:tcW w:w="1620" w:type="dxa"/>
            <w:vAlign w:val="bottom"/>
          </w:tcPr>
          <w:p>
            <w:pPr>
              <w:ind w:left="420"/>
              <w:spacing w:after="0"/>
              <w:rPr>
                <w:sz w:val="20"/>
                <w:szCs w:val="20"/>
                <w:color w:val="auto"/>
              </w:rPr>
            </w:pPr>
            <w:r>
              <w:rPr>
                <w:rFonts w:ascii="Arial" w:cs="Arial" w:eastAsia="Arial" w:hAnsi="Arial"/>
                <w:sz w:val="11"/>
                <w:szCs w:val="11"/>
                <w:b w:val="1"/>
                <w:bCs w:val="1"/>
                <w:color w:val="auto"/>
              </w:rPr>
              <w:t>Gross</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Net</w:t>
            </w:r>
          </w:p>
        </w:tc>
        <w:tc>
          <w:tcPr>
            <w:tcW w:w="1080" w:type="dxa"/>
            <w:vAlign w:val="bottom"/>
          </w:tcPr>
          <w:p>
            <w:pPr>
              <w:jc w:val="right"/>
              <w:ind w:right="438"/>
              <w:spacing w:after="0"/>
              <w:rPr>
                <w:sz w:val="20"/>
                <w:szCs w:val="20"/>
                <w:color w:val="auto"/>
              </w:rPr>
            </w:pPr>
            <w:r>
              <w:rPr>
                <w:rFonts w:ascii="Arial" w:cs="Arial" w:eastAsia="Arial" w:hAnsi="Arial"/>
                <w:sz w:val="11"/>
                <w:szCs w:val="11"/>
                <w:b w:val="1"/>
                <w:bCs w:val="1"/>
                <w:color w:val="auto"/>
              </w:rPr>
              <w:t>Gross</w:t>
            </w:r>
          </w:p>
        </w:tc>
        <w:tc>
          <w:tcPr>
            <w:tcW w:w="1000" w:type="dxa"/>
            <w:vAlign w:val="bottom"/>
            <w:gridSpan w:val="2"/>
          </w:tcPr>
          <w:p>
            <w:pPr>
              <w:ind w:left="320"/>
              <w:spacing w:after="0"/>
              <w:rPr>
                <w:sz w:val="20"/>
                <w:szCs w:val="20"/>
                <w:color w:val="auto"/>
              </w:rPr>
            </w:pPr>
            <w:r>
              <w:rPr>
                <w:rFonts w:ascii="Arial" w:cs="Arial" w:eastAsia="Arial" w:hAnsi="Arial"/>
                <w:sz w:val="11"/>
                <w:szCs w:val="11"/>
                <w:b w:val="1"/>
                <w:bCs w:val="1"/>
                <w:color w:val="auto"/>
              </w:rPr>
              <w:t>Net</w:t>
            </w:r>
          </w:p>
        </w:tc>
        <w:tc>
          <w:tcPr>
            <w:tcW w:w="780" w:type="dxa"/>
            <w:vAlign w:val="bottom"/>
          </w:tcPr>
          <w:p>
            <w:pPr>
              <w:jc w:val="right"/>
              <w:ind w:right="135"/>
              <w:spacing w:after="0"/>
              <w:rPr>
                <w:sz w:val="20"/>
                <w:szCs w:val="20"/>
                <w:color w:val="auto"/>
              </w:rPr>
            </w:pPr>
            <w:r>
              <w:rPr>
                <w:rFonts w:ascii="Arial" w:cs="Arial" w:eastAsia="Arial" w:hAnsi="Arial"/>
                <w:sz w:val="11"/>
                <w:szCs w:val="11"/>
                <w:b w:val="1"/>
                <w:bCs w:val="1"/>
                <w:color w:val="auto"/>
              </w:rPr>
              <w:t>Gross</w:t>
            </w:r>
          </w:p>
        </w:tc>
        <w:tc>
          <w:tcPr>
            <w:tcW w:w="1060" w:type="dxa"/>
            <w:vAlign w:val="bottom"/>
          </w:tcPr>
          <w:p>
            <w:pPr>
              <w:jc w:val="right"/>
              <w:ind w:right="278"/>
              <w:spacing w:after="0"/>
              <w:rPr>
                <w:sz w:val="20"/>
                <w:szCs w:val="20"/>
                <w:color w:val="auto"/>
              </w:rPr>
            </w:pPr>
            <w:r>
              <w:rPr>
                <w:rFonts w:ascii="Arial" w:cs="Arial" w:eastAsia="Arial" w:hAnsi="Arial"/>
                <w:sz w:val="11"/>
                <w:szCs w:val="11"/>
                <w:b w:val="1"/>
                <w:bCs w:val="1"/>
                <w:color w:val="auto"/>
              </w:rPr>
              <w:t>Net</w:t>
            </w:r>
          </w:p>
        </w:tc>
      </w:tr>
      <w:tr>
        <w:trPr>
          <w:trHeight w:val="197"/>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Delhi Field, Louisiana*</w:t>
            </w:r>
          </w:p>
        </w:tc>
        <w:tc>
          <w:tcPr>
            <w:tcW w:w="16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9,126</w:t>
            </w:r>
          </w:p>
        </w:tc>
        <w:tc>
          <w:tcPr>
            <w:tcW w:w="62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2,180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38"/>
              <w:spacing w:after="0"/>
              <w:rPr>
                <w:sz w:val="20"/>
                <w:szCs w:val="20"/>
                <w:color w:val="auto"/>
              </w:rPr>
            </w:pPr>
            <w:r>
              <w:rPr>
                <w:rFonts w:ascii="Arial" w:cs="Arial" w:eastAsia="Arial" w:hAnsi="Arial"/>
                <w:sz w:val="14"/>
                <w:szCs w:val="14"/>
                <w:color w:val="auto"/>
              </w:rPr>
              <w:t>4,510</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1,077</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13,636</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3,257</w:t>
            </w:r>
          </w:p>
        </w:tc>
      </w:tr>
      <w:tr>
        <w:trPr>
          <w:trHeight w:val="23"/>
        </w:trPr>
        <w:tc>
          <w:tcPr>
            <w:tcW w:w="47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27" w:lineRule="exact"/>
        <w:rPr>
          <w:sz w:val="20"/>
          <w:szCs w:val="20"/>
          <w:color w:val="auto"/>
        </w:rPr>
      </w:pPr>
    </w:p>
    <w:p>
      <w:pPr>
        <w:ind w:left="520" w:right="100" w:firstLine="3"/>
        <w:spacing w:after="0" w:line="302" w:lineRule="auto"/>
        <w:tabs>
          <w:tab w:leader="none" w:pos="628" w:val="left"/>
        </w:tabs>
        <w:numPr>
          <w:ilvl w:val="0"/>
          <w:numId w:val="8"/>
        </w:numPr>
        <w:rPr>
          <w:rFonts w:ascii="Arial" w:cs="Arial" w:eastAsia="Arial" w:hAnsi="Arial"/>
          <w:sz w:val="13"/>
          <w:szCs w:val="13"/>
          <w:color w:val="auto"/>
        </w:rPr>
      </w:pPr>
      <w:r>
        <w:rPr>
          <w:rFonts w:ascii="Arial" w:cs="Arial" w:eastAsia="Arial" w:hAnsi="Arial"/>
          <w:sz w:val="13"/>
          <w:szCs w:val="13"/>
          <w:color w:val="auto"/>
        </w:rPr>
        <w:t>This table excludes acreage attributable to small overriding royalty interests retained in various formations in the Giddings Field area. Except for de minimis production that began on two leases during fiscal 2019, none of such acreage is currently producing and our interests are subject to expiration if leases are not maintained by others or commercial production is not established. It does not currently appear likely that we will obtain any significant value from these interests and no reserves have been assigned to any of the Giddings interests.</w:t>
      </w:r>
    </w:p>
    <w:p>
      <w:pPr>
        <w:spacing w:after="0" w:line="168" w:lineRule="exact"/>
        <w:rPr>
          <w:sz w:val="20"/>
          <w:szCs w:val="20"/>
          <w:color w:val="auto"/>
        </w:rPr>
      </w:pPr>
    </w:p>
    <w:p>
      <w:pPr>
        <w:ind w:right="280" w:firstLine="323"/>
        <w:spacing w:after="0" w:line="272" w:lineRule="auto"/>
        <w:rPr>
          <w:sz w:val="20"/>
          <w:szCs w:val="20"/>
          <w:color w:val="auto"/>
        </w:rPr>
      </w:pPr>
      <w:r>
        <w:rPr>
          <w:rFonts w:ascii="Arial" w:cs="Arial" w:eastAsia="Arial" w:hAnsi="Arial"/>
          <w:sz w:val="14"/>
          <w:szCs w:val="14"/>
          <w:color w:val="auto"/>
        </w:rPr>
        <w:t>When the Company acquired the Delhi field in 2003, the field had been fully developed through primary and secondary recovery and all of such acreage was reflected as developed acreage. With the addition of a CO</w:t>
      </w:r>
      <w:r>
        <w:rPr>
          <w:rFonts w:ascii="Arial" w:cs="Arial" w:eastAsia="Arial" w:hAnsi="Arial"/>
          <w:sz w:val="10"/>
          <w:szCs w:val="10"/>
          <w:color w:val="auto"/>
        </w:rPr>
        <w:t>2</w:t>
      </w:r>
      <w:r>
        <w:rPr>
          <w:rFonts w:ascii="Arial" w:cs="Arial" w:eastAsia="Arial" w:hAnsi="Arial"/>
          <w:sz w:val="14"/>
          <w:szCs w:val="14"/>
          <w:color w:val="auto"/>
        </w:rPr>
        <w:t>-EOR project in the field, certain acreage is now reflected as undeveloped using tertiary recovery operations. We estimate that our developed acreage currently includes 9,126 gross (2,180 net) acres in the Delhi field, with approximately 4,510 gross (1,077 net) acres attributable to the remaining undeveloped areas in the eastern part of the field. We own a 23.9% working interest in the field, along with certain mineral and royalty interests. We are not the operator of the EOR project.</w:t>
      </w:r>
    </w:p>
    <w:p>
      <w:pPr>
        <w:spacing w:after="0" w:line="186" w:lineRule="exact"/>
        <w:rPr>
          <w:sz w:val="20"/>
          <w:szCs w:val="20"/>
          <w:color w:val="auto"/>
        </w:rPr>
      </w:pPr>
    </w:p>
    <w:p>
      <w:pPr>
        <w:ind w:right="220" w:firstLine="323"/>
        <w:spacing w:after="0" w:line="280" w:lineRule="auto"/>
        <w:rPr>
          <w:sz w:val="20"/>
          <w:szCs w:val="20"/>
          <w:color w:val="auto"/>
        </w:rPr>
      </w:pPr>
      <w:r>
        <w:rPr>
          <w:rFonts w:ascii="Arial" w:cs="Arial" w:eastAsia="Arial" w:hAnsi="Arial"/>
          <w:sz w:val="14"/>
          <w:szCs w:val="14"/>
          <w:color w:val="auto"/>
        </w:rPr>
        <w:t>Our interests include all depths from the surface of the earth to the top of the Massive Anhydride, including the Delhi Holt Bryant Unit, which is currently under CO</w:t>
      </w:r>
      <w:r>
        <w:rPr>
          <w:rFonts w:ascii="Arial" w:cs="Arial" w:eastAsia="Arial" w:hAnsi="Arial"/>
          <w:sz w:val="11"/>
          <w:szCs w:val="11"/>
          <w:color w:val="auto"/>
        </w:rPr>
        <w:t>2</w:t>
      </w:r>
      <w:r>
        <w:rPr>
          <w:rFonts w:ascii="Arial" w:cs="Arial" w:eastAsia="Arial" w:hAnsi="Arial"/>
          <w:sz w:val="14"/>
          <w:szCs w:val="14"/>
          <w:color w:val="auto"/>
        </w:rPr>
        <w:t xml:space="preserve"> flood, and the Mengel Sand Interval, which is within the boundary of the field, but is currently not producing. As the Delhi field is unitized, all acreage, including any undeveloped, nonproductive or undrilled acreage is held by existing production as long as continuous production is maintained in the unit.</w:t>
      </w:r>
    </w:p>
    <w:p>
      <w:pPr>
        <w:spacing w:after="0" w:line="180" w:lineRule="exact"/>
        <w:rPr>
          <w:sz w:val="20"/>
          <w:szCs w:val="20"/>
          <w:color w:val="auto"/>
        </w:rPr>
      </w:pPr>
    </w:p>
    <w:p>
      <w:pPr>
        <w:ind w:right="140" w:firstLine="323"/>
        <w:spacing w:after="0" w:line="288" w:lineRule="auto"/>
        <w:rPr>
          <w:sz w:val="20"/>
          <w:szCs w:val="20"/>
          <w:color w:val="auto"/>
        </w:rPr>
      </w:pPr>
      <w:r>
        <w:rPr>
          <w:rFonts w:ascii="Arial" w:cs="Arial" w:eastAsia="Arial" w:hAnsi="Arial"/>
          <w:sz w:val="14"/>
          <w:szCs w:val="14"/>
          <w:color w:val="auto"/>
        </w:rPr>
        <w:t xml:space="preserve">For more complete information regarding current year activities, including crude oil and natural gas production, refer to </w:t>
      </w:r>
      <w:r>
        <w:rPr>
          <w:rFonts w:ascii="Arial" w:cs="Arial" w:eastAsia="Arial" w:hAnsi="Arial"/>
          <w:sz w:val="14"/>
          <w:szCs w:val="14"/>
          <w:i w:val="1"/>
          <w:iCs w:val="1"/>
          <w:color w:val="auto"/>
        </w:rPr>
        <w:t>Item 7. Management's Discussion and Analysis of Financial Condition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Results of Operations </w:t>
      </w:r>
      <w:r>
        <w:rPr>
          <w:rFonts w:ascii="Arial" w:cs="Arial" w:eastAsia="Arial" w:hAnsi="Arial"/>
          <w:sz w:val="14"/>
          <w:szCs w:val="14"/>
          <w:color w:val="auto"/>
        </w:rPr>
        <w:t>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Markets and Customers</w:t>
      </w:r>
    </w:p>
    <w:p>
      <w:pPr>
        <w:spacing w:after="0" w:line="231" w:lineRule="exact"/>
        <w:rPr>
          <w:sz w:val="20"/>
          <w:szCs w:val="20"/>
          <w:color w:val="auto"/>
        </w:rPr>
      </w:pPr>
    </w:p>
    <w:p>
      <w:pPr>
        <w:ind w:right="40" w:firstLine="345"/>
        <w:spacing w:after="0" w:line="284" w:lineRule="auto"/>
        <w:rPr>
          <w:sz w:val="20"/>
          <w:szCs w:val="20"/>
          <w:color w:val="auto"/>
        </w:rPr>
      </w:pPr>
      <w:r>
        <w:rPr>
          <w:rFonts w:ascii="Arial" w:cs="Arial" w:eastAsia="Arial" w:hAnsi="Arial"/>
          <w:sz w:val="13"/>
          <w:szCs w:val="13"/>
          <w:color w:val="auto"/>
        </w:rPr>
        <w:t>Our production is marketed to third parties in a manner consistent with industry practices. In the U.S. market where we operate, crude oil and natural gas liquids are readily transportable and marketable. We do not currently market our share of crude oil production from Delhi separately from the operator's share of production. Although we have the right to take our working interest production in-kind, we are currently selling our oil under the Delhi operator's agreement with Plains Marketing L.P. pursuant to the delivery and pricing terms thereunder. The oil from Delhi is currently transported from the field by pipeline, which results in better net pricing than the alternative of transportation by truck. Delhi crude oil production sells at Louisiana Light Sweet ("LLS") pricing which generally trades at a premium to West Texas Intermediate ("WTI") crude oil pricing. The positive LLS Gulf Coast average price differential over WTI, as quoted daily on the New York Mercantile Exchange ("NYMEX"), was approximately $6.89 per barrel during our fiscal year ended June 30, 2019. The differential has increased from the prior year and we expect that a positive LLS price differential will continue, at least in the near future. Our overall average net realized oil price, including the LLS premium and after all adjustments for transportation, marketing and other price differentials, was $4.11 per barrel more than the average WTI NYMEX price for fiscal 2019.</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60"/>
          </w:cols>
          <w:pgMar w:left="220" w:top="129" w:right="2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right="20" w:firstLine="345"/>
        <w:spacing w:after="0" w:line="267" w:lineRule="auto"/>
        <w:rPr>
          <w:sz w:val="20"/>
          <w:szCs w:val="20"/>
          <w:color w:val="auto"/>
        </w:rPr>
      </w:pPr>
      <w:r>
        <w:rPr>
          <w:rFonts w:ascii="Arial" w:cs="Arial" w:eastAsia="Arial" w:hAnsi="Arial"/>
          <w:sz w:val="14"/>
          <w:szCs w:val="14"/>
          <w:color w:val="auto"/>
        </w:rPr>
        <w:t>Upon completion of the NGL plant in December 2016, we began selling natural gas liquids from the Delhi field to American Midstream Gas Solutions, L.P. Title to these products is transferred to the purchaser at the field and they are transported by truck to the purchaser's processing facility. We receive market prices, less transportation, processing and quality differential fees for the net yield of the individual natural gas liquid components, consisting of propane, butanes, and C5+ (pentanes and heavier components). There is a small component of residual ethane, but the overall yield of products is a higher value mix than is typical for natural gas liquids.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sets forth purchasers of our oil and natural gas production for the years indicated: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20" w:type="dxa"/>
            <w:vAlign w:val="bottom"/>
          </w:tcPr>
          <w:p>
            <w:pPr>
              <w:spacing w:after="0"/>
              <w:rPr>
                <w:sz w:val="13"/>
                <w:szCs w:val="13"/>
                <w:color w:val="auto"/>
              </w:rPr>
            </w:pPr>
          </w:p>
        </w:tc>
        <w:tc>
          <w:tcPr>
            <w:tcW w:w="2180" w:type="dxa"/>
            <w:vAlign w:val="bottom"/>
            <w:tcBorders>
              <w:bottom w:val="single" w:sz="8" w:color="auto"/>
            </w:tcBorders>
            <w:gridSpan w:val="3"/>
          </w:tcPr>
          <w:p>
            <w:pPr>
              <w:ind w:left="1080"/>
              <w:spacing w:after="0"/>
              <w:rPr>
                <w:sz w:val="20"/>
                <w:szCs w:val="20"/>
                <w:color w:val="auto"/>
              </w:rPr>
            </w:pPr>
            <w:r>
              <w:rPr>
                <w:rFonts w:ascii="Arial" w:cs="Arial" w:eastAsia="Arial" w:hAnsi="Arial"/>
                <w:sz w:val="11"/>
                <w:szCs w:val="11"/>
                <w:b w:val="1"/>
                <w:bCs w:val="1"/>
                <w:color w:val="auto"/>
              </w:rPr>
              <w:t>Year Ended June 30,</w:t>
            </w:r>
          </w:p>
        </w:tc>
        <w:tc>
          <w:tcPr>
            <w:tcW w:w="960" w:type="dxa"/>
            <w:vAlign w:val="bottom"/>
            <w:tcBorders>
              <w:bottom w:val="single" w:sz="8" w:color="auto"/>
            </w:tcBorders>
          </w:tcPr>
          <w:p>
            <w:pPr>
              <w:spacing w:after="0"/>
              <w:rPr>
                <w:sz w:val="13"/>
                <w:szCs w:val="13"/>
                <w:color w:val="auto"/>
              </w:rPr>
            </w:pPr>
          </w:p>
        </w:tc>
      </w:tr>
      <w:tr>
        <w:trPr>
          <w:trHeight w:val="206"/>
        </w:trPr>
        <w:tc>
          <w:tcPr>
            <w:tcW w:w="8320" w:type="dxa"/>
            <w:vAlign w:val="bottom"/>
          </w:tcPr>
          <w:p>
            <w:pPr>
              <w:ind w:left="20"/>
              <w:spacing w:after="0"/>
              <w:rPr>
                <w:sz w:val="20"/>
                <w:szCs w:val="20"/>
                <w:color w:val="auto"/>
              </w:rPr>
            </w:pPr>
            <w:r>
              <w:rPr>
                <w:rFonts w:ascii="Arial" w:cs="Arial" w:eastAsia="Arial" w:hAnsi="Arial"/>
                <w:sz w:val="11"/>
                <w:szCs w:val="11"/>
                <w:b w:val="1"/>
                <w:bCs w:val="1"/>
                <w:color w:val="auto"/>
              </w:rPr>
              <w:t>Customer</w:t>
            </w:r>
          </w:p>
        </w:tc>
        <w:tc>
          <w:tcPr>
            <w:tcW w:w="1520" w:type="dxa"/>
            <w:vAlign w:val="bottom"/>
          </w:tcPr>
          <w:p>
            <w:pPr>
              <w:jc w:val="right"/>
              <w:ind w:right="59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jc w:val="right"/>
              <w:ind w:right="571"/>
              <w:spacing w:after="0"/>
              <w:rPr>
                <w:sz w:val="20"/>
                <w:szCs w:val="20"/>
                <w:color w:val="auto"/>
              </w:rPr>
            </w:pPr>
            <w:r>
              <w:rPr>
                <w:rFonts w:ascii="Arial" w:cs="Arial" w:eastAsia="Arial" w:hAnsi="Arial"/>
                <w:sz w:val="11"/>
                <w:szCs w:val="11"/>
                <w:b w:val="1"/>
                <w:bCs w:val="1"/>
                <w:color w:val="auto"/>
              </w:rPr>
              <w:t>2018</w:t>
            </w:r>
          </w:p>
        </w:tc>
      </w:tr>
      <w:tr>
        <w:trPr>
          <w:trHeight w:val="20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Plains Marketing L.P. (Oil sales from Delhi)</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93"/>
        </w:trPr>
        <w:tc>
          <w:tcPr>
            <w:tcW w:w="8320" w:type="dxa"/>
            <w:vAlign w:val="bottom"/>
          </w:tcPr>
          <w:p>
            <w:pPr>
              <w:ind w:left="20"/>
              <w:spacing w:after="0"/>
              <w:rPr>
                <w:sz w:val="20"/>
                <w:szCs w:val="20"/>
                <w:color w:val="auto"/>
              </w:rPr>
            </w:pPr>
            <w:r>
              <w:rPr>
                <w:rFonts w:ascii="Arial" w:cs="Arial" w:eastAsia="Arial" w:hAnsi="Arial"/>
                <w:sz w:val="14"/>
                <w:szCs w:val="14"/>
                <w:color w:val="auto"/>
              </w:rPr>
              <w:t>American Midstream Gas Solutions. L.P. (NGL sales from Delhi)</w:t>
            </w:r>
          </w:p>
        </w:tc>
        <w:tc>
          <w:tcPr>
            <w:tcW w:w="15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3"/>
        </w:trPr>
        <w:tc>
          <w:tcPr>
            <w:tcW w:w="8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 others</w:t>
            </w:r>
          </w:p>
        </w:tc>
        <w:tc>
          <w:tcPr>
            <w:tcW w:w="218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8320" w:type="dxa"/>
            <w:vAlign w:val="bottom"/>
          </w:tcPr>
          <w:p>
            <w:pPr>
              <w:ind w:left="20"/>
              <w:spacing w:after="0"/>
              <w:rPr>
                <w:sz w:val="20"/>
                <w:szCs w:val="20"/>
                <w:color w:val="auto"/>
              </w:rPr>
            </w:pPr>
            <w:r>
              <w:rPr>
                <w:rFonts w:ascii="Arial" w:cs="Arial" w:eastAsia="Arial" w:hAnsi="Arial"/>
                <w:sz w:val="14"/>
                <w:szCs w:val="14"/>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8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loss of a purchaser at the Delhi field or disruption to pipeline transportation from the field could adversely affect our net realized pricing and potentially our near-term production levels.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 loss of any of our other purchasers would not be expected to have a material adverse effect on our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Conditions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Marketing of crude oil, natural gas, and natural gas liquids and the prices we receive are influenced by many factors that are beyond our control, the exact effect of which is difficult to predict.</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These factors include changes in supply and demand, market prices, government regulation and actions of major foreign producers.</w:t>
      </w:r>
    </w:p>
    <w:p>
      <w:pPr>
        <w:spacing w:after="0" w:line="217" w:lineRule="exact"/>
        <w:rPr>
          <w:sz w:val="20"/>
          <w:szCs w:val="20"/>
          <w:color w:val="auto"/>
        </w:rPr>
      </w:pPr>
    </w:p>
    <w:p>
      <w:pPr>
        <w:ind w:right="140" w:firstLine="345"/>
        <w:spacing w:after="0" w:line="264" w:lineRule="auto"/>
        <w:rPr>
          <w:sz w:val="20"/>
          <w:szCs w:val="20"/>
          <w:color w:val="auto"/>
        </w:rPr>
      </w:pPr>
      <w:r>
        <w:rPr>
          <w:rFonts w:ascii="Arial" w:cs="Arial" w:eastAsia="Arial" w:hAnsi="Arial"/>
          <w:sz w:val="14"/>
          <w:szCs w:val="14"/>
          <w:color w:val="auto"/>
        </w:rPr>
        <w:t>Over the past 30 years, crude oil price fluctuations have been extremely volatile, with crude oil prices varying from less than $10 to over $140 per barrel. More recently, the price of oil per barrel dropped dramatically, starting in the fourth quarter of 2014 and continuing into 2017 before recovering somewhat in late calendar 2018 and then weakening again in 2019. Worldwide factors such as geopolitical, international trade disruptions and tariffs, macroeconomic, supply and demand, refining capacity, petrochemical production and derivatives trading, among others, influence prices for crude oil. Local factors also influence prices for crude oil and include increasing or decreasing production trends, quality differences, regulation and transportation issues unique to certain producing regions and reservoirs.</w:t>
      </w:r>
    </w:p>
    <w:p>
      <w:pPr>
        <w:spacing w:after="0" w:line="192" w:lineRule="exact"/>
        <w:rPr>
          <w:sz w:val="20"/>
          <w:szCs w:val="20"/>
          <w:color w:val="auto"/>
        </w:rPr>
      </w:pPr>
    </w:p>
    <w:p>
      <w:pPr>
        <w:jc w:val="both"/>
        <w:ind w:right="280" w:firstLine="345"/>
        <w:spacing w:after="0" w:line="272" w:lineRule="auto"/>
        <w:rPr>
          <w:sz w:val="20"/>
          <w:szCs w:val="20"/>
          <w:color w:val="auto"/>
        </w:rPr>
      </w:pPr>
      <w:r>
        <w:rPr>
          <w:rFonts w:ascii="Arial" w:cs="Arial" w:eastAsia="Arial" w:hAnsi="Arial"/>
          <w:sz w:val="14"/>
          <w:szCs w:val="14"/>
          <w:color w:val="auto"/>
        </w:rPr>
        <w:t>Also over the past 30 years, domestic natural gas prices have been extremely volatile, ranging from $1 to $15 per MMBTU. The spot market for natural gas, changes in supply and demand, derivatives trading, pipeline availability, BTU content of the natural gas and weather patterns, among others, cause natural gas prices to be subject to significant fluctuations. Due to the practical difficulties in transporting natural gas, local and regional factors tend to influence product prices more for natural gas than for crude oil.</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31" w:lineRule="exact"/>
        <w:rPr>
          <w:sz w:val="20"/>
          <w:szCs w:val="20"/>
          <w:color w:val="auto"/>
        </w:rPr>
      </w:pPr>
    </w:p>
    <w:p>
      <w:pPr>
        <w:ind w:right="60" w:firstLine="345"/>
        <w:spacing w:after="0" w:line="264" w:lineRule="auto"/>
        <w:rPr>
          <w:sz w:val="20"/>
          <w:szCs w:val="20"/>
          <w:color w:val="auto"/>
        </w:rPr>
      </w:pPr>
      <w:r>
        <w:rPr>
          <w:rFonts w:ascii="Arial" w:cs="Arial" w:eastAsia="Arial" w:hAnsi="Arial"/>
          <w:sz w:val="14"/>
          <w:szCs w:val="14"/>
          <w:color w:val="auto"/>
        </w:rPr>
        <w:t>The oil and natural gas industry is highly competitive for prospects, acreage and capital. Our competitors include major integrated crude oil and natural gas companies and numerous independent crude oil and natural gas companies, individuals and drilling and income programs. Many of our competitors are large, well-established companies with substantially larger operating staffs and greater capital resources than ours. Competitors are national, regional or local in scope and compete on the basis of financial resources, technical prowess or local knowledge. The principal competitive factors in our industry are expertise in given geographical and geological areas and the abilities to efficiently conduct operations, achieve technological advantages, identify, acquire economically producible reserves and obtain capital at rates which allow economic investments.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23" w:lineRule="exact"/>
        <w:rPr>
          <w:sz w:val="20"/>
          <w:szCs w:val="20"/>
          <w:color w:val="auto"/>
        </w:rPr>
      </w:pPr>
    </w:p>
    <w:p>
      <w:pPr>
        <w:ind w:right="140" w:firstLine="345"/>
        <w:spacing w:after="0" w:line="263" w:lineRule="auto"/>
        <w:rPr>
          <w:sz w:val="20"/>
          <w:szCs w:val="20"/>
          <w:color w:val="auto"/>
        </w:rPr>
      </w:pPr>
      <w:r>
        <w:rPr>
          <w:rFonts w:ascii="Arial" w:cs="Arial" w:eastAsia="Arial" w:hAnsi="Arial"/>
          <w:sz w:val="14"/>
          <w:szCs w:val="14"/>
          <w:color w:val="auto"/>
        </w:rPr>
        <w:t>Numerous federal and state laws and regulations govern the oil and gas industry, including environmental laws and regulations. These laws and regulations are often changed in response to changes in the political or economic environment. Compliance with this evolving regulatory burden is often difficult and costly, and substantial penalties may be incurred for noncompliance. To the best of our knowledge, we are in compliance with all laws and regulations applicable to our operations and we believe that continued compliance with existing requirements will not have a material adverse impact on us. The future annual capital cost of complying with the regulations applicable to our operations is uncertain and will be governed by several factors, including future changes to regulatory requirements which are unpredictable. However, we do not currently anticipate that future compliance with existing laws and regulations will have a materially adverse effect on our consolidated financial position or results of operations.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60"/>
          </w:cols>
          <w:pgMar w:left="220" w:top="129" w:right="21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right="500" w:firstLine="345"/>
        <w:spacing w:after="0" w:line="288" w:lineRule="auto"/>
        <w:rPr>
          <w:sz w:val="20"/>
          <w:szCs w:val="20"/>
          <w:color w:val="auto"/>
        </w:rPr>
      </w:pPr>
      <w:r>
        <w:rPr>
          <w:rFonts w:ascii="Arial" w:cs="Arial" w:eastAsia="Arial" w:hAnsi="Arial"/>
          <w:sz w:val="14"/>
          <w:szCs w:val="14"/>
          <w:color w:val="auto"/>
        </w:rPr>
        <w:t>See "Government regulation and liability for environmental matters that may adversely affect our business and results of operations" under Item 1A. Risk Factors of this Form 10-K, for additional information regarding government regulation.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Insurance</w:t>
      </w:r>
    </w:p>
    <w:p>
      <w:pPr>
        <w:spacing w:after="0" w:line="123" w:lineRule="exact"/>
        <w:rPr>
          <w:sz w:val="20"/>
          <w:szCs w:val="20"/>
          <w:color w:val="auto"/>
        </w:rPr>
      </w:pPr>
    </w:p>
    <w:p>
      <w:pPr>
        <w:jc w:val="both"/>
        <w:ind w:right="60" w:firstLine="345"/>
        <w:spacing w:after="0" w:line="272" w:lineRule="auto"/>
        <w:rPr>
          <w:sz w:val="20"/>
          <w:szCs w:val="20"/>
          <w:color w:val="auto"/>
        </w:rPr>
      </w:pPr>
      <w:r>
        <w:rPr>
          <w:rFonts w:ascii="Arial" w:cs="Arial" w:eastAsia="Arial" w:hAnsi="Arial"/>
          <w:sz w:val="14"/>
          <w:szCs w:val="14"/>
          <w:color w:val="auto"/>
        </w:rPr>
        <w:t>We maintain insurance on our oil and gas properties and operations for risks and in amounts customary in the industry. Such insurance includes general liability, excess liability, control of well, operators extra expense, casualty, fraud and directors &amp; officer's liability coverage. Not all losses are insured, and we retain certain risks of loss through deductibles, limits and self-retentions. We do not carry lost profits coverage and we do not have coverage for consequential damages.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w:t>
      </w:r>
    </w:p>
    <w:p>
      <w:pPr>
        <w:spacing w:after="0" w:line="231" w:lineRule="exact"/>
        <w:rPr>
          <w:sz w:val="20"/>
          <w:szCs w:val="20"/>
          <w:color w:val="auto"/>
        </w:rPr>
      </w:pPr>
    </w:p>
    <w:p>
      <w:pPr>
        <w:ind w:firstLine="345"/>
        <w:spacing w:after="0" w:line="287" w:lineRule="auto"/>
        <w:rPr>
          <w:sz w:val="20"/>
          <w:szCs w:val="20"/>
          <w:color w:val="auto"/>
        </w:rPr>
      </w:pPr>
      <w:r>
        <w:rPr>
          <w:rFonts w:ascii="Arial" w:cs="Arial" w:eastAsia="Arial" w:hAnsi="Arial"/>
          <w:sz w:val="13"/>
          <w:szCs w:val="13"/>
          <w:color w:val="auto"/>
        </w:rPr>
        <w:t>At June 30, 2019, we had four full-time employees, not including contract personnel and outsourced service providers. None of the Company’s employees are currently represented by a union, and the Company believes that it has excellent relations with its employees. Our team is broadly experienced in oil and gas operations, development, acquisitions and financing. We follow a strategy of outsourcing most of our property accounting, human resources, administrative and other non-core functions. As a result of the retirement of Randy Keys, President and Chief Executive Officer on May 31, 2018, the Board of Directors named Robert Herlin to act as Interim Chief Executive Officer and to commence a search for a permanent Chief Executive Officer. A special Transition Services Committee of the board was created with one member, William Dozier, to provide additional operational oversight to the Company during the transition to a new Chief Executive Officer. On July 10, 2019, Mr. Jason Brown was appointed by the Board of Directors to serve as President and Chief Executive Officer of the Company. Robert Herlin, remained as Chairman of the Board.</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123" w:lineRule="exact"/>
        <w:rPr>
          <w:sz w:val="20"/>
          <w:szCs w:val="20"/>
          <w:color w:val="auto"/>
        </w:rPr>
      </w:pPr>
    </w:p>
    <w:p>
      <w:pPr>
        <w:ind w:firstLine="345"/>
        <w:spacing w:after="0" w:line="263" w:lineRule="auto"/>
        <w:rPr>
          <w:sz w:val="20"/>
          <w:szCs w:val="20"/>
          <w:color w:val="auto"/>
        </w:rPr>
      </w:pPr>
      <w:r>
        <w:rPr>
          <w:rFonts w:ascii="Arial" w:cs="Arial" w:eastAsia="Arial" w:hAnsi="Arial"/>
          <w:sz w:val="14"/>
          <w:szCs w:val="14"/>
          <w:color w:val="auto"/>
        </w:rPr>
        <w:t>We file Annual Reports on Form 10-K, Quarterly Reports on Form 10-Q, Current Reports on Form 8-K and other reports with the Securities and Exchange Commission ("SEC") . Our reports filed with the SEC are available free of charge to the general public through our website at www.evolutionpetroleum.com. These reports are accessible on our website as soon as reasonably practicable after being filed with, or furnished to, the SEC. This Annual Report on Form 10-K and our other filings can also be obtained by contacting: Corporate Secretary, 1155 Dairy Ashford Road, Suite 425, Houston, Texas 77079, or calling (713) 935-0122. These reports are also available at the SEC Public Reference Room at 450 Fifth Street, N.W., Washington, D.C. 20549. The public may obtain information on the operation of the Public Reference Room by calling the SEC at 1-800-SEC-0330. The SEC also maintains a website at www.sec.gov that contains reports, proxy and information statements and other information regarding issuers that file electronically with the SEC.</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129" w:right="21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231" w:lineRule="exact"/>
        <w:rPr>
          <w:sz w:val="20"/>
          <w:szCs w:val="20"/>
          <w:color w:val="auto"/>
        </w:rPr>
      </w:pPr>
    </w:p>
    <w:p>
      <w:pPr>
        <w:ind w:right="240"/>
        <w:spacing w:after="0" w:line="272" w:lineRule="auto"/>
        <w:rPr>
          <w:sz w:val="20"/>
          <w:szCs w:val="20"/>
          <w:color w:val="auto"/>
        </w:rPr>
      </w:pPr>
      <w:r>
        <w:rPr>
          <w:rFonts w:ascii="Arial" w:cs="Arial" w:eastAsia="Arial" w:hAnsi="Arial"/>
          <w:sz w:val="14"/>
          <w:szCs w:val="14"/>
          <w:i w:val="1"/>
          <w:iCs w:val="1"/>
          <w:color w:val="auto"/>
        </w:rPr>
        <w:t>Our business involves a high degree of risk. If any of the following risks, or any risk described elsewhere in this Annual Report on Form 10-K, actually occurs, our business, financial condition or results of operations could suffer. The risks described below are not the only ones facing us. Additional risks not presently known to us or which we currently consider to be immaterial also may adversely affect us.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oil and gas industry and our Company</w:t>
      </w:r>
    </w:p>
    <w:p>
      <w:pPr>
        <w:spacing w:after="0" w:line="123" w:lineRule="exact"/>
        <w:rPr>
          <w:sz w:val="20"/>
          <w:szCs w:val="20"/>
          <w:color w:val="auto"/>
        </w:rPr>
      </w:pPr>
    </w:p>
    <w:p>
      <w:pPr>
        <w:ind w:right="400"/>
        <w:spacing w:after="0" w:line="288" w:lineRule="auto"/>
        <w:rPr>
          <w:sz w:val="20"/>
          <w:szCs w:val="20"/>
          <w:color w:val="auto"/>
        </w:rPr>
      </w:pPr>
      <w:r>
        <w:rPr>
          <w:rFonts w:ascii="Arial" w:cs="Arial" w:eastAsia="Arial" w:hAnsi="Arial"/>
          <w:sz w:val="14"/>
          <w:szCs w:val="14"/>
          <w:b w:val="1"/>
          <w:bCs w:val="1"/>
          <w:i w:val="1"/>
          <w:iCs w:val="1"/>
          <w:color w:val="auto"/>
        </w:rPr>
        <w:t>A substantial or extended decline in oil prices may adversely affect our business, financial condition or results of operations and our ability to meet our capital expenditure obligations and financial commitments.</w:t>
      </w:r>
    </w:p>
    <w:p>
      <w:pPr>
        <w:spacing w:after="0" w:line="174" w:lineRule="exact"/>
        <w:rPr>
          <w:sz w:val="20"/>
          <w:szCs w:val="20"/>
          <w:color w:val="auto"/>
        </w:rPr>
      </w:pPr>
    </w:p>
    <w:p>
      <w:pPr>
        <w:ind w:right="180" w:firstLine="323"/>
        <w:spacing w:after="0" w:line="267" w:lineRule="auto"/>
        <w:rPr>
          <w:sz w:val="20"/>
          <w:szCs w:val="20"/>
          <w:color w:val="auto"/>
        </w:rPr>
      </w:pPr>
      <w:r>
        <w:rPr>
          <w:rFonts w:ascii="Arial" w:cs="Arial" w:eastAsia="Arial" w:hAnsi="Arial"/>
          <w:sz w:val="14"/>
          <w:szCs w:val="14"/>
          <w:color w:val="auto"/>
        </w:rPr>
        <w:t>The price we receive for our oil significantly influences our revenue, profitability, access to capital and future rate of growth. Oil is a commodity and its price is subject to wide fluctuations in response to relatively minor changes in supply and demand. For example, average daily prices for WTI crude oil ranged from a high of $74 per barrel to a low of $27 per barrel over the past four fiscal years ending June 30, 2019. Historically, the markets for oil and natural gas liquids have been volatile and these markets will likely continue to be volatile in the future. The prices we receive for our production depend on numerous factors beyond our control, including, but not limited to the following:</w:t>
      </w:r>
    </w:p>
    <w:p>
      <w:pPr>
        <w:spacing w:after="0" w:line="81" w:lineRule="exact"/>
        <w:rPr>
          <w:sz w:val="20"/>
          <w:szCs w:val="20"/>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worldwide and regional economic conditions impacting the global supply and demand for oil and gas;</w:t>
      </w:r>
    </w:p>
    <w:p>
      <w:pPr>
        <w:spacing w:after="0" w:line="20" w:lineRule="exact"/>
        <w:rPr>
          <w:rFonts w:ascii="Arial" w:cs="Arial" w:eastAsia="Arial" w:hAnsi="Arial"/>
          <w:sz w:val="14"/>
          <w:szCs w:val="14"/>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actions of OPEC or other groups of oil producing nations;</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price and quantity of imports of foreign oil and natural gas;</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political conditions in or affecting other oil-producing and natural gas-producing countries;</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level of global oil and natural gas exploration and production;</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level of global oil and natural gas inventories;</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localized supply and demand fundamentals of regional, domestic and international transportation availability;</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weather conditions and natural disasters;</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domestic and foreign governmental regulations;</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speculation as to the future price of oil and the speculative trading of oil and natural gas futures contracts;</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price and availability of competitors' supplies of oil and natural gas;</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technological advances effecting energy consumption; and</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price and availability of alternative fuels.</w:t>
      </w:r>
    </w:p>
    <w:p>
      <w:pPr>
        <w:spacing w:after="0" w:line="110" w:lineRule="exact"/>
        <w:rPr>
          <w:sz w:val="20"/>
          <w:szCs w:val="20"/>
          <w:color w:val="auto"/>
        </w:rPr>
      </w:pPr>
    </w:p>
    <w:p>
      <w:pPr>
        <w:ind w:firstLine="323"/>
        <w:spacing w:after="0" w:line="263" w:lineRule="auto"/>
        <w:rPr>
          <w:sz w:val="20"/>
          <w:szCs w:val="20"/>
          <w:color w:val="auto"/>
        </w:rPr>
      </w:pPr>
      <w:r>
        <w:rPr>
          <w:rFonts w:ascii="Arial" w:cs="Arial" w:eastAsia="Arial" w:hAnsi="Arial"/>
          <w:sz w:val="14"/>
          <w:szCs w:val="14"/>
          <w:color w:val="auto"/>
        </w:rPr>
        <w:t>Substantially all of our production is sold to purchasers under short-term (less than twelve-month) contracts at market-based prices. A decline in oil and natural gas liquids prices will reduce our cash flows, borrowing ability, the present value of our reserves and our ability to develop future reserves. We may be unable to obtain needed capital or financing on satisfactory terms. Low oil and natural gas liquids prices may also reduce the amount of oil and natural gas liquids that we can produce economically, which could lead to a decline in our oil and natural gas liquids reserves. Because approximately 85% of our proved reserves at June 30, 2019 are crude oil reserves and 15% are natural gas liquids reserves, we are heavily impacted by movements in crude oil prices, which also influence natural gas liquids prices. To the extent that we have not hedged our production with derivative contracts or fixed-price contracts, any significant and extended decline in oil and natural gas liquids prices may adversely affect our financial position.</w:t>
      </w:r>
    </w:p>
    <w:p>
      <w:pPr>
        <w:spacing w:after="0" w:line="84"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b w:val="1"/>
          <w:bCs w:val="1"/>
          <w:i w:val="1"/>
          <w:iCs w:val="1"/>
          <w:color w:val="auto"/>
        </w:rPr>
        <w:t>Our revenues are concentrated in one asset and related declines in production or other events beyond our control could have a material adverse effect on our results of operations and financial results.</w:t>
      </w:r>
    </w:p>
    <w:p>
      <w:pPr>
        <w:spacing w:after="0" w:line="66" w:lineRule="exact"/>
        <w:rPr>
          <w:sz w:val="20"/>
          <w:szCs w:val="20"/>
          <w:color w:val="auto"/>
        </w:rPr>
      </w:pPr>
    </w:p>
    <w:p>
      <w:pPr>
        <w:ind w:right="60" w:firstLine="323"/>
        <w:spacing w:after="0" w:line="302" w:lineRule="auto"/>
        <w:rPr>
          <w:sz w:val="20"/>
          <w:szCs w:val="20"/>
          <w:color w:val="auto"/>
        </w:rPr>
      </w:pPr>
      <w:r>
        <w:rPr>
          <w:rFonts w:ascii="Arial" w:cs="Arial" w:eastAsia="Arial" w:hAnsi="Arial"/>
          <w:sz w:val="13"/>
          <w:szCs w:val="13"/>
          <w:color w:val="auto"/>
        </w:rPr>
        <w:t>Substantially all of our revenues come from our royalty, mineral and working interests in the Delhi field in Louisiana and thus our current revenues are highly concentrated in this field. Any significant downturn in production, oil and NGL prices, or other events beyond our control which impact the Delhi field could have a material adverse effect on our results of operations and financial results. We are not the operator of the Delhi field, and our revenues and future growth are heavily dependent on the success of operations, which we do not control.</w:t>
      </w:r>
    </w:p>
    <w:p>
      <w:pPr>
        <w:spacing w:after="0" w:line="61"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b w:val="1"/>
          <w:bCs w:val="1"/>
          <w:i w:val="1"/>
          <w:iCs w:val="1"/>
          <w:color w:val="auto"/>
        </w:rPr>
        <w:t>Operating results from oil and natural gas production may decline; we may be unable to acquire and develop the additional oil and natural gas reserves that are required in order to sustain our business operations.</w:t>
      </w:r>
    </w:p>
    <w:p>
      <w:pPr>
        <w:spacing w:after="0" w:line="66" w:lineRule="exact"/>
        <w:rPr>
          <w:sz w:val="20"/>
          <w:szCs w:val="20"/>
          <w:color w:val="auto"/>
        </w:rPr>
      </w:pPr>
    </w:p>
    <w:p>
      <w:pPr>
        <w:ind w:right="60" w:firstLine="323"/>
        <w:spacing w:after="0" w:line="267" w:lineRule="auto"/>
        <w:rPr>
          <w:sz w:val="20"/>
          <w:szCs w:val="20"/>
          <w:color w:val="auto"/>
        </w:rPr>
      </w:pPr>
      <w:r>
        <w:rPr>
          <w:rFonts w:ascii="Arial" w:cs="Arial" w:eastAsia="Arial" w:hAnsi="Arial"/>
          <w:sz w:val="14"/>
          <w:szCs w:val="14"/>
          <w:color w:val="auto"/>
        </w:rPr>
        <w:t>In general, the volumes of production from crude oil and natural gas properties decline as reserves are depleted, with the rate of decline depending on reservoir characteristics. Except to the extent we acquire additional properties containing proved reserves or conduct successful development activities, or both, our proved reserves will decline. Our production is heavily dependent on our interests in EOR production that began during March 2010 in the Delhi field. Environmental or operating problems or lack of future investment at Delhi could cause our net production of oil and natural gas liquids to decline significantly over time, which could have a material adverse effect on our financial condition.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129" w:right="21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limited control over the activities on properties we do not operate.</w:t>
      </w:r>
    </w:p>
    <w:p>
      <w:pPr>
        <w:spacing w:after="0" w:line="119" w:lineRule="exact"/>
        <w:rPr>
          <w:sz w:val="20"/>
          <w:szCs w:val="20"/>
          <w:color w:val="auto"/>
        </w:rPr>
      </w:pPr>
    </w:p>
    <w:p>
      <w:pPr>
        <w:ind w:firstLine="323"/>
        <w:spacing w:after="0" w:line="289" w:lineRule="auto"/>
        <w:rPr>
          <w:sz w:val="20"/>
          <w:szCs w:val="20"/>
          <w:color w:val="auto"/>
        </w:rPr>
      </w:pPr>
      <w:r>
        <w:rPr>
          <w:rFonts w:ascii="Arial" w:cs="Arial" w:eastAsia="Arial" w:hAnsi="Arial"/>
          <w:sz w:val="13"/>
          <w:szCs w:val="13"/>
          <w:color w:val="auto"/>
        </w:rPr>
        <w:t>Substantially all of our property interests are not operated by the Company and also involve other third-party working interest owners. As a result, we have limited ability to influence or control the operation or future development of such properties, including compliance with environmental, safety and other regulations, or the amount of capital expenditures that we will be required to fund with respect to such properties. Operators of these properties may act in ways that are not in our best interest. Moreover, we are dependent on the other working interest owners of such projects to fund their contractual share of the capital expenditures of such projects. These limitations and our dependence on the operator and other working interest owners for these projects could cause us to incur unexpected future costs, result in lower production and materially and adversely affect our financial conditions and results of operations.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auto"/>
        </w:rPr>
        <w:t>We are materially dependent upon our operator with respect to the successful operation of our principal asset, which consists of our interests the Delhi field. A materially negative change in our operator’s financial condition could negatively affect operations (or timing thereof) in the Delhi field, and consequently our income (or timing thereof) from the field as well as the value of our interests in the Delhi field.</w:t>
      </w:r>
    </w:p>
    <w:p>
      <w:pPr>
        <w:spacing w:after="0" w:line="78" w:lineRule="exact"/>
        <w:rPr>
          <w:sz w:val="20"/>
          <w:szCs w:val="20"/>
          <w:color w:val="auto"/>
        </w:rPr>
      </w:pPr>
    </w:p>
    <w:p>
      <w:pPr>
        <w:ind w:right="40" w:firstLine="323"/>
        <w:spacing w:after="0" w:line="264" w:lineRule="auto"/>
        <w:rPr>
          <w:sz w:val="20"/>
          <w:szCs w:val="20"/>
          <w:color w:val="auto"/>
        </w:rPr>
      </w:pPr>
      <w:r>
        <w:rPr>
          <w:rFonts w:ascii="Arial" w:cs="Arial" w:eastAsia="Arial" w:hAnsi="Arial"/>
          <w:sz w:val="14"/>
          <w:szCs w:val="14"/>
          <w:color w:val="auto"/>
        </w:rPr>
        <w:t>Our royalty, mineral and working interests in the Delhi field, located in Northeast Louisiana, currently virtually represents our sole producing asset. Over 99% of our revenues come from these interests and thus our current revenues are highly concentrated in this field. Any significant downturn in production or other events beyond our control which impact the Delhi field could have a material adverse effect on our results of operations and financial results (or timing thereof). We are not the operator of the Delhi field. It is operated by a subsidiary of Denbury Resources Inc. (“DNR”), an independent oil and gas company specializing in tertiary recovery with CO</w:t>
      </w:r>
      <w:r>
        <w:rPr>
          <w:rFonts w:ascii="Arial" w:cs="Arial" w:eastAsia="Arial" w:hAnsi="Arial"/>
          <w:sz w:val="10"/>
          <w:szCs w:val="10"/>
          <w:color w:val="auto"/>
        </w:rPr>
        <w:t>2</w:t>
      </w:r>
      <w:r>
        <w:rPr>
          <w:rFonts w:ascii="Arial" w:cs="Arial" w:eastAsia="Arial" w:hAnsi="Arial"/>
          <w:sz w:val="14"/>
          <w:szCs w:val="14"/>
          <w:color w:val="auto"/>
        </w:rPr>
        <w:t>. Our revenues and future growth are thus heavily dependent on the success of operations which we do not control.</w:t>
      </w:r>
    </w:p>
    <w:p>
      <w:pPr>
        <w:spacing w:after="0" w:line="192" w:lineRule="exact"/>
        <w:rPr>
          <w:sz w:val="20"/>
          <w:szCs w:val="20"/>
          <w:color w:val="auto"/>
        </w:rPr>
      </w:pPr>
    </w:p>
    <w:p>
      <w:pPr>
        <w:ind w:right="160" w:firstLine="323"/>
        <w:spacing w:after="0" w:line="294" w:lineRule="auto"/>
        <w:rPr>
          <w:sz w:val="20"/>
          <w:szCs w:val="20"/>
          <w:color w:val="auto"/>
        </w:rPr>
      </w:pPr>
      <w:r>
        <w:rPr>
          <w:rFonts w:ascii="Arial" w:cs="Arial" w:eastAsia="Arial" w:hAnsi="Arial"/>
          <w:sz w:val="13"/>
          <w:szCs w:val="13"/>
          <w:color w:val="auto"/>
        </w:rPr>
        <w:t>Further, our CO</w:t>
      </w:r>
      <w:r>
        <w:rPr>
          <w:rFonts w:ascii="Arial" w:cs="Arial" w:eastAsia="Arial" w:hAnsi="Arial"/>
          <w:sz w:val="9"/>
          <w:szCs w:val="9"/>
          <w:color w:val="auto"/>
        </w:rPr>
        <w:t>2</w:t>
      </w:r>
      <w:r>
        <w:rPr>
          <w:rFonts w:ascii="Arial" w:cs="Arial" w:eastAsia="Arial" w:hAnsi="Arial"/>
          <w:sz w:val="13"/>
          <w:szCs w:val="13"/>
          <w:color w:val="auto"/>
        </w:rPr>
        <w:t xml:space="preserve"> - Enhanced Oil Recovery (“CO</w:t>
      </w:r>
      <w:r>
        <w:rPr>
          <w:rFonts w:ascii="Arial" w:cs="Arial" w:eastAsia="Arial" w:hAnsi="Arial"/>
          <w:sz w:val="9"/>
          <w:szCs w:val="9"/>
          <w:color w:val="auto"/>
        </w:rPr>
        <w:t>2</w:t>
      </w:r>
      <w:r>
        <w:rPr>
          <w:rFonts w:ascii="Arial" w:cs="Arial" w:eastAsia="Arial" w:hAnsi="Arial"/>
          <w:sz w:val="13"/>
          <w:szCs w:val="13"/>
          <w:color w:val="auto"/>
        </w:rPr>
        <w:t>-EOR”) project in the Delhi field requires significant amounts of CO</w:t>
      </w:r>
      <w:r>
        <w:rPr>
          <w:rFonts w:ascii="Arial" w:cs="Arial" w:eastAsia="Arial" w:hAnsi="Arial"/>
          <w:sz w:val="9"/>
          <w:szCs w:val="9"/>
          <w:color w:val="auto"/>
        </w:rPr>
        <w:t>2</w:t>
      </w:r>
      <w:r>
        <w:rPr>
          <w:rFonts w:ascii="Arial" w:cs="Arial" w:eastAsia="Arial" w:hAnsi="Arial"/>
          <w:sz w:val="13"/>
          <w:szCs w:val="13"/>
          <w:color w:val="auto"/>
        </w:rPr>
        <w:t xml:space="preserve"> reserves and technical expertise, the sources of which have been committed by the operator. Additional capital remains to be invested to fully develop this project, further increase production and maximize the value of this asset. The operator's failure to manage these and other technical, environmental, operating, strategic, financial and logistical matters could cause ultimate enhanced recoveries from the planned CO</w:t>
      </w:r>
      <w:r>
        <w:rPr>
          <w:rFonts w:ascii="Arial" w:cs="Arial" w:eastAsia="Arial" w:hAnsi="Arial"/>
          <w:sz w:val="9"/>
          <w:szCs w:val="9"/>
          <w:color w:val="auto"/>
        </w:rPr>
        <w:t>2</w:t>
      </w:r>
      <w:r>
        <w:rPr>
          <w:rFonts w:ascii="Arial" w:cs="Arial" w:eastAsia="Arial" w:hAnsi="Arial"/>
          <w:sz w:val="13"/>
          <w:szCs w:val="13"/>
          <w:color w:val="auto"/>
        </w:rPr>
        <w:t xml:space="preserve"> - EOR project to fall short of our expectations in volume and/or timing. Such occurrences could have a material adverse effect on us, and our results of operations and financial condition.</w:t>
      </w:r>
    </w:p>
    <w:p>
      <w:pPr>
        <w:spacing w:after="0" w:line="173" w:lineRule="exact"/>
        <w:rPr>
          <w:sz w:val="20"/>
          <w:szCs w:val="20"/>
          <w:color w:val="auto"/>
        </w:rPr>
      </w:pPr>
    </w:p>
    <w:p>
      <w:pPr>
        <w:jc w:val="both"/>
        <w:ind w:right="80" w:firstLine="323"/>
        <w:spacing w:after="0" w:line="272" w:lineRule="auto"/>
        <w:rPr>
          <w:sz w:val="20"/>
          <w:szCs w:val="20"/>
          <w:color w:val="auto"/>
        </w:rPr>
      </w:pPr>
      <w:r>
        <w:rPr>
          <w:rFonts w:ascii="Arial" w:cs="Arial" w:eastAsia="Arial" w:hAnsi="Arial"/>
          <w:sz w:val="14"/>
          <w:szCs w:val="14"/>
          <w:color w:val="auto"/>
        </w:rPr>
        <w:t>Our economic success is thus materially dependent upon the Delhi field operator's ability to: (i) deliver sufficient quantities of CO</w:t>
      </w:r>
      <w:r>
        <w:rPr>
          <w:rFonts w:ascii="Arial" w:cs="Arial" w:eastAsia="Arial" w:hAnsi="Arial"/>
          <w:sz w:val="10"/>
          <w:szCs w:val="10"/>
          <w:color w:val="auto"/>
        </w:rPr>
        <w:t>2</w:t>
      </w:r>
      <w:r>
        <w:rPr>
          <w:rFonts w:ascii="Arial" w:cs="Arial" w:eastAsia="Arial" w:hAnsi="Arial"/>
          <w:sz w:val="14"/>
          <w:szCs w:val="14"/>
          <w:color w:val="auto"/>
        </w:rPr>
        <w:t xml:space="preserve"> from its reserves in the Jackson Dome source, (ii) secure its share of capital necessary to fund development and operating commitments with respect to the field and (iii) successfully manage related technical, operating, environmental, strategic and logistical risks, among other things.</w:t>
      </w:r>
    </w:p>
    <w:p>
      <w:pPr>
        <w:spacing w:after="0" w:line="185" w:lineRule="exact"/>
        <w:rPr>
          <w:sz w:val="20"/>
          <w:szCs w:val="20"/>
          <w:color w:val="auto"/>
        </w:rPr>
      </w:pPr>
    </w:p>
    <w:p>
      <w:pPr>
        <w:ind w:right="40" w:firstLine="323"/>
        <w:spacing w:after="0" w:line="294" w:lineRule="auto"/>
        <w:rPr>
          <w:sz w:val="20"/>
          <w:szCs w:val="20"/>
          <w:color w:val="auto"/>
        </w:rPr>
      </w:pPr>
      <w:r>
        <w:rPr>
          <w:rFonts w:ascii="Arial" w:cs="Arial" w:eastAsia="Arial" w:hAnsi="Arial"/>
          <w:sz w:val="13"/>
          <w:szCs w:val="13"/>
          <w:color w:val="auto"/>
        </w:rPr>
        <w:t>We are aware that DNR, which is publicly traded, has disclosed in its public SEC filings certain risks related to its current level of indebtedness and the related financial covenants. They have stated, for example, that their level of indebtedness could have important consequences, including, among others, requiring dedication of a substantial portion of DNR’s cash flow from operations to servicing their indebtedness (so that such cash flows would not be available for capital expenditures or other purposes). They noted that their ability to meet their obligations under their debt instruments will depend in part upon prevailing economic conditions and commodity prices. DNR also noted that it has from time to time deferred development spending for certain projects.</w:t>
      </w:r>
    </w:p>
    <w:p>
      <w:pPr>
        <w:spacing w:after="0" w:line="173" w:lineRule="exact"/>
        <w:rPr>
          <w:sz w:val="20"/>
          <w:szCs w:val="20"/>
          <w:color w:val="auto"/>
        </w:rPr>
      </w:pPr>
    </w:p>
    <w:p>
      <w:pPr>
        <w:ind w:right="20" w:firstLine="323"/>
        <w:spacing w:after="0" w:line="328" w:lineRule="auto"/>
        <w:rPr>
          <w:sz w:val="20"/>
          <w:szCs w:val="20"/>
          <w:color w:val="auto"/>
        </w:rPr>
      </w:pPr>
      <w:r>
        <w:rPr>
          <w:rFonts w:ascii="Arial" w:cs="Arial" w:eastAsia="Arial" w:hAnsi="Arial"/>
          <w:sz w:val="13"/>
          <w:szCs w:val="13"/>
          <w:color w:val="auto"/>
        </w:rPr>
        <w:t>Given the current stress in the global commodity markets and oil and gas in particular, our operator could be materially negatively impacted, which could in turn negatively affect the operator’s ability to operate the Delhi field as well as its financial commitment to the CO</w:t>
      </w:r>
      <w:r>
        <w:rPr>
          <w:rFonts w:ascii="Arial" w:cs="Arial" w:eastAsia="Arial" w:hAnsi="Arial"/>
          <w:sz w:val="9"/>
          <w:szCs w:val="9"/>
          <w:color w:val="auto"/>
        </w:rPr>
        <w:t>2</w:t>
      </w:r>
      <w:r>
        <w:rPr>
          <w:rFonts w:ascii="Arial" w:cs="Arial" w:eastAsia="Arial" w:hAnsi="Arial"/>
          <w:sz w:val="13"/>
          <w:szCs w:val="13"/>
          <w:color w:val="auto"/>
        </w:rPr>
        <w:t>-EOR project in the field, and thus our interests in the Delhi field could be materially negatively impacted.</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types of resources we focus on have substantial operational risks.</w:t>
      </w:r>
    </w:p>
    <w:p>
      <w:pPr>
        <w:spacing w:after="0" w:line="119" w:lineRule="exact"/>
        <w:rPr>
          <w:sz w:val="20"/>
          <w:szCs w:val="20"/>
          <w:color w:val="auto"/>
        </w:rPr>
      </w:pPr>
    </w:p>
    <w:p>
      <w:pPr>
        <w:ind w:right="40" w:firstLine="323"/>
        <w:spacing w:after="0" w:line="289" w:lineRule="auto"/>
        <w:rPr>
          <w:sz w:val="20"/>
          <w:szCs w:val="20"/>
          <w:color w:val="auto"/>
        </w:rPr>
      </w:pPr>
      <w:r>
        <w:rPr>
          <w:rFonts w:ascii="Arial" w:cs="Arial" w:eastAsia="Arial" w:hAnsi="Arial"/>
          <w:sz w:val="13"/>
          <w:szCs w:val="13"/>
          <w:color w:val="auto"/>
        </w:rPr>
        <w:t>Our business plan focuses on the acquisition and development of known resources in partially depleted reservoirs, naturally fractured or low permeability reservoirs. Our Delhi asset is productive from a relatively shallow reservoir but we may pursue assets that produce from deeper reservoirs. Shallower reservoirs usually have lower pressure, which generally translates into lower reserve volumes in place. Deeper reservoirs have higher pressures and usually more reserve volumes, but capturing those reserves often comes at increased drilling and completion risk. Low permeability reservoirs require more wells and substantial stimulation for development of commercial production. Naturally fractured reservoirs require penetration of sufficient undepleted fractures to establish commercial production. Depleted reservoirs require successful application of newer technology to unlock incremental reserves.</w:t>
      </w:r>
    </w:p>
    <w:p>
      <w:pPr>
        <w:spacing w:after="0" w:line="178" w:lineRule="exact"/>
        <w:rPr>
          <w:sz w:val="20"/>
          <w:szCs w:val="20"/>
          <w:color w:val="auto"/>
        </w:rPr>
      </w:pPr>
    </w:p>
    <w:p>
      <w:pPr>
        <w:ind w:right="260" w:firstLine="323"/>
        <w:spacing w:after="0" w:line="288" w:lineRule="auto"/>
        <w:rPr>
          <w:sz w:val="20"/>
          <w:szCs w:val="20"/>
          <w:color w:val="auto"/>
        </w:rPr>
      </w:pPr>
      <w:r>
        <w:rPr>
          <w:rFonts w:ascii="Arial" w:cs="Arial" w:eastAsia="Arial" w:hAnsi="Arial"/>
          <w:sz w:val="14"/>
          <w:szCs w:val="14"/>
          <w:color w:val="auto"/>
        </w:rPr>
        <w:t>Our CO</w:t>
      </w:r>
      <w:r>
        <w:rPr>
          <w:rFonts w:ascii="Arial" w:cs="Arial" w:eastAsia="Arial" w:hAnsi="Arial"/>
          <w:sz w:val="10"/>
          <w:szCs w:val="10"/>
          <w:color w:val="auto"/>
        </w:rPr>
        <w:t>2</w:t>
      </w:r>
      <w:r>
        <w:rPr>
          <w:rFonts w:ascii="Arial" w:cs="Arial" w:eastAsia="Arial" w:hAnsi="Arial"/>
          <w:sz w:val="14"/>
          <w:szCs w:val="14"/>
          <w:color w:val="auto"/>
        </w:rPr>
        <w:t>-EOR project in the Delhi field, operated by a subsidiary of Denbury Resources Inc., requires significant amounts of CO</w:t>
      </w:r>
      <w:r>
        <w:rPr>
          <w:rFonts w:ascii="Arial" w:cs="Arial" w:eastAsia="Arial" w:hAnsi="Arial"/>
          <w:sz w:val="10"/>
          <w:szCs w:val="10"/>
          <w:color w:val="auto"/>
        </w:rPr>
        <w:t>2</w:t>
      </w:r>
      <w:r>
        <w:rPr>
          <w:rFonts w:ascii="Arial" w:cs="Arial" w:eastAsia="Arial" w:hAnsi="Arial"/>
          <w:sz w:val="14"/>
          <w:szCs w:val="14"/>
          <w:color w:val="auto"/>
        </w:rPr>
        <w:t xml:space="preserve"> reserves, development capital and technical expertise, the sources of which to date have been committed by the</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00"/>
          </w:cols>
          <w:pgMar w:left="220" w:top="129"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operator. Although initial CO</w:t>
      </w:r>
      <w:r>
        <w:rPr>
          <w:rFonts w:ascii="Arial" w:cs="Arial" w:eastAsia="Arial" w:hAnsi="Arial"/>
          <w:sz w:val="10"/>
          <w:szCs w:val="10"/>
          <w:color w:val="auto"/>
        </w:rPr>
        <w:t>2</w:t>
      </w:r>
      <w:r>
        <w:rPr>
          <w:rFonts w:ascii="Arial" w:cs="Arial" w:eastAsia="Arial" w:hAnsi="Arial"/>
          <w:sz w:val="14"/>
          <w:szCs w:val="14"/>
          <w:color w:val="auto"/>
        </w:rPr>
        <w:t xml:space="preserve"> injection began at Delhi in November 2009, initial oil production response began in March 2010 and a large part of the capital budget has already been expended, additional capital remains to be invested to fully develop the EOR project, further increase production and maximize the value of the asset. The operator's failure to manage these and other technical, environmental, operating, strategic, financial and logistical risks may cause ultimate enhanced recoveries from the planned CO</w:t>
      </w:r>
      <w:r>
        <w:rPr>
          <w:rFonts w:ascii="Arial" w:cs="Arial" w:eastAsia="Arial" w:hAnsi="Arial"/>
          <w:sz w:val="10"/>
          <w:szCs w:val="10"/>
          <w:color w:val="auto"/>
        </w:rPr>
        <w:t>2</w:t>
      </w:r>
      <w:r>
        <w:rPr>
          <w:rFonts w:ascii="Arial" w:cs="Arial" w:eastAsia="Arial" w:hAnsi="Arial"/>
          <w:sz w:val="14"/>
          <w:szCs w:val="14"/>
          <w:color w:val="auto"/>
        </w:rPr>
        <w:t>-EOR project to fall short of our expectations in volume and/or timing. Such occurrences would have a material adverse effect on the Company, its results of operations and financial condition.</w:t>
      </w:r>
    </w:p>
    <w:p>
      <w:pPr>
        <w:spacing w:after="0" w:line="81" w:lineRule="exact"/>
        <w:rPr>
          <w:sz w:val="20"/>
          <w:szCs w:val="20"/>
          <w:color w:val="auto"/>
        </w:rPr>
      </w:pPr>
    </w:p>
    <w:p>
      <w:pPr>
        <w:ind w:right="420"/>
        <w:spacing w:after="0" w:line="288" w:lineRule="auto"/>
        <w:rPr>
          <w:sz w:val="20"/>
          <w:szCs w:val="20"/>
          <w:color w:val="auto"/>
        </w:rPr>
      </w:pPr>
      <w:r>
        <w:rPr>
          <w:rFonts w:ascii="Arial" w:cs="Arial" w:eastAsia="Arial" w:hAnsi="Arial"/>
          <w:sz w:val="14"/>
          <w:szCs w:val="14"/>
          <w:b w:val="1"/>
          <w:bCs w:val="1"/>
          <w:i w:val="1"/>
          <w:iCs w:val="1"/>
          <w:color w:val="auto"/>
        </w:rPr>
        <w:t>Crude oil and natural gas development, re-completion of wells from one reservoir to another reservoir, restoring wells to production and drilling and completing new wells are speculative activities and involve numerous risks and substantial uncertain costs.</w:t>
      </w:r>
    </w:p>
    <w:p>
      <w:pPr>
        <w:spacing w:after="0" w:line="66" w:lineRule="exact"/>
        <w:rPr>
          <w:sz w:val="20"/>
          <w:szCs w:val="20"/>
          <w:color w:val="auto"/>
        </w:rPr>
      </w:pPr>
    </w:p>
    <w:p>
      <w:pPr>
        <w:ind w:right="260" w:firstLine="323"/>
        <w:spacing w:after="0" w:line="272" w:lineRule="auto"/>
        <w:rPr>
          <w:sz w:val="20"/>
          <w:szCs w:val="20"/>
          <w:color w:val="auto"/>
        </w:rPr>
      </w:pPr>
      <w:r>
        <w:rPr>
          <w:rFonts w:ascii="Arial" w:cs="Arial" w:eastAsia="Arial" w:hAnsi="Arial"/>
          <w:sz w:val="14"/>
          <w:szCs w:val="14"/>
          <w:color w:val="auto"/>
        </w:rPr>
        <w:t>Our growth will be materially dependent upon the success of our future development program. Drilling for crude oil and extracting natural gas liquids and re-working existing wells involve numerous risks, including the risk that no commercially productive crude oil or natural gas reservoirs will be encountered. The cost of drilling, completing and operating wells is substantial and uncertain, and drilling operations may be curtailed, delayed or canceled as a result of a variety of factors beyond our control, including, but not limited to:</w:t>
      </w:r>
    </w:p>
    <w:p>
      <w:pPr>
        <w:spacing w:after="0" w:line="78" w:lineRule="exact"/>
        <w:rPr>
          <w:sz w:val="20"/>
          <w:szCs w:val="20"/>
          <w:color w:val="auto"/>
        </w:rPr>
      </w:pPr>
    </w:p>
    <w:p>
      <w:pPr>
        <w:ind w:left="1360" w:hanging="265"/>
        <w:spacing w:after="0"/>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unexpected drilling conditions;</w:t>
      </w:r>
    </w:p>
    <w:p>
      <w:pPr>
        <w:spacing w:after="0" w:line="20" w:lineRule="exact"/>
        <w:rPr>
          <w:rFonts w:ascii="Arial" w:cs="Arial" w:eastAsia="Arial" w:hAnsi="Arial"/>
          <w:sz w:val="14"/>
          <w:szCs w:val="14"/>
          <w:color w:val="auto"/>
        </w:rPr>
      </w:pPr>
    </w:p>
    <w:p>
      <w:pPr>
        <w:ind w:left="1360" w:hanging="265"/>
        <w:spacing w:after="0"/>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pressure fluctuations or irregularities in formations;</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equipment failures or accidents;</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environmental events;</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inability to obtain or maintain leases on economic terms, where applicable;</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adverse weather conditions;</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compliance with governmental requirements; and</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shortages or delays in the availability of drilling rigs or crews and the delivery of equipment.</w:t>
      </w:r>
    </w:p>
    <w:p>
      <w:pPr>
        <w:spacing w:after="0" w:line="110" w:lineRule="exact"/>
        <w:rPr>
          <w:sz w:val="20"/>
          <w:szCs w:val="20"/>
          <w:color w:val="auto"/>
        </w:rPr>
      </w:pPr>
    </w:p>
    <w:p>
      <w:pPr>
        <w:ind w:right="40" w:firstLine="323"/>
        <w:spacing w:after="0" w:line="267" w:lineRule="auto"/>
        <w:rPr>
          <w:sz w:val="20"/>
          <w:szCs w:val="20"/>
          <w:color w:val="auto"/>
        </w:rPr>
      </w:pPr>
      <w:r>
        <w:rPr>
          <w:rFonts w:ascii="Arial" w:cs="Arial" w:eastAsia="Arial" w:hAnsi="Arial"/>
          <w:sz w:val="14"/>
          <w:szCs w:val="14"/>
          <w:color w:val="auto"/>
        </w:rPr>
        <w:t>Drilling or re-working is a highly speculative activity. Even when fully and correctly utilized, modern well completion techniques such as horizontal drilling or CO</w:t>
      </w:r>
      <w:r>
        <w:rPr>
          <w:rFonts w:ascii="Arial" w:cs="Arial" w:eastAsia="Arial" w:hAnsi="Arial"/>
          <w:sz w:val="10"/>
          <w:szCs w:val="10"/>
          <w:color w:val="auto"/>
        </w:rPr>
        <w:t>2</w:t>
      </w:r>
      <w:r>
        <w:rPr>
          <w:rFonts w:ascii="Arial" w:cs="Arial" w:eastAsia="Arial" w:hAnsi="Arial"/>
          <w:sz w:val="14"/>
          <w:szCs w:val="14"/>
          <w:color w:val="auto"/>
        </w:rPr>
        <w:t xml:space="preserve"> injection or other injectants do not guarantee that we will find and produce crude oil and/or natural gas in our wells in economic quantities. Our future drilling activities may not be successful and, if unsuccessful, such failure would have an adverse effect on our future results of operations and financial condition. We cannot assure you that our overall drilling success rate or our drilling success rate for activities within a particular geographic area will not decline.</w:t>
      </w:r>
    </w:p>
    <w:p>
      <w:pPr>
        <w:spacing w:after="0" w:line="189" w:lineRule="exact"/>
        <w:rPr>
          <w:sz w:val="20"/>
          <w:szCs w:val="20"/>
          <w:color w:val="auto"/>
        </w:rPr>
      </w:pPr>
    </w:p>
    <w:p>
      <w:pPr>
        <w:ind w:right="320" w:firstLine="323"/>
        <w:spacing w:after="0" w:line="272" w:lineRule="auto"/>
        <w:rPr>
          <w:sz w:val="20"/>
          <w:szCs w:val="20"/>
          <w:color w:val="auto"/>
        </w:rPr>
      </w:pPr>
      <w:r>
        <w:rPr>
          <w:rFonts w:ascii="Arial" w:cs="Arial" w:eastAsia="Arial" w:hAnsi="Arial"/>
          <w:sz w:val="14"/>
          <w:szCs w:val="14"/>
          <w:color w:val="auto"/>
        </w:rPr>
        <w:t>We may also identify and develop prospects through a number of methods, some of which may include horizontal drilling or tertiary injectants, and some of which may be unproven. The drilling and results for these prospects may be particularly uncertain. We cannot assure you that these projects can be successfully developed or that the wells discussed will, if drilled, encounter reservoirs of commercially productive crude oil or natural gas.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loss of a large single purchaser of our oil and natural gas could reduce the competition of our production.</w:t>
      </w:r>
    </w:p>
    <w:p>
      <w:pPr>
        <w:spacing w:after="0" w:line="119" w:lineRule="exact"/>
        <w:rPr>
          <w:sz w:val="20"/>
          <w:szCs w:val="20"/>
          <w:color w:val="auto"/>
        </w:rPr>
      </w:pPr>
    </w:p>
    <w:p>
      <w:pPr>
        <w:ind w:firstLine="323"/>
        <w:spacing w:after="0" w:line="289" w:lineRule="auto"/>
        <w:rPr>
          <w:sz w:val="20"/>
          <w:szCs w:val="20"/>
          <w:color w:val="auto"/>
        </w:rPr>
      </w:pPr>
      <w:r>
        <w:rPr>
          <w:rFonts w:ascii="Arial" w:cs="Arial" w:eastAsia="Arial" w:hAnsi="Arial"/>
          <w:sz w:val="13"/>
          <w:szCs w:val="13"/>
          <w:color w:val="auto"/>
        </w:rPr>
        <w:t>For the year ended June 30, 2019, one purchaser accounted for 94% of our oil and natural gas liquid revenues. We do not currently market our share of crude oil production from the Delhi field. Although we have the right to take our working interest production in-kind, we are currently accepting terms under the Delhi operator's agreement with Plains Marketing L.P. for the delivery and pricing of our oil at the field. The loss of such large single purchaser for our oil and natural gas production could negatively impact the revenue we receive. We cannot assure you we could readily find other purchasers for our oil and natural gas production. In addition, the crude oil production from the Delhi field is transported by pipeline and if this pipeline transportation were disrupted and we were forced to use alternative transportation methods, our net realized pricing and potentially our near-term production levels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crude oil and natural gas reserves are only estimates and may prove to be inaccurate.</w:t>
      </w:r>
    </w:p>
    <w:p>
      <w:pPr>
        <w:spacing w:after="0" w:line="119" w:lineRule="exact"/>
        <w:rPr>
          <w:sz w:val="20"/>
          <w:szCs w:val="20"/>
          <w:color w:val="auto"/>
        </w:rPr>
      </w:pPr>
    </w:p>
    <w:p>
      <w:pPr>
        <w:ind w:right="40" w:firstLine="323"/>
        <w:spacing w:after="0" w:line="285" w:lineRule="auto"/>
        <w:rPr>
          <w:sz w:val="20"/>
          <w:szCs w:val="20"/>
          <w:color w:val="auto"/>
        </w:rPr>
      </w:pPr>
      <w:r>
        <w:rPr>
          <w:rFonts w:ascii="Arial" w:cs="Arial" w:eastAsia="Arial" w:hAnsi="Arial"/>
          <w:sz w:val="13"/>
          <w:szCs w:val="13"/>
          <w:color w:val="auto"/>
        </w:rPr>
        <w:t>There are numerous uncertainties inherent in estimating crude oil and natural gas reserves and their estimated values. Our reserves are only estimates that may prove to be inaccurate because of these uncertainties. Reservoir engineering is a subjective and inexact process of estimating underground accumulations of crude oil and natural gas that cannot be measured in an exact manner. Estimates of economically recoverable crude oil and natural gas reserves depend upon a number of variable factors, such as historical production from the area compared with production from other producing areas and assumptions concerning effects of regulations by governmental agencies, future crude oil and natural gas product prices, future operating costs, severance and excise taxes, development costs and work-over and remedial costs. Some or all of these assumptions may vary considerably from actual results. For these reasons, estimates of the economically recoverable quantities of crude oil and natural gas attributable to any particular group of properties, classifications of such reserves based on risk of recovery, and estimates of the future net cash flows expected therefrom prepared by different engineers or by the same engineers but at different times, may vary substantially.</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20" w:top="129"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firstLine="323"/>
        <w:spacing w:after="0" w:line="284" w:lineRule="auto"/>
        <w:rPr>
          <w:sz w:val="20"/>
          <w:szCs w:val="20"/>
          <w:color w:val="auto"/>
        </w:rPr>
      </w:pPr>
      <w:r>
        <w:rPr>
          <w:rFonts w:ascii="Arial" w:cs="Arial" w:eastAsia="Arial" w:hAnsi="Arial"/>
          <w:sz w:val="13"/>
          <w:szCs w:val="13"/>
          <w:color w:val="auto"/>
        </w:rPr>
        <w:t>Accordingly, reserve estimates may be subject to downward or upward adjustment. Actual production, revenue and expenditures with respect to our reserves will likely vary from estimates, and such variances may be material. The information regarding discounted future net cash flows included in this report should not be considered as the current market value of the estimated crude oil and natural gas reserves attributable to our properties. The estimated discounted future net cash flows from proved reserves are based on the 12-month average price, calculated as the unweighted arithmetic average of the first-day-of-the-month price for each month within the 12-month period prior to the end of the reporting period, and costs as of the date of the estimate, while actual future prices and costs may be materially higher or lower. Actual future net cash flows also will be affected by factors such as the amount and timing of actual production, supply and demand for crude oil and natural gas, increases or decreases in consumption, and changes in governmental regulations or taxation. In addition, the 10% discount factor, which is required by the SEC to be used in calculating discounted future net cash flows for reporting purposes, is not necessarily the most appropriate discount factor based on interest rates in effect from time to time and risks associated with us or the crude oil and natural gas industry in general. The Standardized Measure and PV-10 do not necessarily correspond to market value.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and accounting requirements may require substantial reductions in reporting proven reserves.</w:t>
      </w:r>
    </w:p>
    <w:p>
      <w:pPr>
        <w:spacing w:after="0" w:line="119" w:lineRule="exact"/>
        <w:rPr>
          <w:sz w:val="20"/>
          <w:szCs w:val="20"/>
          <w:color w:val="auto"/>
        </w:rPr>
      </w:pPr>
    </w:p>
    <w:p>
      <w:pPr>
        <w:ind w:right="20" w:firstLine="323"/>
        <w:spacing w:after="0" w:line="261" w:lineRule="auto"/>
        <w:rPr>
          <w:sz w:val="20"/>
          <w:szCs w:val="20"/>
          <w:color w:val="auto"/>
        </w:rPr>
      </w:pPr>
      <w:r>
        <w:rPr>
          <w:rFonts w:ascii="Arial" w:cs="Arial" w:eastAsia="Arial" w:hAnsi="Arial"/>
          <w:sz w:val="14"/>
          <w:szCs w:val="14"/>
          <w:color w:val="auto"/>
        </w:rPr>
        <w:t>We review on a periodic basis the carrying value of our crude oil and natural gas properties under the applicable rules of the various regulatory agencies, including the SEC. Under the full cost method of accounting that we use, the after-tax carrying value of our oil and natural gas properties may not exceed the present value of estimated future net after-tax cash flows from proved reserves, discounted at 10%. Application of this "ceiling" test requires pricing future revenues at the previous 12-month average beginning-of-month price and requires a write down of the carrying value for accounting purposes if the ceiling is exceeded. We may in the future be required to write down the carrying value of our crude oil and natural gas properties when crude oil and natural gas prices are depressed or unusually volatile. Whether we will be required to take such a charge will depend in part on the prices for crude oil and natural gas during the previous period and the effect of reserve additions or revisions and capital expenditures during such period. If a write down is required, it would result in a current charge to our earnings but would not impact our current cash flow from operating activities. A large write-down could adversely affect our compliance with the current financial covenants under our credit facility and could limit our access to future borrowings under that facility or require repayment of any amounts that might be outstanding at the time.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derivative activities could result in financial losses or could reduce our income.</w:t>
      </w:r>
    </w:p>
    <w:p>
      <w:pPr>
        <w:spacing w:after="0" w:line="119" w:lineRule="exact"/>
        <w:rPr>
          <w:sz w:val="20"/>
          <w:szCs w:val="20"/>
          <w:color w:val="auto"/>
        </w:rPr>
      </w:pPr>
    </w:p>
    <w:p>
      <w:pPr>
        <w:ind w:right="160" w:firstLine="323"/>
        <w:spacing w:after="0" w:line="264" w:lineRule="auto"/>
        <w:rPr>
          <w:sz w:val="20"/>
          <w:szCs w:val="20"/>
          <w:color w:val="auto"/>
        </w:rPr>
      </w:pPr>
      <w:r>
        <w:rPr>
          <w:rFonts w:ascii="Arial" w:cs="Arial" w:eastAsia="Arial" w:hAnsi="Arial"/>
          <w:sz w:val="14"/>
          <w:szCs w:val="14"/>
          <w:color w:val="auto"/>
        </w:rPr>
        <w:t>To achieve more predictable cash flows and to reduce our exposure to adverse fluctuations in the prices of oil and natural gas liquids, we have, and may in the future, enter into derivative arrangements for a portion of our oil and natural gas liquids production, including costless collars and fixed-price swaps. We have not designated any of our derivative instruments as hedges for accounting purposes and record all derivative instruments on our balance sheet at fair value. Changes in the fair value of our derivative instruments are recognized in earnings. Accordingly, our earnings may fluctuate significantly as a result of changes in the fair value of our derivative instruments. Derivative arrangements also expose us to the risk of financial loss in some circumstances, including, but not limited to, if:</w:t>
      </w:r>
    </w:p>
    <w:p>
      <w:pPr>
        <w:spacing w:after="0" w:line="84" w:lineRule="exact"/>
        <w:rPr>
          <w:sz w:val="20"/>
          <w:szCs w:val="20"/>
          <w:color w:val="auto"/>
        </w:rPr>
      </w:pPr>
    </w:p>
    <w:p>
      <w:pPr>
        <w:ind w:left="840" w:hanging="263"/>
        <w:spacing w:after="0"/>
        <w:tabs>
          <w:tab w:leader="none" w:pos="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production is less than the volume covered by the derivative instruments;</w:t>
      </w:r>
    </w:p>
    <w:p>
      <w:pPr>
        <w:spacing w:after="0" w:line="20" w:lineRule="exact"/>
        <w:rPr>
          <w:rFonts w:ascii="Arial" w:cs="Arial" w:eastAsia="Arial" w:hAnsi="Arial"/>
          <w:sz w:val="14"/>
          <w:szCs w:val="14"/>
          <w:color w:val="auto"/>
        </w:rPr>
      </w:pPr>
    </w:p>
    <w:p>
      <w:pPr>
        <w:ind w:left="840" w:hanging="263"/>
        <w:spacing w:after="0"/>
        <w:tabs>
          <w:tab w:leader="none" w:pos="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counterparty to the derivative instrument defaults on its contract obligations; or</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there is a change in the expected differential between the underlying price in the derivative instrument and actual price received.</w:t>
      </w:r>
    </w:p>
    <w:p>
      <w:pPr>
        <w:spacing w:after="0" w:line="110" w:lineRule="exact"/>
        <w:rPr>
          <w:sz w:val="20"/>
          <w:szCs w:val="20"/>
          <w:color w:val="auto"/>
        </w:rPr>
      </w:pPr>
    </w:p>
    <w:p>
      <w:pPr>
        <w:ind w:right="340" w:firstLine="323"/>
        <w:spacing w:after="0" w:line="288" w:lineRule="auto"/>
        <w:rPr>
          <w:sz w:val="20"/>
          <w:szCs w:val="20"/>
          <w:color w:val="auto"/>
        </w:rPr>
      </w:pPr>
      <w:r>
        <w:rPr>
          <w:rFonts w:ascii="Arial" w:cs="Arial" w:eastAsia="Arial" w:hAnsi="Arial"/>
          <w:sz w:val="14"/>
          <w:szCs w:val="14"/>
          <w:color w:val="auto"/>
        </w:rPr>
        <w:t>In addition, some of these types of derivative arrangements limit the benefit we would receive from increases in the prices for oil and natural gas liquids and may expose us to cash margin requirements.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have difficulty managing future growth and the related demands on our resources and may have difficulty in achieving future growth.</w:t>
      </w:r>
    </w:p>
    <w:p>
      <w:pPr>
        <w:spacing w:after="0" w:line="119" w:lineRule="exact"/>
        <w:rPr>
          <w:sz w:val="20"/>
          <w:szCs w:val="20"/>
          <w:color w:val="auto"/>
        </w:rPr>
      </w:pPr>
    </w:p>
    <w:p>
      <w:pPr>
        <w:ind w:right="40" w:firstLine="323"/>
        <w:spacing w:after="0" w:line="288" w:lineRule="auto"/>
        <w:rPr>
          <w:sz w:val="20"/>
          <w:szCs w:val="20"/>
          <w:color w:val="auto"/>
        </w:rPr>
      </w:pPr>
      <w:r>
        <w:rPr>
          <w:rFonts w:ascii="Arial" w:cs="Arial" w:eastAsia="Arial" w:hAnsi="Arial"/>
          <w:sz w:val="14"/>
          <w:szCs w:val="14"/>
          <w:color w:val="auto"/>
        </w:rPr>
        <w:t>Although we plan to experience growth through acquisitions and development activity, any such growth may place a significant strain on our financial, technical, operational and administrative resources. Our ability to grow will depend upon a number of factors, including, but not limited to the following:</w:t>
      </w:r>
    </w:p>
    <w:p>
      <w:pPr>
        <w:spacing w:after="0" w:line="66" w:lineRule="exact"/>
        <w:rPr>
          <w:sz w:val="20"/>
          <w:szCs w:val="20"/>
          <w:color w:val="auto"/>
        </w:rPr>
      </w:pPr>
    </w:p>
    <w:p>
      <w:pPr>
        <w:ind w:left="1360" w:hanging="265"/>
        <w:spacing w:after="0"/>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identify and acquire new development projects;</w:t>
      </w:r>
    </w:p>
    <w:p>
      <w:pPr>
        <w:spacing w:after="0" w:line="21" w:lineRule="exact"/>
        <w:rPr>
          <w:rFonts w:ascii="Arial" w:cs="Arial" w:eastAsia="Arial" w:hAnsi="Arial"/>
          <w:sz w:val="14"/>
          <w:szCs w:val="14"/>
          <w:color w:val="auto"/>
        </w:rPr>
      </w:pPr>
    </w:p>
    <w:p>
      <w:pPr>
        <w:ind w:left="1360" w:hanging="265"/>
        <w:spacing w:after="0"/>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develop new and existing properties;</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continue to retain and attract skilled personnel;</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results of our development program and acquisition efforts;</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success of our technologies;</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hydrocarbon prices;</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drilling, completion and equipment prices;</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successfully integrate new properties;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20" w:top="129"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35" w:lineRule="exact"/>
        <w:rPr>
          <w:sz w:val="20"/>
          <w:szCs w:val="20"/>
          <w:color w:val="auto"/>
        </w:rPr>
      </w:pPr>
    </w:p>
    <w:p>
      <w:pPr>
        <w:ind w:left="1360" w:hanging="265"/>
        <w:spacing w:after="0"/>
        <w:tabs>
          <w:tab w:leader="none" w:pos="1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access to capital; and</w:t>
      </w:r>
    </w:p>
    <w:p>
      <w:pPr>
        <w:spacing w:after="0" w:line="20" w:lineRule="exact"/>
        <w:rPr>
          <w:rFonts w:ascii="Arial" w:cs="Arial" w:eastAsia="Arial" w:hAnsi="Arial"/>
          <w:sz w:val="14"/>
          <w:szCs w:val="14"/>
          <w:color w:val="auto"/>
        </w:rPr>
      </w:pPr>
    </w:p>
    <w:p>
      <w:pPr>
        <w:ind w:left="1360" w:hanging="265"/>
        <w:spacing w:after="0" w:line="303" w:lineRule="auto"/>
        <w:tabs>
          <w:tab w:leader="none" w:pos="1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Delhi field operator's ability to: (i) deliver sufficient quantities of CO</w:t>
      </w:r>
      <w:r>
        <w:rPr>
          <w:rFonts w:ascii="Arial" w:cs="Arial" w:eastAsia="Arial" w:hAnsi="Arial"/>
          <w:sz w:val="9"/>
          <w:szCs w:val="9"/>
          <w:color w:val="auto"/>
        </w:rPr>
        <w:t>2</w:t>
      </w:r>
      <w:r>
        <w:rPr>
          <w:rFonts w:ascii="Arial" w:cs="Arial" w:eastAsia="Arial" w:hAnsi="Arial"/>
          <w:sz w:val="13"/>
          <w:szCs w:val="13"/>
          <w:color w:val="auto"/>
        </w:rPr>
        <w:t xml:space="preserve"> from its reserves in the Jackson Dome, (ii) secure all of the development capital necessary to fund its and our cost interests, and further develop the Delhi field, such as advancement of Phase V development in the undeveloped eastern part of the field, (iii) successfully manage technical, operating, environmental, strategic and logistical development and operating risks, and (iv) maintain its own financial stability, among other things.</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cannot assure you that we will be able to successfully grow or manage any such growth.</w:t>
      </w:r>
    </w:p>
    <w:p>
      <w:pPr>
        <w:spacing w:after="0" w:line="119" w:lineRule="exact"/>
        <w:rPr>
          <w:sz w:val="20"/>
          <w:szCs w:val="20"/>
          <w:color w:val="auto"/>
        </w:rPr>
      </w:pPr>
    </w:p>
    <w:p>
      <w:pPr>
        <w:ind w:right="160"/>
        <w:spacing w:after="0" w:line="288" w:lineRule="auto"/>
        <w:rPr>
          <w:sz w:val="20"/>
          <w:szCs w:val="20"/>
          <w:color w:val="auto"/>
        </w:rPr>
      </w:pPr>
      <w:r>
        <w:rPr>
          <w:rFonts w:ascii="Arial" w:cs="Arial" w:eastAsia="Arial" w:hAnsi="Arial"/>
          <w:sz w:val="14"/>
          <w:szCs w:val="14"/>
          <w:b w:val="1"/>
          <w:bCs w:val="1"/>
          <w:i w:val="1"/>
          <w:iCs w:val="1"/>
          <w:color w:val="auto"/>
        </w:rPr>
        <w:t>Our operations may require significant amounts of capital and additional financing may be necessary in order for us to continue our exploitation activities, including meeting potential future drilling obligations.</w:t>
      </w:r>
    </w:p>
    <w:p>
      <w:pPr>
        <w:spacing w:after="0" w:line="66" w:lineRule="exact"/>
        <w:rPr>
          <w:sz w:val="20"/>
          <w:szCs w:val="20"/>
          <w:color w:val="auto"/>
        </w:rPr>
      </w:pPr>
    </w:p>
    <w:p>
      <w:pPr>
        <w:ind w:right="20" w:firstLine="323"/>
        <w:spacing w:after="0" w:line="264" w:lineRule="auto"/>
        <w:rPr>
          <w:sz w:val="20"/>
          <w:szCs w:val="20"/>
          <w:color w:val="auto"/>
        </w:rPr>
      </w:pPr>
      <w:r>
        <w:rPr>
          <w:rFonts w:ascii="Arial" w:cs="Arial" w:eastAsia="Arial" w:hAnsi="Arial"/>
          <w:sz w:val="14"/>
          <w:szCs w:val="14"/>
          <w:color w:val="auto"/>
        </w:rPr>
        <w:t>Our cash flow from our reserves may not be sufficient to fund our ongoing activities at all times. From time to time, we may require additional financing in order to carry out our oil and gas acquisitions, exploitation and development activities. Certain of our undeveloped leasehold acreage may be subject to leases that will expire unless production is established. If our revenues from our reserves decrease as a result of lower oil and natural gas prices or otherwise, it will affect our ability to expend the necessary capital to replace our reserves or to maintain our current production. If our cash flow from operations is not sufficient to satisfy our capital expenditure requirements, there can be no assurance that additional debt or equity financing will be available to meet these requirements or available to us on favorable terms.</w:t>
      </w:r>
    </w:p>
    <w:p>
      <w:pPr>
        <w:spacing w:after="0" w:line="192" w:lineRule="exact"/>
        <w:rPr>
          <w:sz w:val="20"/>
          <w:szCs w:val="20"/>
          <w:color w:val="auto"/>
        </w:rPr>
      </w:pPr>
    </w:p>
    <w:p>
      <w:pPr>
        <w:ind w:right="360"/>
        <w:spacing w:after="0" w:line="328" w:lineRule="auto"/>
        <w:rPr>
          <w:sz w:val="20"/>
          <w:szCs w:val="20"/>
          <w:color w:val="auto"/>
        </w:rPr>
      </w:pPr>
      <w:r>
        <w:rPr>
          <w:rFonts w:ascii="Arial" w:cs="Arial" w:eastAsia="Arial" w:hAnsi="Arial"/>
          <w:sz w:val="13"/>
          <w:szCs w:val="13"/>
          <w:b w:val="1"/>
          <w:bCs w:val="1"/>
          <w:i w:val="1"/>
          <w:iCs w:val="1"/>
          <w:color w:val="auto"/>
        </w:rPr>
        <w:t>We may be subject to risks in connection with acquisitions because of uncertainties in evaluating recoverable reserves, well performance and potential liabilities, as well as uncertainties in forecasting oil and gas prices and future development, production and marketing costs, and the integration of significant acquisitions may be difficult.</w:t>
      </w:r>
    </w:p>
    <w:p>
      <w:pPr>
        <w:spacing w:after="0" w:line="152" w:lineRule="exact"/>
        <w:rPr>
          <w:sz w:val="20"/>
          <w:szCs w:val="20"/>
          <w:color w:val="auto"/>
        </w:rPr>
      </w:pPr>
    </w:p>
    <w:p>
      <w:pPr>
        <w:ind w:right="360" w:firstLine="323"/>
        <w:spacing w:after="0" w:line="288" w:lineRule="auto"/>
        <w:rPr>
          <w:sz w:val="20"/>
          <w:szCs w:val="20"/>
          <w:color w:val="auto"/>
        </w:rPr>
      </w:pPr>
      <w:r>
        <w:rPr>
          <w:rFonts w:ascii="Arial" w:cs="Arial" w:eastAsia="Arial" w:hAnsi="Arial"/>
          <w:sz w:val="14"/>
          <w:szCs w:val="14"/>
          <w:color w:val="auto"/>
        </w:rPr>
        <w:t>We periodically evaluate acquisitions of reserves, properties, prospects and leaseholds and other strategic transactions that appear to fit within our overall business strategy. The successful acquisition of producing properties requires an assessment of several factors, including, but not limited to:</w:t>
      </w:r>
    </w:p>
    <w:p>
      <w:pPr>
        <w:spacing w:after="0" w:line="66" w:lineRule="exact"/>
        <w:rPr>
          <w:sz w:val="20"/>
          <w:szCs w:val="20"/>
          <w:color w:val="auto"/>
        </w:rPr>
      </w:pPr>
    </w:p>
    <w:p>
      <w:pPr>
        <w:ind w:left="840" w:hanging="263"/>
        <w:spacing w:after="0"/>
        <w:tabs>
          <w:tab w:leader="none" w:pos="8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recoverable reserves</w:t>
      </w:r>
    </w:p>
    <w:p>
      <w:pPr>
        <w:spacing w:after="0" w:line="20" w:lineRule="exact"/>
        <w:rPr>
          <w:rFonts w:ascii="Arial" w:cs="Arial" w:eastAsia="Arial" w:hAnsi="Arial"/>
          <w:sz w:val="14"/>
          <w:szCs w:val="14"/>
          <w:color w:val="auto"/>
        </w:rPr>
      </w:pPr>
    </w:p>
    <w:p>
      <w:pPr>
        <w:ind w:left="840" w:hanging="263"/>
        <w:spacing w:after="0"/>
        <w:tabs>
          <w:tab w:leader="none" w:pos="8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future oil and natural gas prices and their appropriate differentials;</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development and operating costs;</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potential for future drilling and production;</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validity of the seller's title to properties, which may be less than expected at closing; and</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potential environmental issues, litigation and other liabilities.</w:t>
      </w:r>
    </w:p>
    <w:p>
      <w:pPr>
        <w:spacing w:after="0" w:line="110" w:lineRule="exact"/>
        <w:rPr>
          <w:sz w:val="20"/>
          <w:szCs w:val="20"/>
          <w:color w:val="auto"/>
        </w:rPr>
      </w:pPr>
    </w:p>
    <w:p>
      <w:pPr>
        <w:ind w:right="140" w:firstLine="323"/>
        <w:spacing w:after="0" w:line="289" w:lineRule="auto"/>
        <w:rPr>
          <w:sz w:val="20"/>
          <w:szCs w:val="20"/>
          <w:color w:val="auto"/>
        </w:rPr>
      </w:pPr>
      <w:r>
        <w:rPr>
          <w:rFonts w:ascii="Arial" w:cs="Arial" w:eastAsia="Arial" w:hAnsi="Arial"/>
          <w:sz w:val="13"/>
          <w:szCs w:val="13"/>
          <w:color w:val="auto"/>
        </w:rPr>
        <w:t>The accuracy of these assessments is inherently uncertain.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fully assess their deficiencies and potential recoverable reserves. Inspections may not always be performed on every well, and environmental problems are not necessarily observable even when an inspection is undertaken. Even when problems are identified, the seller may be unwilling or unable to provide effective contractual protection against all or part of the problems. Moreover, in the event of such an acquisition, there is a risk that we could ultimately be liable for unknown obligations related to acquisitions, which could materially adversely affect our financial condition, results of operations or cash flows.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Significant acquisitions and other strategic transactions may involve other risks, including, but not limited to:</w:t>
      </w:r>
    </w:p>
    <w:p>
      <w:pPr>
        <w:spacing w:after="0" w:line="184" w:lineRule="exact"/>
        <w:rPr>
          <w:sz w:val="20"/>
          <w:szCs w:val="20"/>
          <w:color w:val="auto"/>
        </w:rPr>
      </w:pPr>
    </w:p>
    <w:p>
      <w:pPr>
        <w:ind w:left="840" w:right="160" w:hanging="263"/>
        <w:spacing w:after="0" w:line="264" w:lineRule="auto"/>
        <w:tabs>
          <w:tab w:leader="none" w:pos="8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lean management team's capacity could be challenged by the demands of evaluating, negotiating and integrating significant acquisitions and strategic transactions in concert with the Company's on going business demands;</w:t>
      </w:r>
    </w:p>
    <w:p>
      <w:pPr>
        <w:ind w:left="840" w:right="120" w:hanging="263"/>
        <w:spacing w:after="0" w:line="257" w:lineRule="auto"/>
        <w:tabs>
          <w:tab w:leader="none" w:pos="8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challenge and cost of integrating acquired operations, information management and other technology systems and business cultures with those of our operations while carrying on our ongoing business;</w:t>
      </w:r>
    </w:p>
    <w:p>
      <w:pPr>
        <w:ind w:left="840" w:hanging="263"/>
        <w:spacing w:after="0"/>
        <w:tabs>
          <w:tab w:leader="none" w:pos="8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difficulty associated with coordinating geographically separate organizations;</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 inability to secure, on acceptable terms, sufficient financing that my be required in connection with expanded operations and unknown liabilities; and</w:t>
      </w:r>
    </w:p>
    <w:p>
      <w:pPr>
        <w:spacing w:after="0" w:line="11" w:lineRule="exact"/>
        <w:rPr>
          <w:rFonts w:ascii="Arial" w:cs="Arial" w:eastAsia="Arial" w:hAnsi="Arial"/>
          <w:sz w:val="14"/>
          <w:szCs w:val="14"/>
          <w:color w:val="auto"/>
        </w:rPr>
      </w:pPr>
    </w:p>
    <w:p>
      <w:pPr>
        <w:ind w:left="840" w:hanging="263"/>
        <w:spacing w:after="0"/>
        <w:tabs>
          <w:tab w:leader="none" w:pos="8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challenge of attracting and retaining personnel associated with acquired operations.</w:t>
      </w:r>
    </w:p>
    <w:p>
      <w:pPr>
        <w:spacing w:after="0" w:line="110" w:lineRule="exact"/>
        <w:rPr>
          <w:sz w:val="20"/>
          <w:szCs w:val="20"/>
          <w:color w:val="auto"/>
        </w:rPr>
      </w:pPr>
    </w:p>
    <w:p>
      <w:pPr>
        <w:ind w:right="340" w:firstLine="323"/>
        <w:spacing w:after="0" w:line="267" w:lineRule="auto"/>
        <w:rPr>
          <w:sz w:val="20"/>
          <w:szCs w:val="20"/>
          <w:color w:val="auto"/>
        </w:rPr>
      </w:pPr>
      <w:r>
        <w:rPr>
          <w:rFonts w:ascii="Arial" w:cs="Arial" w:eastAsia="Arial" w:hAnsi="Arial"/>
          <w:sz w:val="14"/>
          <w:szCs w:val="14"/>
          <w:color w:val="auto"/>
        </w:rPr>
        <w:t>The process of integrating assets could cause an interruption of, or loss of momentum in, the activities of our business. Members of our senior management may be required to devote considerable amounts of time to this integration process, which will decrease the time they will have to manage our business. If our senior management is not able to effectively manage the integration process, or if any significant business activities are interrupted as a result of the integration process, our business could suffer. In addition, even if we successfully integrate the assets acquired in an acquisition, it may not be possible to realize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20" w:top="129" w:right="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right="340"/>
        <w:spacing w:after="0" w:line="288" w:lineRule="auto"/>
        <w:rPr>
          <w:sz w:val="20"/>
          <w:szCs w:val="20"/>
          <w:color w:val="auto"/>
        </w:rPr>
      </w:pPr>
      <w:r>
        <w:rPr>
          <w:rFonts w:ascii="Arial" w:cs="Arial" w:eastAsia="Arial" w:hAnsi="Arial"/>
          <w:sz w:val="14"/>
          <w:szCs w:val="14"/>
          <w:color w:val="auto"/>
        </w:rPr>
        <w:t>the full benefits we may expect in estimated proved reserves, production volumes, cost savings from operating synergies or other benefits anticipated from an acquisition or realize these benefits within the expected time frame.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regulation and liability for oil and gas operations and environmental matters may adversely affect our business and results of operations.</w:t>
      </w:r>
    </w:p>
    <w:p>
      <w:pPr>
        <w:spacing w:after="0" w:line="119" w:lineRule="exact"/>
        <w:rPr>
          <w:sz w:val="20"/>
          <w:szCs w:val="20"/>
          <w:color w:val="auto"/>
        </w:rPr>
      </w:pPr>
    </w:p>
    <w:p>
      <w:pPr>
        <w:ind w:right="20" w:firstLine="323"/>
        <w:spacing w:after="0" w:line="282" w:lineRule="auto"/>
        <w:rPr>
          <w:sz w:val="20"/>
          <w:szCs w:val="20"/>
          <w:color w:val="auto"/>
        </w:rPr>
      </w:pPr>
      <w:r>
        <w:rPr>
          <w:rFonts w:ascii="Arial" w:cs="Arial" w:eastAsia="Arial" w:hAnsi="Arial"/>
          <w:sz w:val="13"/>
          <w:szCs w:val="13"/>
          <w:color w:val="auto"/>
        </w:rPr>
        <w:t>Crude oil and natural gas operations are subject to extensive federal, state and local government regulations, which may be changed from time to time. Matters subject to regulation include discharge 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crude oil and natural gas wells below actual production capacity in order to conserve supplies of crude oil and natural gas. There are federal, state and local laws and regulations primarily relating to protection of human health and the environment applicable to the development, production, handling, storage, transportation and disposal of crude oil and natural gas, by-products thereof, the emission of CO</w:t>
      </w:r>
      <w:r>
        <w:rPr>
          <w:rFonts w:ascii="Arial" w:cs="Arial" w:eastAsia="Arial" w:hAnsi="Arial"/>
          <w:sz w:val="9"/>
          <w:szCs w:val="9"/>
          <w:color w:val="auto"/>
        </w:rPr>
        <w:t>2</w:t>
      </w:r>
      <w:r>
        <w:rPr>
          <w:rFonts w:ascii="Arial" w:cs="Arial" w:eastAsia="Arial" w:hAnsi="Arial"/>
          <w:sz w:val="13"/>
          <w:szCs w:val="13"/>
          <w:color w:val="auto"/>
        </w:rPr>
        <w:t xml:space="preserve"> or other greenhouse gases, and other substances and materials produced or used in connection with crude oil and natural gas operations. These laws and regulations may affect the costs, manner and feasibility of our operations and require us to make significant expenditures in order to comply. In addition, we may inherit liability for environmental damages, whether actual or not, caused by previous owners of property we purchase or lease or nearby properties. As a result, failure to comply with these laws and regulations may result in substantial liabilities to third parties or governmental entities. We are also subject to changing and extensive tax laws, the effects of which cannot be predicted. The implementation of new, or the modification of existing, laws or regulations could have a material adverse effect on us, such as diminishing the demand for our products through legislative enactment of proposed new penalties, fines and/or taxes on carbon that could have the effect of raising prices to the end user.</w:t>
      </w:r>
    </w:p>
    <w:p>
      <w:pPr>
        <w:spacing w:after="0" w:line="75" w:lineRule="exact"/>
        <w:rPr>
          <w:sz w:val="20"/>
          <w:szCs w:val="20"/>
          <w:color w:val="auto"/>
        </w:rPr>
      </w:pPr>
    </w:p>
    <w:p>
      <w:pPr>
        <w:ind w:right="200"/>
        <w:spacing w:after="0" w:line="288" w:lineRule="auto"/>
        <w:rPr>
          <w:sz w:val="20"/>
          <w:szCs w:val="20"/>
          <w:color w:val="auto"/>
        </w:rPr>
      </w:pPr>
      <w:r>
        <w:rPr>
          <w:rFonts w:ascii="Arial" w:cs="Arial" w:eastAsia="Arial" w:hAnsi="Arial"/>
          <w:sz w:val="14"/>
          <w:szCs w:val="14"/>
          <w:b w:val="1"/>
          <w:bCs w:val="1"/>
          <w:i w:val="1"/>
          <w:iCs w:val="1"/>
          <w:color w:val="auto"/>
        </w:rPr>
        <w:t>Our business could be negatively affected by security threats. A cyber attack or similar incident could occur and result in information theft, data corruption, operational disruption, damage to our reputation and/or financial loss.</w:t>
      </w:r>
    </w:p>
    <w:p>
      <w:pPr>
        <w:spacing w:after="0" w:line="131" w:lineRule="exact"/>
        <w:rPr>
          <w:sz w:val="20"/>
          <w:szCs w:val="20"/>
          <w:color w:val="auto"/>
        </w:rPr>
      </w:pPr>
    </w:p>
    <w:p>
      <w:pPr>
        <w:ind w:firstLine="517"/>
        <w:spacing w:after="0" w:line="281" w:lineRule="auto"/>
        <w:rPr>
          <w:sz w:val="20"/>
          <w:szCs w:val="20"/>
          <w:color w:val="auto"/>
        </w:rPr>
      </w:pPr>
      <w:r>
        <w:rPr>
          <w:rFonts w:ascii="Arial" w:cs="Arial" w:eastAsia="Arial" w:hAnsi="Arial"/>
          <w:sz w:val="13"/>
          <w:szCs w:val="13"/>
          <w:color w:val="auto"/>
        </w:rPr>
        <w:t>The oil and natural gas industry has become increasingly dependent on digital technologies to conduct certain exploration, development, production, processing and financial activities. We depend on digital technology to estimate quantities of oil and gas reserves, manage operations, process and record financial and operating data, analyze seismic and drilling information, and communicate with our employees and third party partners. Our technologies, systems, networks, seismic data, reserves information or other proprietary information, and those of our operator, vendors, suppliers, customers and other business partners, may become the target of cyber attacks or information security breaches that could result in the unauthorized release, gathering, monitoring, misuse, loss or destruction of proprietary and other information, or could otherwise lead to the disruption of our business operations or other operational disruptions in our exploration or production operations. Cyber attacks are becoming more sophisticated and certain cyber incidents, such as surveillance, may remain undetected for an extended period and could lead to disruptions in critical systems or the unauthorized release of confidential or otherwise protected information. These events could lead to financial losses from remedial actions, loss of business, disruption of operations, damage to our reputation or potential liability. Also, computers control nearly all of the oil and gas distribution systems in the United States and abroad, which are necessary to transport our production to market. A cyber attack directed at oil and gas distribution systems could damage critical distribution and storage assets or the environment, delay or prevent delivery of production to markets and make it difficult or impossible to accurately account for production and settle transactions. Cyber incidents have increased, and the U.S. government has issued warnings indicating that energy assets may be specific targets of cybersecurity threats. Our systems and insurance coverage for protecting against cybersecurity risks may not be sufficient. Further, as cyber attacks continue to evolve, we may be required to expend significant additional resources to continue to modify or enhance our protective measures or to investigate and remediate any vulnerability to cyber attacks.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insurance may not protect us against all of the operating risks to which our business is exposed.</w:t>
      </w:r>
    </w:p>
    <w:p>
      <w:pPr>
        <w:spacing w:after="0" w:line="227" w:lineRule="exact"/>
        <w:rPr>
          <w:sz w:val="20"/>
          <w:szCs w:val="20"/>
          <w:color w:val="auto"/>
        </w:rPr>
      </w:pPr>
    </w:p>
    <w:p>
      <w:pPr>
        <w:ind w:right="40" w:firstLine="345"/>
        <w:spacing w:after="0" w:line="289" w:lineRule="auto"/>
        <w:rPr>
          <w:sz w:val="20"/>
          <w:szCs w:val="20"/>
          <w:color w:val="auto"/>
        </w:rPr>
      </w:pPr>
      <w:r>
        <w:rPr>
          <w:rFonts w:ascii="Arial" w:cs="Arial" w:eastAsia="Arial" w:hAnsi="Arial"/>
          <w:sz w:val="13"/>
          <w:szCs w:val="13"/>
          <w:color w:val="auto"/>
        </w:rPr>
        <w:t>The crude oil and natural gas business involves numerous operating hazards such as well blowouts, mechanical failures, explosions, uncontrollable flows of crude oil, natural gas or well fluids, fires, formations with abnormal pressures, hurricanes, flooding, pollution, releases of toxic gas and other environmental hazards and risks, which can result in (i) damage to or destruction of wells and/or production facilities, (ii) damage to or destruction of formations, (iii) injury to persons, (iv) loss of life, or (v) damage to property, the environment or natural resources. While we carry general liability, control of well, and operator's extra expense coverage typical in our industry, we are not fully insured against all risks incidental to our business. Environmental events similar to that experienced in the Delhi field in June 2013 could defer revenue, increase operating costs and/or increase maintenance and repair capital expenditures.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loss of key personnel could adversely affect us.</w:t>
      </w:r>
    </w:p>
    <w:p>
      <w:pPr>
        <w:spacing w:after="0" w:line="119" w:lineRule="exact"/>
        <w:rPr>
          <w:sz w:val="20"/>
          <w:szCs w:val="20"/>
          <w:color w:val="auto"/>
        </w:rPr>
      </w:pPr>
    </w:p>
    <w:p>
      <w:pPr>
        <w:ind w:right="580" w:firstLine="345"/>
        <w:spacing w:after="0" w:line="288" w:lineRule="auto"/>
        <w:rPr>
          <w:sz w:val="20"/>
          <w:szCs w:val="20"/>
          <w:color w:val="auto"/>
        </w:rPr>
      </w:pPr>
      <w:r>
        <w:rPr>
          <w:rFonts w:ascii="Arial" w:cs="Arial" w:eastAsia="Arial" w:hAnsi="Arial"/>
          <w:sz w:val="14"/>
          <w:szCs w:val="14"/>
          <w:color w:val="auto"/>
        </w:rPr>
        <w:t>We depend to a large extent on the services of certain key management personnel, including our executive officers, the loss of any of whom could have a material adverse effect on our operations. In particular, our future success is dependent upon</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129" w:right="21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right="360"/>
        <w:spacing w:after="0" w:line="272" w:lineRule="auto"/>
        <w:rPr>
          <w:sz w:val="20"/>
          <w:szCs w:val="20"/>
          <w:color w:val="auto"/>
        </w:rPr>
      </w:pPr>
      <w:r>
        <w:rPr>
          <w:rFonts w:ascii="Arial" w:cs="Arial" w:eastAsia="Arial" w:hAnsi="Arial"/>
          <w:sz w:val="14"/>
          <w:szCs w:val="14"/>
          <w:color w:val="auto"/>
        </w:rPr>
        <w:t>the abilities of Robert Herlin, our Chairman of the Board, Jason Brown, our President and Chief Executive Officer, and David Joe, Senior Vice President, Chief Financial Officer, Treasurer and Corporate Secretary, to source, evaluate and close deals, raise capital, and oversee our development activities and operations. Presently, the Company is not a beneficiary of any key man life insurance.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Oil field service and materials' prices may increase, and the availability of such services and materials may be inadequate to meet our needs.</w:t>
      </w:r>
    </w:p>
    <w:p>
      <w:pPr>
        <w:spacing w:after="0" w:line="119" w:lineRule="exact"/>
        <w:rPr>
          <w:sz w:val="20"/>
          <w:szCs w:val="20"/>
          <w:color w:val="auto"/>
        </w:rPr>
      </w:pPr>
    </w:p>
    <w:p>
      <w:pPr>
        <w:ind w:right="40" w:firstLine="345"/>
        <w:spacing w:after="0" w:line="262" w:lineRule="auto"/>
        <w:rPr>
          <w:sz w:val="20"/>
          <w:szCs w:val="20"/>
          <w:color w:val="auto"/>
        </w:rPr>
      </w:pPr>
      <w:r>
        <w:rPr>
          <w:rFonts w:ascii="Arial" w:cs="Arial" w:eastAsia="Arial" w:hAnsi="Arial"/>
          <w:sz w:val="14"/>
          <w:szCs w:val="14"/>
          <w:color w:val="auto"/>
        </w:rPr>
        <w:t>Our business plan to develop or redevelop crude oil and natural gas resources requires third party oilfield service vendors and various material providers, which we do not control. We also rely on third-party carriers for the transportation and distribution of our production. As our production increases, so does our need for such services and materials. Generally, we do not have long-term agreements with our service and materials providers. Accordingly, there is a risk that any of our service providers could discontinue servicing our crude oil and natural gas fields for any reason or we may not be able to source the materials we need. Any delay in locating, establishing relationships, and training our sources could result in production shortages and maintenance problems, with a resulting loss of revenue to us. In addition, if costs for such services and materials increase, it may render certain or all of our projects uneconomic, as compared to the earlier prices we may have assumed when deciding to redevelop newly purchased or existing properties. Further adverse economic outcomes may result from the long lead times often necessary to execute and complete our redevelop plans.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cannot market the crude oil and natural gas that we produce without the assistance of third parties.</w:t>
      </w:r>
    </w:p>
    <w:p>
      <w:pPr>
        <w:spacing w:after="0" w:line="119" w:lineRule="exact"/>
        <w:rPr>
          <w:sz w:val="20"/>
          <w:szCs w:val="20"/>
          <w:color w:val="auto"/>
        </w:rPr>
      </w:pPr>
    </w:p>
    <w:p>
      <w:pPr>
        <w:jc w:val="both"/>
        <w:ind w:right="20" w:firstLine="345"/>
        <w:spacing w:after="0" w:line="267" w:lineRule="auto"/>
        <w:rPr>
          <w:sz w:val="20"/>
          <w:szCs w:val="20"/>
          <w:color w:val="auto"/>
        </w:rPr>
      </w:pPr>
      <w:r>
        <w:rPr>
          <w:rFonts w:ascii="Arial" w:cs="Arial" w:eastAsia="Arial" w:hAnsi="Arial"/>
          <w:sz w:val="14"/>
          <w:szCs w:val="14"/>
          <w:color w:val="auto"/>
        </w:rPr>
        <w:t>The marketability of the crude oil and natural gas that we produce depends upon the proximity of our reserves to, and the capacity of, facilities and third-party services, including crude oil and natural gas gathering systems, pipelines, trucking or terminal facilities, and processing facilities necessary to make the products marketable for end use. The unavailability or lack of capacity of such services and facilities could result in the shut-in of producing wells or the delay or discontinuance of development plans for properties. A shut-in or delay or discontinuance could adversely affect our financial condition.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strong competition from larger oil and gas companies.</w:t>
      </w:r>
    </w:p>
    <w:p>
      <w:pPr>
        <w:spacing w:after="0" w:line="119" w:lineRule="exact"/>
        <w:rPr>
          <w:sz w:val="20"/>
          <w:szCs w:val="20"/>
          <w:color w:val="auto"/>
        </w:rPr>
      </w:pPr>
    </w:p>
    <w:p>
      <w:pPr>
        <w:ind w:firstLine="345"/>
        <w:spacing w:after="0" w:line="263" w:lineRule="auto"/>
        <w:rPr>
          <w:sz w:val="20"/>
          <w:szCs w:val="20"/>
          <w:color w:val="auto"/>
        </w:rPr>
      </w:pPr>
      <w:r>
        <w:rPr>
          <w:rFonts w:ascii="Arial" w:cs="Arial" w:eastAsia="Arial" w:hAnsi="Arial"/>
          <w:sz w:val="14"/>
          <w:szCs w:val="14"/>
          <w:color w:val="auto"/>
        </w:rPr>
        <w:t>Our competitors include major integrated crude oil and natural gas companies and numerous larger independent crude oil and natural gas companies, individuals and drilling and income programs. Many of our competitors are large, well-established companies with substantially larger operating staffs and greater capital resources than ours. We may not be able to successfully conduct our operations, evaluate and select suitable properties and consummate transactions in this highly competitive environment. Specifically, these larger competitors may be able to pay more for development projects and productive crude oil and natural gas properties and may be able to define, evaluate, bid for and purchase a greater number of properties and prospects than our financial or human resources permit. In addition, such companies may be able to expend greater resources on hiring contract service providers, obtaining oilfield equipment and acquiring the existing and changing technologies that we believe are and will be increasingly important to attaining success in our industry.</w:t>
      </w:r>
    </w:p>
    <w:p>
      <w:pPr>
        <w:spacing w:after="0" w:line="84" w:lineRule="exact"/>
        <w:rPr>
          <w:sz w:val="20"/>
          <w:szCs w:val="20"/>
          <w:color w:val="auto"/>
        </w:rPr>
      </w:pPr>
    </w:p>
    <w:p>
      <w:pPr>
        <w:ind w:right="560"/>
        <w:spacing w:after="0" w:line="288" w:lineRule="auto"/>
        <w:rPr>
          <w:sz w:val="20"/>
          <w:szCs w:val="20"/>
          <w:color w:val="auto"/>
        </w:rPr>
      </w:pPr>
      <w:r>
        <w:rPr>
          <w:rFonts w:ascii="Arial" w:cs="Arial" w:eastAsia="Arial" w:hAnsi="Arial"/>
          <w:sz w:val="14"/>
          <w:szCs w:val="14"/>
          <w:b w:val="1"/>
          <w:bCs w:val="1"/>
          <w:i w:val="1"/>
          <w:iCs w:val="1"/>
          <w:color w:val="auto"/>
        </w:rPr>
        <w:t>We have been, and in the future may become, involved in legal proceedings related to our Delhi interest or other properties or operations and, as a result, may incur substantial costs in connection with those proceedings.</w:t>
      </w:r>
    </w:p>
    <w:p>
      <w:pPr>
        <w:spacing w:after="0" w:line="66" w:lineRule="exact"/>
        <w:rPr>
          <w:sz w:val="20"/>
          <w:szCs w:val="20"/>
          <w:color w:val="auto"/>
        </w:rPr>
      </w:pPr>
    </w:p>
    <w:p>
      <w:pPr>
        <w:ind w:firstLine="345"/>
        <w:spacing w:after="0" w:line="267" w:lineRule="auto"/>
        <w:rPr>
          <w:sz w:val="20"/>
          <w:szCs w:val="20"/>
          <w:color w:val="auto"/>
        </w:rPr>
      </w:pPr>
      <w:r>
        <w:rPr>
          <w:rFonts w:ascii="Arial" w:cs="Arial" w:eastAsia="Arial" w:hAnsi="Arial"/>
          <w:sz w:val="14"/>
          <w:szCs w:val="14"/>
          <w:color w:val="auto"/>
        </w:rPr>
        <w:t>From time to time we may be a defendant or plaintiff in various lawsuits. The nature of our operations exposes us to further possible litigation claims in the future. There is risk that any matter in litigation could be decided unfavorably against us regardless of our belief, opinion, and position, which could have a material adverse effect on our financial condition, results of operations, and cash flow. Litigation can be very costly, and the costs associated with defending litigation could also have a material adverse effect on our financial condition. Adverse litigation decisions or rulings may damage our business reputation.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Ownership of our oil, gas and mineral production depends on good title to our property.</w:t>
      </w:r>
    </w:p>
    <w:p>
      <w:pPr>
        <w:spacing w:after="0" w:line="119" w:lineRule="exact"/>
        <w:rPr>
          <w:sz w:val="20"/>
          <w:szCs w:val="20"/>
          <w:color w:val="auto"/>
        </w:rPr>
      </w:pPr>
    </w:p>
    <w:p>
      <w:pPr>
        <w:ind w:right="320" w:firstLine="345"/>
        <w:spacing w:after="0" w:line="272" w:lineRule="auto"/>
        <w:rPr>
          <w:sz w:val="20"/>
          <w:szCs w:val="20"/>
          <w:color w:val="auto"/>
        </w:rPr>
      </w:pPr>
      <w:r>
        <w:rPr>
          <w:rFonts w:ascii="Arial" w:cs="Arial" w:eastAsia="Arial" w:hAnsi="Arial"/>
          <w:sz w:val="14"/>
          <w:szCs w:val="14"/>
          <w:color w:val="auto"/>
        </w:rPr>
        <w:t>Good and clear title to our oil, gas and mineral properties is important to our business. Although title reviews will generally be conducted prior to the purchase of most oil, gas and mineral producing properties or the commencement of drilling wells, such reviews do not assure that an unforeseen defect in the chain of title will not arise to defeat our claim which could result in a reduction or elimination of the revenue received by us from such properties.</w:t>
      </w: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20" w:top="129"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Poor general economic, business, or industry conditions may have a material adverse effect on our results of operations, liquidity, and financial condition.</w:t>
      </w:r>
    </w:p>
    <w:p>
      <w:pPr>
        <w:spacing w:after="0" w:line="119" w:lineRule="exact"/>
        <w:rPr>
          <w:sz w:val="20"/>
          <w:szCs w:val="20"/>
          <w:color w:val="auto"/>
        </w:rPr>
      </w:pPr>
    </w:p>
    <w:p>
      <w:pPr>
        <w:ind w:firstLine="345"/>
        <w:spacing w:after="0" w:line="287" w:lineRule="auto"/>
        <w:rPr>
          <w:sz w:val="20"/>
          <w:szCs w:val="20"/>
          <w:color w:val="auto"/>
        </w:rPr>
      </w:pPr>
      <w:r>
        <w:rPr>
          <w:rFonts w:ascii="Arial" w:cs="Arial" w:eastAsia="Arial" w:hAnsi="Arial"/>
          <w:sz w:val="13"/>
          <w:szCs w:val="13"/>
          <w:color w:val="auto"/>
        </w:rPr>
        <w:t>During the last few years, concerns over inflation, energy costs, declining oil and gas prices, geopolitical issues, the availability and cost of credit, the U.S. mortgage market, uncertainties with regard to European sovereign debt, the slowdown in economic growth in large emerging and developing markets, such as China, regional or worldwide increases in tariffs or other trade restrictions, and other issues have contributed to increased economic uncertainty and diminished expectations for the global economy. Concerns about global economic conditions have had a significant adverse impact on domestic and international financial markets and commodity prices. If uncertain or poor economic, business or industry conditions in the United States or abroad remain prolonged, demand for petroleum products could diminish or stagnate, production costs could increase, any of which could impact the price at which we can sell our oil, natural gas, and NGLs, affect our vendors', suppliers' and customers' ability to continue operations, and ultimately adversely impact our results of operations, liquidity, and financial condition.</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Associated with Our Stock</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 price has been and may continue to be volatile.</w:t>
      </w:r>
    </w:p>
    <w:p>
      <w:pPr>
        <w:spacing w:after="0" w:line="119" w:lineRule="exact"/>
        <w:rPr>
          <w:sz w:val="20"/>
          <w:szCs w:val="20"/>
          <w:color w:val="auto"/>
        </w:rPr>
      </w:pPr>
    </w:p>
    <w:p>
      <w:pPr>
        <w:ind w:right="60" w:firstLine="345"/>
        <w:spacing w:after="0" w:line="302" w:lineRule="auto"/>
        <w:rPr>
          <w:sz w:val="20"/>
          <w:szCs w:val="20"/>
          <w:color w:val="auto"/>
        </w:rPr>
      </w:pPr>
      <w:r>
        <w:rPr>
          <w:rFonts w:ascii="Arial" w:cs="Arial" w:eastAsia="Arial" w:hAnsi="Arial"/>
          <w:sz w:val="13"/>
          <w:szCs w:val="13"/>
          <w:color w:val="auto"/>
        </w:rPr>
        <w:t>Our common stock has relatively low trading volume and the market price has been, and is likely to continue to be, volatile. For example, during the fiscal year ending June 30, 2019, our stock price as traded on the NYSE American ranged from $5.99 to $12.32. The variance in our stock price makes it difficult to forecast with certainty the stock price at which an investor may be able to buy or sell shares of our common stock. The market price for our common stock could be subject to fluctuations as a result of factors that are out of our control, such as:</w:t>
      </w:r>
    </w:p>
    <w:p>
      <w:pPr>
        <w:spacing w:after="0" w:line="61" w:lineRule="exact"/>
        <w:rPr>
          <w:sz w:val="20"/>
          <w:szCs w:val="20"/>
          <w:color w:val="auto"/>
        </w:rPr>
      </w:pPr>
    </w:p>
    <w:p>
      <w:pPr>
        <w:ind w:left="1360" w:hanging="265"/>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actual or anticipated variations in our results of operations;</w:t>
      </w:r>
    </w:p>
    <w:p>
      <w:pPr>
        <w:spacing w:after="0" w:line="21" w:lineRule="exact"/>
        <w:rPr>
          <w:rFonts w:ascii="Arial" w:cs="Arial" w:eastAsia="Arial" w:hAnsi="Arial"/>
          <w:sz w:val="14"/>
          <w:szCs w:val="14"/>
          <w:color w:val="auto"/>
        </w:rPr>
      </w:pPr>
    </w:p>
    <w:p>
      <w:pPr>
        <w:ind w:left="1360" w:hanging="265"/>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naked short selling of our common stock and stock price manipulation;</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or fluctuations in the commodity prices of crude oil and natural gas;</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general conditions and trends in the crude oil and natural gas industry;</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redemption demands on institutional funds that hold our stock; and</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general economic, political and market conditions.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executive officers, directors and affiliates may be able to control the election of our directors and all other matters submitted to our stockholders for approval.</w:t>
      </w:r>
    </w:p>
    <w:p>
      <w:pPr>
        <w:spacing w:after="0" w:line="119" w:lineRule="exact"/>
        <w:rPr>
          <w:sz w:val="20"/>
          <w:szCs w:val="20"/>
          <w:color w:val="auto"/>
        </w:rPr>
      </w:pPr>
    </w:p>
    <w:p>
      <w:pPr>
        <w:ind w:right="20" w:firstLine="345"/>
        <w:spacing w:after="0" w:line="262" w:lineRule="auto"/>
        <w:rPr>
          <w:sz w:val="20"/>
          <w:szCs w:val="20"/>
          <w:color w:val="auto"/>
        </w:rPr>
      </w:pPr>
      <w:r>
        <w:rPr>
          <w:rFonts w:ascii="Arial" w:cs="Arial" w:eastAsia="Arial" w:hAnsi="Arial"/>
          <w:sz w:val="14"/>
          <w:szCs w:val="14"/>
          <w:color w:val="auto"/>
        </w:rPr>
        <w:t>As of June 30, 2019 our executive officers and directors, in the aggregate, beneficially owned approximately 2.5 million shares, or approximately 7.4% of our beneficial common stock base. Blackrock Fund Advisors, et al controlled approximately 3.5 million shares or approximately 10.6 % of our outstanding common stock, Renaissance Technologies, LLC controlled approximately 2.2 million shares or approximately 6.7% of our outstanding common stock, and JVL Advisors, LLC controlled approximately 2.1 million shares or approximately 6.5%. As a result, any of these holders could potentially exercise significant influence over matters submitted to our stockholders for approval (including the election and removal of directors and any merger, consolidation or sale of all or substantially all of our assets). This concentration of ownership may have the effect of delaying, deferring or preventing a change in control of our company, impede a merger, consolidation, takeover or other business combination involving our company or discourage a potential acquirer from making a tender offer or otherwise attempting to obtain control of our company, which in turn could have an adverse effect on the market price of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for our common stock is limited and may not provide adequate liquidity.</w:t>
      </w:r>
    </w:p>
    <w:p>
      <w:pPr>
        <w:spacing w:after="0" w:line="119" w:lineRule="exact"/>
        <w:rPr>
          <w:sz w:val="20"/>
          <w:szCs w:val="20"/>
          <w:color w:val="auto"/>
        </w:rPr>
      </w:pPr>
    </w:p>
    <w:p>
      <w:pPr>
        <w:ind w:right="180" w:firstLine="345"/>
        <w:spacing w:after="0" w:line="267" w:lineRule="auto"/>
        <w:rPr>
          <w:sz w:val="20"/>
          <w:szCs w:val="20"/>
          <w:color w:val="auto"/>
        </w:rPr>
      </w:pPr>
      <w:r>
        <w:rPr>
          <w:rFonts w:ascii="Arial" w:cs="Arial" w:eastAsia="Arial" w:hAnsi="Arial"/>
          <w:sz w:val="14"/>
          <w:szCs w:val="14"/>
          <w:color w:val="auto"/>
        </w:rPr>
        <w:t>Our common stock trades on the NYSE American. Our trading volumes increased in fiscal 2019 compared to fiscal 2018. Trading volume in our common stock is relatively low compared to larger companies. During the fiscal year ended June 30, 2019, the daily trading volume in our common stock ranged from a low of 45,600 shares to a high of 1,079,500 shares, with average daily trading volume of 180,353 shares compared to average daily volume of 112,015 in fiscal 2018. Our holders may find it more difficult to sell their shares, should they desire to do so, based on the trading volume and price of our stock at that time relative to the quantity of shares to be sold.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40"/>
          </w:cols>
          <w:pgMar w:left="220" w:top="129"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securities or industry analysts do not publish research reports about our business, or if they downgrade our stock, the price of our common stock could decline.</w:t>
      </w:r>
    </w:p>
    <w:p>
      <w:pPr>
        <w:spacing w:after="0" w:line="227" w:lineRule="exact"/>
        <w:rPr>
          <w:sz w:val="20"/>
          <w:szCs w:val="20"/>
          <w:color w:val="auto"/>
        </w:rPr>
      </w:pPr>
    </w:p>
    <w:p>
      <w:pPr>
        <w:ind w:right="80" w:firstLine="345"/>
        <w:spacing w:after="0" w:line="264" w:lineRule="auto"/>
        <w:rPr>
          <w:sz w:val="20"/>
          <w:szCs w:val="20"/>
          <w:color w:val="auto"/>
        </w:rPr>
      </w:pPr>
      <w:r>
        <w:rPr>
          <w:rFonts w:ascii="Arial" w:cs="Arial" w:eastAsia="Arial" w:hAnsi="Arial"/>
          <w:sz w:val="14"/>
          <w:szCs w:val="14"/>
          <w:color w:val="auto"/>
        </w:rPr>
        <w:t>Small, relatively unknown companies can achieve visibility in the trading market through research and reports that industry or securities analysts publish. To our knowledge there are three independent analysts that cover our company. The limited number of published reports by independent securities analysts could limit the interest in our common stock and negatively affect our stock price. We do not have any control over the research and reports these analysts publish or whether they will be published at all. If any analyst who does cover us downgrades our stock, our stock price could decline. If any analyst ceases coverage of our company or fails to regularly publish reports on us, we could lose visibility in the financial markets, which in turn could cause our stock price to decline.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issuance of additional common stock and preferred stock could dilute existing stockholders.</w:t>
      </w:r>
    </w:p>
    <w:p>
      <w:pPr>
        <w:spacing w:after="0" w:line="119" w:lineRule="exact"/>
        <w:rPr>
          <w:sz w:val="20"/>
          <w:szCs w:val="20"/>
          <w:color w:val="auto"/>
        </w:rPr>
      </w:pPr>
    </w:p>
    <w:p>
      <w:pPr>
        <w:ind w:firstLine="345"/>
        <w:spacing w:after="0" w:line="285" w:lineRule="auto"/>
        <w:rPr>
          <w:sz w:val="20"/>
          <w:szCs w:val="20"/>
          <w:color w:val="auto"/>
        </w:rPr>
      </w:pPr>
      <w:r>
        <w:rPr>
          <w:rFonts w:ascii="Arial" w:cs="Arial" w:eastAsia="Arial" w:hAnsi="Arial"/>
          <w:sz w:val="13"/>
          <w:szCs w:val="13"/>
          <w:color w:val="auto"/>
        </w:rPr>
        <w:t>We currently have in place an effective registration statement which allows the company to publicly issue up to $500 million of additional securities, including debt, common stock, preferred stock, and warrants. At any time we may make private offerings of our securities. The shelf registration is intended to provide greater flexibility to the company in financing growth or changing our capital structure. We are authorized to issue up to 100,000,000 shares of common stock. To the extent of such authorization, our board of directors has the ability, without seeking stockholder approval, to issue additional shares of common stock in the future for such consideration as our board may consider sufficient. The issuance of additional common stock in the future would reduce the proportionate ownership and voting power of the common stock now outstanding. We are also authorized to issue up to 5,000,000 shares of preferred stock, the rights and preferences of which may be designated in series by our board of directors. Such designation of any new series of preferred stock may be made without stockholder approval, and could create additional securities which would have dividend and liquidation preferences over the common stock now outstanding. Preferred stockholders could adversely affect the rights of holders of common stock by:</w:t>
      </w:r>
    </w:p>
    <w:p>
      <w:pPr>
        <w:spacing w:after="0" w:line="72" w:lineRule="exact"/>
        <w:rPr>
          <w:sz w:val="20"/>
          <w:szCs w:val="20"/>
          <w:color w:val="auto"/>
        </w:rPr>
      </w:pPr>
    </w:p>
    <w:p>
      <w:pPr>
        <w:ind w:left="1360" w:hanging="265"/>
        <w:spacing w:after="0"/>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exercising voting, redemption and conversion rights to the detriment of the holders of common stock;</w:t>
      </w:r>
    </w:p>
    <w:p>
      <w:pPr>
        <w:spacing w:after="0" w:line="20" w:lineRule="exact"/>
        <w:rPr>
          <w:rFonts w:ascii="Arial" w:cs="Arial" w:eastAsia="Arial" w:hAnsi="Arial"/>
          <w:sz w:val="14"/>
          <w:szCs w:val="14"/>
          <w:color w:val="auto"/>
        </w:rPr>
      </w:pPr>
    </w:p>
    <w:p>
      <w:pPr>
        <w:ind w:left="1360" w:right="460" w:hanging="265"/>
        <w:spacing w:after="0" w:line="257" w:lineRule="auto"/>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receiving preferences over the holders of common stock regarding our surplus funds in the event of our dissolution, liquidation or the payment of dividends to preferred stockholders;</w:t>
      </w:r>
    </w:p>
    <w:p>
      <w:pPr>
        <w:ind w:left="1360" w:hanging="265"/>
        <w:spacing w:after="0"/>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delaying, deferring or preventing a change in control of our company; and</w:t>
      </w:r>
    </w:p>
    <w:p>
      <w:pPr>
        <w:spacing w:after="0" w:line="11" w:lineRule="exact"/>
        <w:rPr>
          <w:rFonts w:ascii="Arial" w:cs="Arial" w:eastAsia="Arial" w:hAnsi="Arial"/>
          <w:sz w:val="14"/>
          <w:szCs w:val="14"/>
          <w:color w:val="auto"/>
        </w:rPr>
      </w:pPr>
    </w:p>
    <w:p>
      <w:pPr>
        <w:ind w:left="1360" w:hanging="265"/>
        <w:spacing w:after="0"/>
        <w:tabs>
          <w:tab w:leader="none" w:pos="1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discouraging bids for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Continued payment of dividends on our common stock could be impacted.</w:t>
      </w:r>
    </w:p>
    <w:p>
      <w:pPr>
        <w:spacing w:after="0" w:line="119" w:lineRule="exact"/>
        <w:rPr>
          <w:sz w:val="20"/>
          <w:szCs w:val="20"/>
          <w:color w:val="auto"/>
        </w:rPr>
      </w:pPr>
    </w:p>
    <w:p>
      <w:pPr>
        <w:ind w:right="40" w:firstLine="345"/>
        <w:spacing w:after="0" w:line="264" w:lineRule="auto"/>
        <w:rPr>
          <w:sz w:val="20"/>
          <w:szCs w:val="20"/>
          <w:color w:val="auto"/>
        </w:rPr>
      </w:pPr>
      <w:r>
        <w:rPr>
          <w:rFonts w:ascii="Arial" w:cs="Arial" w:eastAsia="Arial" w:hAnsi="Arial"/>
          <w:sz w:val="14"/>
          <w:szCs w:val="14"/>
          <w:color w:val="auto"/>
        </w:rPr>
        <w:t>Our Board of Directors declared cash dividends on our common stock for the first time in December 2013 and we have declared and paid quarterly cash dividends since that time. However, there is no certainty that dividends will be declared by the Board of Directors in the future. Any payment of cash dividends on our common stock in the future will be dependent upon the amount of funds legally available, our earnings, if any, our financial condition and business plan, restrictions contained in current or future debt instruments, contractual covenants or arrangements we may enter into, our anticipated capital requirements and other factors that our board of directors may think are relevant. Accordingly, there is no guarantee that we will be able or choose to continue to pay cash dividends on our common stock.</w:t>
      </w:r>
    </w:p>
    <w:p>
      <w:pPr>
        <w:spacing w:after="0" w:line="188"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2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123" w:lineRule="exact"/>
        <w:rPr>
          <w:sz w:val="20"/>
          <w:szCs w:val="20"/>
          <w:color w:val="auto"/>
        </w:rPr>
      </w:pPr>
    </w:p>
    <w:p>
      <w:pPr>
        <w:ind w:right="120" w:firstLine="323"/>
        <w:spacing w:after="0" w:line="288" w:lineRule="auto"/>
        <w:rPr>
          <w:sz w:val="20"/>
          <w:szCs w:val="20"/>
          <w:color w:val="auto"/>
        </w:rPr>
      </w:pPr>
      <w:r>
        <w:rPr>
          <w:rFonts w:ascii="Arial" w:cs="Arial" w:eastAsia="Arial" w:hAnsi="Arial"/>
          <w:sz w:val="14"/>
          <w:szCs w:val="14"/>
          <w:color w:val="auto"/>
        </w:rPr>
        <w:t>Information regarding our properties is included in “Item 1. Business” above and in “Note 6. Property and Equipment” of the Notes to our Consolidated Financial Statements included in “Item 8. Financial Statements and Supplementary Data,”which information is incorporated herein by reference.</w:t>
      </w:r>
    </w:p>
    <w:p>
      <w:pPr>
        <w:spacing w:after="0" w:line="6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See Note 16 – Commitments and Contingencies under </w:t>
      </w:r>
      <w:r>
        <w:rPr>
          <w:rFonts w:ascii="Arial" w:cs="Arial" w:eastAsia="Arial" w:hAnsi="Arial"/>
          <w:sz w:val="14"/>
          <w:szCs w:val="14"/>
          <w:i w:val="1"/>
          <w:iCs w:val="1"/>
          <w:color w:val="auto"/>
        </w:rPr>
        <w:t>Item 8. Financial Statements</w:t>
      </w:r>
      <w:r>
        <w:rPr>
          <w:rFonts w:ascii="Arial" w:cs="Arial" w:eastAsia="Arial" w:hAnsi="Arial"/>
          <w:sz w:val="14"/>
          <w:szCs w:val="14"/>
          <w:color w:val="auto"/>
        </w:rPr>
        <w:t xml:space="preserve"> for a description of legal proceedings, which is incorporated herein by reference.</w:t>
      </w:r>
    </w:p>
    <w:p>
      <w:pPr>
        <w:spacing w:after="0" w:line="22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60"/>
          </w:cols>
          <w:pgMar w:left="220" w:top="129" w:right="21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399"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Market for Registrant's Common Equity, Related Stockholder Matters and Issuer Purchases of Equity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31" w:lineRule="exact"/>
        <w:rPr>
          <w:sz w:val="20"/>
          <w:szCs w:val="20"/>
          <w:color w:val="auto"/>
        </w:rPr>
      </w:pPr>
    </w:p>
    <w:p>
      <w:pPr>
        <w:ind w:right="20" w:firstLine="345"/>
        <w:spacing w:after="0" w:line="288" w:lineRule="auto"/>
        <w:rPr>
          <w:sz w:val="20"/>
          <w:szCs w:val="20"/>
          <w:color w:val="auto"/>
        </w:rPr>
      </w:pPr>
      <w:r>
        <w:rPr>
          <w:rFonts w:ascii="Arial" w:cs="Arial" w:eastAsia="Arial" w:hAnsi="Arial"/>
          <w:sz w:val="14"/>
          <w:szCs w:val="14"/>
          <w:color w:val="auto"/>
        </w:rPr>
        <w:t>Our common stock is currently traded on the NYSE American under the ticker symbol "EPM". The following table shows, for each quarter of the fiscal years ended June 30, 2019 and 2018, the high and low sales prices for EPM as reported by the NYSE American.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NYSE American: EPM</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ind w:left="20"/>
              <w:spacing w:after="0"/>
              <w:rPr>
                <w:sz w:val="20"/>
                <w:szCs w:val="20"/>
                <w:color w:val="auto"/>
              </w:rPr>
            </w:pPr>
            <w:r>
              <w:rPr>
                <w:rFonts w:ascii="Arial" w:cs="Arial" w:eastAsia="Arial" w:hAnsi="Arial"/>
                <w:sz w:val="11"/>
                <w:szCs w:val="11"/>
                <w:b w:val="1"/>
                <w:bCs w:val="1"/>
                <w:color w:val="auto"/>
              </w:rPr>
              <w:t>2019:</w:t>
            </w:r>
          </w:p>
        </w:tc>
        <w:tc>
          <w:tcPr>
            <w:tcW w:w="360" w:type="dxa"/>
            <w:vAlign w:val="bottom"/>
          </w:tcPr>
          <w:p>
            <w:pPr>
              <w:spacing w:after="0"/>
              <w:rPr>
                <w:sz w:val="13"/>
                <w:szCs w:val="13"/>
                <w:color w:val="auto"/>
              </w:rPr>
            </w:pPr>
          </w:p>
        </w:tc>
        <w:tc>
          <w:tcPr>
            <w:tcW w:w="1260" w:type="dxa"/>
            <w:vAlign w:val="bottom"/>
            <w:gridSpan w:val="2"/>
          </w:tcPr>
          <w:p>
            <w:pPr>
              <w:ind w:left="280"/>
              <w:spacing w:after="0"/>
              <w:rPr>
                <w:sz w:val="20"/>
                <w:szCs w:val="20"/>
                <w:color w:val="auto"/>
              </w:rPr>
            </w:pPr>
            <w:r>
              <w:rPr>
                <w:rFonts w:ascii="Arial" w:cs="Arial" w:eastAsia="Arial" w:hAnsi="Arial"/>
                <w:sz w:val="11"/>
                <w:szCs w:val="11"/>
                <w:b w:val="1"/>
                <w:bCs w:val="1"/>
                <w:color w:val="auto"/>
              </w:rPr>
              <w:t>High</w:t>
            </w:r>
          </w:p>
        </w:tc>
        <w:tc>
          <w:tcPr>
            <w:tcW w:w="360" w:type="dxa"/>
            <w:vAlign w:val="bottom"/>
          </w:tcPr>
          <w:p>
            <w:pPr>
              <w:spacing w:after="0"/>
              <w:rPr>
                <w:sz w:val="13"/>
                <w:szCs w:val="13"/>
                <w:color w:val="auto"/>
              </w:rPr>
            </w:pPr>
          </w:p>
        </w:tc>
        <w:tc>
          <w:tcPr>
            <w:tcW w:w="1120" w:type="dxa"/>
            <w:vAlign w:val="bottom"/>
          </w:tcPr>
          <w:p>
            <w:pPr>
              <w:jc w:val="right"/>
              <w:ind w:right="551"/>
              <w:spacing w:after="0"/>
              <w:rPr>
                <w:sz w:val="20"/>
                <w:szCs w:val="20"/>
                <w:color w:val="auto"/>
              </w:rPr>
            </w:pPr>
            <w:r>
              <w:rPr>
                <w:rFonts w:ascii="Arial" w:cs="Arial" w:eastAsia="Arial" w:hAnsi="Arial"/>
                <w:sz w:val="11"/>
                <w:szCs w:val="11"/>
                <w:b w:val="1"/>
                <w:bCs w:val="1"/>
                <w:color w:val="auto"/>
              </w:rPr>
              <w:t>Low</w:t>
            </w:r>
          </w:p>
        </w:tc>
      </w:tr>
      <w:tr>
        <w:trPr>
          <w:trHeight w:val="191"/>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Fourth quarter ended June 30, 2019</w:t>
            </w:r>
          </w:p>
        </w:tc>
        <w:tc>
          <w:tcPr>
            <w:tcW w:w="360" w:type="dxa"/>
            <w:vAlign w:val="bottom"/>
            <w:tcBorders>
              <w:top w:val="single" w:sz="8" w:color="auto"/>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7.40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5.99</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Third quarter ended March 31, 2019</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6.44</w:t>
            </w:r>
          </w:p>
        </w:tc>
      </w:tr>
      <w:tr>
        <w:trPr>
          <w:trHeight w:val="23"/>
        </w:trPr>
        <w:tc>
          <w:tcPr>
            <w:tcW w:w="8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Second quarter ended December 31, 2018</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12.83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6.17</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First quarter ended September 30, 2018</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9.60</w:t>
            </w:r>
          </w:p>
        </w:tc>
      </w:tr>
      <w:tr>
        <w:trPr>
          <w:trHeight w:val="514"/>
        </w:trPr>
        <w:tc>
          <w:tcPr>
            <w:tcW w:w="8360" w:type="dxa"/>
            <w:vAlign w:val="bottom"/>
          </w:tcPr>
          <w:p>
            <w:pPr>
              <w:ind w:left="20"/>
              <w:spacing w:after="0"/>
              <w:rPr>
                <w:sz w:val="20"/>
                <w:szCs w:val="20"/>
                <w:color w:val="auto"/>
              </w:rPr>
            </w:pPr>
            <w:r>
              <w:rPr>
                <w:rFonts w:ascii="Arial" w:cs="Arial" w:eastAsia="Arial" w:hAnsi="Arial"/>
                <w:sz w:val="11"/>
                <w:szCs w:val="11"/>
                <w:b w:val="1"/>
                <w:bCs w:val="1"/>
                <w:color w:val="auto"/>
              </w:rPr>
              <w:t>2018:</w:t>
            </w:r>
          </w:p>
        </w:tc>
        <w:tc>
          <w:tcPr>
            <w:tcW w:w="360" w:type="dxa"/>
            <w:vAlign w:val="bottom"/>
          </w:tcPr>
          <w:p>
            <w:pPr>
              <w:spacing w:after="0"/>
              <w:rPr>
                <w:sz w:val="24"/>
                <w:szCs w:val="24"/>
                <w:color w:val="auto"/>
              </w:rPr>
            </w:pPr>
          </w:p>
        </w:tc>
        <w:tc>
          <w:tcPr>
            <w:tcW w:w="1260" w:type="dxa"/>
            <w:vAlign w:val="bottom"/>
            <w:gridSpan w:val="2"/>
          </w:tcPr>
          <w:p>
            <w:pPr>
              <w:ind w:left="280"/>
              <w:spacing w:after="0"/>
              <w:rPr>
                <w:sz w:val="20"/>
                <w:szCs w:val="20"/>
                <w:color w:val="auto"/>
              </w:rPr>
            </w:pPr>
            <w:r>
              <w:rPr>
                <w:rFonts w:ascii="Arial" w:cs="Arial" w:eastAsia="Arial" w:hAnsi="Arial"/>
                <w:sz w:val="11"/>
                <w:szCs w:val="11"/>
                <w:b w:val="1"/>
                <w:bCs w:val="1"/>
                <w:color w:val="auto"/>
              </w:rPr>
              <w:t>High</w:t>
            </w:r>
          </w:p>
        </w:tc>
        <w:tc>
          <w:tcPr>
            <w:tcW w:w="360" w:type="dxa"/>
            <w:vAlign w:val="bottom"/>
          </w:tcPr>
          <w:p>
            <w:pPr>
              <w:spacing w:after="0"/>
              <w:rPr>
                <w:sz w:val="24"/>
                <w:szCs w:val="24"/>
                <w:color w:val="auto"/>
              </w:rPr>
            </w:pPr>
          </w:p>
        </w:tc>
        <w:tc>
          <w:tcPr>
            <w:tcW w:w="1120" w:type="dxa"/>
            <w:vAlign w:val="bottom"/>
          </w:tcPr>
          <w:p>
            <w:pPr>
              <w:jc w:val="right"/>
              <w:ind w:right="551"/>
              <w:spacing w:after="0"/>
              <w:rPr>
                <w:sz w:val="20"/>
                <w:szCs w:val="20"/>
                <w:color w:val="auto"/>
              </w:rPr>
            </w:pPr>
            <w:r>
              <w:rPr>
                <w:rFonts w:ascii="Arial" w:cs="Arial" w:eastAsia="Arial" w:hAnsi="Arial"/>
                <w:sz w:val="11"/>
                <w:szCs w:val="11"/>
                <w:b w:val="1"/>
                <w:bCs w:val="1"/>
                <w:color w:val="auto"/>
              </w:rPr>
              <w:t>Low</w:t>
            </w:r>
          </w:p>
        </w:tc>
      </w:tr>
      <w:tr>
        <w:trPr>
          <w:trHeight w:val="191"/>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Fourth quarter ended June 30, 2018</w:t>
            </w:r>
          </w:p>
        </w:tc>
        <w:tc>
          <w:tcPr>
            <w:tcW w:w="360" w:type="dxa"/>
            <w:vAlign w:val="bottom"/>
            <w:tcBorders>
              <w:top w:val="single" w:sz="8" w:color="auto"/>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10.50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7.75</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Third quarter ended March 31, 2018</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6.70</w:t>
            </w:r>
          </w:p>
        </w:tc>
      </w:tr>
      <w:tr>
        <w:trPr>
          <w:trHeight w:val="23"/>
        </w:trPr>
        <w:tc>
          <w:tcPr>
            <w:tcW w:w="8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Second quarter ended December 31, 2017</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7.63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6.35</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First quarter ended September 30, 2017</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8.70</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6.35</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Shares Outstanding and Holders</w:t>
      </w:r>
    </w:p>
    <w:p>
      <w:pPr>
        <w:spacing w:after="0" w:line="231" w:lineRule="exact"/>
        <w:rPr>
          <w:sz w:val="20"/>
          <w:szCs w:val="20"/>
          <w:color w:val="auto"/>
        </w:rPr>
      </w:pPr>
    </w:p>
    <w:p>
      <w:pPr>
        <w:ind w:right="660" w:firstLine="345"/>
        <w:spacing w:after="0" w:line="288" w:lineRule="auto"/>
        <w:rPr>
          <w:sz w:val="20"/>
          <w:szCs w:val="20"/>
          <w:color w:val="auto"/>
        </w:rPr>
      </w:pPr>
      <w:r>
        <w:rPr>
          <w:rFonts w:ascii="Arial" w:cs="Arial" w:eastAsia="Arial" w:hAnsi="Arial"/>
          <w:sz w:val="14"/>
          <w:szCs w:val="14"/>
          <w:color w:val="auto"/>
        </w:rPr>
        <w:t>As of June 30, 2019, there were 33,183,730 shares of common stock issued and outstanding, held by approximately 250 holders of record. We estimate there are approximately 2,000 individuals and institutions that hold our stock through nominees.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began paying cash quarterly dividends on our common stock in December 2013. Over the last two fiscal years, the Company made the following cash dividends per share:</w:t>
      </w: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8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Years Ended June 30,</w:t>
            </w:r>
          </w:p>
        </w:tc>
      </w:tr>
      <w:tr>
        <w:trPr>
          <w:trHeight w:val="206"/>
        </w:trPr>
        <w:tc>
          <w:tcPr>
            <w:tcW w:w="3880" w:type="dxa"/>
            <w:vAlign w:val="bottom"/>
            <w:tcBorders>
              <w:bottom w:val="single" w:sz="8" w:color="CCEEFF"/>
            </w:tcBorders>
          </w:tcPr>
          <w:p>
            <w:pPr>
              <w:spacing w:after="0"/>
              <w:rPr>
                <w:sz w:val="17"/>
                <w:szCs w:val="17"/>
                <w:color w:val="auto"/>
              </w:rPr>
            </w:pPr>
          </w:p>
        </w:tc>
        <w:tc>
          <w:tcPr>
            <w:tcW w:w="45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center"/>
              <w:ind w:left="403"/>
              <w:spacing w:after="0"/>
              <w:rPr>
                <w:sz w:val="20"/>
                <w:szCs w:val="20"/>
                <w:color w:val="auto"/>
              </w:rPr>
            </w:pPr>
            <w:r>
              <w:rPr>
                <w:rFonts w:ascii="Arial" w:cs="Arial" w:eastAsia="Arial" w:hAnsi="Arial"/>
                <w:sz w:val="11"/>
                <w:szCs w:val="11"/>
                <w:b w:val="1"/>
                <w:bCs w:val="1"/>
                <w:color w:val="auto"/>
                <w:w w:val="97"/>
              </w:rPr>
              <w:t>2019</w:t>
            </w: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2018</w:t>
            </w:r>
          </w:p>
        </w:tc>
      </w:tr>
      <w:tr>
        <w:trPr>
          <w:trHeight w:val="191"/>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Fourth quarter ended June 30,</w:t>
            </w:r>
          </w:p>
        </w:tc>
        <w:tc>
          <w:tcPr>
            <w:tcW w:w="5460" w:type="dxa"/>
            <w:vAlign w:val="bottom"/>
            <w:tcBorders>
              <w:bottom w:val="single" w:sz="8" w:color="CCEEFF"/>
            </w:tcBorders>
            <w:gridSpan w:val="2"/>
            <w:shd w:val="clear" w:color="auto" w:fill="CCEEFF"/>
          </w:tcPr>
          <w:p>
            <w:pPr>
              <w:jc w:val="center"/>
              <w:ind w:left="4948"/>
              <w:spacing w:after="0"/>
              <w:rPr>
                <w:sz w:val="20"/>
                <w:szCs w:val="20"/>
                <w:color w:val="auto"/>
              </w:rPr>
            </w:pPr>
            <w:r>
              <w:rPr>
                <w:rFonts w:ascii="Arial" w:cs="Arial" w:eastAsia="Arial" w:hAnsi="Arial"/>
                <w:sz w:val="14"/>
                <w:szCs w:val="14"/>
                <w:color w:val="auto"/>
                <w:w w:val="93"/>
              </w:rPr>
              <w:t>$0.100</w:t>
            </w:r>
          </w:p>
        </w:tc>
        <w:tc>
          <w:tcPr>
            <w:tcW w:w="2060" w:type="dxa"/>
            <w:vAlign w:val="bottom"/>
            <w:tcBorders>
              <w:bottom w:val="single" w:sz="8" w:color="CCEEFF"/>
            </w:tcBorders>
            <w:gridSpan w:val="3"/>
            <w:shd w:val="clear" w:color="auto" w:fill="CCEEFF"/>
          </w:tcPr>
          <w:p>
            <w:pPr>
              <w:jc w:val="center"/>
              <w:ind w:left="631"/>
              <w:spacing w:after="0"/>
              <w:rPr>
                <w:sz w:val="20"/>
                <w:szCs w:val="20"/>
                <w:color w:val="auto"/>
              </w:rPr>
            </w:pPr>
            <w:r>
              <w:rPr>
                <w:rFonts w:ascii="Arial" w:cs="Arial" w:eastAsia="Arial" w:hAnsi="Arial"/>
                <w:sz w:val="14"/>
                <w:szCs w:val="14"/>
                <w:color w:val="auto"/>
                <w:w w:val="93"/>
              </w:rPr>
              <w:t>$0.100</w:t>
            </w: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Third quarter ended March 31,</w:t>
            </w:r>
          </w:p>
        </w:tc>
        <w:tc>
          <w:tcPr>
            <w:tcW w:w="5460" w:type="dxa"/>
            <w:vAlign w:val="bottom"/>
            <w:gridSpan w:val="2"/>
          </w:tcPr>
          <w:p>
            <w:pPr>
              <w:jc w:val="center"/>
              <w:ind w:left="4948"/>
              <w:spacing w:after="0"/>
              <w:rPr>
                <w:sz w:val="20"/>
                <w:szCs w:val="20"/>
                <w:color w:val="auto"/>
              </w:rPr>
            </w:pPr>
            <w:r>
              <w:rPr>
                <w:rFonts w:ascii="Arial" w:cs="Arial" w:eastAsia="Arial" w:hAnsi="Arial"/>
                <w:sz w:val="14"/>
                <w:szCs w:val="14"/>
                <w:color w:val="auto"/>
                <w:w w:val="93"/>
              </w:rPr>
              <w:t>$0.100</w:t>
            </w:r>
          </w:p>
        </w:tc>
        <w:tc>
          <w:tcPr>
            <w:tcW w:w="2060" w:type="dxa"/>
            <w:vAlign w:val="bottom"/>
            <w:gridSpan w:val="3"/>
          </w:tcPr>
          <w:p>
            <w:pPr>
              <w:jc w:val="center"/>
              <w:ind w:left="631"/>
              <w:spacing w:after="0"/>
              <w:rPr>
                <w:sz w:val="20"/>
                <w:szCs w:val="20"/>
                <w:color w:val="auto"/>
              </w:rPr>
            </w:pPr>
            <w:r>
              <w:rPr>
                <w:rFonts w:ascii="Arial" w:cs="Arial" w:eastAsia="Arial" w:hAnsi="Arial"/>
                <w:sz w:val="14"/>
                <w:szCs w:val="14"/>
                <w:color w:val="auto"/>
                <w:w w:val="93"/>
              </w:rPr>
              <w:t>$0.100</w:t>
            </w:r>
          </w:p>
        </w:tc>
      </w:tr>
      <w:tr>
        <w:trPr>
          <w:trHeight w:val="23"/>
        </w:trPr>
        <w:tc>
          <w:tcPr>
            <w:tcW w:w="38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Second quarter ended December 31,</w:t>
            </w:r>
          </w:p>
        </w:tc>
        <w:tc>
          <w:tcPr>
            <w:tcW w:w="5460" w:type="dxa"/>
            <w:vAlign w:val="bottom"/>
            <w:tcBorders>
              <w:bottom w:val="single" w:sz="8" w:color="CCEEFF"/>
            </w:tcBorders>
            <w:gridSpan w:val="2"/>
            <w:shd w:val="clear" w:color="auto" w:fill="CCEEFF"/>
          </w:tcPr>
          <w:p>
            <w:pPr>
              <w:jc w:val="center"/>
              <w:ind w:left="4948"/>
              <w:spacing w:after="0"/>
              <w:rPr>
                <w:sz w:val="20"/>
                <w:szCs w:val="20"/>
                <w:color w:val="auto"/>
              </w:rPr>
            </w:pPr>
            <w:r>
              <w:rPr>
                <w:rFonts w:ascii="Arial" w:cs="Arial" w:eastAsia="Arial" w:hAnsi="Arial"/>
                <w:sz w:val="14"/>
                <w:szCs w:val="14"/>
                <w:color w:val="auto"/>
                <w:w w:val="93"/>
              </w:rPr>
              <w:t>$0.100</w:t>
            </w:r>
          </w:p>
        </w:tc>
        <w:tc>
          <w:tcPr>
            <w:tcW w:w="2060" w:type="dxa"/>
            <w:vAlign w:val="bottom"/>
            <w:tcBorders>
              <w:bottom w:val="single" w:sz="8" w:color="CCEEFF"/>
            </w:tcBorders>
            <w:gridSpan w:val="3"/>
            <w:shd w:val="clear" w:color="auto" w:fill="CCEEFF"/>
          </w:tcPr>
          <w:p>
            <w:pPr>
              <w:jc w:val="center"/>
              <w:ind w:left="631"/>
              <w:spacing w:after="0"/>
              <w:rPr>
                <w:sz w:val="20"/>
                <w:szCs w:val="20"/>
                <w:color w:val="auto"/>
              </w:rPr>
            </w:pPr>
            <w:r>
              <w:rPr>
                <w:rFonts w:ascii="Arial" w:cs="Arial" w:eastAsia="Arial" w:hAnsi="Arial"/>
                <w:sz w:val="14"/>
                <w:szCs w:val="14"/>
                <w:color w:val="auto"/>
                <w:w w:val="93"/>
              </w:rPr>
              <w:t>$0.075</w:t>
            </w: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color w:val="auto"/>
              </w:rPr>
              <w:t>First quarter ended September 30,</w:t>
            </w:r>
          </w:p>
        </w:tc>
        <w:tc>
          <w:tcPr>
            <w:tcW w:w="5460" w:type="dxa"/>
            <w:vAlign w:val="bottom"/>
            <w:gridSpan w:val="2"/>
          </w:tcPr>
          <w:p>
            <w:pPr>
              <w:jc w:val="center"/>
              <w:ind w:left="4948"/>
              <w:spacing w:after="0"/>
              <w:rPr>
                <w:sz w:val="20"/>
                <w:szCs w:val="20"/>
                <w:color w:val="auto"/>
              </w:rPr>
            </w:pPr>
            <w:r>
              <w:rPr>
                <w:rFonts w:ascii="Arial" w:cs="Arial" w:eastAsia="Arial" w:hAnsi="Arial"/>
                <w:sz w:val="14"/>
                <w:szCs w:val="14"/>
                <w:color w:val="auto"/>
                <w:w w:val="93"/>
              </w:rPr>
              <w:t>$0.100</w:t>
            </w:r>
          </w:p>
        </w:tc>
        <w:tc>
          <w:tcPr>
            <w:tcW w:w="2060" w:type="dxa"/>
            <w:vAlign w:val="bottom"/>
            <w:gridSpan w:val="3"/>
          </w:tcPr>
          <w:p>
            <w:pPr>
              <w:jc w:val="center"/>
              <w:ind w:left="631"/>
              <w:spacing w:after="0"/>
              <w:rPr>
                <w:sz w:val="20"/>
                <w:szCs w:val="20"/>
                <w:color w:val="auto"/>
              </w:rPr>
            </w:pPr>
            <w:r>
              <w:rPr>
                <w:rFonts w:ascii="Arial" w:cs="Arial" w:eastAsia="Arial" w:hAnsi="Arial"/>
                <w:sz w:val="14"/>
                <w:szCs w:val="14"/>
                <w:color w:val="auto"/>
                <w:w w:val="93"/>
              </w:rPr>
              <w:t>$0.075</w:t>
            </w:r>
          </w:p>
        </w:tc>
      </w:tr>
      <w:tr>
        <w:trPr>
          <w:trHeight w:val="194"/>
        </w:trPr>
        <w:tc>
          <w:tcPr>
            <w:tcW w:w="3880" w:type="dxa"/>
            <w:vAlign w:val="bottom"/>
          </w:tcPr>
          <w:p>
            <w:pPr>
              <w:spacing w:after="0"/>
              <w:rPr>
                <w:sz w:val="16"/>
                <w:szCs w:val="16"/>
                <w:color w:val="auto"/>
              </w:rPr>
            </w:pPr>
          </w:p>
        </w:tc>
        <w:tc>
          <w:tcPr>
            <w:tcW w:w="4560" w:type="dxa"/>
            <w:vAlign w:val="bottom"/>
          </w:tcPr>
          <w:p>
            <w:pPr>
              <w:jc w:val="right"/>
              <w:ind w:right="2648"/>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98" w:lineRule="exact"/>
        <w:rPr>
          <w:sz w:val="20"/>
          <w:szCs w:val="20"/>
          <w:color w:val="auto"/>
        </w:rPr>
      </w:pPr>
    </w:p>
    <w:p>
      <w:pPr>
        <w:ind w:right="220"/>
        <w:spacing w:after="0" w:line="294" w:lineRule="auto"/>
        <w:rPr>
          <w:sz w:val="20"/>
          <w:szCs w:val="20"/>
          <w:color w:val="auto"/>
        </w:rPr>
      </w:pPr>
      <w:r>
        <w:rPr>
          <w:rFonts w:ascii="Arial" w:cs="Arial" w:eastAsia="Arial" w:hAnsi="Arial"/>
          <w:sz w:val="13"/>
          <w:szCs w:val="13"/>
          <w:color w:val="auto"/>
        </w:rPr>
        <w:t>As of June 30, 2019, we had paid twenty-three consecutive quarterly dividends on our common stock. In August 2019, the Company declared a $0.10 per share dividend payable on September 30, 2019. Any future determination with regard to the payment of dividends will be at the discretion of the Board of Directors and will be dependent upon our future earnings, financial condition, applicable dividend restrictions and capital requirements and other factors deemed relevant by the Board of Directors. Under our current revolving credit facility, our ability to continue to pay common stock dividends is dependent on compliance with certain financial covenants related to debt service coverage, as defined in the agreement.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231" w:lineRule="exact"/>
        <w:rPr>
          <w:sz w:val="20"/>
          <w:szCs w:val="20"/>
          <w:color w:val="auto"/>
        </w:rPr>
      </w:pPr>
    </w:p>
    <w:p>
      <w:pPr>
        <w:ind w:right="160" w:firstLine="345"/>
        <w:spacing w:after="0" w:line="288" w:lineRule="auto"/>
        <w:rPr>
          <w:sz w:val="20"/>
          <w:szCs w:val="20"/>
          <w:color w:val="auto"/>
        </w:rPr>
      </w:pPr>
      <w:r>
        <w:rPr>
          <w:rFonts w:ascii="Arial" w:cs="Arial" w:eastAsia="Arial" w:hAnsi="Arial"/>
          <w:sz w:val="14"/>
          <w:szCs w:val="14"/>
          <w:color w:val="auto"/>
        </w:rPr>
        <w:t>The following graph presents a comparison of the yearly percentage change in the cumulative total return on our Common Stock over the period from June 30, 2014 to June 30, 2019 with the cumulative total return of the S&amp;P 500 Index 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60"/>
          </w:cols>
          <w:pgMar w:left="220" w:top="129" w:right="21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both"/>
        <w:ind w:right="240"/>
        <w:spacing w:after="0" w:line="302" w:lineRule="auto"/>
        <w:rPr>
          <w:sz w:val="20"/>
          <w:szCs w:val="20"/>
          <w:color w:val="auto"/>
        </w:rPr>
      </w:pPr>
      <w:r>
        <w:rPr>
          <w:rFonts w:ascii="Arial" w:cs="Arial" w:eastAsia="Arial" w:hAnsi="Arial"/>
          <w:sz w:val="13"/>
          <w:szCs w:val="13"/>
          <w:color w:val="auto"/>
        </w:rPr>
        <w:t>the S&amp;P Oil &amp; Gas Exploration and Production Index of publicly traded companies over the same period. The graph assumes that $100 was invested on June 30, 2014 in our common stock at the closing market price at the beginning of this period and in each of the other two indices and the reinvestment of all dividends, if any. The graph is presented in accordance with requirements of the SEC. Shareholders are cautioned against drawing any conclusions from the data contained therein, as past results are not necessarily indicative of future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113665</wp:posOffset>
            </wp:positionV>
            <wp:extent cx="4194810" cy="328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94810"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6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Number of securities</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securities to</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2"/>
              </w:rPr>
              <w:t>Weighted-average</w:t>
            </w: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6"/>
              </w:rPr>
              <w:t>be issued</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remaining</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upon exercise</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w w:val="86"/>
              </w:rPr>
              <w:t>exercise</w:t>
            </w:r>
          </w:p>
        </w:tc>
        <w:tc>
          <w:tcPr>
            <w:tcW w:w="1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available for future</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1"/>
              </w:rPr>
              <w:t>of outstanding</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w w:val="95"/>
              </w:rPr>
              <w:t>price of</w:t>
            </w:r>
          </w:p>
        </w:tc>
        <w:tc>
          <w:tcPr>
            <w:tcW w:w="1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1"/>
              </w:rPr>
              <w:t>issuance under</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8"/>
              </w:rPr>
              <w:t>options,</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w w:val="92"/>
              </w:rPr>
              <w:t>outstanding</w:t>
            </w:r>
          </w:p>
        </w:tc>
        <w:tc>
          <w:tcPr>
            <w:tcW w:w="1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2"/>
              </w:rPr>
              <w:t>equity compensation</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warrants and</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w w:val="96"/>
              </w:rPr>
              <w:t>Options, warrants</w:t>
            </w:r>
          </w:p>
        </w:tc>
        <w:tc>
          <w:tcPr>
            <w:tcW w:w="1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2"/>
              </w:rPr>
              <w:t>plans (excluding</w:t>
            </w:r>
          </w:p>
        </w:tc>
        <w:tc>
          <w:tcPr>
            <w:tcW w:w="0" w:type="dxa"/>
            <w:vAlign w:val="bottom"/>
          </w:tcPr>
          <w:p>
            <w:pPr>
              <w:spacing w:after="0"/>
              <w:rPr>
                <w:sz w:val="1"/>
                <w:szCs w:val="1"/>
                <w:color w:val="auto"/>
              </w:rPr>
            </w:pPr>
          </w:p>
        </w:tc>
      </w:tr>
      <w:tr>
        <w:trPr>
          <w:trHeight w:val="119"/>
        </w:trPr>
        <w:tc>
          <w:tcPr>
            <w:tcW w:w="5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Plan category</w:t>
            </w:r>
          </w:p>
        </w:tc>
        <w:tc>
          <w:tcPr>
            <w:tcW w:w="13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rights</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w w:val="93"/>
              </w:rPr>
              <w:t>and rights</w:t>
            </w:r>
          </w:p>
        </w:tc>
        <w:tc>
          <w:tcPr>
            <w:tcW w:w="18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securities reflected</w:t>
            </w:r>
          </w:p>
        </w:tc>
        <w:tc>
          <w:tcPr>
            <w:tcW w:w="0" w:type="dxa"/>
            <w:vAlign w:val="bottom"/>
          </w:tcPr>
          <w:p>
            <w:pPr>
              <w:spacing w:after="0"/>
              <w:rPr>
                <w:sz w:val="1"/>
                <w:szCs w:val="1"/>
                <w:color w:val="auto"/>
              </w:rPr>
            </w:pPr>
          </w:p>
        </w:tc>
      </w:tr>
      <w:tr>
        <w:trPr>
          <w:trHeight w:val="153"/>
        </w:trPr>
        <w:tc>
          <w:tcPr>
            <w:tcW w:w="5860" w:type="dxa"/>
            <w:vAlign w:val="bottom"/>
            <w:vMerge w:val="continue"/>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rPr>
              <w:t>(a)</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9"/>
              </w:rPr>
              <w:t>(b)</w:t>
            </w:r>
          </w:p>
        </w:tc>
        <w:tc>
          <w:tcPr>
            <w:tcW w:w="1820" w:type="dxa"/>
            <w:vAlign w:val="bottom"/>
          </w:tcPr>
          <w:p>
            <w:pPr>
              <w:jc w:val="center"/>
              <w:spacing w:after="0"/>
              <w:rPr>
                <w:sz w:val="20"/>
                <w:szCs w:val="20"/>
                <w:color w:val="auto"/>
              </w:rPr>
            </w:pPr>
            <w:r>
              <w:rPr>
                <w:rFonts w:ascii="Arial" w:cs="Arial" w:eastAsia="Arial" w:hAnsi="Arial"/>
                <w:sz w:val="11"/>
                <w:szCs w:val="11"/>
                <w:b w:val="1"/>
                <w:bCs w:val="1"/>
                <w:color w:val="auto"/>
                <w:w w:val="95"/>
              </w:rPr>
              <w:t>in column (a))(1)</w:t>
            </w:r>
          </w:p>
        </w:tc>
        <w:tc>
          <w:tcPr>
            <w:tcW w:w="0" w:type="dxa"/>
            <w:vAlign w:val="bottom"/>
          </w:tcPr>
          <w:p>
            <w:pPr>
              <w:spacing w:after="0"/>
              <w:rPr>
                <w:sz w:val="1"/>
                <w:szCs w:val="1"/>
                <w:color w:val="auto"/>
              </w:rPr>
            </w:pPr>
          </w:p>
        </w:tc>
      </w:tr>
      <w:tr>
        <w:trPr>
          <w:trHeight w:val="191"/>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 security holders:</w:t>
            </w: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7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60" w:type="dxa"/>
            <w:vAlign w:val="bottom"/>
          </w:tcPr>
          <w:p>
            <w:pPr>
              <w:ind w:left="180"/>
              <w:spacing w:after="0"/>
              <w:rPr>
                <w:sz w:val="20"/>
                <w:szCs w:val="20"/>
                <w:color w:val="auto"/>
              </w:rPr>
            </w:pPr>
            <w:r>
              <w:rPr>
                <w:rFonts w:ascii="Arial" w:cs="Arial" w:eastAsia="Arial" w:hAnsi="Arial"/>
                <w:sz w:val="14"/>
                <w:szCs w:val="14"/>
                <w:color w:val="auto"/>
              </w:rPr>
              <w:t>Outstanding options</w:t>
            </w:r>
          </w:p>
        </w:tc>
        <w:tc>
          <w:tcPr>
            <w:tcW w:w="1380" w:type="dxa"/>
            <w:vAlign w:val="bottom"/>
          </w:tcPr>
          <w:p>
            <w:pPr>
              <w:jc w:val="right"/>
              <w:ind w:right="57"/>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Outstanding contingent rights to shares</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4"/>
                <w:szCs w:val="14"/>
                <w:color w:val="auto"/>
              </w:rPr>
              <w:t>10,156</w:t>
            </w:r>
          </w:p>
        </w:tc>
        <w:tc>
          <w:tcPr>
            <w:tcW w:w="7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860" w:type="dxa"/>
            <w:vAlign w:val="bottom"/>
          </w:tcPr>
          <w:p>
            <w:pPr>
              <w:ind w:left="100"/>
              <w:spacing w:after="0"/>
              <w:rPr>
                <w:sz w:val="20"/>
                <w:szCs w:val="20"/>
                <w:color w:val="auto"/>
              </w:rPr>
            </w:pPr>
            <w:r>
              <w:rPr>
                <w:rFonts w:ascii="Arial" w:cs="Arial" w:eastAsia="Arial" w:hAnsi="Arial"/>
                <w:sz w:val="14"/>
                <w:szCs w:val="14"/>
                <w:color w:val="auto"/>
              </w:rPr>
              <w:t>Total</w:t>
            </w:r>
          </w:p>
        </w:tc>
        <w:tc>
          <w:tcPr>
            <w:tcW w:w="1380" w:type="dxa"/>
            <w:vAlign w:val="bottom"/>
            <w:tcBorders>
              <w:top w:val="single" w:sz="8" w:color="auto"/>
            </w:tcBorders>
          </w:tcPr>
          <w:p>
            <w:pPr>
              <w:jc w:val="right"/>
              <w:ind w:right="57"/>
              <w:spacing w:after="0"/>
              <w:rPr>
                <w:sz w:val="20"/>
                <w:szCs w:val="20"/>
                <w:color w:val="auto"/>
              </w:rPr>
            </w:pPr>
            <w:r>
              <w:rPr>
                <w:rFonts w:ascii="Arial" w:cs="Arial" w:eastAsia="Arial" w:hAnsi="Arial"/>
                <w:sz w:val="14"/>
                <w:szCs w:val="14"/>
                <w:color w:val="auto"/>
              </w:rPr>
              <w:t>10,156</w:t>
            </w:r>
          </w:p>
        </w:tc>
        <w:tc>
          <w:tcPr>
            <w:tcW w:w="7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ind w:left="1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2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color w:val="auto"/>
              </w:rPr>
              <w:t>852,111</w:t>
            </w:r>
          </w:p>
        </w:tc>
        <w:tc>
          <w:tcPr>
            <w:tcW w:w="0" w:type="dxa"/>
            <w:vAlign w:val="bottom"/>
          </w:tcPr>
          <w:p>
            <w:pPr>
              <w:spacing w:after="0"/>
              <w:rPr>
                <w:sz w:val="1"/>
                <w:szCs w:val="1"/>
                <w:color w:val="auto"/>
              </w:rPr>
            </w:pPr>
          </w:p>
        </w:tc>
      </w:tr>
      <w:tr>
        <w:trPr>
          <w:trHeight w:val="23"/>
        </w:trPr>
        <w:tc>
          <w:tcPr>
            <w:tcW w:w="5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compensation plans not approved by security holders</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860" w:type="dxa"/>
            <w:vAlign w:val="bottom"/>
          </w:tcPr>
          <w:p>
            <w:pPr>
              <w:ind w:left="20"/>
              <w:spacing w:after="0"/>
              <w:rPr>
                <w:sz w:val="20"/>
                <w:szCs w:val="20"/>
                <w:color w:val="auto"/>
              </w:rPr>
            </w:pPr>
            <w:r>
              <w:rPr>
                <w:rFonts w:ascii="Arial" w:cs="Arial" w:eastAsia="Arial" w:hAnsi="Arial"/>
                <w:sz w:val="14"/>
                <w:szCs w:val="14"/>
                <w:color w:val="auto"/>
              </w:rPr>
              <w:t>Total</w:t>
            </w: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color w:val="auto"/>
              </w:rPr>
              <w:t>10,156</w:t>
            </w:r>
          </w:p>
        </w:tc>
        <w:tc>
          <w:tcPr>
            <w:tcW w:w="7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color w:val="auto"/>
              </w:rPr>
              <w:t>852,111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20" w:hanging="255"/>
        <w:spacing w:after="0" w:line="272"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As of June 30, 2019, all stock options had been exercised and no shares of common stock were issuable related to outstanding stock options. The Amended and Restated 2004 Stock Plan (the "Plan") provided for the issuance of a total of 6,500,000 common shares. Under the Plan as of June 30, 2019, 3,939,365 common shares had been issued upon the exercise of stock options, 2,382,843 shares of restricted common stock had been issued (of which 42,833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60"/>
          </w:cols>
          <w:pgMar w:left="220" w:top="129" w:right="21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520" w:right="60"/>
        <w:spacing w:after="0" w:line="315" w:lineRule="auto"/>
        <w:rPr>
          <w:sz w:val="20"/>
          <w:szCs w:val="20"/>
          <w:color w:val="auto"/>
        </w:rPr>
      </w:pPr>
      <w:r>
        <w:rPr>
          <w:rFonts w:ascii="Arial" w:cs="Arial" w:eastAsia="Arial" w:hAnsi="Arial"/>
          <w:sz w:val="14"/>
          <w:szCs w:val="14"/>
          <w:color w:val="auto"/>
        </w:rPr>
        <w:t>were unvested as of June 30, 2019), contingent restricted stock grants of 145,646 shares had been reserved (of which 10,156 were unvested as of June 30, 2019) and 32,146 remaining reserved shares were released in December 2016 to the Company's authorized but unissued and unreserved shares. The Plan was terminated upon the adoption of 2016 Equity Incentive Plan (the "2016 Plan"), which authorized the issuance of 1,100,000 shares of common stock. During fiscal 2019, 110,982 awards were made under the 2016 Plan and 852,111 shares of common stock remain available for future grants at June 30, 2019.</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Arial" w:cs="Arial" w:eastAsia="Arial" w:hAnsi="Arial"/>
                <w:sz w:val="11"/>
                <w:szCs w:val="11"/>
                <w:b w:val="1"/>
                <w:bCs w:val="1"/>
                <w:color w:val="auto"/>
                <w:w w:val="98"/>
              </w:rPr>
              <w:t>(d) Maximum Number (or</w:t>
            </w: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3"/>
              </w:rPr>
              <w:t>(c) Total Number of Shares</w:t>
            </w:r>
          </w:p>
        </w:tc>
        <w:tc>
          <w:tcPr>
            <w:tcW w:w="21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Approximate Dollar Value)</w:t>
            </w: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2680" w:type="dxa"/>
            <w:vAlign w:val="bottom"/>
            <w:gridSpan w:val="2"/>
            <w:vMerge w:val="restart"/>
          </w:tcPr>
          <w:p>
            <w:pPr>
              <w:jc w:val="center"/>
              <w:ind w:right="540"/>
              <w:spacing w:after="0"/>
              <w:rPr>
                <w:sz w:val="20"/>
                <w:szCs w:val="20"/>
                <w:color w:val="auto"/>
              </w:rPr>
            </w:pPr>
            <w:r>
              <w:rPr>
                <w:rFonts w:ascii="Arial" w:cs="Arial" w:eastAsia="Arial" w:hAnsi="Arial"/>
                <w:sz w:val="11"/>
                <w:szCs w:val="11"/>
                <w:b w:val="1"/>
                <w:bCs w:val="1"/>
                <w:color w:val="auto"/>
                <w:w w:val="97"/>
              </w:rPr>
              <w:t>(a) Total Number of</w:t>
            </w: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2"/>
              </w:rPr>
              <w:t>(b) Average Price</w:t>
            </w:r>
          </w:p>
        </w:tc>
        <w:tc>
          <w:tcPr>
            <w:tcW w:w="2520" w:type="dxa"/>
            <w:vAlign w:val="bottom"/>
            <w:gridSpan w:val="2"/>
            <w:vMerge w:val="continue"/>
          </w:tcPr>
          <w:p>
            <w:pPr>
              <w:spacing w:after="0"/>
              <w:rPr>
                <w:sz w:val="10"/>
                <w:szCs w:val="10"/>
                <w:color w:val="auto"/>
              </w:rPr>
            </w:pPr>
          </w:p>
        </w:tc>
        <w:tc>
          <w:tcPr>
            <w:tcW w:w="21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of Shares (or Units) that</w:t>
            </w: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2680" w:type="dxa"/>
            <w:vAlign w:val="bottom"/>
            <w:gridSpan w:val="2"/>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252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4"/>
              </w:rPr>
              <w:t>(or Units) Purchased as Part</w:t>
            </w:r>
          </w:p>
        </w:tc>
        <w:tc>
          <w:tcPr>
            <w:tcW w:w="21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May Yet Be Purchased</w:t>
            </w:r>
          </w:p>
        </w:tc>
        <w:tc>
          <w:tcPr>
            <w:tcW w:w="0" w:type="dxa"/>
            <w:vAlign w:val="bottom"/>
          </w:tcPr>
          <w:p>
            <w:pPr>
              <w:spacing w:after="0"/>
              <w:rPr>
                <w:sz w:val="1"/>
                <w:szCs w:val="1"/>
                <w:color w:val="auto"/>
              </w:rPr>
            </w:pPr>
          </w:p>
        </w:tc>
      </w:tr>
      <w:tr>
        <w:trPr>
          <w:trHeight w:val="119"/>
        </w:trPr>
        <w:tc>
          <w:tcPr>
            <w:tcW w:w="2380" w:type="dxa"/>
            <w:vAlign w:val="bottom"/>
            <w:vMerge w:val="restart"/>
          </w:tcPr>
          <w:p>
            <w:pPr>
              <w:jc w:val="center"/>
              <w:ind w:right="357"/>
              <w:spacing w:after="0"/>
              <w:rPr>
                <w:sz w:val="20"/>
                <w:szCs w:val="20"/>
                <w:color w:val="auto"/>
              </w:rPr>
            </w:pPr>
            <w:r>
              <w:rPr>
                <w:rFonts w:ascii="Arial" w:cs="Arial" w:eastAsia="Arial" w:hAnsi="Arial"/>
                <w:sz w:val="11"/>
                <w:szCs w:val="11"/>
                <w:b w:val="1"/>
                <w:bCs w:val="1"/>
                <w:color w:val="auto"/>
                <w:w w:val="93"/>
              </w:rPr>
              <w:t>Period</w:t>
            </w:r>
          </w:p>
        </w:tc>
        <w:tc>
          <w:tcPr>
            <w:tcW w:w="2680" w:type="dxa"/>
            <w:vAlign w:val="bottom"/>
            <w:gridSpan w:val="2"/>
          </w:tcPr>
          <w:p>
            <w:pPr>
              <w:jc w:val="center"/>
              <w:ind w:right="540"/>
              <w:spacing w:after="0" w:line="119" w:lineRule="exact"/>
              <w:rPr>
                <w:sz w:val="20"/>
                <w:szCs w:val="20"/>
                <w:color w:val="auto"/>
              </w:rPr>
            </w:pPr>
            <w:r>
              <w:rPr>
                <w:rFonts w:ascii="Arial" w:cs="Arial" w:eastAsia="Arial" w:hAnsi="Arial"/>
                <w:sz w:val="11"/>
                <w:szCs w:val="11"/>
                <w:b w:val="1"/>
                <w:bCs w:val="1"/>
                <w:color w:val="auto"/>
                <w:w w:val="92"/>
              </w:rPr>
              <w:t>Shares (or Units)</w:t>
            </w:r>
          </w:p>
        </w:tc>
        <w:tc>
          <w:tcPr>
            <w:tcW w:w="172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7"/>
              </w:rPr>
              <w:t>Paid per Share (or</w:t>
            </w:r>
          </w:p>
        </w:tc>
        <w:tc>
          <w:tcPr>
            <w:tcW w:w="252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3"/>
              </w:rPr>
              <w:t>of Publicly Announced Plans</w:t>
            </w:r>
          </w:p>
        </w:tc>
        <w:tc>
          <w:tcPr>
            <w:tcW w:w="21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Under the Plans or</w:t>
            </w:r>
          </w:p>
        </w:tc>
        <w:tc>
          <w:tcPr>
            <w:tcW w:w="0" w:type="dxa"/>
            <w:vAlign w:val="bottom"/>
          </w:tcPr>
          <w:p>
            <w:pPr>
              <w:spacing w:after="0"/>
              <w:rPr>
                <w:sz w:val="1"/>
                <w:szCs w:val="1"/>
                <w:color w:val="auto"/>
              </w:rPr>
            </w:pPr>
          </w:p>
        </w:tc>
      </w:tr>
      <w:tr>
        <w:trPr>
          <w:trHeight w:val="153"/>
        </w:trPr>
        <w:tc>
          <w:tcPr>
            <w:tcW w:w="2380" w:type="dxa"/>
            <w:vAlign w:val="bottom"/>
            <w:tcBorders>
              <w:bottom w:val="single" w:sz="8" w:color="auto"/>
            </w:tcBorders>
            <w:vMerge w:val="continue"/>
          </w:tcPr>
          <w:p>
            <w:pPr>
              <w:spacing w:after="0"/>
              <w:rPr>
                <w:sz w:val="13"/>
                <w:szCs w:val="13"/>
                <w:color w:val="auto"/>
              </w:rPr>
            </w:pPr>
          </w:p>
        </w:tc>
        <w:tc>
          <w:tcPr>
            <w:tcW w:w="2560" w:type="dxa"/>
            <w:vAlign w:val="bottom"/>
            <w:tcBorders>
              <w:bottom w:val="single" w:sz="8" w:color="auto"/>
            </w:tcBorders>
          </w:tcPr>
          <w:p>
            <w:pPr>
              <w:jc w:val="center"/>
              <w:ind w:right="379"/>
              <w:spacing w:after="0"/>
              <w:rPr>
                <w:sz w:val="20"/>
                <w:szCs w:val="20"/>
                <w:color w:val="auto"/>
              </w:rPr>
            </w:pPr>
            <w:r>
              <w:rPr>
                <w:rFonts w:ascii="Arial" w:cs="Arial" w:eastAsia="Arial" w:hAnsi="Arial"/>
                <w:sz w:val="11"/>
                <w:szCs w:val="11"/>
                <w:b w:val="1"/>
                <w:bCs w:val="1"/>
                <w:color w:val="auto"/>
                <w:w w:val="94"/>
              </w:rPr>
              <w:t>Purchased (1) (2)</w:t>
            </w:r>
          </w:p>
        </w:tc>
        <w:tc>
          <w:tcPr>
            <w:tcW w:w="12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Units)</w:t>
            </w:r>
          </w:p>
        </w:tc>
        <w:tc>
          <w:tcPr>
            <w:tcW w:w="120" w:type="dxa"/>
            <w:vAlign w:val="bottom"/>
            <w:tcBorders>
              <w:bottom w:val="single" w:sz="8" w:color="CCEEFF"/>
            </w:tcBorders>
          </w:tcPr>
          <w:p>
            <w:pPr>
              <w:spacing w:after="0"/>
              <w:rPr>
                <w:sz w:val="13"/>
                <w:szCs w:val="13"/>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or Programs</w:t>
            </w:r>
          </w:p>
        </w:tc>
        <w:tc>
          <w:tcPr>
            <w:tcW w:w="120" w:type="dxa"/>
            <w:vAlign w:val="bottom"/>
            <w:tcBorders>
              <w:bottom w:val="single" w:sz="8" w:color="CCEEFF"/>
            </w:tcBorders>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Programs</w:t>
            </w:r>
          </w:p>
        </w:tc>
        <w:tc>
          <w:tcPr>
            <w:tcW w:w="0" w:type="dxa"/>
            <w:vAlign w:val="bottom"/>
          </w:tcPr>
          <w:p>
            <w:pPr>
              <w:spacing w:after="0"/>
              <w:rPr>
                <w:sz w:val="1"/>
                <w:szCs w:val="1"/>
                <w:color w:val="auto"/>
              </w:rPr>
            </w:pPr>
          </w:p>
        </w:tc>
      </w:tr>
      <w:tr>
        <w:trPr>
          <w:trHeight w:val="191"/>
        </w:trPr>
        <w:tc>
          <w:tcPr>
            <w:tcW w:w="2380" w:type="dxa"/>
            <w:vAlign w:val="bottom"/>
            <w:tcBorders>
              <w:bottom w:val="single" w:sz="8" w:color="CCEEFF"/>
            </w:tcBorders>
            <w:shd w:val="clear" w:color="auto" w:fill="CCEEFF"/>
          </w:tcPr>
          <w:p>
            <w:pPr>
              <w:jc w:val="center"/>
              <w:ind w:right="357"/>
              <w:spacing w:after="0"/>
              <w:rPr>
                <w:sz w:val="20"/>
                <w:szCs w:val="20"/>
                <w:color w:val="auto"/>
              </w:rPr>
            </w:pPr>
            <w:r>
              <w:rPr>
                <w:rFonts w:ascii="Arial" w:cs="Arial" w:eastAsia="Arial" w:hAnsi="Arial"/>
                <w:sz w:val="13"/>
                <w:szCs w:val="13"/>
                <w:color w:val="auto"/>
                <w:w w:val="93"/>
              </w:rPr>
              <w:t>April 1, 2019 to April 30, 2019</w:t>
            </w:r>
          </w:p>
        </w:tc>
        <w:tc>
          <w:tcPr>
            <w:tcW w:w="2680" w:type="dxa"/>
            <w:vAlign w:val="bottom"/>
            <w:tcBorders>
              <w:bottom w:val="single" w:sz="8" w:color="CCEEFF"/>
            </w:tcBorders>
            <w:gridSpan w:val="2"/>
            <w:shd w:val="clear" w:color="auto" w:fill="CCEEFF"/>
          </w:tcPr>
          <w:p>
            <w:pPr>
              <w:jc w:val="center"/>
              <w:ind w:right="560"/>
              <w:spacing w:after="0"/>
              <w:rPr>
                <w:sz w:val="20"/>
                <w:szCs w:val="20"/>
                <w:color w:val="auto"/>
              </w:rPr>
            </w:pPr>
            <w:r>
              <w:rPr>
                <w:rFonts w:ascii="Arial" w:cs="Arial" w:eastAsia="Arial" w:hAnsi="Arial"/>
                <w:sz w:val="13"/>
                <w:szCs w:val="13"/>
                <w:color w:val="auto"/>
                <w:w w:val="89"/>
              </w:rPr>
              <w:t>None</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Not applicable</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Not applicable</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$3.4 million</w:t>
            </w:r>
          </w:p>
        </w:tc>
        <w:tc>
          <w:tcPr>
            <w:tcW w:w="0" w:type="dxa"/>
            <w:vAlign w:val="bottom"/>
          </w:tcPr>
          <w:p>
            <w:pPr>
              <w:spacing w:after="0"/>
              <w:rPr>
                <w:sz w:val="1"/>
                <w:szCs w:val="1"/>
                <w:color w:val="auto"/>
              </w:rPr>
            </w:pPr>
          </w:p>
        </w:tc>
      </w:tr>
      <w:tr>
        <w:trPr>
          <w:trHeight w:val="193"/>
        </w:trPr>
        <w:tc>
          <w:tcPr>
            <w:tcW w:w="2380" w:type="dxa"/>
            <w:vAlign w:val="bottom"/>
          </w:tcPr>
          <w:p>
            <w:pPr>
              <w:jc w:val="center"/>
              <w:ind w:right="357"/>
              <w:spacing w:after="0"/>
              <w:rPr>
                <w:sz w:val="20"/>
                <w:szCs w:val="20"/>
                <w:color w:val="auto"/>
              </w:rPr>
            </w:pPr>
            <w:r>
              <w:rPr>
                <w:rFonts w:ascii="Arial" w:cs="Arial" w:eastAsia="Arial" w:hAnsi="Arial"/>
                <w:sz w:val="13"/>
                <w:szCs w:val="13"/>
                <w:color w:val="auto"/>
                <w:w w:val="92"/>
              </w:rPr>
              <w:t>May 1, 2019 to May 31, 2019</w:t>
            </w:r>
          </w:p>
        </w:tc>
        <w:tc>
          <w:tcPr>
            <w:tcW w:w="2680" w:type="dxa"/>
            <w:vAlign w:val="bottom"/>
            <w:gridSpan w:val="2"/>
          </w:tcPr>
          <w:p>
            <w:pPr>
              <w:jc w:val="center"/>
              <w:ind w:right="560"/>
              <w:spacing w:after="0"/>
              <w:rPr>
                <w:sz w:val="20"/>
                <w:szCs w:val="20"/>
                <w:color w:val="auto"/>
              </w:rPr>
            </w:pPr>
            <w:r>
              <w:rPr>
                <w:rFonts w:ascii="Arial" w:cs="Arial" w:eastAsia="Arial" w:hAnsi="Arial"/>
                <w:sz w:val="13"/>
                <w:szCs w:val="13"/>
                <w:color w:val="auto"/>
                <w:w w:val="89"/>
              </w:rPr>
              <w:t>None</w:t>
            </w:r>
          </w:p>
        </w:tc>
        <w:tc>
          <w:tcPr>
            <w:tcW w:w="17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Not applicable</w:t>
            </w:r>
          </w:p>
        </w:tc>
        <w:tc>
          <w:tcPr>
            <w:tcW w:w="25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Not applicable</w:t>
            </w:r>
          </w:p>
        </w:tc>
        <w:tc>
          <w:tcPr>
            <w:tcW w:w="2160" w:type="dxa"/>
            <w:vAlign w:val="bottom"/>
          </w:tcPr>
          <w:p>
            <w:pPr>
              <w:jc w:val="center"/>
              <w:spacing w:after="0"/>
              <w:rPr>
                <w:sz w:val="20"/>
                <w:szCs w:val="20"/>
                <w:color w:val="auto"/>
              </w:rPr>
            </w:pPr>
            <w:r>
              <w:rPr>
                <w:rFonts w:ascii="Arial" w:cs="Arial" w:eastAsia="Arial" w:hAnsi="Arial"/>
                <w:sz w:val="14"/>
                <w:szCs w:val="14"/>
                <w:color w:val="auto"/>
              </w:rPr>
              <w:t>$3.4 million</w:t>
            </w:r>
          </w:p>
        </w:tc>
        <w:tc>
          <w:tcPr>
            <w:tcW w:w="0" w:type="dxa"/>
            <w:vAlign w:val="bottom"/>
          </w:tcPr>
          <w:p>
            <w:pPr>
              <w:spacing w:after="0"/>
              <w:rPr>
                <w:sz w:val="1"/>
                <w:szCs w:val="1"/>
                <w:color w:val="auto"/>
              </w:rPr>
            </w:pPr>
          </w:p>
        </w:tc>
      </w:tr>
      <w:tr>
        <w:trPr>
          <w:trHeight w:val="23"/>
        </w:trPr>
        <w:tc>
          <w:tcPr>
            <w:tcW w:w="2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380" w:type="dxa"/>
            <w:vAlign w:val="bottom"/>
            <w:shd w:val="clear" w:color="auto" w:fill="CCEEFF"/>
          </w:tcPr>
          <w:p>
            <w:pPr>
              <w:jc w:val="center"/>
              <w:ind w:right="357"/>
              <w:spacing w:after="0"/>
              <w:rPr>
                <w:sz w:val="20"/>
                <w:szCs w:val="20"/>
                <w:color w:val="auto"/>
              </w:rPr>
            </w:pPr>
            <w:r>
              <w:rPr>
                <w:rFonts w:ascii="Arial" w:cs="Arial" w:eastAsia="Arial" w:hAnsi="Arial"/>
                <w:sz w:val="13"/>
                <w:szCs w:val="13"/>
                <w:color w:val="auto"/>
                <w:w w:val="88"/>
              </w:rPr>
              <w:t>June 1, 2019 to June 30, 2019</w:t>
            </w:r>
          </w:p>
        </w:tc>
        <w:tc>
          <w:tcPr>
            <w:tcW w:w="2560" w:type="dxa"/>
            <w:vAlign w:val="bottom"/>
            <w:shd w:val="clear" w:color="auto" w:fill="CCEEFF"/>
          </w:tcPr>
          <w:p>
            <w:pPr>
              <w:jc w:val="center"/>
              <w:ind w:right="359"/>
              <w:spacing w:after="0"/>
              <w:rPr>
                <w:sz w:val="20"/>
                <w:szCs w:val="20"/>
                <w:color w:val="auto"/>
              </w:rPr>
            </w:pPr>
            <w:r>
              <w:rPr>
                <w:rFonts w:ascii="Arial" w:cs="Arial" w:eastAsia="Arial" w:hAnsi="Arial"/>
                <w:sz w:val="13"/>
                <w:szCs w:val="13"/>
                <w:color w:val="auto"/>
                <w:w w:val="92"/>
              </w:rPr>
              <w:t>2,935</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$6.19</w:t>
            </w:r>
          </w:p>
        </w:tc>
        <w:tc>
          <w:tcPr>
            <w:tcW w:w="120" w:type="dxa"/>
            <w:vAlign w:val="bottom"/>
            <w:shd w:val="clear" w:color="auto" w:fill="CCEEFF"/>
          </w:tcPr>
          <w:p>
            <w:pPr>
              <w:spacing w:after="0"/>
              <w:rPr>
                <w:sz w:val="16"/>
                <w:szCs w:val="16"/>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266,192</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$3.4 million</w:t>
            </w:r>
          </w:p>
        </w:tc>
        <w:tc>
          <w:tcPr>
            <w:tcW w:w="0" w:type="dxa"/>
            <w:vAlign w:val="bottom"/>
          </w:tcPr>
          <w:p>
            <w:pPr>
              <w:spacing w:after="0"/>
              <w:rPr>
                <w:sz w:val="1"/>
                <w:szCs w:val="1"/>
                <w:color w:val="auto"/>
              </w:rPr>
            </w:pPr>
          </w:p>
        </w:tc>
      </w:tr>
      <w:tr>
        <w:trPr>
          <w:trHeight w:val="23"/>
        </w:trPr>
        <w:tc>
          <w:tcPr>
            <w:tcW w:w="238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200" w:right="180"/>
        <w:spacing w:after="0" w:line="272" w:lineRule="auto"/>
        <w:tabs>
          <w:tab w:leader="none" w:pos="511" w:val="left"/>
        </w:tabs>
        <w:numPr>
          <w:ilvl w:val="0"/>
          <w:numId w:val="19"/>
        </w:numPr>
        <w:rPr>
          <w:rFonts w:ascii="Arial" w:cs="Arial" w:eastAsia="Arial" w:hAnsi="Arial"/>
          <w:sz w:val="14"/>
          <w:szCs w:val="14"/>
          <w:color w:val="auto"/>
        </w:rPr>
      </w:pPr>
      <w:r>
        <w:rPr>
          <w:rFonts w:ascii="Arial" w:cs="Arial" w:eastAsia="Arial" w:hAnsi="Arial"/>
          <w:sz w:val="14"/>
          <w:szCs w:val="14"/>
          <w:color w:val="auto"/>
        </w:rPr>
        <w:t>During the fourth quarter ended June 30, 2019, the Company received shares of common stock from certain of its employees which were surrendered in exchange for their payroll tax liabilities arising from vestings of restricted stock and contingent restricted stock. The acquisition cost per share reflects the weighted-average market price of the Company's shares on the dates vested.</w:t>
      </w:r>
    </w:p>
    <w:p>
      <w:pPr>
        <w:spacing w:after="0" w:line="56" w:lineRule="exact"/>
        <w:rPr>
          <w:rFonts w:ascii="Arial" w:cs="Arial" w:eastAsia="Arial" w:hAnsi="Arial"/>
          <w:sz w:val="14"/>
          <w:szCs w:val="14"/>
          <w:color w:val="auto"/>
        </w:rPr>
      </w:pPr>
    </w:p>
    <w:p>
      <w:pPr>
        <w:ind w:left="200" w:right="340"/>
        <w:spacing w:after="0" w:line="264" w:lineRule="auto"/>
        <w:tabs>
          <w:tab w:leader="none" w:pos="511"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May 12, 2015, the Board of Directors approved a share repurchase program covering up to $5 million of the Company's common stock. Under the program's terms, shares may be repurchased only on the open market and in accordance with the requirements of the Securities and Exchange Commission. The timing and amount of repurchases will depend upon several factors, including financial resources and market and business conditions. There is no fixed termination date for this repurchase program, and the repurchase program may be suspended or discontinued at any time. Such shares are initially recorded as treasury stock, then subsequently canceled. The Company repurchased 430 shares in June 2019 at an average price of $6.07 per share. There were no other program purchases in fiscal 2019.</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60"/>
          </w:cols>
          <w:pgMar w:left="220" w:top="129" w:right="21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231" w:lineRule="exact"/>
        <w:rPr>
          <w:sz w:val="20"/>
          <w:szCs w:val="20"/>
          <w:color w:val="auto"/>
        </w:rPr>
      </w:pPr>
    </w:p>
    <w:p>
      <w:pPr>
        <w:ind w:right="100" w:firstLine="345"/>
        <w:spacing w:after="0" w:line="288" w:lineRule="auto"/>
        <w:rPr>
          <w:sz w:val="20"/>
          <w:szCs w:val="20"/>
          <w:color w:val="auto"/>
        </w:rPr>
      </w:pPr>
      <w:r>
        <w:rPr>
          <w:rFonts w:ascii="Arial" w:cs="Arial" w:eastAsia="Arial" w:hAnsi="Arial"/>
          <w:sz w:val="14"/>
          <w:szCs w:val="14"/>
          <w:color w:val="auto"/>
        </w:rPr>
        <w:t xml:space="preserve">The selected consolidated financial data, set forth below should be read in conjunction with </w:t>
      </w:r>
      <w:r>
        <w:rPr>
          <w:rFonts w:ascii="Arial" w:cs="Arial" w:eastAsia="Arial" w:hAnsi="Arial"/>
          <w:sz w:val="14"/>
          <w:szCs w:val="14"/>
          <w:i w:val="1"/>
          <w:iCs w:val="1"/>
          <w:color w:val="auto"/>
        </w:rPr>
        <w:t>Item 7. "Management's Discussion and Analysis of Financial Condition and Results of Operations"</w:t>
      </w:r>
      <w:r>
        <w:rPr>
          <w:rFonts w:ascii="Arial" w:cs="Arial" w:eastAsia="Arial" w:hAnsi="Arial"/>
          <w:sz w:val="14"/>
          <w:szCs w:val="14"/>
          <w:color w:val="auto"/>
        </w:rPr>
        <w:t xml:space="preserve"> and with the consolidated financial statements and notes to those consolidated financial statements included elsewhere in this report.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5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9"/>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9"/>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9"/>
              <w:spacing w:after="0"/>
              <w:rPr>
                <w:sz w:val="20"/>
                <w:szCs w:val="20"/>
                <w:color w:val="auto"/>
              </w:rPr>
            </w:pPr>
            <w:r>
              <w:rPr>
                <w:rFonts w:ascii="Arial" w:cs="Arial" w:eastAsia="Arial" w:hAnsi="Arial"/>
                <w:sz w:val="11"/>
                <w:szCs w:val="11"/>
                <w:b w:val="1"/>
                <w:bCs w:val="1"/>
                <w:color w:val="auto"/>
              </w:rPr>
              <w:t>2016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9"/>
              <w:spacing w:after="0"/>
              <w:rPr>
                <w:sz w:val="20"/>
                <w:szCs w:val="20"/>
                <w:color w:val="auto"/>
              </w:rPr>
            </w:pPr>
            <w:r>
              <w:rPr>
                <w:rFonts w:ascii="Arial" w:cs="Arial" w:eastAsia="Arial" w:hAnsi="Arial"/>
                <w:sz w:val="11"/>
                <w:szCs w:val="11"/>
                <w:b w:val="1"/>
                <w:bCs w:val="1"/>
                <w:color w:val="auto"/>
              </w:rPr>
              <w:t>2015</w:t>
            </w:r>
          </w:p>
        </w:tc>
        <w:tc>
          <w:tcPr>
            <w:tcW w:w="0" w:type="dxa"/>
            <w:vAlign w:val="bottom"/>
          </w:tcPr>
          <w:p>
            <w:pPr>
              <w:spacing w:after="0"/>
              <w:rPr>
                <w:sz w:val="1"/>
                <w:szCs w:val="1"/>
                <w:color w:val="auto"/>
              </w:rPr>
            </w:pPr>
          </w:p>
        </w:tc>
      </w:tr>
      <w:tr>
        <w:trPr>
          <w:trHeight w:val="191"/>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Statement Data</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43,229,621</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40,773,527</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34,253,681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26,349,502</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27,841,265</w:t>
            </w:r>
          </w:p>
        </w:tc>
        <w:tc>
          <w:tcPr>
            <w:tcW w:w="0" w:type="dxa"/>
            <w:vAlign w:val="bottom"/>
          </w:tcPr>
          <w:p>
            <w:pPr>
              <w:spacing w:after="0"/>
              <w:rPr>
                <w:sz w:val="1"/>
                <w:szCs w:val="1"/>
                <w:color w:val="auto"/>
              </w:rPr>
            </w:pPr>
          </w:p>
        </w:tc>
      </w:tr>
      <w:tr>
        <w:trPr>
          <w:trHeight w:val="23"/>
        </w:trPr>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14,266,784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11,685,817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10,604,594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9,133,111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9,355,613</w:t>
            </w: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6,253,083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6,102,288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5,779,069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5,214,174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3,650,603</w:t>
            </w:r>
          </w:p>
        </w:tc>
        <w:tc>
          <w:tcPr>
            <w:tcW w:w="0" w:type="dxa"/>
            <w:vAlign w:val="bottom"/>
          </w:tcPr>
          <w:p>
            <w:pPr>
              <w:spacing w:after="0"/>
              <w:rPr>
                <w:sz w:val="1"/>
                <w:szCs w:val="1"/>
                <w:color w:val="auto"/>
              </w:rPr>
            </w:pPr>
          </w:p>
        </w:tc>
      </w:tr>
      <w:tr>
        <w:trPr>
          <w:trHeight w:val="23"/>
        </w:trPr>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 expense</w:t>
            </w: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5,072,931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6,773,781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4,985,408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9,079,597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6,256,783</w:t>
            </w: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4"/>
                <w:szCs w:val="14"/>
                <w:color w:val="auto"/>
              </w:rPr>
              <w:t>Restructuring charges</w:t>
            </w:r>
          </w:p>
        </w:tc>
        <w:tc>
          <w:tcPr>
            <w:tcW w:w="26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4,488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1,257,433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(5,431)</w:t>
            </w:r>
          </w:p>
        </w:tc>
        <w:tc>
          <w:tcPr>
            <w:tcW w:w="0" w:type="dxa"/>
            <w:vAlign w:val="bottom"/>
          </w:tcPr>
          <w:p>
            <w:pPr>
              <w:spacing w:after="0"/>
              <w:rPr>
                <w:sz w:val="1"/>
                <w:szCs w:val="1"/>
                <w:color w:val="auto"/>
              </w:rPr>
            </w:pPr>
          </w:p>
        </w:tc>
      </w:tr>
      <w:tr>
        <w:trPr>
          <w:trHeight w:val="23"/>
        </w:trPr>
        <w:tc>
          <w:tcPr>
            <w:tcW w:w="3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17,636,823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16,211,641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12,880,122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1,665,187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8,583,697</w:t>
            </w: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1,222,604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9"/>
              <w:spacing w:after="0"/>
              <w:rPr>
                <w:sz w:val="20"/>
                <w:szCs w:val="20"/>
                <w:color w:val="auto"/>
              </w:rPr>
            </w:pPr>
            <w:r>
              <w:rPr>
                <w:rFonts w:ascii="Arial" w:cs="Arial" w:eastAsia="Arial" w:hAnsi="Arial"/>
                <w:sz w:val="14"/>
                <w:szCs w:val="14"/>
                <w:color w:val="auto"/>
              </w:rPr>
              <w:t>(25,126)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4,855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32,565,954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(147,619)</w:t>
            </w:r>
          </w:p>
        </w:tc>
        <w:tc>
          <w:tcPr>
            <w:tcW w:w="0" w:type="dxa"/>
            <w:vAlign w:val="bottom"/>
          </w:tcPr>
          <w:p>
            <w:pPr>
              <w:spacing w:after="0"/>
              <w:rPr>
                <w:sz w:val="1"/>
                <w:szCs w:val="1"/>
                <w:color w:val="auto"/>
              </w:rPr>
            </w:pPr>
          </w:p>
        </w:tc>
      </w:tr>
      <w:tr>
        <w:trPr>
          <w:trHeight w:val="23"/>
        </w:trPr>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3,482,361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(3,431,969)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4,840,664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9,570,779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3,444,221</w:t>
            </w:r>
          </w:p>
        </w:tc>
        <w:tc>
          <w:tcPr>
            <w:tcW w:w="0" w:type="dxa"/>
            <w:vAlign w:val="bottom"/>
          </w:tcPr>
          <w:p>
            <w:pPr>
              <w:spacing w:after="0"/>
              <w:rPr>
                <w:sz w:val="1"/>
                <w:szCs w:val="1"/>
                <w:color w:val="auto"/>
              </w:rPr>
            </w:pPr>
          </w:p>
        </w:tc>
      </w:tr>
      <w:tr>
        <w:trPr>
          <w:trHeight w:val="184"/>
        </w:trPr>
        <w:tc>
          <w:tcPr>
            <w:tcW w:w="3560" w:type="dxa"/>
            <w:vAlign w:val="bottom"/>
          </w:tcPr>
          <w:p>
            <w:pPr>
              <w:ind w:left="20"/>
              <w:spacing w:after="0"/>
              <w:rPr>
                <w:sz w:val="20"/>
                <w:szCs w:val="20"/>
                <w:color w:val="auto"/>
              </w:rPr>
            </w:pPr>
            <w:r>
              <w:rPr>
                <w:rFonts w:ascii="Arial" w:cs="Arial" w:eastAsia="Arial" w:hAnsi="Arial"/>
                <w:sz w:val="14"/>
                <w:szCs w:val="14"/>
                <w:color w:val="auto"/>
              </w:rPr>
              <w:t>Net income attributable to the Company</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15,377,066</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19,618,484</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8,044,313</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24,660,362</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4,991,857</w:t>
            </w:r>
          </w:p>
        </w:tc>
        <w:tc>
          <w:tcPr>
            <w:tcW w:w="0" w:type="dxa"/>
            <w:vAlign w:val="bottom"/>
          </w:tcPr>
          <w:p>
            <w:pPr>
              <w:spacing w:after="0"/>
              <w:rPr>
                <w:sz w:val="1"/>
                <w:szCs w:val="1"/>
                <w:color w:val="auto"/>
              </w:rPr>
            </w:pPr>
          </w:p>
        </w:tc>
      </w:tr>
      <w:tr>
        <w:trPr>
          <w:trHeight w:val="23"/>
        </w:trPr>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250,990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674,302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674,302</w:t>
            </w: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4"/>
                <w:szCs w:val="14"/>
                <w:color w:val="auto"/>
                <w:w w:val="95"/>
              </w:rPr>
              <w:t>Deemed dividend on preferred shares called for redemption</w:t>
            </w:r>
          </w:p>
        </w:tc>
        <w:tc>
          <w:tcPr>
            <w:tcW w:w="26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1,002,440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shareholders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15,377,066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19,618,484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6,790,883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23,986,060</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4,317,555</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Arial" w:cs="Arial" w:eastAsia="Arial" w:hAnsi="Arial"/>
                <w:sz w:val="14"/>
                <w:szCs w:val="14"/>
                <w:color w:val="auto"/>
              </w:rPr>
              <w:t>Earnings per common share:</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0.46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0.59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0.21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0.73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0.46</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0.59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0.73</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514"/>
        </w:trPr>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2019</w:t>
            </w: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2018</w:t>
            </w:r>
          </w:p>
        </w:tc>
        <w:tc>
          <w:tcPr>
            <w:tcW w:w="24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1"/>
                <w:szCs w:val="11"/>
                <w:b w:val="1"/>
                <w:bCs w:val="1"/>
                <w:color w:val="auto"/>
              </w:rPr>
              <w:t>June 30, 2017</w:t>
            </w:r>
          </w:p>
        </w:tc>
        <w:tc>
          <w:tcPr>
            <w:tcW w:w="24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2016</w:t>
            </w:r>
          </w:p>
        </w:tc>
        <w:tc>
          <w:tcPr>
            <w:tcW w:w="240" w:type="dxa"/>
            <w:vAlign w:val="bottom"/>
          </w:tcPr>
          <w:p>
            <w:pPr>
              <w:spacing w:after="0"/>
              <w:rPr>
                <w:sz w:val="24"/>
                <w:szCs w:val="24"/>
                <w:color w:val="auto"/>
              </w:rPr>
            </w:pPr>
          </w:p>
        </w:tc>
        <w:tc>
          <w:tcPr>
            <w:tcW w:w="1220" w:type="dxa"/>
            <w:vAlign w:val="bottom"/>
          </w:tcPr>
          <w:p>
            <w:pPr>
              <w:jc w:val="right"/>
              <w:ind w:right="329"/>
              <w:spacing w:after="0"/>
              <w:rPr>
                <w:sz w:val="20"/>
                <w:szCs w:val="20"/>
                <w:color w:val="auto"/>
              </w:rPr>
            </w:pPr>
            <w:r>
              <w:rPr>
                <w:rFonts w:ascii="Arial" w:cs="Arial" w:eastAsia="Arial" w:hAnsi="Arial"/>
                <w:sz w:val="11"/>
                <w:szCs w:val="11"/>
                <w:b w:val="1"/>
                <w:bCs w:val="1"/>
                <w:color w:val="auto"/>
              </w:rPr>
              <w:t>June 30, 2015</w:t>
            </w:r>
          </w:p>
        </w:tc>
        <w:tc>
          <w:tcPr>
            <w:tcW w:w="0" w:type="dxa"/>
            <w:vAlign w:val="bottom"/>
          </w:tcPr>
          <w:p>
            <w:pPr>
              <w:spacing w:after="0"/>
              <w:rPr>
                <w:sz w:val="1"/>
                <w:szCs w:val="1"/>
                <w:color w:val="auto"/>
              </w:rPr>
            </w:pPr>
          </w:p>
        </w:tc>
      </w:tr>
      <w:tr>
        <w:trPr>
          <w:trHeight w:val="191"/>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Data</w:t>
            </w: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35,178,927</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32,147,556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26,142,527</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37,086,450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23,693,048</w:t>
            </w:r>
          </w:p>
        </w:tc>
        <w:tc>
          <w:tcPr>
            <w:tcW w:w="0" w:type="dxa"/>
            <w:vAlign w:val="bottom"/>
          </w:tcPr>
          <w:p>
            <w:pPr>
              <w:spacing w:after="0"/>
              <w:rPr>
                <w:sz w:val="1"/>
                <w:szCs w:val="1"/>
                <w:color w:val="auto"/>
              </w:rPr>
            </w:pPr>
          </w:p>
        </w:tc>
      </w:tr>
      <w:tr>
        <w:trPr>
          <w:trHeight w:val="23"/>
        </w:trPr>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95,761,844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93,662,544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88,268,668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97,451,051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69,882,727</w:t>
            </w: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2,752,694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4,430,214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2,718,894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8,528,908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9,329,257</w:t>
            </w:r>
          </w:p>
        </w:tc>
        <w:tc>
          <w:tcPr>
            <w:tcW w:w="0" w:type="dxa"/>
            <w:vAlign w:val="bottom"/>
          </w:tcPr>
          <w:p>
            <w:pPr>
              <w:spacing w:after="0"/>
              <w:rPr>
                <w:sz w:val="1"/>
                <w:szCs w:val="1"/>
                <w:color w:val="auto"/>
              </w:rPr>
            </w:pPr>
          </w:p>
        </w:tc>
      </w:tr>
      <w:tr>
        <w:trPr>
          <w:trHeight w:val="23"/>
        </w:trPr>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15,635,986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16,373,065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19,798,813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21,129,901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21,306,150</w:t>
            </w: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80,125,858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77,289,479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68,469,855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76,321,150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48,576,577</w:t>
            </w:r>
          </w:p>
        </w:tc>
        <w:tc>
          <w:tcPr>
            <w:tcW w:w="0" w:type="dxa"/>
            <w:vAlign w:val="bottom"/>
          </w:tcPr>
          <w:p>
            <w:pPr>
              <w:spacing w:after="0"/>
              <w:rPr>
                <w:sz w:val="1"/>
                <w:szCs w:val="1"/>
                <w:color w:val="auto"/>
              </w:rPr>
            </w:pPr>
          </w:p>
        </w:tc>
      </w:tr>
      <w:tr>
        <w:trPr>
          <w:trHeight w:val="23"/>
        </w:trPr>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common shares outstanding</w:t>
            </w: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33,183,730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33,080,543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33,087,308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32,907,863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32,845,205</w:t>
            </w:r>
          </w:p>
        </w:tc>
        <w:tc>
          <w:tcPr>
            <w:tcW w:w="0" w:type="dxa"/>
            <w:vAlign w:val="bottom"/>
          </w:tcPr>
          <w:p>
            <w:pPr>
              <w:spacing w:after="0"/>
              <w:rPr>
                <w:sz w:val="1"/>
                <w:szCs w:val="1"/>
                <w:color w:val="auto"/>
              </w:rPr>
            </w:pPr>
          </w:p>
        </w:tc>
      </w:tr>
      <w:tr>
        <w:trPr>
          <w:trHeight w:val="193"/>
        </w:trPr>
        <w:tc>
          <w:tcPr>
            <w:tcW w:w="3560" w:type="dxa"/>
            <w:vAlign w:val="bottom"/>
          </w:tcPr>
          <w:p>
            <w:pPr>
              <w:ind w:left="20"/>
              <w:spacing w:after="0"/>
              <w:rPr>
                <w:sz w:val="20"/>
                <w:szCs w:val="20"/>
                <w:color w:val="auto"/>
              </w:rPr>
            </w:pPr>
            <w:r>
              <w:rPr>
                <w:rFonts w:ascii="Arial" w:cs="Arial" w:eastAsia="Arial" w:hAnsi="Arial"/>
                <w:sz w:val="14"/>
                <w:szCs w:val="14"/>
                <w:color w:val="auto"/>
              </w:rPr>
              <w:t>Working capital, net</w:t>
            </w:r>
          </w:p>
        </w:tc>
        <w:tc>
          <w:tcPr>
            <w:tcW w:w="26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32,426,233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27,717,342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23,423,633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28,557,542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14,363,791</w:t>
            </w:r>
          </w:p>
        </w:tc>
        <w:tc>
          <w:tcPr>
            <w:tcW w:w="0" w:type="dxa"/>
            <w:vAlign w:val="bottom"/>
          </w:tcPr>
          <w:p>
            <w:pPr>
              <w:spacing w:after="0"/>
              <w:rPr>
                <w:sz w:val="1"/>
                <w:szCs w:val="1"/>
                <w:color w:val="auto"/>
              </w:rPr>
            </w:pPr>
          </w:p>
        </w:tc>
      </w:tr>
      <w:tr>
        <w:trPr>
          <w:trHeight w:val="23"/>
        </w:trPr>
        <w:tc>
          <w:tcPr>
            <w:tcW w:w="3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dividends to common stockholders</w:t>
            </w: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13,272,058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11,594,541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8,432,435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6,565,823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9,833,642</w:t>
            </w: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80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339" w:lineRule="exact"/>
        <w:rPr>
          <w:sz w:val="20"/>
          <w:szCs w:val="20"/>
          <w:color w:val="auto"/>
        </w:rPr>
      </w:pPr>
    </w:p>
    <w:p>
      <w:pPr>
        <w:ind w:left="520"/>
        <w:spacing w:after="0"/>
        <w:rPr>
          <w:rFonts w:ascii="Arial" w:cs="Arial" w:eastAsia="Arial" w:hAnsi="Arial"/>
          <w:sz w:val="14"/>
          <w:szCs w:val="14"/>
          <w:u w:val="single" w:color="auto"/>
          <w:color w:val="0000EE"/>
        </w:rPr>
      </w:pPr>
      <w:hyperlink w:anchor="page32">
        <w:r>
          <w:rPr>
            <w:rFonts w:ascii="Arial" w:cs="Arial" w:eastAsia="Arial" w:hAnsi="Arial"/>
            <w:sz w:val="14"/>
            <w:szCs w:val="14"/>
            <w:u w:val="single" w:color="auto"/>
            <w:color w:val="0000EE"/>
          </w:rPr>
          <w:t>Executive Overview</w:t>
        </w:r>
      </w:hyperlink>
    </w:p>
    <w:p>
      <w:pPr>
        <w:spacing w:after="0" w:line="119" w:lineRule="exact"/>
        <w:rPr>
          <w:sz w:val="20"/>
          <w:szCs w:val="20"/>
          <w:color w:val="auto"/>
        </w:rPr>
      </w:pPr>
    </w:p>
    <w:p>
      <w:pPr>
        <w:ind w:left="52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Results of Operations</w:t>
        </w:r>
      </w:hyperlink>
    </w:p>
    <w:p>
      <w:pPr>
        <w:spacing w:after="0" w:line="119" w:lineRule="exact"/>
        <w:rPr>
          <w:sz w:val="20"/>
          <w:szCs w:val="20"/>
          <w:color w:val="auto"/>
        </w:rPr>
      </w:pPr>
    </w:p>
    <w:p>
      <w:pPr>
        <w:ind w:left="520"/>
        <w:spacing w:after="0"/>
        <w:rPr>
          <w:rFonts w:ascii="Arial" w:cs="Arial" w:eastAsia="Arial" w:hAnsi="Arial"/>
          <w:sz w:val="14"/>
          <w:szCs w:val="14"/>
          <w:u w:val="single" w:color="auto"/>
          <w:color w:val="0000EE"/>
        </w:rPr>
      </w:pPr>
      <w:hyperlink w:anchor="page37">
        <w:r>
          <w:rPr>
            <w:rFonts w:ascii="Arial" w:cs="Arial" w:eastAsia="Arial" w:hAnsi="Arial"/>
            <w:sz w:val="14"/>
            <w:szCs w:val="14"/>
            <w:u w:val="single" w:color="auto"/>
            <w:color w:val="0000EE"/>
          </w:rPr>
          <w:t>Liquidity and Capital Resources</w:t>
        </w:r>
      </w:hyperlink>
    </w:p>
    <w:p>
      <w:pPr>
        <w:spacing w:after="0" w:line="119" w:lineRule="exact"/>
        <w:rPr>
          <w:sz w:val="20"/>
          <w:szCs w:val="20"/>
          <w:color w:val="auto"/>
        </w:rPr>
      </w:pPr>
    </w:p>
    <w:p>
      <w:pPr>
        <w:ind w:left="520"/>
        <w:spacing w:after="0"/>
        <w:rPr>
          <w:rFonts w:ascii="Arial" w:cs="Arial" w:eastAsia="Arial" w:hAnsi="Arial"/>
          <w:sz w:val="14"/>
          <w:szCs w:val="14"/>
          <w:u w:val="single" w:color="auto"/>
          <w:color w:val="0000EE"/>
        </w:rPr>
      </w:pPr>
      <w:hyperlink w:anchor="page39">
        <w:r>
          <w:rPr>
            <w:rFonts w:ascii="Arial" w:cs="Arial" w:eastAsia="Arial" w:hAnsi="Arial"/>
            <w:sz w:val="14"/>
            <w:szCs w:val="14"/>
            <w:u w:val="single" w:color="auto"/>
            <w:color w:val="0000EE"/>
          </w:rPr>
          <w:t>Critical Accounting Policies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Executive Overview</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23" w:lineRule="exact"/>
        <w:rPr>
          <w:sz w:val="20"/>
          <w:szCs w:val="20"/>
          <w:color w:val="auto"/>
        </w:rPr>
      </w:pPr>
    </w:p>
    <w:p>
      <w:pPr>
        <w:ind w:right="160" w:firstLine="323"/>
        <w:spacing w:after="0" w:line="272" w:lineRule="auto"/>
        <w:rPr>
          <w:sz w:val="20"/>
          <w:szCs w:val="20"/>
          <w:color w:val="auto"/>
        </w:rPr>
      </w:pPr>
      <w:r>
        <w:rPr>
          <w:rFonts w:ascii="Arial" w:cs="Arial" w:eastAsia="Arial" w:hAnsi="Arial"/>
          <w:sz w:val="14"/>
          <w:szCs w:val="14"/>
          <w:color w:val="auto"/>
        </w:rPr>
        <w:t>Evolution Petroleum Corporation is an oil and gas company focused on delivering a sustainable dividend yield to its stockholders through the ownership, management and development of oil and gas properties. The Company's long-term goal is to build a diversified portfolio of oil and gas assets primarily through acquisitions, while seeking opportunities to maintain and increase production through selective development, production enhancement and other exploitation efforts on its properties.</w:t>
      </w:r>
    </w:p>
    <w:p>
      <w:pPr>
        <w:spacing w:after="0" w:line="185" w:lineRule="exact"/>
        <w:rPr>
          <w:sz w:val="20"/>
          <w:szCs w:val="20"/>
          <w:color w:val="auto"/>
        </w:rPr>
      </w:pPr>
    </w:p>
    <w:p>
      <w:pPr>
        <w:ind w:right="180" w:firstLine="323"/>
        <w:spacing w:after="0" w:line="288" w:lineRule="auto"/>
        <w:rPr>
          <w:sz w:val="20"/>
          <w:szCs w:val="20"/>
          <w:color w:val="auto"/>
        </w:rPr>
      </w:pPr>
      <w:r>
        <w:rPr>
          <w:rFonts w:ascii="Arial" w:cs="Arial" w:eastAsia="Arial" w:hAnsi="Arial"/>
          <w:sz w:val="14"/>
          <w:szCs w:val="14"/>
          <w:color w:val="333333"/>
        </w:rPr>
        <w:t xml:space="preserve">Our producing assets consist of our interests in the </w:t>
      </w:r>
      <w:r>
        <w:rPr>
          <w:rFonts w:ascii="Arial" w:cs="Arial" w:eastAsia="Arial" w:hAnsi="Arial"/>
          <w:sz w:val="14"/>
          <w:szCs w:val="14"/>
          <w:color w:val="000000"/>
        </w:rPr>
        <w:t>Delhi Holt-Bryant Unit in the Delhi field</w:t>
      </w:r>
      <w:r>
        <w:rPr>
          <w:rFonts w:ascii="Arial" w:cs="Arial" w:eastAsia="Arial" w:hAnsi="Arial"/>
          <w:sz w:val="14"/>
          <w:szCs w:val="14"/>
          <w:color w:val="333333"/>
        </w:rPr>
        <w:t xml:space="preserve"> in Northeast Louisiana, a CO</w:t>
      </w:r>
      <w:r>
        <w:rPr>
          <w:rFonts w:ascii="Arial" w:cs="Arial" w:eastAsia="Arial" w:hAnsi="Arial"/>
          <w:sz w:val="10"/>
          <w:szCs w:val="10"/>
          <w:color w:val="333333"/>
        </w:rPr>
        <w:t>2</w:t>
      </w:r>
      <w:r>
        <w:rPr>
          <w:rFonts w:ascii="Arial" w:cs="Arial" w:eastAsia="Arial" w:hAnsi="Arial"/>
          <w:sz w:val="14"/>
          <w:szCs w:val="14"/>
          <w:color w:val="333333"/>
        </w:rPr>
        <w:t xml:space="preserve"> enhanced oil recovery project, and a de minimis </w:t>
      </w:r>
      <w:r>
        <w:rPr>
          <w:rFonts w:ascii="Arial" w:cs="Arial" w:eastAsia="Arial" w:hAnsi="Arial"/>
          <w:sz w:val="14"/>
          <w:szCs w:val="14"/>
          <w:color w:val="000000"/>
        </w:rPr>
        <w:t>overriding royalty</w:t>
      </w:r>
      <w:r>
        <w:rPr>
          <w:rFonts w:ascii="Arial" w:cs="Arial" w:eastAsia="Arial" w:hAnsi="Arial"/>
          <w:sz w:val="14"/>
          <w:szCs w:val="14"/>
          <w:color w:val="333333"/>
        </w:rPr>
        <w:t xml:space="preserve"> </w:t>
      </w:r>
      <w:r>
        <w:rPr>
          <w:rFonts w:ascii="Arial" w:cs="Arial" w:eastAsia="Arial" w:hAnsi="Arial"/>
          <w:sz w:val="14"/>
          <w:szCs w:val="14"/>
          <w:color w:val="000000"/>
        </w:rPr>
        <w:t xml:space="preserve">interest </w:t>
      </w:r>
      <w:r>
        <w:rPr>
          <w:rFonts w:ascii="Arial" w:cs="Arial" w:eastAsia="Arial" w:hAnsi="Arial"/>
          <w:sz w:val="14"/>
          <w:szCs w:val="14"/>
          <w:color w:val="333333"/>
        </w:rPr>
        <w:t>retained in a past divestiture.</w:t>
      </w:r>
    </w:p>
    <w:p>
      <w:pPr>
        <w:spacing w:after="0" w:line="174" w:lineRule="exact"/>
        <w:rPr>
          <w:sz w:val="20"/>
          <w:szCs w:val="20"/>
          <w:color w:val="auto"/>
        </w:rPr>
      </w:pPr>
    </w:p>
    <w:p>
      <w:pPr>
        <w:ind w:right="40" w:firstLine="323"/>
        <w:spacing w:after="0" w:line="288" w:lineRule="auto"/>
        <w:rPr>
          <w:sz w:val="20"/>
          <w:szCs w:val="20"/>
          <w:color w:val="auto"/>
        </w:rPr>
      </w:pPr>
      <w:r>
        <w:rPr>
          <w:rFonts w:ascii="Arial" w:cs="Arial" w:eastAsia="Arial" w:hAnsi="Arial"/>
          <w:sz w:val="14"/>
          <w:szCs w:val="14"/>
          <w:color w:val="auto"/>
        </w:rPr>
        <w:t>By policy, every employee and director maintains a beneficial ownership position in our common stock. We believe this ownership helps ensure that the interests of our employees and directors are aligned with our stockholders.</w:t>
      </w:r>
    </w:p>
    <w:p>
      <w:pPr>
        <w:spacing w:after="0" w:line="174" w:lineRule="exact"/>
        <w:rPr>
          <w:sz w:val="20"/>
          <w:szCs w:val="20"/>
          <w:color w:val="auto"/>
        </w:rPr>
      </w:pPr>
    </w:p>
    <w:p>
      <w:pPr>
        <w:ind w:firstLine="323"/>
        <w:spacing w:after="0" w:line="267" w:lineRule="auto"/>
        <w:rPr>
          <w:sz w:val="20"/>
          <w:szCs w:val="20"/>
          <w:color w:val="auto"/>
        </w:rPr>
      </w:pPr>
      <w:r>
        <w:rPr>
          <w:rFonts w:ascii="Arial" w:cs="Arial" w:eastAsia="Arial" w:hAnsi="Arial"/>
          <w:sz w:val="14"/>
          <w:szCs w:val="14"/>
          <w:color w:val="auto"/>
        </w:rPr>
        <w:t>In May 2018, our then President and Chief Executive Officer elected to retire as of May 31, 2018. Robert Herlin, our Chairman of the Board, founder and previous CEO, was appointed by the board to the position of Interim CEO. A special Transition Services Committee of the board was created with one member, William Dozier, to provide additional operational oversight to the Company during the transition to a new CEO. On July 10, 2019, Mr. Jason Brown, age 42, was appointed by the Board of Directors to serve as President and Chief Executive Officer of the Company. Robert Herlin, remained as Chairman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Highlights for our 2019 Fiscal Year</w:t>
      </w:r>
    </w:p>
    <w:p>
      <w:pPr>
        <w:spacing w:after="0" w:line="188" w:lineRule="exact"/>
        <w:rPr>
          <w:sz w:val="20"/>
          <w:szCs w:val="20"/>
          <w:color w:val="auto"/>
        </w:rPr>
      </w:pPr>
    </w:p>
    <w:p>
      <w:pPr>
        <w:ind w:left="520" w:hanging="255"/>
        <w:spacing w:after="0"/>
        <w:tabs>
          <w:tab w:leader="none" w:pos="520" w:val="left"/>
        </w:tabs>
        <w:numPr>
          <w:ilvl w:val="0"/>
          <w:numId w:val="20"/>
        </w:numPr>
        <w:rPr>
          <w:rFonts w:ascii="Arial" w:cs="Arial" w:eastAsia="Arial" w:hAnsi="Arial"/>
          <w:sz w:val="14"/>
          <w:szCs w:val="14"/>
          <w:b w:val="1"/>
          <w:bCs w:val="1"/>
          <w:color w:val="auto"/>
        </w:rPr>
      </w:pPr>
      <w:r>
        <w:rPr>
          <w:rFonts w:ascii="Arial" w:cs="Arial" w:eastAsia="Arial" w:hAnsi="Arial"/>
          <w:sz w:val="14"/>
          <w:szCs w:val="14"/>
          <w:color w:val="auto"/>
        </w:rPr>
        <w:t>We recognized net income of $15.4 million, or $0.46 per diluted common share, our eighth consecutive year of reporting net income</w:t>
      </w:r>
    </w:p>
    <w:p>
      <w:pPr>
        <w:spacing w:after="0" w:line="151" w:lineRule="exact"/>
        <w:rPr>
          <w:rFonts w:ascii="Arial" w:cs="Arial" w:eastAsia="Arial" w:hAnsi="Arial"/>
          <w:sz w:val="14"/>
          <w:szCs w:val="14"/>
          <w:b w:val="1"/>
          <w:bCs w:val="1"/>
          <w:color w:val="auto"/>
        </w:rPr>
      </w:pPr>
    </w:p>
    <w:p>
      <w:pPr>
        <w:ind w:left="520" w:hanging="25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funded all operations, including $5.2 million of capital spending, from internal resources and remained debt free</w:t>
      </w:r>
    </w:p>
    <w:p>
      <w:pPr>
        <w:spacing w:after="0" w:line="151" w:lineRule="exact"/>
        <w:rPr>
          <w:rFonts w:ascii="Arial" w:cs="Arial" w:eastAsia="Arial" w:hAnsi="Arial"/>
          <w:sz w:val="14"/>
          <w:szCs w:val="14"/>
          <w:color w:val="auto"/>
        </w:rPr>
      </w:pPr>
    </w:p>
    <w:p>
      <w:pPr>
        <w:ind w:left="520" w:hanging="25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returned $13.3 million to common shareholders in the form of cash dividends</w:t>
      </w:r>
    </w:p>
    <w:p>
      <w:pPr>
        <w:spacing w:after="0" w:line="151" w:lineRule="exact"/>
        <w:rPr>
          <w:rFonts w:ascii="Arial" w:cs="Arial" w:eastAsia="Arial" w:hAnsi="Arial"/>
          <w:sz w:val="14"/>
          <w:szCs w:val="14"/>
          <w:color w:val="auto"/>
        </w:rPr>
      </w:pPr>
    </w:p>
    <w:p>
      <w:pPr>
        <w:ind w:left="520" w:hanging="255"/>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Oil and NGL revenues increased by $2.5 million to $43.2 million, an increase of 6%</w:t>
      </w:r>
    </w:p>
    <w:p>
      <w:pPr>
        <w:spacing w:after="0" w:line="151" w:lineRule="exact"/>
        <w:rPr>
          <w:rFonts w:ascii="Arial" w:cs="Arial" w:eastAsia="Arial" w:hAnsi="Arial"/>
          <w:sz w:val="14"/>
          <w:szCs w:val="14"/>
          <w:color w:val="auto"/>
        </w:rPr>
      </w:pPr>
    </w:p>
    <w:p>
      <w:pPr>
        <w:ind w:left="520" w:right="200" w:hanging="255"/>
        <w:spacing w:after="0" w:line="288"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increased working capital by 17% to $32.4 million at June 30, 2019, with cash on hand of $31.6 million. The twelve well infill program, consisting of ten producer wells and two CO</w:t>
      </w:r>
      <w:r>
        <w:rPr>
          <w:rFonts w:ascii="Arial" w:cs="Arial" w:eastAsia="Arial" w:hAnsi="Arial"/>
          <w:sz w:val="10"/>
          <w:szCs w:val="10"/>
          <w:color w:val="auto"/>
        </w:rPr>
        <w:t>2</w:t>
      </w:r>
      <w:r>
        <w:rPr>
          <w:rFonts w:ascii="Arial" w:cs="Arial" w:eastAsia="Arial" w:hAnsi="Arial"/>
          <w:sz w:val="14"/>
          <w:szCs w:val="14"/>
          <w:color w:val="auto"/>
        </w:rPr>
        <w:t xml:space="preserve"> injector wells, was completed and on production during fiscal 2019, converting 536 MBOE of proved undeveloped to proved developed reserves</w:t>
      </w:r>
    </w:p>
    <w:p>
      <w:pPr>
        <w:spacing w:after="0" w:line="206" w:lineRule="exact"/>
        <w:rPr>
          <w:rFonts w:ascii="Arial" w:cs="Arial" w:eastAsia="Arial" w:hAnsi="Arial"/>
          <w:sz w:val="14"/>
          <w:szCs w:val="14"/>
          <w:color w:val="auto"/>
        </w:rPr>
      </w:pPr>
    </w:p>
    <w:p>
      <w:pPr>
        <w:ind w:left="520" w:right="440" w:hanging="255"/>
        <w:spacing w:after="0" w:line="288"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Capital expenditures for the six-well water curtain program and related infrastructure preceding the planned Delhi Phase V development is almost complete. The first pad commenced operations during fiscal 2019 and the second pad is expected to begin injections during our second quarter of fiscal 2020</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Oil &amp; Natural Gas Liquids Reserves (based on SEC average NYMEX WTI oil price of $61.62 per barrel at June 30, 2019)</w:t>
      </w:r>
    </w:p>
    <w:p>
      <w:pPr>
        <w:spacing w:after="0" w:line="115" w:lineRule="exact"/>
        <w:rPr>
          <w:sz w:val="20"/>
          <w:szCs w:val="20"/>
          <w:color w:val="auto"/>
        </w:rPr>
      </w:pPr>
    </w:p>
    <w:p>
      <w:pPr>
        <w:ind w:left="520" w:hanging="255"/>
        <w:spacing w:after="0" w:line="275"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b w:val="1"/>
          <w:bCs w:val="1"/>
          <w:color w:val="auto"/>
        </w:rPr>
        <w:t>Delhi proved oil equivalent reserves at June 30, 2019 were 9.0 MMBOE</w:t>
      </w:r>
      <w:r>
        <w:rPr>
          <w:rFonts w:ascii="Arial" w:cs="Arial" w:eastAsia="Arial" w:hAnsi="Arial"/>
          <w:sz w:val="14"/>
          <w:szCs w:val="14"/>
          <w:color w:val="auto"/>
        </w:rPr>
        <w:t>, a 4% decrease from the previous year. The Standardized Measure for proved reserves increased 7% to $127</w:t>
      </w:r>
      <w:r>
        <w:rPr>
          <w:rFonts w:ascii="Arial" w:cs="Arial" w:eastAsia="Arial" w:hAnsi="Arial"/>
          <w:sz w:val="14"/>
          <w:szCs w:val="14"/>
          <w:b w:val="1"/>
          <w:bCs w:val="1"/>
          <w:color w:val="auto"/>
        </w:rPr>
        <w:t xml:space="preserve"> </w:t>
      </w:r>
      <w:r>
        <w:rPr>
          <w:rFonts w:ascii="Arial" w:cs="Arial" w:eastAsia="Arial" w:hAnsi="Arial"/>
          <w:sz w:val="14"/>
          <w:szCs w:val="14"/>
          <w:color w:val="auto"/>
        </w:rPr>
        <w:t>million, reflecting a rise in realized commodity prices from $54.71 to $58.50 per BOE. Our proved reserves are 85% crude oil and 15% natural gas liquids, and of these proved reserves, 82% are classified as proved developed and producing and 18% are proved undeveloped.</w:t>
      </w:r>
    </w:p>
    <w:p>
      <w:pPr>
        <w:spacing w:after="0" w:line="179" w:lineRule="exact"/>
        <w:rPr>
          <w:rFonts w:ascii="Arial" w:cs="Arial" w:eastAsia="Arial" w:hAnsi="Arial"/>
          <w:sz w:val="14"/>
          <w:szCs w:val="14"/>
          <w:color w:val="auto"/>
        </w:rPr>
      </w:pPr>
    </w:p>
    <w:p>
      <w:pPr>
        <w:ind w:left="520" w:right="120" w:hanging="255"/>
        <w:spacing w:after="0" w:line="335" w:lineRule="auto"/>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b w:val="1"/>
          <w:bCs w:val="1"/>
          <w:color w:val="auto"/>
        </w:rPr>
        <w:t>Delhi probable reserves at June 30, 2019 were 4.8 MMBOE</w:t>
      </w:r>
      <w:r>
        <w:rPr>
          <w:rFonts w:ascii="Arial" w:cs="Arial" w:eastAsia="Arial" w:hAnsi="Arial"/>
          <w:sz w:val="13"/>
          <w:szCs w:val="13"/>
          <w:color w:val="auto"/>
        </w:rPr>
        <w:t>, a 7% increase over the previous year. 87% of these reserves are classified as probable developed and producing, as they are</w:t>
      </w:r>
      <w:r>
        <w:rPr>
          <w:rFonts w:ascii="Arial" w:cs="Arial" w:eastAsia="Arial" w:hAnsi="Arial"/>
          <w:sz w:val="13"/>
          <w:szCs w:val="13"/>
          <w:b w:val="1"/>
          <w:bCs w:val="1"/>
          <w:color w:val="auto"/>
        </w:rPr>
        <w:t xml:space="preserve"> </w:t>
      </w:r>
      <w:r>
        <w:rPr>
          <w:rFonts w:ascii="Arial" w:cs="Arial" w:eastAsia="Arial" w:hAnsi="Arial"/>
          <w:sz w:val="13"/>
          <w:szCs w:val="13"/>
          <w:color w:val="auto"/>
        </w:rPr>
        <w:t>incremental reserves associated with existing developed and producing locations. No additional capital investment is required beyond what is captured in proved reserves.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40"/>
          </w:cols>
          <w:pgMar w:left="220" w:top="129"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ind w:left="520" w:right="220" w:hanging="255"/>
        <w:spacing w:after="0" w:line="335" w:lineRule="auto"/>
        <w:tabs>
          <w:tab w:leader="none" w:pos="52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Delhi possible reserves at June 30, 2019 were 4.3 MMBOE</w:t>
      </w:r>
      <w:r>
        <w:rPr>
          <w:rFonts w:ascii="Arial" w:cs="Arial" w:eastAsia="Arial" w:hAnsi="Arial"/>
          <w:sz w:val="13"/>
          <w:szCs w:val="13"/>
          <w:color w:val="auto"/>
        </w:rPr>
        <w:t>, a 7% decrease over the previous year. 91% of these reserves are classified as possible developed and producing, as they are</w:t>
      </w:r>
      <w:r>
        <w:rPr>
          <w:rFonts w:ascii="Arial" w:cs="Arial" w:eastAsia="Arial" w:hAnsi="Arial"/>
          <w:sz w:val="13"/>
          <w:szCs w:val="13"/>
          <w:b w:val="1"/>
          <w:bCs w:val="1"/>
          <w:color w:val="auto"/>
        </w:rPr>
        <w:t xml:space="preserve"> </w:t>
      </w:r>
      <w:r>
        <w:rPr>
          <w:rFonts w:ascii="Arial" w:cs="Arial" w:eastAsia="Arial" w:hAnsi="Arial"/>
          <w:sz w:val="13"/>
          <w:szCs w:val="13"/>
          <w:color w:val="auto"/>
        </w:rPr>
        <w:t>incremental reserves associated with existing developed and producing locations. No additional capital investment is required beyond what is captured in proved reserves.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is a summary of our proved, probable and possible reserves as of June 30, 2019 and 2018:</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1"/>
                <w:szCs w:val="11"/>
                <w:b w:val="1"/>
                <w:bCs w:val="1"/>
                <w:color w:val="auto"/>
              </w:rPr>
              <w:t>Proved</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gridSpan w:val="3"/>
          </w:tcPr>
          <w:p>
            <w:pPr>
              <w:ind w:left="660"/>
              <w:spacing w:after="0"/>
              <w:rPr>
                <w:sz w:val="20"/>
                <w:szCs w:val="20"/>
                <w:color w:val="auto"/>
              </w:rPr>
            </w:pPr>
            <w:r>
              <w:rPr>
                <w:rFonts w:ascii="Arial" w:cs="Arial" w:eastAsia="Arial" w:hAnsi="Arial"/>
                <w:sz w:val="11"/>
                <w:szCs w:val="11"/>
                <w:b w:val="1"/>
                <w:bCs w:val="1"/>
                <w:color w:val="auto"/>
                <w:w w:val="97"/>
              </w:rPr>
              <w:t>Probable</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Borders>
              <w:bottom w:val="single" w:sz="8" w:color="auto"/>
            </w:tcBorders>
            <w:gridSpan w:val="3"/>
          </w:tcPr>
          <w:p>
            <w:pPr>
              <w:ind w:left="680"/>
              <w:spacing w:after="0"/>
              <w:rPr>
                <w:sz w:val="20"/>
                <w:szCs w:val="20"/>
                <w:color w:val="auto"/>
              </w:rPr>
            </w:pPr>
            <w:r>
              <w:rPr>
                <w:rFonts w:ascii="Arial" w:cs="Arial" w:eastAsia="Arial" w:hAnsi="Arial"/>
                <w:sz w:val="11"/>
                <w:szCs w:val="11"/>
                <w:b w:val="1"/>
                <w:bCs w:val="1"/>
                <w:color w:val="auto"/>
                <w:w w:val="97"/>
              </w:rPr>
              <w:t>Possible</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6"/>
        </w:trPr>
        <w:tc>
          <w:tcPr>
            <w:tcW w:w="3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232"/>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ind w:right="231"/>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7"/>
                <w:szCs w:val="17"/>
                <w:color w:val="auto"/>
              </w:rPr>
            </w:pPr>
          </w:p>
        </w:tc>
        <w:tc>
          <w:tcPr>
            <w:tcW w:w="980" w:type="dxa"/>
            <w:vAlign w:val="bottom"/>
            <w:gridSpan w:val="2"/>
          </w:tcPr>
          <w:p>
            <w:pPr>
              <w:ind w:left="260"/>
              <w:spacing w:after="0"/>
              <w:rPr>
                <w:sz w:val="20"/>
                <w:szCs w:val="20"/>
                <w:color w:val="auto"/>
              </w:rPr>
            </w:pPr>
            <w:r>
              <w:rPr>
                <w:rFonts w:ascii="Arial" w:cs="Arial" w:eastAsia="Arial" w:hAnsi="Arial"/>
                <w:sz w:val="11"/>
                <w:szCs w:val="11"/>
                <w:b w:val="1"/>
                <w:bCs w:val="1"/>
                <w:color w:val="auto"/>
              </w:rPr>
              <w:t>Change</w:t>
            </w:r>
          </w:p>
        </w:tc>
        <w:tc>
          <w:tcPr>
            <w:tcW w:w="800" w:type="dxa"/>
            <w:vAlign w:val="bottom"/>
          </w:tcPr>
          <w:p>
            <w:pPr>
              <w:jc w:val="right"/>
              <w:ind w:right="214"/>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jc w:val="right"/>
              <w:ind w:right="212"/>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7"/>
                <w:szCs w:val="17"/>
                <w:color w:val="auto"/>
              </w:rPr>
            </w:pPr>
          </w:p>
        </w:tc>
        <w:tc>
          <w:tcPr>
            <w:tcW w:w="1040" w:type="dxa"/>
            <w:vAlign w:val="bottom"/>
          </w:tcPr>
          <w:p>
            <w:pPr>
              <w:jc w:val="right"/>
              <w:ind w:right="392"/>
              <w:spacing w:after="0"/>
              <w:rPr>
                <w:sz w:val="20"/>
                <w:szCs w:val="20"/>
                <w:color w:val="auto"/>
              </w:rPr>
            </w:pPr>
            <w:r>
              <w:rPr>
                <w:rFonts w:ascii="Arial" w:cs="Arial" w:eastAsia="Arial" w:hAnsi="Arial"/>
                <w:sz w:val="11"/>
                <w:szCs w:val="11"/>
                <w:b w:val="1"/>
                <w:bCs w:val="1"/>
                <w:color w:val="auto"/>
              </w:rPr>
              <w:t>Change</w:t>
            </w:r>
          </w:p>
        </w:tc>
        <w:tc>
          <w:tcPr>
            <w:tcW w:w="800" w:type="dxa"/>
            <w:vAlign w:val="bottom"/>
          </w:tcPr>
          <w:p>
            <w:pPr>
              <w:jc w:val="right"/>
              <w:ind w:right="214"/>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ind w:right="232"/>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7"/>
                <w:szCs w:val="17"/>
                <w:color w:val="auto"/>
              </w:rPr>
            </w:pPr>
          </w:p>
        </w:tc>
        <w:tc>
          <w:tcPr>
            <w:tcW w:w="860" w:type="dxa"/>
            <w:vAlign w:val="bottom"/>
          </w:tcPr>
          <w:p>
            <w:pPr>
              <w:jc w:val="right"/>
              <w:ind w:right="172"/>
              <w:spacing w:after="0"/>
              <w:rPr>
                <w:sz w:val="20"/>
                <w:szCs w:val="20"/>
                <w:color w:val="auto"/>
              </w:rPr>
            </w:pPr>
            <w:r>
              <w:rPr>
                <w:rFonts w:ascii="Arial" w:cs="Arial" w:eastAsia="Arial" w:hAnsi="Arial"/>
                <w:sz w:val="11"/>
                <w:szCs w:val="11"/>
                <w:b w:val="1"/>
                <w:bCs w:val="1"/>
                <w:color w:val="auto"/>
              </w:rPr>
              <w:t>Change</w:t>
            </w:r>
          </w:p>
        </w:tc>
      </w:tr>
      <w:tr>
        <w:trPr>
          <w:trHeight w:val="191"/>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Reserves MMBOE</w:t>
            </w: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4.8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4.5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jc w:val="right"/>
              <w:ind w:right="192"/>
              <w:spacing w:after="0"/>
              <w:rPr>
                <w:sz w:val="20"/>
                <w:szCs w:val="20"/>
                <w:color w:val="auto"/>
              </w:rPr>
            </w:pPr>
            <w:r>
              <w:rPr>
                <w:rFonts w:ascii="Arial" w:cs="Arial" w:eastAsia="Arial" w:hAnsi="Arial"/>
                <w:sz w:val="14"/>
                <w:szCs w:val="14"/>
                <w:color w:val="auto"/>
              </w:rPr>
              <w:t>7%</w:t>
            </w:r>
          </w:p>
        </w:tc>
        <w:tc>
          <w:tcPr>
            <w:tcW w:w="80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4.3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3"/>
        </w:trPr>
        <w:tc>
          <w:tcPr>
            <w:tcW w:w="3060" w:type="dxa"/>
            <w:vAlign w:val="bottom"/>
          </w:tcPr>
          <w:p>
            <w:pPr>
              <w:ind w:left="140"/>
              <w:spacing w:after="0"/>
              <w:rPr>
                <w:sz w:val="20"/>
                <w:szCs w:val="20"/>
                <w:color w:val="auto"/>
              </w:rPr>
            </w:pPr>
            <w:r>
              <w:rPr>
                <w:rFonts w:ascii="Arial" w:cs="Arial" w:eastAsia="Arial" w:hAnsi="Arial"/>
                <w:sz w:val="14"/>
                <w:szCs w:val="14"/>
                <w:color w:val="auto"/>
              </w:rPr>
              <w:t>% Developed</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9%</w:t>
            </w:r>
          </w:p>
        </w:tc>
        <w:tc>
          <w:tcPr>
            <w:tcW w:w="80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23"/>
        </w:trPr>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3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Liquids %</w:t>
            </w: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3"/>
        </w:trPr>
        <w:tc>
          <w:tcPr>
            <w:tcW w:w="3060" w:type="dxa"/>
            <w:vAlign w:val="bottom"/>
          </w:tcPr>
          <w:p>
            <w:pPr>
              <w:ind w:left="140"/>
              <w:spacing w:after="0"/>
              <w:rPr>
                <w:sz w:val="20"/>
                <w:szCs w:val="20"/>
                <w:color w:val="auto"/>
              </w:rPr>
            </w:pPr>
            <w:r>
              <w:rPr>
                <w:rFonts w:ascii="Arial" w:cs="Arial" w:eastAsia="Arial" w:hAnsi="Arial"/>
                <w:sz w:val="14"/>
                <w:szCs w:val="14"/>
                <w:color w:val="auto"/>
              </w:rPr>
              <w:t>Standardized Measure ($MM)</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1"/>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3"/>
        </w:trPr>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PV-10* ($MM)</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3"/>
        </w:trPr>
        <w:tc>
          <w:tcPr>
            <w:tcW w:w="30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w:t>
      </w:r>
    </w:p>
    <w:p>
      <w:pPr>
        <w:spacing w:after="0" w:line="115" w:lineRule="exact"/>
        <w:rPr>
          <w:sz w:val="20"/>
          <w:szCs w:val="20"/>
          <w:color w:val="auto"/>
        </w:rPr>
      </w:pPr>
    </w:p>
    <w:p>
      <w:pPr>
        <w:ind w:left="520" w:hanging="255"/>
        <w:spacing w:after="0" w:line="282" w:lineRule="auto"/>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PV-10 of proved reserves is a pre-tax non-GAAP measure. We have included a reconciliation of PV-10 to the unaudited after-tax Standardized Measure of Discounted Future Net Cash Flows ("Standardized Measure"), which is the most directly comparable financial measure calculated in accordance with GAAP, in </w:t>
      </w:r>
      <w:r>
        <w:rPr>
          <w:rFonts w:ascii="Arial" w:cs="Arial" w:eastAsia="Arial" w:hAnsi="Arial"/>
          <w:sz w:val="13"/>
          <w:szCs w:val="13"/>
          <w:i w:val="1"/>
          <w:iCs w:val="1"/>
          <w:color w:val="auto"/>
        </w:rPr>
        <w:t>Item 1. "Business - Estimated Oil and Natural Gas Reserves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Estimated Future Net Revenues." </w:t>
      </w:r>
      <w:r>
        <w:rPr>
          <w:rFonts w:ascii="Arial" w:cs="Arial" w:eastAsia="Arial" w:hAnsi="Arial"/>
          <w:sz w:val="13"/>
          <w:szCs w:val="13"/>
          <w:color w:val="auto"/>
        </w:rPr>
        <w:t>We believe that the presentation of the non-GAAP financial measure of PV-10 provides useful and relevant information to investors because of its wide use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by analysts and investors in evaluating oil and gas companies, and that it is relevant and useful in evaluating the relative monetary significance of oil and natural gas properties. Further, analysts and investors may utilize the measure as a basis for comparison of the relative size and value of our reserves to other companies’ reserves. We also use this pre-tax measure when assessing the potential return on investment related to oil and natural gas properties and in evaluating acquisition opportunities. Because there are many unique factors that can impact an individual company when estimating the amount of future income taxes to be paid, we believe the use of a pre-tax measure is valuable for evaluating our Company. PV-10 is not a measure of financial or operating performance under GAAP, nor is it intended to represent the current market value of our estimated oil and natural gas reserves. PV-10 should not be considered in isolation or as a substitute for the Standardized Measure as defined under GAAP, and is reconciled to the Standardized Measure in </w:t>
      </w:r>
      <w:r>
        <w:rPr>
          <w:rFonts w:ascii="Arial" w:cs="Arial" w:eastAsia="Arial" w:hAnsi="Arial"/>
          <w:sz w:val="13"/>
          <w:szCs w:val="13"/>
          <w:i w:val="1"/>
          <w:iCs w:val="1"/>
          <w:color w:val="auto"/>
        </w:rPr>
        <w:t>Item 1. Business</w:t>
      </w:r>
      <w:r>
        <w:rPr>
          <w:rFonts w:ascii="Arial" w:cs="Arial" w:eastAsia="Arial" w:hAnsi="Arial"/>
          <w:sz w:val="13"/>
          <w:szCs w:val="13"/>
          <w:color w:val="auto"/>
        </w:rPr>
        <w:t>. Probable and possible reserves are not recognized as GAAP, nor is there a comparable GAAP measure.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Additional property and project information is included under </w:t>
      </w:r>
      <w:r>
        <w:rPr>
          <w:rFonts w:ascii="Arial" w:cs="Arial" w:eastAsia="Arial" w:hAnsi="Arial"/>
          <w:sz w:val="14"/>
          <w:szCs w:val="14"/>
          <w:i w:val="1"/>
          <w:iCs w:val="1"/>
          <w:color w:val="auto"/>
        </w:rPr>
        <w:t>Item 1. Business, Item 8. Financial Statements - Notes to the Financial Statements</w:t>
      </w:r>
      <w:r>
        <w:rPr>
          <w:rFonts w:ascii="Arial" w:cs="Arial" w:eastAsia="Arial" w:hAnsi="Arial"/>
          <w:sz w:val="14"/>
          <w:szCs w:val="14"/>
          <w:color w:val="auto"/>
        </w:rPr>
        <w:t xml:space="preserve"> and </w:t>
      </w:r>
      <w:r>
        <w:rPr>
          <w:rFonts w:ascii="Arial" w:cs="Arial" w:eastAsia="Arial" w:hAnsi="Arial"/>
          <w:sz w:val="14"/>
          <w:szCs w:val="14"/>
          <w:i w:val="1"/>
          <w:iCs w:val="1"/>
          <w:color w:val="auto"/>
        </w:rPr>
        <w:t>Exhibit 99.1</w:t>
      </w:r>
      <w:r>
        <w:rPr>
          <w:rFonts w:ascii="Arial" w:cs="Arial" w:eastAsia="Arial" w:hAnsi="Arial"/>
          <w:sz w:val="14"/>
          <w:szCs w:val="14"/>
          <w:color w:val="auto"/>
        </w:rPr>
        <w:t xml:space="preserve"> of this Form 10-K.</w:t>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Delhi Field</w:t>
      </w:r>
    </w:p>
    <w:p>
      <w:pPr>
        <w:spacing w:after="0" w:line="231" w:lineRule="exact"/>
        <w:rPr>
          <w:sz w:val="20"/>
          <w:szCs w:val="20"/>
          <w:color w:val="auto"/>
        </w:rPr>
      </w:pPr>
    </w:p>
    <w:p>
      <w:pPr>
        <w:ind w:right="120" w:firstLine="280"/>
        <w:spacing w:after="0" w:line="288" w:lineRule="auto"/>
        <w:rPr>
          <w:sz w:val="20"/>
          <w:szCs w:val="20"/>
          <w:color w:val="auto"/>
        </w:rPr>
      </w:pPr>
      <w:r>
        <w:rPr>
          <w:rFonts w:ascii="Arial" w:cs="Arial" w:eastAsia="Arial" w:hAnsi="Arial"/>
          <w:sz w:val="14"/>
          <w:szCs w:val="14"/>
          <w:color w:val="auto"/>
        </w:rPr>
        <w:t>Our interests in the Delhi field consist of a 23.9% working interest (with associated 19.0% net revenue interest) and separate overriding royalty and mineral interests of 7.2%. This yields a total net revenue interest of 26.2%. The Delhi field is operated by Denbury Onshore, LLC (the "operator"), a subsidiary 100% owned by Denbury Resources Inc. .</w:t>
      </w:r>
    </w:p>
    <w:p>
      <w:pPr>
        <w:spacing w:after="0" w:line="174" w:lineRule="exact"/>
        <w:rPr>
          <w:sz w:val="20"/>
          <w:szCs w:val="20"/>
          <w:color w:val="auto"/>
        </w:rPr>
      </w:pPr>
    </w:p>
    <w:p>
      <w:pPr>
        <w:ind w:right="40" w:firstLine="323"/>
        <w:spacing w:after="0" w:line="264" w:lineRule="auto"/>
        <w:rPr>
          <w:sz w:val="20"/>
          <w:szCs w:val="20"/>
          <w:color w:val="auto"/>
        </w:rPr>
      </w:pPr>
      <w:r>
        <w:rPr>
          <w:rFonts w:ascii="Arial" w:cs="Arial" w:eastAsia="Arial" w:hAnsi="Arial"/>
          <w:sz w:val="14"/>
          <w:szCs w:val="14"/>
          <w:color w:val="auto"/>
        </w:rPr>
        <w:t>Proved reserves volumes totaled 9.0 MMBOE with a Standardized Measure of $127 million and a PV-10* value of $157 million compared to the prior year's 9.4 MMBOE with a Standardized Measure of $119 million and a PV-10* value of $146 million. Improved performance of producing wells has led to a 0.152 MMBOE, or 2%, positive revision in proved oil reserves. Performance from the NGL plant was improved via capitalized modifications resulting in a 0.199 MMBOE, or 16%, positive revision to NGL reserves. Probable reserve volumes at Delhi were 4.8 MMBOE, an increase of 7% compared to 4.5 MMBOE in the prior year. Possible reserves volumes at Delhi were 4.3 MMBOE, a decrease of 7% compared to 4.6 MMBOE in the prior year. The reclassification to probable from possible are primarily the result of timing and recent performance.</w:t>
      </w:r>
    </w:p>
    <w:p>
      <w:pPr>
        <w:spacing w:after="0" w:line="192" w:lineRule="exact"/>
        <w:rPr>
          <w:sz w:val="20"/>
          <w:szCs w:val="20"/>
          <w:color w:val="auto"/>
        </w:rPr>
      </w:pPr>
    </w:p>
    <w:p>
      <w:pPr>
        <w:ind w:right="40" w:firstLine="323"/>
        <w:spacing w:after="0" w:line="264" w:lineRule="auto"/>
        <w:rPr>
          <w:sz w:val="20"/>
          <w:szCs w:val="20"/>
          <w:color w:val="auto"/>
        </w:rPr>
      </w:pPr>
      <w:r>
        <w:rPr>
          <w:rFonts w:ascii="Arial" w:cs="Arial" w:eastAsia="Arial" w:hAnsi="Arial"/>
          <w:sz w:val="14"/>
          <w:szCs w:val="14"/>
          <w:color w:val="auto"/>
        </w:rPr>
        <w:t>Gross production at Delhi in the fourth quarter of fiscal 2019 was 7,843 BOEPD, a 2% increase compared to 7,687 BOEPD in the third fiscal quarter. Oil production was 6,364 BOPD, a 2% decrease from the third fiscal quarter’s 6,474 BOPD. NGL production in the fourth quarter was 1,479 BOEPD, 22% higher than prior quarter production of 1,213 BOEPD. Oil production was impacted by compressor downtime during the fourth quarter. Earlier in the year, the operator modified the flow regime of the recycle facility which led to improved NGL production over the past two quarters. However, this modification resulted in compressor issues causing the downtime in the fourth quarter. The compressor was repaired and oil production recovered in July. We expect NGL production to be approximately 1,100 to 1,200 BOEPD over the next several months. The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129" w:right="2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operator is investigating solutions to recapture the NGL rates seen in the fourth quarter. All twelve wells in the infill program initiated in fiscal 2018 have been completed, and consist of two CO</w:t>
      </w:r>
      <w:r>
        <w:rPr>
          <w:rFonts w:ascii="Arial" w:cs="Arial" w:eastAsia="Arial" w:hAnsi="Arial"/>
          <w:sz w:val="10"/>
          <w:szCs w:val="10"/>
          <w:color w:val="auto"/>
        </w:rPr>
        <w:t>2</w:t>
      </w:r>
      <w:r>
        <w:rPr>
          <w:rFonts w:ascii="Arial" w:cs="Arial" w:eastAsia="Arial" w:hAnsi="Arial"/>
          <w:sz w:val="14"/>
          <w:szCs w:val="14"/>
          <w:color w:val="auto"/>
        </w:rPr>
        <w:t xml:space="preserve"> injection wells and ten producer wells.</w:t>
      </w:r>
    </w:p>
    <w:p>
      <w:pPr>
        <w:spacing w:after="0" w:line="174" w:lineRule="exact"/>
        <w:rPr>
          <w:sz w:val="20"/>
          <w:szCs w:val="20"/>
          <w:color w:val="auto"/>
        </w:rPr>
      </w:pPr>
    </w:p>
    <w:p>
      <w:pPr>
        <w:ind w:right="60" w:firstLine="323"/>
        <w:spacing w:after="0" w:line="264" w:lineRule="auto"/>
        <w:rPr>
          <w:sz w:val="20"/>
          <w:szCs w:val="20"/>
          <w:color w:val="auto"/>
        </w:rPr>
      </w:pPr>
      <w:r>
        <w:rPr>
          <w:rFonts w:ascii="Arial" w:cs="Arial" w:eastAsia="Arial" w:hAnsi="Arial"/>
          <w:sz w:val="14"/>
          <w:szCs w:val="14"/>
          <w:color w:val="auto"/>
        </w:rPr>
        <w:t>The average oil price realized by Evolution during the fourth quarter of fiscal 2019 was $64.77 compared to $59.12 during the previous quarter. The average NGL price realized by Evolution during the fourth quarter of fiscal 2019 was $15.27 per barrel compared to $16.37 during the previous quarter. Evolution continues to benefit from the premium that Delhi field oil receives selling under Louisiana Light Sweet ("LLS") pricing, as compared to the more widely known West Texas Intermediate ("WTI") price, and the oil is shipped to market directly by pipeline, the most efficient means of transportation from the field. Our received NGL price for royalty production is burdened by a capital recovery charge, which is mostly offset by our working interest share of such capital recovery that is reflected as a reduction in lease operating expense.</w:t>
      </w:r>
    </w:p>
    <w:p>
      <w:pPr>
        <w:spacing w:after="0" w:line="192" w:lineRule="exact"/>
        <w:rPr>
          <w:sz w:val="20"/>
          <w:szCs w:val="20"/>
          <w:color w:val="auto"/>
        </w:rPr>
      </w:pPr>
    </w:p>
    <w:p>
      <w:pPr>
        <w:jc w:val="both"/>
        <w:ind w:right="40" w:firstLine="323"/>
        <w:spacing w:after="0" w:line="267" w:lineRule="auto"/>
        <w:rPr>
          <w:sz w:val="20"/>
          <w:szCs w:val="20"/>
          <w:color w:val="auto"/>
        </w:rPr>
      </w:pPr>
      <w:r>
        <w:rPr>
          <w:rFonts w:ascii="Arial" w:cs="Arial" w:eastAsia="Arial" w:hAnsi="Arial"/>
          <w:sz w:val="14"/>
          <w:szCs w:val="14"/>
          <w:color w:val="auto"/>
        </w:rPr>
        <w:t>Our overall lifting costs for the year were $19.31 per BOE increased 23% from $15.68 per BOE in the prior year. Gross CO</w:t>
      </w:r>
      <w:r>
        <w:rPr>
          <w:rFonts w:ascii="Arial" w:cs="Arial" w:eastAsia="Arial" w:hAnsi="Arial"/>
          <w:sz w:val="10"/>
          <w:szCs w:val="10"/>
          <w:color w:val="auto"/>
        </w:rPr>
        <w:t>2</w:t>
      </w:r>
      <w:r>
        <w:rPr>
          <w:rFonts w:ascii="Arial" w:cs="Arial" w:eastAsia="Arial" w:hAnsi="Arial"/>
          <w:sz w:val="14"/>
          <w:szCs w:val="14"/>
          <w:color w:val="auto"/>
        </w:rPr>
        <w:t xml:space="preserve"> purchase volume rates for the fiscal 2019 averaged 85.2 MMcf per day, compared to 65.0 MMcf per day in the prior year, a 31% increase. This increase together with an 8% higher price per mcf resulted in a 41% increase in CO</w:t>
      </w:r>
      <w:r>
        <w:rPr>
          <w:rFonts w:ascii="Arial" w:cs="Arial" w:eastAsia="Arial" w:hAnsi="Arial"/>
          <w:sz w:val="10"/>
          <w:szCs w:val="10"/>
          <w:color w:val="auto"/>
        </w:rPr>
        <w:t>2</w:t>
      </w:r>
      <w:r>
        <w:rPr>
          <w:rFonts w:ascii="Arial" w:cs="Arial" w:eastAsia="Arial" w:hAnsi="Arial"/>
          <w:sz w:val="14"/>
          <w:szCs w:val="14"/>
          <w:color w:val="auto"/>
        </w:rPr>
        <w:t xml:space="preserve"> cost compared to the prior year. Our cost of purchased CO</w:t>
      </w:r>
      <w:r>
        <w:rPr>
          <w:rFonts w:ascii="Arial" w:cs="Arial" w:eastAsia="Arial" w:hAnsi="Arial"/>
          <w:sz w:val="10"/>
          <w:szCs w:val="10"/>
          <w:color w:val="auto"/>
        </w:rPr>
        <w:t>2</w:t>
      </w:r>
      <w:r>
        <w:rPr>
          <w:rFonts w:ascii="Arial" w:cs="Arial" w:eastAsia="Arial" w:hAnsi="Arial"/>
          <w:sz w:val="14"/>
          <w:szCs w:val="14"/>
          <w:color w:val="auto"/>
        </w:rPr>
        <w:t>, the largest single component of operating costs, is directly tied to the price of oil sold from the Delhi field. Other lease operating expenses for the fiscal 2019 increased 9.1% compared to the prior year, primarily due to higher fuel gas expense, labor and chemicals.</w:t>
      </w:r>
    </w:p>
    <w:p>
      <w:pPr>
        <w:spacing w:after="0" w:line="81" w:lineRule="exact"/>
        <w:rPr>
          <w:sz w:val="20"/>
          <w:szCs w:val="20"/>
          <w:color w:val="auto"/>
        </w:rPr>
      </w:pPr>
    </w:p>
    <w:p>
      <w:pPr>
        <w:ind w:firstLine="388"/>
        <w:spacing w:after="0" w:line="261" w:lineRule="auto"/>
        <w:rPr>
          <w:sz w:val="20"/>
          <w:szCs w:val="20"/>
          <w:color w:val="auto"/>
        </w:rPr>
      </w:pPr>
      <w:r>
        <w:rPr>
          <w:rFonts w:ascii="Arial" w:cs="Arial" w:eastAsia="Arial" w:hAnsi="Arial"/>
          <w:sz w:val="14"/>
          <w:szCs w:val="14"/>
          <w:color w:val="auto"/>
        </w:rPr>
        <w:t>For fiscal 2019, our gross NGL production was 1,171 BOEPD, which sold at an average price of $21.87 per barrel, compared to prior year gross production of 976 BOEPD for which we realized $28.06 per barrel. Production from the NGL plant is transported by truck to a processing plant in East Texas, and therefore bears a material transportation charge. Plant efficiencies have improved from the prior year and the higher realized price reflects both the impact of higher oil prices and improvements in meeting the purchaser's specification requirements. Under the operator's marketing contract, we receive market index pricing for each NGL component, based on the processed yield, less transportation, processing fees and other deductions. Our current mix of products is very rich containing higher value NGL's, such as pentanes and butane. Market pricing for our NGL's during the fourth quarter averaged approximately 36% of WTI prices (net realized price is after deduction of transportation and fractionation charges). NGL prices have fallen significantly from a peak in late 2018 in response to worldwide supply and demand. Historically, NGL demand has had a seasonal pattern with prices tending to be higher in the cooler months of the year. Accordingly, the relationship between NGL prices and WTI has fluctuated over time and we expect such volatility to continue.</w:t>
      </w:r>
    </w:p>
    <w:p>
      <w:pPr>
        <w:spacing w:after="0" w:line="151" w:lineRule="exact"/>
        <w:rPr>
          <w:sz w:val="20"/>
          <w:szCs w:val="20"/>
          <w:color w:val="auto"/>
        </w:rPr>
      </w:pPr>
    </w:p>
    <w:p>
      <w:pPr>
        <w:ind w:right="160" w:firstLine="388"/>
        <w:spacing w:after="0" w:line="267" w:lineRule="auto"/>
        <w:rPr>
          <w:sz w:val="20"/>
          <w:szCs w:val="20"/>
          <w:color w:val="auto"/>
        </w:rPr>
      </w:pPr>
      <w:r>
        <w:rPr>
          <w:rFonts w:ascii="Arial" w:cs="Arial" w:eastAsia="Arial" w:hAnsi="Arial"/>
          <w:sz w:val="14"/>
          <w:szCs w:val="14"/>
          <w:color w:val="auto"/>
        </w:rPr>
        <w:t>The NGL plant includes an electric turbine to convert methane and part of the ethane processed by the plant to electricity. This turbine is generating power for the NGL plant and supplies excess power to the CO</w:t>
      </w:r>
      <w:r>
        <w:rPr>
          <w:rFonts w:ascii="Arial" w:cs="Arial" w:eastAsia="Arial" w:hAnsi="Arial"/>
          <w:sz w:val="10"/>
          <w:szCs w:val="10"/>
          <w:color w:val="auto"/>
        </w:rPr>
        <w:t>2</w:t>
      </w:r>
      <w:r>
        <w:rPr>
          <w:rFonts w:ascii="Arial" w:cs="Arial" w:eastAsia="Arial" w:hAnsi="Arial"/>
          <w:sz w:val="14"/>
          <w:szCs w:val="14"/>
          <w:color w:val="auto"/>
        </w:rPr>
        <w:t xml:space="preserve"> recycle facility. The NGL plant is accomplishing its primary objective of removing the lighter hydrocarbons (i.e. methane and ethane), thereby increasing the purity of the CO</w:t>
      </w:r>
      <w:r>
        <w:rPr>
          <w:rFonts w:ascii="Arial" w:cs="Arial" w:eastAsia="Arial" w:hAnsi="Arial"/>
          <w:sz w:val="10"/>
          <w:szCs w:val="10"/>
          <w:color w:val="auto"/>
        </w:rPr>
        <w:t>2</w:t>
      </w:r>
      <w:r>
        <w:rPr>
          <w:rFonts w:ascii="Arial" w:cs="Arial" w:eastAsia="Arial" w:hAnsi="Arial"/>
          <w:sz w:val="14"/>
          <w:szCs w:val="14"/>
          <w:color w:val="auto"/>
        </w:rPr>
        <w:t xml:space="preserve"> recycle stream and improving the efficiency of the flood. Over time, it is expected to increase the recovery of crude oil in the field. The plant is also providing feedstock to power the electric turbine and producing significant quantities of higher value NGL's for sale.</w:t>
      </w:r>
    </w:p>
    <w:p>
      <w:pPr>
        <w:spacing w:after="0" w:line="81" w:lineRule="exact"/>
        <w:rPr>
          <w:sz w:val="20"/>
          <w:szCs w:val="20"/>
          <w:color w:val="auto"/>
        </w:rPr>
      </w:pPr>
    </w:p>
    <w:p>
      <w:pPr>
        <w:ind w:firstLine="323"/>
        <w:spacing w:after="0" w:line="264" w:lineRule="auto"/>
        <w:rPr>
          <w:sz w:val="20"/>
          <w:szCs w:val="20"/>
          <w:color w:val="auto"/>
        </w:rPr>
      </w:pPr>
      <w:r>
        <w:rPr>
          <w:rFonts w:ascii="Arial" w:cs="Arial" w:eastAsia="Arial" w:hAnsi="Arial"/>
          <w:sz w:val="14"/>
          <w:szCs w:val="14"/>
          <w:color w:val="auto"/>
        </w:rPr>
        <w:t>Remaining estimated capital expenditures for our proved undeveloped reserves amount to approximately $6.00 per BOE for Phase V. No remaining capital expenditures are required to develop our probable or possible reserves as these reserves reflect incremental quantities associated with a greater percentage recovery of hydrocarbons in place than the recovery quantities assumed for proved reserves. Looking forward, the timing of plans for continued development of the eastern part of the Delhi field is dependent on the operator’s plans for capital allocation within their portfolio. Development of unquantified volumes is dependent upon the timing of excess capacity within the processing plant and oil price. We continue to believe that this high quality and economically viable project will be executed as planned, subject to oil price volatility.</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00"/>
          </w:cols>
          <w:pgMar w:left="220" w:top="129"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Results of Operations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Years Ended June 30, 2019 and 2018</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231" w:lineRule="exact"/>
        <w:rPr>
          <w:sz w:val="20"/>
          <w:szCs w:val="20"/>
          <w:color w:val="auto"/>
        </w:rPr>
      </w:pPr>
    </w:p>
    <w:p>
      <w:pPr>
        <w:ind w:right="220" w:firstLine="323"/>
        <w:spacing w:after="0" w:line="288" w:lineRule="auto"/>
        <w:rPr>
          <w:sz w:val="20"/>
          <w:szCs w:val="20"/>
          <w:color w:val="auto"/>
        </w:rPr>
      </w:pPr>
      <w:r>
        <w:rPr>
          <w:rFonts w:ascii="Arial" w:cs="Arial" w:eastAsia="Arial" w:hAnsi="Arial"/>
          <w:sz w:val="14"/>
          <w:szCs w:val="14"/>
          <w:color w:val="auto"/>
        </w:rPr>
        <w:t>Compared to the the prior fiscal year, fiscal 2019 revenues increased 6.0% due to 6.9% higher realized commodity prices partially offset by a very slight decrease in production volumes. The following table summarizes total production volumes, daily production volumes, average realized prices and revenues: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Years Ended June 30,</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76"/>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ind w:right="556"/>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1"/>
                <w:szCs w:val="11"/>
                <w:b w:val="1"/>
                <w:bCs w:val="1"/>
                <w:color w:val="auto"/>
              </w:rPr>
              <w:t>Variance</w:t>
            </w:r>
          </w:p>
        </w:tc>
        <w:tc>
          <w:tcPr>
            <w:tcW w:w="1300" w:type="dxa"/>
            <w:vAlign w:val="bottom"/>
          </w:tcPr>
          <w:p>
            <w:pPr>
              <w:jc w:val="right"/>
              <w:ind w:right="296"/>
              <w:spacing w:after="0"/>
              <w:rPr>
                <w:sz w:val="20"/>
                <w:szCs w:val="20"/>
                <w:color w:val="auto"/>
              </w:rPr>
            </w:pPr>
            <w:r>
              <w:rPr>
                <w:rFonts w:ascii="Arial" w:cs="Arial" w:eastAsia="Arial" w:hAnsi="Arial"/>
                <w:sz w:val="11"/>
                <w:szCs w:val="11"/>
                <w:b w:val="1"/>
                <w:bCs w:val="1"/>
                <w:color w:val="auto"/>
              </w:rPr>
              <w:t>Variance %</w:t>
            </w: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5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Oil and gas production</w:t>
            </w: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260" w:type="dxa"/>
            <w:vAlign w:val="bottom"/>
            <w:tcBorders>
              <w:top w:val="single" w:sz="8" w:color="auto"/>
            </w:tcBorders>
          </w:tcPr>
          <w:p>
            <w:pPr>
              <w:ind w:left="60"/>
              <w:spacing w:after="0"/>
              <w:rPr>
                <w:sz w:val="20"/>
                <w:szCs w:val="20"/>
                <w:color w:val="auto"/>
              </w:rPr>
            </w:pPr>
            <w:r>
              <w:rPr>
                <w:rFonts w:ascii="Arial" w:cs="Arial" w:eastAsia="Arial" w:hAnsi="Arial"/>
                <w:sz w:val="13"/>
                <w:szCs w:val="13"/>
                <w:color w:val="auto"/>
              </w:rPr>
              <w:t>Crude oil revenues</w:t>
            </w:r>
          </w:p>
        </w:tc>
        <w:tc>
          <w:tcPr>
            <w:tcW w:w="42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CCEEFF"/>
            </w:tcBorders>
          </w:tcPr>
          <w:p>
            <w:pPr>
              <w:jc w:val="right"/>
              <w:ind w:right="56"/>
              <w:spacing w:after="0"/>
              <w:rPr>
                <w:sz w:val="20"/>
                <w:szCs w:val="20"/>
                <w:color w:val="auto"/>
              </w:rPr>
            </w:pPr>
            <w:r>
              <w:rPr>
                <w:rFonts w:ascii="Arial" w:cs="Arial" w:eastAsia="Arial" w:hAnsi="Arial"/>
                <w:sz w:val="13"/>
                <w:szCs w:val="13"/>
                <w:color w:val="auto"/>
              </w:rPr>
              <w:t>40,779,052</w:t>
            </w:r>
          </w:p>
        </w:tc>
        <w:tc>
          <w:tcPr>
            <w:tcW w:w="10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jc w:val="right"/>
              <w:ind w:right="39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CCEEFF"/>
            </w:tcBorders>
          </w:tcPr>
          <w:p>
            <w:pPr>
              <w:jc w:val="right"/>
              <w:ind w:right="56"/>
              <w:spacing w:after="0"/>
              <w:rPr>
                <w:sz w:val="20"/>
                <w:szCs w:val="20"/>
                <w:color w:val="auto"/>
              </w:rPr>
            </w:pPr>
            <w:r>
              <w:rPr>
                <w:rFonts w:ascii="Arial" w:cs="Arial" w:eastAsia="Arial" w:hAnsi="Arial"/>
                <w:sz w:val="13"/>
                <w:szCs w:val="13"/>
                <w:color w:val="auto"/>
              </w:rPr>
              <w:t>38,153,417</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jc w:val="right"/>
              <w:ind w:right="115"/>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CCEEFF"/>
            </w:tcBorders>
          </w:tcPr>
          <w:p>
            <w:pPr>
              <w:jc w:val="right"/>
              <w:ind w:right="36"/>
              <w:spacing w:after="0"/>
              <w:rPr>
                <w:sz w:val="20"/>
                <w:szCs w:val="20"/>
                <w:color w:val="auto"/>
              </w:rPr>
            </w:pPr>
            <w:r>
              <w:rPr>
                <w:rFonts w:ascii="Arial" w:cs="Arial" w:eastAsia="Arial" w:hAnsi="Arial"/>
                <w:sz w:val="13"/>
                <w:szCs w:val="13"/>
                <w:color w:val="auto"/>
              </w:rPr>
              <w:t>2,625,635</w:t>
            </w:r>
          </w:p>
        </w:tc>
        <w:tc>
          <w:tcPr>
            <w:tcW w:w="1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6.9 %</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NGL revenues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2,449,359</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2,620,110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(170,751)</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89"/>
        </w:trPr>
        <w:tc>
          <w:tcPr>
            <w:tcW w:w="20" w:type="dxa"/>
            <w:vAlign w:val="bottom"/>
          </w:tcPr>
          <w:p>
            <w:pPr>
              <w:spacing w:after="0"/>
              <w:rPr>
                <w:sz w:val="16"/>
                <w:szCs w:val="16"/>
                <w:color w:val="auto"/>
              </w:rPr>
            </w:pPr>
          </w:p>
        </w:tc>
        <w:tc>
          <w:tcPr>
            <w:tcW w:w="5460" w:type="dxa"/>
            <w:vAlign w:val="bottom"/>
            <w:gridSpan w:val="2"/>
          </w:tcPr>
          <w:p>
            <w:pPr>
              <w:ind w:left="60"/>
              <w:spacing w:after="0"/>
              <w:rPr>
                <w:sz w:val="20"/>
                <w:szCs w:val="20"/>
                <w:color w:val="auto"/>
              </w:rPr>
            </w:pPr>
            <w:r>
              <w:rPr>
                <w:rFonts w:ascii="Arial" w:cs="Arial" w:eastAsia="Arial" w:hAnsi="Arial"/>
                <w:sz w:val="13"/>
                <w:szCs w:val="13"/>
                <w:color w:val="auto"/>
              </w:rPr>
              <w:t>Natural gas revenues</w:t>
            </w:r>
          </w:p>
        </w:tc>
        <w:tc>
          <w:tcPr>
            <w:tcW w:w="34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1,210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1,210</w:t>
            </w:r>
          </w:p>
        </w:tc>
        <w:tc>
          <w:tcPr>
            <w:tcW w:w="1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n.m.</w:t>
            </w:r>
          </w:p>
        </w:tc>
      </w:tr>
      <w:tr>
        <w:trPr>
          <w:trHeight w:val="27"/>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 revenues</w:t>
            </w: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43,229,621</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40,773,527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2,456,094</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6.0 %</w:t>
            </w: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Crude oil volumes (Bbl)</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626,879</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651,931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(25,052)</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89"/>
        </w:trPr>
        <w:tc>
          <w:tcPr>
            <w:tcW w:w="20" w:type="dxa"/>
            <w:vAlign w:val="bottom"/>
          </w:tcPr>
          <w:p>
            <w:pPr>
              <w:spacing w:after="0"/>
              <w:rPr>
                <w:sz w:val="16"/>
                <w:szCs w:val="16"/>
                <w:color w:val="auto"/>
              </w:rPr>
            </w:pPr>
          </w:p>
        </w:tc>
        <w:tc>
          <w:tcPr>
            <w:tcW w:w="5460" w:type="dxa"/>
            <w:vAlign w:val="bottom"/>
            <w:gridSpan w:val="2"/>
          </w:tcPr>
          <w:p>
            <w:pPr>
              <w:ind w:left="60"/>
              <w:spacing w:after="0"/>
              <w:rPr>
                <w:sz w:val="20"/>
                <w:szCs w:val="20"/>
                <w:color w:val="auto"/>
              </w:rPr>
            </w:pPr>
            <w:r>
              <w:rPr>
                <w:rFonts w:ascii="Arial" w:cs="Arial" w:eastAsia="Arial" w:hAnsi="Arial"/>
                <w:sz w:val="13"/>
                <w:szCs w:val="13"/>
                <w:color w:val="auto"/>
              </w:rPr>
              <w:t>NGL volumes (Bbl)</w:t>
            </w:r>
          </w:p>
        </w:tc>
        <w:tc>
          <w:tcPr>
            <w:tcW w:w="34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112,013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93,366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18,647</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20.0 %</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Natural gas volumes (Mcf)</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459</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459</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3"/>
                <w:szCs w:val="13"/>
                <w:color w:val="auto"/>
              </w:rPr>
              <w:t>n.m.</w:t>
            </w:r>
          </w:p>
        </w:tc>
      </w:tr>
      <w:tr>
        <w:trPr>
          <w:trHeight w:val="169"/>
        </w:trPr>
        <w:tc>
          <w:tcPr>
            <w:tcW w:w="20" w:type="dxa"/>
            <w:vAlign w:val="bottom"/>
          </w:tcPr>
          <w:p>
            <w:pPr>
              <w:spacing w:after="0"/>
              <w:rPr>
                <w:sz w:val="14"/>
                <w:szCs w:val="14"/>
                <w:color w:val="auto"/>
              </w:rPr>
            </w:pPr>
          </w:p>
        </w:tc>
        <w:tc>
          <w:tcPr>
            <w:tcW w:w="5460" w:type="dxa"/>
            <w:vAlign w:val="bottom"/>
            <w:gridSpan w:val="2"/>
          </w:tcPr>
          <w:p>
            <w:pPr>
              <w:ind w:left="100"/>
              <w:spacing w:after="0"/>
              <w:rPr>
                <w:sz w:val="20"/>
                <w:szCs w:val="20"/>
                <w:color w:val="auto"/>
              </w:rPr>
            </w:pPr>
            <w:r>
              <w:rPr>
                <w:rFonts w:ascii="Arial" w:cs="Arial" w:eastAsia="Arial" w:hAnsi="Arial"/>
                <w:sz w:val="13"/>
                <w:szCs w:val="13"/>
                <w:color w:val="auto"/>
              </w:rPr>
              <w:t>Equivalent volumes (BOE)</w:t>
            </w: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738,968</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745,297</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(6,329)</w:t>
            </w:r>
          </w:p>
        </w:tc>
        <w:tc>
          <w:tcPr>
            <w:tcW w:w="120" w:type="dxa"/>
            <w:vAlign w:val="bottom"/>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(0.8)%</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9"/>
        </w:trPr>
        <w:tc>
          <w:tcPr>
            <w:tcW w:w="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4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460" w:type="dxa"/>
            <w:vAlign w:val="bottom"/>
            <w:gridSpan w:val="2"/>
          </w:tcPr>
          <w:p>
            <w:pPr>
              <w:ind w:left="60"/>
              <w:spacing w:after="0"/>
              <w:rPr>
                <w:sz w:val="20"/>
                <w:szCs w:val="20"/>
                <w:color w:val="auto"/>
              </w:rPr>
            </w:pPr>
            <w:r>
              <w:rPr>
                <w:rFonts w:ascii="Arial" w:cs="Arial" w:eastAsia="Arial" w:hAnsi="Arial"/>
                <w:sz w:val="13"/>
                <w:szCs w:val="13"/>
                <w:color w:val="auto"/>
              </w:rPr>
              <w:t>Crude oil (BOPD, net)</w:t>
            </w:r>
          </w:p>
        </w:tc>
        <w:tc>
          <w:tcPr>
            <w:tcW w:w="34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1,717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1,786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NGLs (BOEPD, net)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307</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256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19.9 %</w:t>
            </w:r>
          </w:p>
        </w:tc>
      </w:tr>
      <w:tr>
        <w:trPr>
          <w:trHeight w:val="189"/>
        </w:trPr>
        <w:tc>
          <w:tcPr>
            <w:tcW w:w="20" w:type="dxa"/>
            <w:vAlign w:val="bottom"/>
          </w:tcPr>
          <w:p>
            <w:pPr>
              <w:spacing w:after="0"/>
              <w:rPr>
                <w:sz w:val="16"/>
                <w:szCs w:val="16"/>
                <w:color w:val="auto"/>
              </w:rPr>
            </w:pPr>
          </w:p>
        </w:tc>
        <w:tc>
          <w:tcPr>
            <w:tcW w:w="5460" w:type="dxa"/>
            <w:vAlign w:val="bottom"/>
            <w:gridSpan w:val="2"/>
          </w:tcPr>
          <w:p>
            <w:pPr>
              <w:ind w:left="60"/>
              <w:spacing w:after="0"/>
              <w:rPr>
                <w:sz w:val="20"/>
                <w:szCs w:val="20"/>
                <w:color w:val="auto"/>
              </w:rPr>
            </w:pPr>
            <w:r>
              <w:rPr>
                <w:rFonts w:ascii="Arial" w:cs="Arial" w:eastAsia="Arial" w:hAnsi="Arial"/>
                <w:sz w:val="13"/>
                <w:szCs w:val="13"/>
                <w:color w:val="auto"/>
              </w:rPr>
              <w:t>Natural gas (BOEPD, net)</w:t>
            </w:r>
          </w:p>
        </w:tc>
        <w:tc>
          <w:tcPr>
            <w:tcW w:w="34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1300" w:type="dxa"/>
            <w:vAlign w:val="bottom"/>
          </w:tcPr>
          <w:p>
            <w:pPr>
              <w:jc w:val="right"/>
              <w:ind w:right="116"/>
              <w:spacing w:after="0"/>
              <w:rPr>
                <w:sz w:val="20"/>
                <w:szCs w:val="20"/>
                <w:color w:val="auto"/>
              </w:rPr>
            </w:pPr>
            <w:r>
              <w:rPr>
                <w:rFonts w:ascii="Arial" w:cs="Arial" w:eastAsia="Arial" w:hAnsi="Arial"/>
                <w:sz w:val="13"/>
                <w:szCs w:val="13"/>
                <w:color w:val="auto"/>
              </w:rPr>
              <w:t>n.m</w:t>
            </w:r>
          </w:p>
        </w:tc>
      </w:tr>
      <w:tr>
        <w:trPr>
          <w:trHeight w:val="27"/>
        </w:trPr>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Equivalent volumes (BOEPD, net)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2,025</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2,042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(0.8)%</w:t>
            </w:r>
          </w:p>
        </w:tc>
      </w:tr>
      <w:tr>
        <w:trPr>
          <w:trHeight w:val="259"/>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Crude oil price per Bbl</w:t>
            </w:r>
          </w:p>
        </w:tc>
        <w:tc>
          <w:tcPr>
            <w:tcW w:w="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65.05</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58.52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6.53</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11.2 %</w:t>
            </w:r>
          </w:p>
        </w:tc>
      </w:tr>
      <w:tr>
        <w:trPr>
          <w:trHeight w:val="189"/>
        </w:trPr>
        <w:tc>
          <w:tcPr>
            <w:tcW w:w="20" w:type="dxa"/>
            <w:vAlign w:val="bottom"/>
          </w:tcPr>
          <w:p>
            <w:pPr>
              <w:spacing w:after="0"/>
              <w:rPr>
                <w:sz w:val="16"/>
                <w:szCs w:val="16"/>
                <w:color w:val="auto"/>
              </w:rPr>
            </w:pPr>
          </w:p>
        </w:tc>
        <w:tc>
          <w:tcPr>
            <w:tcW w:w="5460" w:type="dxa"/>
            <w:vAlign w:val="bottom"/>
            <w:gridSpan w:val="2"/>
          </w:tcPr>
          <w:p>
            <w:pPr>
              <w:ind w:left="60"/>
              <w:spacing w:after="0"/>
              <w:rPr>
                <w:sz w:val="20"/>
                <w:szCs w:val="20"/>
                <w:color w:val="auto"/>
              </w:rPr>
            </w:pPr>
            <w:r>
              <w:rPr>
                <w:rFonts w:ascii="Arial" w:cs="Arial" w:eastAsia="Arial" w:hAnsi="Arial"/>
                <w:sz w:val="13"/>
                <w:szCs w:val="13"/>
                <w:color w:val="auto"/>
              </w:rPr>
              <w:t>NGL price per Bbl</w:t>
            </w:r>
          </w:p>
        </w:tc>
        <w:tc>
          <w:tcPr>
            <w:tcW w:w="34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21.87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28.06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(6.19)</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(22.1)%</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3"/>
                <w:szCs w:val="13"/>
                <w:color w:val="auto"/>
              </w:rPr>
              <w:t>Natural gas price per Mcf</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2.64</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20" w:type="dxa"/>
            <w:vAlign w:val="bottom"/>
          </w:tcPr>
          <w:p>
            <w:pPr>
              <w:spacing w:after="0"/>
              <w:rPr>
                <w:sz w:val="14"/>
                <w:szCs w:val="14"/>
                <w:color w:val="auto"/>
              </w:rPr>
            </w:pPr>
          </w:p>
        </w:tc>
        <w:tc>
          <w:tcPr>
            <w:tcW w:w="5460" w:type="dxa"/>
            <w:vAlign w:val="bottom"/>
            <w:gridSpan w:val="2"/>
          </w:tcPr>
          <w:p>
            <w:pPr>
              <w:ind w:left="100"/>
              <w:spacing w:after="0"/>
              <w:rPr>
                <w:sz w:val="20"/>
                <w:szCs w:val="20"/>
                <w:color w:val="auto"/>
              </w:rPr>
            </w:pPr>
            <w:r>
              <w:rPr>
                <w:rFonts w:ascii="Arial" w:cs="Arial" w:eastAsia="Arial" w:hAnsi="Arial"/>
                <w:sz w:val="13"/>
                <w:szCs w:val="13"/>
                <w:color w:val="auto"/>
              </w:rPr>
              <w:t>Equivalent price per BOE</w:t>
            </w:r>
          </w:p>
        </w:tc>
        <w:tc>
          <w:tcPr>
            <w:tcW w:w="340" w:type="dxa"/>
            <w:vAlign w:val="bottom"/>
            <w:tcBorders>
              <w:top w:val="single" w:sz="8" w:color="auto"/>
            </w:tcBorders>
          </w:tcPr>
          <w:p>
            <w:pPr>
              <w:jc w:val="right"/>
              <w:ind w:right="195"/>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58.50</w:t>
            </w:r>
          </w:p>
        </w:tc>
        <w:tc>
          <w:tcPr>
            <w:tcW w:w="100" w:type="dxa"/>
            <w:vAlign w:val="bottom"/>
          </w:tcPr>
          <w:p>
            <w:pPr>
              <w:spacing w:after="0"/>
              <w:rPr>
                <w:sz w:val="14"/>
                <w:szCs w:val="14"/>
                <w:color w:val="auto"/>
              </w:rPr>
            </w:pPr>
          </w:p>
        </w:tc>
        <w:tc>
          <w:tcPr>
            <w:tcW w:w="540" w:type="dxa"/>
            <w:vAlign w:val="bottom"/>
            <w:tcBorders>
              <w:top w:val="single" w:sz="8" w:color="auto"/>
            </w:tcBorders>
          </w:tcPr>
          <w:p>
            <w:pPr>
              <w:jc w:val="right"/>
              <w:ind w:right="39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54.71</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3.79</w:t>
            </w:r>
          </w:p>
        </w:tc>
        <w:tc>
          <w:tcPr>
            <w:tcW w:w="120" w:type="dxa"/>
            <w:vAlign w:val="bottom"/>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6.9 %</w:t>
            </w:r>
          </w:p>
        </w:tc>
      </w:tr>
    </w:tbl>
    <w:p>
      <w:pPr>
        <w:spacing w:after="0" w:line="10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n. m. Not meaningful.</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Production Costs</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$2.6 million increase in production costs was due to a 41% increase in CO</w:t>
      </w:r>
      <w:r>
        <w:rPr>
          <w:rFonts w:ascii="Arial" w:cs="Arial" w:eastAsia="Arial" w:hAnsi="Arial"/>
          <w:sz w:val="10"/>
          <w:szCs w:val="10"/>
          <w:color w:val="auto"/>
        </w:rPr>
        <w:t>2</w:t>
      </w:r>
      <w:r>
        <w:rPr>
          <w:rFonts w:ascii="Arial" w:cs="Arial" w:eastAsia="Arial" w:hAnsi="Arial"/>
          <w:sz w:val="14"/>
          <w:szCs w:val="14"/>
          <w:color w:val="auto"/>
        </w:rPr>
        <w:t xml:space="preserve"> costs together with 9% higher other production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1"/>
                <w:szCs w:val="11"/>
                <w:b w:val="1"/>
                <w:bCs w:val="1"/>
                <w:color w:val="auto"/>
              </w:rPr>
              <w:t>Years Ended June 30,</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77"/>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ind w:right="576"/>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b w:val="1"/>
                <w:bCs w:val="1"/>
                <w:color w:val="auto"/>
              </w:rPr>
              <w:t>Variance</w:t>
            </w:r>
          </w:p>
        </w:tc>
        <w:tc>
          <w:tcPr>
            <w:tcW w:w="1160" w:type="dxa"/>
            <w:vAlign w:val="bottom"/>
          </w:tcPr>
          <w:p>
            <w:pPr>
              <w:jc w:val="right"/>
              <w:ind w:right="216"/>
              <w:spacing w:after="0"/>
              <w:rPr>
                <w:sz w:val="20"/>
                <w:szCs w:val="20"/>
                <w:color w:val="auto"/>
              </w:rPr>
            </w:pPr>
            <w:r>
              <w:rPr>
                <w:rFonts w:ascii="Arial" w:cs="Arial" w:eastAsia="Arial" w:hAnsi="Arial"/>
                <w:sz w:val="11"/>
                <w:szCs w:val="11"/>
                <w:b w:val="1"/>
                <w:bCs w:val="1"/>
                <w:color w:val="auto"/>
              </w:rPr>
              <w:t>Variance %</w:t>
            </w: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w:t>
            </w:r>
            <w:r>
              <w:rPr>
                <w:rFonts w:ascii="Arial" w:cs="Arial" w:eastAsia="Arial" w:hAnsi="Arial"/>
                <w:sz w:val="17"/>
                <w:szCs w:val="17"/>
                <w:color w:val="auto"/>
                <w:vertAlign w:val="subscript"/>
              </w:rPr>
              <w:t>2</w:t>
            </w:r>
            <w:r>
              <w:rPr>
                <w:rFonts w:ascii="Arial" w:cs="Arial" w:eastAsia="Arial" w:hAnsi="Arial"/>
                <w:sz w:val="13"/>
                <w:szCs w:val="13"/>
                <w:color w:val="auto"/>
              </w:rPr>
              <w:t xml:space="preserve"> costs (a)</w:t>
            </w:r>
          </w:p>
        </w:tc>
        <w:tc>
          <w:tcPr>
            <w:tcW w:w="36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6,674,905</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4,729,506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1,945,399</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41.1%</w:t>
            </w: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Other production costs</w:t>
            </w:r>
          </w:p>
        </w:tc>
        <w:tc>
          <w:tcPr>
            <w:tcW w:w="360" w:type="dxa"/>
            <w:vAlign w:val="bottom"/>
          </w:tcPr>
          <w:p>
            <w:pPr>
              <w:spacing w:after="0"/>
              <w:rPr>
                <w:sz w:val="16"/>
                <w:szCs w:val="16"/>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7,591,879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6,956,311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635,568</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Total production costs</w:t>
            </w:r>
          </w:p>
        </w:tc>
        <w:tc>
          <w:tcPr>
            <w:tcW w:w="43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14,266,784</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11,685,817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2,580,967</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w:t>
            </w:r>
          </w:p>
        </w:tc>
      </w:tr>
      <w:tr>
        <w:trPr>
          <w:trHeight w:val="259"/>
        </w:trPr>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w:t>
            </w:r>
            <w:r>
              <w:rPr>
                <w:rFonts w:ascii="Arial" w:cs="Arial" w:eastAsia="Arial" w:hAnsi="Arial"/>
                <w:sz w:val="17"/>
                <w:szCs w:val="17"/>
                <w:color w:val="auto"/>
                <w:vertAlign w:val="subscript"/>
              </w:rPr>
              <w:t>2</w:t>
            </w:r>
            <w:r>
              <w:rPr>
                <w:rFonts w:ascii="Arial" w:cs="Arial" w:eastAsia="Arial" w:hAnsi="Arial"/>
                <w:sz w:val="13"/>
                <w:szCs w:val="13"/>
                <w:color w:val="auto"/>
              </w:rPr>
              <w:t xml:space="preserve"> costs per BOE</w:t>
            </w:r>
          </w:p>
        </w:tc>
        <w:tc>
          <w:tcPr>
            <w:tcW w:w="36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1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w:t>
            </w:r>
          </w:p>
        </w:tc>
      </w:tr>
      <w:tr>
        <w:trPr>
          <w:trHeight w:val="189"/>
        </w:trPr>
        <w:tc>
          <w:tcPr>
            <w:tcW w:w="2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3"/>
                <w:szCs w:val="13"/>
                <w:color w:val="auto"/>
              </w:rPr>
              <w:t>All other production costs per BOE</w:t>
            </w:r>
          </w:p>
        </w:tc>
        <w:tc>
          <w:tcPr>
            <w:tcW w:w="360" w:type="dxa"/>
            <w:vAlign w:val="bottom"/>
          </w:tcPr>
          <w:p>
            <w:pPr>
              <w:spacing w:after="0"/>
              <w:rPr>
                <w:sz w:val="16"/>
                <w:szCs w:val="16"/>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10.28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9.33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0.95</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10.2%</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3"/>
        </w:trPr>
        <w:tc>
          <w:tcPr>
            <w:tcW w:w="20" w:type="dxa"/>
            <w:vAlign w:val="bottom"/>
          </w:tcPr>
          <w:p>
            <w:pPr>
              <w:spacing w:after="0"/>
              <w:rPr>
                <w:sz w:val="14"/>
                <w:szCs w:val="14"/>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Production costs per BOE</w:t>
            </w:r>
          </w:p>
        </w:tc>
        <w:tc>
          <w:tcPr>
            <w:tcW w:w="4360" w:type="dxa"/>
            <w:vAlign w:val="bottom"/>
          </w:tcPr>
          <w:p>
            <w:pPr>
              <w:spacing w:after="0"/>
              <w:rPr>
                <w:sz w:val="14"/>
                <w:szCs w:val="14"/>
                <w:color w:val="auto"/>
              </w:rPr>
            </w:pPr>
          </w:p>
        </w:tc>
        <w:tc>
          <w:tcPr>
            <w:tcW w:w="360" w:type="dxa"/>
            <w:vAlign w:val="bottom"/>
          </w:tcPr>
          <w:p>
            <w:pPr>
              <w:jc w:val="right"/>
              <w:ind w:right="215"/>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19.31</w:t>
            </w:r>
          </w:p>
        </w:tc>
        <w:tc>
          <w:tcPr>
            <w:tcW w:w="120" w:type="dxa"/>
            <w:vAlign w:val="bottom"/>
          </w:tcPr>
          <w:p>
            <w:pPr>
              <w:spacing w:after="0"/>
              <w:rPr>
                <w:sz w:val="14"/>
                <w:szCs w:val="14"/>
                <w:color w:val="auto"/>
              </w:rPr>
            </w:pPr>
          </w:p>
        </w:tc>
        <w:tc>
          <w:tcPr>
            <w:tcW w:w="560" w:type="dxa"/>
            <w:vAlign w:val="bottom"/>
          </w:tcPr>
          <w:p>
            <w:pPr>
              <w:jc w:val="right"/>
              <w:ind w:right="41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15.68</w:t>
            </w:r>
          </w:p>
        </w:tc>
        <w:tc>
          <w:tcPr>
            <w:tcW w:w="100" w:type="dxa"/>
            <w:vAlign w:val="bottom"/>
          </w:tcPr>
          <w:p>
            <w:pPr>
              <w:spacing w:after="0"/>
              <w:rPr>
                <w:sz w:val="14"/>
                <w:szCs w:val="14"/>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2745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ind w:left="200" w:right="200"/>
        <w:spacing w:after="0" w:line="283" w:lineRule="auto"/>
        <w:tabs>
          <w:tab w:leader="none" w:pos="356" w:val="left"/>
        </w:tabs>
        <w:numPr>
          <w:ilvl w:val="0"/>
          <w:numId w:val="24"/>
        </w:numPr>
        <w:rPr>
          <w:rFonts w:ascii="Arial" w:cs="Arial" w:eastAsia="Arial" w:hAnsi="Arial"/>
          <w:sz w:val="11"/>
          <w:szCs w:val="11"/>
          <w:color w:val="auto"/>
        </w:rPr>
      </w:pPr>
      <w:r>
        <w:rPr>
          <w:rFonts w:ascii="Arial" w:cs="Arial" w:eastAsia="Arial" w:hAnsi="Arial"/>
          <w:sz w:val="11"/>
          <w:szCs w:val="11"/>
          <w:color w:val="auto"/>
        </w:rPr>
        <w:t>Under our contract with the operator, purchased CO</w:t>
      </w:r>
      <w:r>
        <w:rPr>
          <w:rFonts w:ascii="Arial" w:cs="Arial" w:eastAsia="Arial" w:hAnsi="Arial"/>
          <w:sz w:val="7"/>
          <w:szCs w:val="7"/>
          <w:color w:val="auto"/>
        </w:rPr>
        <w:t>2</w:t>
      </w:r>
      <w:r>
        <w:rPr>
          <w:rFonts w:ascii="Arial" w:cs="Arial" w:eastAsia="Arial" w:hAnsi="Arial"/>
          <w:sz w:val="11"/>
          <w:szCs w:val="11"/>
          <w:color w:val="auto"/>
        </w:rPr>
        <w:t xml:space="preserve"> is priced at 1% of the realized oil price in the field per Mcf, plus sales taxes of approximately 8.5% and transportation costs of $0.20 per mcf. Transportation costs will decline effective January 1, 2020 as per contract terms.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60"/>
          </w:cols>
          <w:pgMar w:left="220" w:top="129" w:right="2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1"/>
                <w:szCs w:val="11"/>
                <w:b w:val="1"/>
                <w:bCs w:val="1"/>
                <w:color w:val="auto"/>
                <w:w w:val="93"/>
              </w:rPr>
              <w:t>Years Ended June 30,</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6"/>
        </w:trPr>
        <w:tc>
          <w:tcPr>
            <w:tcW w:w="6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2019</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1"/>
                <w:szCs w:val="11"/>
                <w:b w:val="1"/>
                <w:bCs w:val="1"/>
                <w:color w:val="auto"/>
              </w:rPr>
              <w:t>2018</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Variance</w:t>
            </w:r>
          </w:p>
        </w:tc>
        <w:tc>
          <w:tcPr>
            <w:tcW w:w="1040" w:type="dxa"/>
            <w:vAlign w:val="bottom"/>
          </w:tcPr>
          <w:p>
            <w:pPr>
              <w:jc w:val="right"/>
              <w:ind w:right="178"/>
              <w:spacing w:after="0"/>
              <w:rPr>
                <w:sz w:val="20"/>
                <w:szCs w:val="20"/>
                <w:color w:val="auto"/>
              </w:rPr>
            </w:pPr>
            <w:r>
              <w:rPr>
                <w:rFonts w:ascii="Arial" w:cs="Arial" w:eastAsia="Arial" w:hAnsi="Arial"/>
                <w:sz w:val="11"/>
                <w:szCs w:val="11"/>
                <w:b w:val="1"/>
                <w:bCs w:val="1"/>
                <w:color w:val="auto"/>
              </w:rPr>
              <w:t>Variance %</w:t>
            </w:r>
          </w:p>
        </w:tc>
      </w:tr>
      <w:tr>
        <w:trPr>
          <w:trHeight w:val="20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w:t>
            </w:r>
            <w:r>
              <w:rPr>
                <w:rFonts w:ascii="Arial" w:cs="Arial" w:eastAsia="Arial" w:hAnsi="Arial"/>
                <w:sz w:val="17"/>
                <w:szCs w:val="17"/>
                <w:color w:val="auto"/>
                <w:vertAlign w:val="subscript"/>
              </w:rPr>
              <w:t>2</w:t>
            </w:r>
            <w:r>
              <w:rPr>
                <w:rFonts w:ascii="Arial" w:cs="Arial" w:eastAsia="Arial" w:hAnsi="Arial"/>
                <w:sz w:val="13"/>
                <w:szCs w:val="13"/>
                <w:color w:val="auto"/>
              </w:rPr>
              <w:t xml:space="preserve"> costs per mcf</w:t>
            </w:r>
          </w:p>
        </w:tc>
        <w:tc>
          <w:tcPr>
            <w:tcW w:w="78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0.90</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0.83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0.07</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224"/>
        </w:trPr>
        <w:tc>
          <w:tcPr>
            <w:tcW w:w="6540" w:type="dxa"/>
            <w:vAlign w:val="bottom"/>
          </w:tcPr>
          <w:p>
            <w:pPr>
              <w:ind w:left="20"/>
              <w:spacing w:after="0"/>
              <w:rPr>
                <w:sz w:val="20"/>
                <w:szCs w:val="20"/>
                <w:color w:val="auto"/>
              </w:rPr>
            </w:pPr>
            <w:r>
              <w:rPr>
                <w:rFonts w:ascii="Arial" w:cs="Arial" w:eastAsia="Arial" w:hAnsi="Arial"/>
                <w:sz w:val="13"/>
                <w:szCs w:val="13"/>
                <w:color w:val="auto"/>
              </w:rPr>
              <w:t>CO</w:t>
            </w:r>
            <w:r>
              <w:rPr>
                <w:rFonts w:ascii="Arial" w:cs="Arial" w:eastAsia="Arial" w:hAnsi="Arial"/>
                <w:sz w:val="17"/>
                <w:szCs w:val="17"/>
                <w:color w:val="auto"/>
                <w:vertAlign w:val="subscript"/>
              </w:rPr>
              <w:t>2</w:t>
            </w:r>
            <w:r>
              <w:rPr>
                <w:rFonts w:ascii="Arial" w:cs="Arial" w:eastAsia="Arial" w:hAnsi="Arial"/>
                <w:sz w:val="13"/>
                <w:szCs w:val="13"/>
                <w:color w:val="auto"/>
              </w:rPr>
              <w:t xml:space="preserve"> volumes (MMcf per day, gross)</w:t>
            </w:r>
          </w:p>
        </w:tc>
        <w:tc>
          <w:tcPr>
            <w:tcW w:w="780" w:type="dxa"/>
            <w:vAlign w:val="bottom"/>
          </w:tcPr>
          <w:p>
            <w:pPr>
              <w:spacing w:after="0"/>
              <w:rPr>
                <w:sz w:val="19"/>
                <w:szCs w:val="19"/>
                <w:color w:val="auto"/>
              </w:rPr>
            </w:pPr>
          </w:p>
        </w:tc>
        <w:tc>
          <w:tcPr>
            <w:tcW w:w="480" w:type="dxa"/>
            <w:vAlign w:val="bottom"/>
          </w:tcPr>
          <w:p>
            <w:pPr>
              <w:jc w:val="right"/>
              <w:ind w:right="38"/>
              <w:spacing w:after="0"/>
              <w:rPr>
                <w:sz w:val="20"/>
                <w:szCs w:val="20"/>
                <w:color w:val="auto"/>
              </w:rPr>
            </w:pPr>
            <w:r>
              <w:rPr>
                <w:rFonts w:ascii="Arial" w:cs="Arial" w:eastAsia="Arial" w:hAnsi="Arial"/>
                <w:sz w:val="13"/>
                <w:szCs w:val="13"/>
                <w:color w:val="auto"/>
              </w:rPr>
              <w:t>85.2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ind w:right="35"/>
              <w:spacing w:after="0"/>
              <w:rPr>
                <w:sz w:val="20"/>
                <w:szCs w:val="20"/>
                <w:color w:val="auto"/>
              </w:rPr>
            </w:pPr>
            <w:r>
              <w:rPr>
                <w:rFonts w:ascii="Arial" w:cs="Arial" w:eastAsia="Arial" w:hAnsi="Arial"/>
                <w:sz w:val="13"/>
                <w:szCs w:val="13"/>
                <w:color w:val="auto"/>
              </w:rPr>
              <w:t>65.0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31.1%</w:t>
            </w:r>
          </w:p>
        </w:tc>
      </w:tr>
    </w:tbl>
    <w:p>
      <w:pPr>
        <w:spacing w:after="0" w:line="89" w:lineRule="exact"/>
        <w:rPr>
          <w:sz w:val="20"/>
          <w:szCs w:val="20"/>
          <w:color w:val="auto"/>
        </w:rPr>
      </w:pPr>
    </w:p>
    <w:p>
      <w:pPr>
        <w:ind w:right="220"/>
        <w:spacing w:after="0" w:line="288" w:lineRule="auto"/>
        <w:rPr>
          <w:sz w:val="20"/>
          <w:szCs w:val="20"/>
          <w:color w:val="auto"/>
        </w:rPr>
      </w:pPr>
      <w:r>
        <w:rPr>
          <w:rFonts w:ascii="Arial" w:cs="Arial" w:eastAsia="Arial" w:hAnsi="Arial"/>
          <w:sz w:val="14"/>
          <w:szCs w:val="14"/>
          <w:color w:val="auto"/>
        </w:rPr>
        <w:t>The $1.9 million increase in CO</w:t>
      </w:r>
      <w:r>
        <w:rPr>
          <w:rFonts w:ascii="Arial" w:cs="Arial" w:eastAsia="Arial" w:hAnsi="Arial"/>
          <w:sz w:val="10"/>
          <w:szCs w:val="10"/>
          <w:color w:val="auto"/>
        </w:rPr>
        <w:t>2</w:t>
      </w:r>
      <w:r>
        <w:rPr>
          <w:rFonts w:ascii="Arial" w:cs="Arial" w:eastAsia="Arial" w:hAnsi="Arial"/>
          <w:sz w:val="14"/>
          <w:szCs w:val="14"/>
          <w:color w:val="auto"/>
        </w:rPr>
        <w:t xml:space="preserve"> costs was due to a 31% increase in purchased volumes together with a 8.4% increase in price per mcf reflecting the higher realized oil price. The increase in other production costs primarily consisted of higher costs of $0.3 million for fuel gas expense, $0.2 million for labor, and $0.1 million for chemicals.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Depletion, Depreciation and Amortization ("DD&amp;A")</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DD&amp;A expense was 2.5% higher compared to the same year-ago period principally due to a 3.4% higher oil and gas DD&amp;A rate as production volumes were virtually unchanged from fiscal</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Years Ended June 30,</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6"/>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77"/>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jc w:val="right"/>
              <w:ind w:right="476"/>
              <w:spacing w:after="0"/>
              <w:rPr>
                <w:sz w:val="20"/>
                <w:szCs w:val="20"/>
                <w:color w:val="auto"/>
              </w:rPr>
            </w:pPr>
            <w:r>
              <w:rPr>
                <w:rFonts w:ascii="Arial" w:cs="Arial" w:eastAsia="Arial" w:hAnsi="Arial"/>
                <w:sz w:val="11"/>
                <w:szCs w:val="11"/>
                <w:b w:val="1"/>
                <w:bCs w:val="1"/>
                <w:color w:val="auto"/>
                <w:w w:val="89"/>
              </w:rPr>
              <w:t>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1"/>
                <w:szCs w:val="11"/>
                <w:b w:val="1"/>
                <w:bCs w:val="1"/>
                <w:color w:val="auto"/>
              </w:rPr>
              <w:t>Variance</w:t>
            </w:r>
          </w:p>
        </w:tc>
        <w:tc>
          <w:tcPr>
            <w:tcW w:w="1240" w:type="dxa"/>
            <w:vAlign w:val="bottom"/>
          </w:tcPr>
          <w:p>
            <w:pPr>
              <w:jc w:val="right"/>
              <w:ind w:right="256"/>
              <w:spacing w:after="0"/>
              <w:rPr>
                <w:sz w:val="20"/>
                <w:szCs w:val="20"/>
                <w:color w:val="auto"/>
              </w:rPr>
            </w:pPr>
            <w:r>
              <w:rPr>
                <w:rFonts w:ascii="Arial" w:cs="Arial" w:eastAsia="Arial" w:hAnsi="Arial"/>
                <w:sz w:val="11"/>
                <w:szCs w:val="11"/>
                <w:b w:val="1"/>
                <w:bCs w:val="1"/>
                <w:color w:val="auto"/>
              </w:rPr>
              <w:t>Variance %</w:t>
            </w:r>
          </w:p>
        </w:tc>
      </w:tr>
      <w:tr>
        <w:trPr>
          <w:trHeight w:val="180"/>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DD&amp;A of proved oil and gas properties</w:t>
            </w:r>
          </w:p>
        </w:tc>
        <w:tc>
          <w:tcPr>
            <w:tcW w:w="32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6,122,515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5,980,307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142,208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2.4 %</w:t>
            </w:r>
          </w:p>
        </w:tc>
      </w:tr>
      <w:tr>
        <w:trPr>
          <w:trHeight w:val="189"/>
        </w:trPr>
        <w:tc>
          <w:tcPr>
            <w:tcW w:w="5500" w:type="dxa"/>
            <w:vAlign w:val="bottom"/>
          </w:tcPr>
          <w:p>
            <w:pPr>
              <w:ind w:left="20"/>
              <w:spacing w:after="0"/>
              <w:rPr>
                <w:sz w:val="20"/>
                <w:szCs w:val="20"/>
                <w:color w:val="auto"/>
              </w:rPr>
            </w:pPr>
            <w:r>
              <w:rPr>
                <w:rFonts w:ascii="Arial" w:cs="Arial" w:eastAsia="Arial" w:hAnsi="Arial"/>
                <w:sz w:val="13"/>
                <w:szCs w:val="13"/>
                <w:color w:val="auto"/>
              </w:rPr>
              <w:t>Depreciation of other property and equipment</w:t>
            </w:r>
          </w:p>
        </w:tc>
        <w:tc>
          <w:tcPr>
            <w:tcW w:w="3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15,498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18,127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(2,629)</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Amortization of intangibles</w:t>
            </w:r>
          </w:p>
        </w:tc>
        <w:tc>
          <w:tcPr>
            <w:tcW w:w="3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13,564</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13,564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89"/>
        </w:trPr>
        <w:tc>
          <w:tcPr>
            <w:tcW w:w="5500" w:type="dxa"/>
            <w:vAlign w:val="bottom"/>
          </w:tcPr>
          <w:p>
            <w:pPr>
              <w:ind w:left="20"/>
              <w:spacing w:after="0"/>
              <w:rPr>
                <w:sz w:val="20"/>
                <w:szCs w:val="20"/>
                <w:color w:val="auto"/>
              </w:rPr>
            </w:pPr>
            <w:r>
              <w:rPr>
                <w:rFonts w:ascii="Arial" w:cs="Arial" w:eastAsia="Arial" w:hAnsi="Arial"/>
                <w:sz w:val="13"/>
                <w:szCs w:val="13"/>
                <w:color w:val="auto"/>
              </w:rPr>
              <w:t>Accretion of asset retirement obligations</w:t>
            </w:r>
          </w:p>
        </w:tc>
        <w:tc>
          <w:tcPr>
            <w:tcW w:w="320" w:type="dxa"/>
            <w:vAlign w:val="bottom"/>
          </w:tcPr>
          <w:p>
            <w:pPr>
              <w:spacing w:after="0"/>
              <w:rPr>
                <w:sz w:val="16"/>
                <w:szCs w:val="16"/>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101,506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color w:val="auto"/>
              </w:rPr>
              <w:t>90,290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11,216</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12.4 %</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DD&amp;A</w:t>
            </w:r>
          </w:p>
        </w:tc>
        <w:tc>
          <w:tcPr>
            <w:tcW w:w="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6,253,083</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6,102,288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150,795</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2.5 %</w:t>
            </w:r>
          </w:p>
        </w:tc>
      </w:tr>
      <w:tr>
        <w:trPr>
          <w:trHeight w:val="259"/>
        </w:trPr>
        <w:tc>
          <w:tcPr>
            <w:tcW w:w="5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Oil and gas DD&amp;A rate per BOE</w:t>
            </w: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5"/>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0.27</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3.4 %</w:t>
            </w:r>
          </w:p>
        </w:tc>
      </w:tr>
      <w:tr>
        <w:trPr>
          <w:trHeight w:val="27"/>
        </w:trPr>
        <w:tc>
          <w:tcPr>
            <w:tcW w:w="5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and Administrative Expenses</w:t>
      </w:r>
    </w:p>
    <w:p>
      <w:pPr>
        <w:spacing w:after="0" w:line="231" w:lineRule="exact"/>
        <w:rPr>
          <w:sz w:val="20"/>
          <w:szCs w:val="20"/>
          <w:color w:val="auto"/>
        </w:rPr>
      </w:pPr>
    </w:p>
    <w:p>
      <w:pPr>
        <w:ind w:right="60" w:firstLine="388"/>
        <w:spacing w:after="0" w:line="267" w:lineRule="auto"/>
        <w:rPr>
          <w:sz w:val="20"/>
          <w:szCs w:val="20"/>
          <w:color w:val="auto"/>
        </w:rPr>
      </w:pPr>
      <w:r>
        <w:rPr>
          <w:rFonts w:ascii="Arial" w:cs="Arial" w:eastAsia="Arial" w:hAnsi="Arial"/>
          <w:sz w:val="14"/>
          <w:szCs w:val="14"/>
          <w:color w:val="auto"/>
        </w:rPr>
        <w:t>Expenses for the fiscal 2019 decreased $1.7 million, or 25.1%, to $5.1 million from the same year-ago period primarily due to higher fiscal 2018 expenses such as $0.8 million of higher consulting and legal costs for acquisition pursuits, $0.6 million of litigation expense, $0.5 million of non-cash stock compensation expense and $0.3 million of compensation costs associated with the retirement of the then Chief Executive Officer, partially offset by $0.3 million of increased Board expense for fiscal 2019 during the search for a new Chief Executive Officer and $0.2 million of related executive search fees.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Income and Expenses</w:t>
      </w:r>
    </w:p>
    <w:p>
      <w:pPr>
        <w:spacing w:after="0" w:line="231" w:lineRule="exact"/>
        <w:rPr>
          <w:sz w:val="20"/>
          <w:szCs w:val="20"/>
          <w:color w:val="auto"/>
        </w:rPr>
      </w:pPr>
    </w:p>
    <w:p>
      <w:pPr>
        <w:ind w:right="420" w:firstLine="388"/>
        <w:spacing w:after="0" w:line="288" w:lineRule="auto"/>
        <w:rPr>
          <w:sz w:val="20"/>
          <w:szCs w:val="20"/>
          <w:color w:val="auto"/>
        </w:rPr>
      </w:pPr>
      <w:r>
        <w:rPr>
          <w:rFonts w:ascii="Arial" w:cs="Arial" w:eastAsia="Arial" w:hAnsi="Arial"/>
          <w:sz w:val="14"/>
          <w:szCs w:val="14"/>
          <w:color w:val="auto"/>
        </w:rPr>
        <w:t>Other income and expense (net) increased due primarily to the $1.1 million breakup fee related to our Enduro stalking horse bid received during August 2018, plus higher earned interest income due to increasing interest rates in fiscal 2019.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Years Ended June 30,</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6"/>
        </w:trPr>
        <w:tc>
          <w:tcPr>
            <w:tcW w:w="55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w w:val="89"/>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1"/>
                <w:szCs w:val="11"/>
                <w:b w:val="1"/>
                <w:bCs w:val="1"/>
                <w:color w:val="auto"/>
              </w:rPr>
              <w:t>Variance</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37"/>
              <w:spacing w:after="0"/>
              <w:rPr>
                <w:sz w:val="20"/>
                <w:szCs w:val="20"/>
                <w:color w:val="auto"/>
              </w:rPr>
            </w:pPr>
            <w:r>
              <w:rPr>
                <w:rFonts w:ascii="Arial" w:cs="Arial" w:eastAsia="Arial" w:hAnsi="Arial"/>
                <w:sz w:val="11"/>
                <w:szCs w:val="11"/>
                <w:b w:val="1"/>
                <w:bCs w:val="1"/>
                <w:color w:val="auto"/>
              </w:rPr>
              <w:t>Variance %</w:t>
            </w:r>
          </w:p>
        </w:tc>
      </w:tr>
      <w:tr>
        <w:trPr>
          <w:trHeight w:val="18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Enduro transaction breakup fee</w:t>
            </w:r>
          </w:p>
        </w:tc>
        <w:tc>
          <w:tcPr>
            <w:tcW w:w="3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1,100,000</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1,100,000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n.m.</w:t>
            </w:r>
          </w:p>
        </w:tc>
      </w:tr>
      <w:tr>
        <w:trPr>
          <w:trHeight w:val="189"/>
        </w:trPr>
        <w:tc>
          <w:tcPr>
            <w:tcW w:w="5540" w:type="dxa"/>
            <w:vAlign w:val="bottom"/>
          </w:tcPr>
          <w:p>
            <w:pPr>
              <w:ind w:left="20"/>
              <w:spacing w:after="0"/>
              <w:rPr>
                <w:sz w:val="20"/>
                <w:szCs w:val="20"/>
                <w:color w:val="auto"/>
              </w:rPr>
            </w:pPr>
            <w:r>
              <w:rPr>
                <w:rFonts w:ascii="Arial" w:cs="Arial" w:eastAsia="Arial" w:hAnsi="Arial"/>
                <w:sz w:val="13"/>
                <w:szCs w:val="13"/>
                <w:color w:val="auto"/>
              </w:rPr>
              <w:t>Interest and other income</w:t>
            </w:r>
          </w:p>
        </w:tc>
        <w:tc>
          <w:tcPr>
            <w:tcW w:w="320" w:type="dxa"/>
            <w:vAlign w:val="bottom"/>
          </w:tcPr>
          <w:p>
            <w:pPr>
              <w:spacing w:after="0"/>
              <w:rPr>
                <w:sz w:val="16"/>
                <w:szCs w:val="16"/>
                <w:color w:val="auto"/>
              </w:rPr>
            </w:pPr>
          </w:p>
        </w:tc>
        <w:tc>
          <w:tcPr>
            <w:tcW w:w="980" w:type="dxa"/>
            <w:vAlign w:val="bottom"/>
          </w:tcPr>
          <w:p>
            <w:pPr>
              <w:jc w:val="right"/>
              <w:ind w:right="38"/>
              <w:spacing w:after="0"/>
              <w:rPr>
                <w:sz w:val="20"/>
                <w:szCs w:val="20"/>
                <w:color w:val="auto"/>
              </w:rPr>
            </w:pPr>
            <w:r>
              <w:rPr>
                <w:rFonts w:ascii="Arial" w:cs="Arial" w:eastAsia="Arial" w:hAnsi="Arial"/>
                <w:sz w:val="13"/>
                <w:szCs w:val="13"/>
                <w:color w:val="auto"/>
              </w:rPr>
              <w:t>239,150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85,654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153,496</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179.2%</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6"/>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(116,546)</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(110,780)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(5,766)</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169"/>
        </w:trPr>
        <w:tc>
          <w:tcPr>
            <w:tcW w:w="5540" w:type="dxa"/>
            <w:vAlign w:val="bottom"/>
          </w:tcPr>
          <w:p>
            <w:pPr>
              <w:ind w:left="20"/>
              <w:spacing w:after="0"/>
              <w:rPr>
                <w:sz w:val="20"/>
                <w:szCs w:val="20"/>
                <w:color w:val="auto"/>
              </w:rPr>
            </w:pPr>
            <w:r>
              <w:rPr>
                <w:rFonts w:ascii="Arial" w:cs="Arial" w:eastAsia="Arial" w:hAnsi="Arial"/>
                <w:sz w:val="13"/>
                <w:szCs w:val="13"/>
                <w:color w:val="auto"/>
              </w:rPr>
              <w:t>Total other income, net</w:t>
            </w:r>
          </w:p>
        </w:tc>
        <w:tc>
          <w:tcPr>
            <w:tcW w:w="320" w:type="dxa"/>
            <w:vAlign w:val="bottom"/>
            <w:tcBorders>
              <w:top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1,222,604</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right"/>
              <w:ind w:right="355"/>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(25,126)</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1,247,730</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n.m.</w:t>
            </w:r>
          </w:p>
        </w:tc>
      </w:tr>
      <w:tr>
        <w:trPr>
          <w:trHeight w:val="158"/>
        </w:trPr>
        <w:tc>
          <w:tcPr>
            <w:tcW w:w="5540" w:type="dxa"/>
            <w:vAlign w:val="bottom"/>
          </w:tcPr>
          <w:p>
            <w:pPr>
              <w:ind w:left="200"/>
              <w:spacing w:after="0"/>
              <w:rPr>
                <w:sz w:val="20"/>
                <w:szCs w:val="20"/>
                <w:color w:val="auto"/>
              </w:rPr>
            </w:pPr>
            <w:r>
              <w:rPr>
                <w:rFonts w:ascii="Arial" w:cs="Arial" w:eastAsia="Arial" w:hAnsi="Arial"/>
                <w:sz w:val="11"/>
                <w:szCs w:val="11"/>
                <w:color w:val="auto"/>
              </w:rPr>
              <w:t>n. m. Not meaningful.</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60"/>
          </w:cols>
          <w:pgMar w:left="220" w:top="129" w:right="21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w:t>
      </w:r>
    </w:p>
    <w:p>
      <w:pPr>
        <w:spacing w:after="0" w:line="123" w:lineRule="exact"/>
        <w:rPr>
          <w:sz w:val="20"/>
          <w:szCs w:val="20"/>
          <w:color w:val="auto"/>
        </w:rPr>
      </w:pPr>
    </w:p>
    <w:p>
      <w:pPr>
        <w:ind w:right="140" w:firstLine="388"/>
        <w:spacing w:after="0" w:line="272" w:lineRule="auto"/>
        <w:rPr>
          <w:sz w:val="20"/>
          <w:szCs w:val="20"/>
          <w:color w:val="auto"/>
        </w:rPr>
      </w:pPr>
      <w:r>
        <w:rPr>
          <w:rFonts w:ascii="Arial" w:cs="Arial" w:eastAsia="Arial" w:hAnsi="Arial"/>
          <w:sz w:val="14"/>
          <w:szCs w:val="14"/>
          <w:color w:val="auto"/>
        </w:rPr>
        <w:t>Net income available to common stockholders for the year ended June 30, 2019 decreased $4.2 million, or 22%, to $15.4 million compared to the prior year primarily due to a non-recurring prior year deferred tax credit of $6.0 million, partially offset by a $2.7 million, or 17% increase, in income before income taxes. This fiscal 2018 deferred tax benefit resulted from the revaluation of our deferred income tax liabilities at December 31, 2017 to reflect the lower federal statutory rate under the Tax Cut and Jobs Act.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Years Ended June 30,</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6"/>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78"/>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ind w:right="497"/>
              <w:spacing w:after="0"/>
              <w:rPr>
                <w:sz w:val="20"/>
                <w:szCs w:val="20"/>
                <w:color w:val="auto"/>
              </w:rPr>
            </w:pPr>
            <w:r>
              <w:rPr>
                <w:rFonts w:ascii="Arial" w:cs="Arial" w:eastAsia="Arial" w:hAnsi="Arial"/>
                <w:sz w:val="11"/>
                <w:szCs w:val="11"/>
                <w:b w:val="1"/>
                <w:bCs w:val="1"/>
                <w:color w:val="auto"/>
                <w:w w:val="97"/>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Variance</w:t>
            </w:r>
          </w:p>
        </w:tc>
        <w:tc>
          <w:tcPr>
            <w:tcW w:w="1140" w:type="dxa"/>
            <w:vAlign w:val="bottom"/>
          </w:tcPr>
          <w:p>
            <w:pPr>
              <w:jc w:val="right"/>
              <w:ind w:right="217"/>
              <w:spacing w:after="0"/>
              <w:rPr>
                <w:sz w:val="20"/>
                <w:szCs w:val="20"/>
                <w:color w:val="auto"/>
              </w:rPr>
            </w:pPr>
            <w:r>
              <w:rPr>
                <w:rFonts w:ascii="Arial" w:cs="Arial" w:eastAsia="Arial" w:hAnsi="Arial"/>
                <w:sz w:val="11"/>
                <w:szCs w:val="11"/>
                <w:b w:val="1"/>
                <w:bCs w:val="1"/>
                <w:color w:val="auto"/>
              </w:rPr>
              <w:t>Variance %</w:t>
            </w:r>
          </w:p>
        </w:tc>
      </w:tr>
      <w:tr>
        <w:trPr>
          <w:trHeight w:val="180"/>
        </w:trPr>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18,859,427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95"/>
              </w:rPr>
              <w:t>16,186,515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2,672,912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16.5 %</w:t>
            </w:r>
          </w:p>
        </w:tc>
      </w:tr>
      <w:tr>
        <w:trPr>
          <w:trHeight w:val="189"/>
        </w:trPr>
        <w:tc>
          <w:tcPr>
            <w:tcW w:w="5420" w:type="dxa"/>
            <w:vAlign w:val="bottom"/>
          </w:tcPr>
          <w:p>
            <w:pPr>
              <w:ind w:left="20"/>
              <w:spacing w:after="0"/>
              <w:rPr>
                <w:sz w:val="20"/>
                <w:szCs w:val="20"/>
                <w:color w:val="auto"/>
              </w:rPr>
            </w:pPr>
            <w:r>
              <w:rPr>
                <w:rFonts w:ascii="Arial" w:cs="Arial" w:eastAsia="Arial" w:hAnsi="Arial"/>
                <w:sz w:val="13"/>
                <w:szCs w:val="13"/>
                <w:color w:val="auto"/>
              </w:rPr>
              <w:t>Income tax provision (benefit)</w:t>
            </w:r>
          </w:p>
        </w:tc>
        <w:tc>
          <w:tcPr>
            <w:tcW w:w="320" w:type="dxa"/>
            <w:vAlign w:val="bottom"/>
          </w:tcPr>
          <w:p>
            <w:pPr>
              <w:spacing w:after="0"/>
              <w:rPr>
                <w:sz w:val="16"/>
                <w:szCs w:val="16"/>
                <w:color w:val="auto"/>
              </w:rPr>
            </w:pPr>
          </w:p>
        </w:tc>
        <w:tc>
          <w:tcPr>
            <w:tcW w:w="1000" w:type="dxa"/>
            <w:vAlign w:val="bottom"/>
          </w:tcPr>
          <w:p>
            <w:pPr>
              <w:jc w:val="right"/>
              <w:ind w:right="78"/>
              <w:spacing w:after="0"/>
              <w:rPr>
                <w:sz w:val="20"/>
                <w:szCs w:val="20"/>
                <w:color w:val="auto"/>
              </w:rPr>
            </w:pPr>
            <w:r>
              <w:rPr>
                <w:rFonts w:ascii="Arial" w:cs="Arial" w:eastAsia="Arial" w:hAnsi="Arial"/>
                <w:sz w:val="13"/>
                <w:szCs w:val="13"/>
                <w:color w:val="auto"/>
              </w:rPr>
              <w:t>3,482,361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w w:val="99"/>
              </w:rPr>
              <w:t>(3,431,969)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6,914,330</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(201.5)%</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6"/>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available to common stockholders</w:t>
            </w:r>
          </w:p>
        </w:tc>
        <w:tc>
          <w:tcPr>
            <w:tcW w:w="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3"/>
                <w:szCs w:val="13"/>
                <w:color w:val="auto"/>
              </w:rPr>
              <w:t>15,377,066</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w w:val="95"/>
              </w:rPr>
              <w:t>19,618,484</w:t>
            </w:r>
          </w:p>
        </w:tc>
        <w:tc>
          <w:tcPr>
            <w:tcW w:w="100" w:type="dxa"/>
            <w:vAlign w:val="bottom"/>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(4,241,418)</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178"/>
        </w:trPr>
        <w:tc>
          <w:tcPr>
            <w:tcW w:w="5420" w:type="dxa"/>
            <w:vAlign w:val="bottom"/>
          </w:tcPr>
          <w:p>
            <w:pPr>
              <w:ind w:left="20"/>
              <w:spacing w:after="0"/>
              <w:rPr>
                <w:sz w:val="20"/>
                <w:szCs w:val="20"/>
                <w:color w:val="auto"/>
              </w:rPr>
            </w:pPr>
            <w:r>
              <w:rPr>
                <w:rFonts w:ascii="Arial" w:cs="Arial" w:eastAsia="Arial" w:hAnsi="Arial"/>
                <w:sz w:val="13"/>
                <w:szCs w:val="13"/>
                <w:color w:val="auto"/>
              </w:rPr>
              <w:t>Income tax provision as a percentage of income before income taxes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307" w:lineRule="exact"/>
        <w:rPr>
          <w:sz w:val="20"/>
          <w:szCs w:val="20"/>
          <w:color w:val="auto"/>
        </w:rPr>
      </w:pPr>
    </w:p>
    <w:p>
      <w:pPr>
        <w:ind w:right="120" w:firstLine="388"/>
        <w:spacing w:after="0" w:line="267" w:lineRule="auto"/>
        <w:rPr>
          <w:sz w:val="20"/>
          <w:szCs w:val="20"/>
          <w:color w:val="auto"/>
        </w:rPr>
      </w:pPr>
      <w:r>
        <w:rPr>
          <w:rFonts w:ascii="Arial" w:cs="Arial" w:eastAsia="Arial" w:hAnsi="Arial"/>
          <w:sz w:val="14"/>
          <w:szCs w:val="14"/>
          <w:color w:val="auto"/>
        </w:rPr>
        <w:t>Excluding the effect of the $6.1 million tax benefit from income taxes for the nine months ended March 31, 2018, income tax as a percentage of income before income taxes would have been approximately 18%. For the years ended June 30, 2019 and 2018, our respective statutory federal tax rates were 21% and 27.55%, as we used a blended rate during our fiscal 2018 in which the Tax Cut and Jobs Act was enacted. The benefit of the lower statutory rate in the current year was partially offset by a decreased benefit from depletion in excess of basis as much of our depletion carryover had been utilized by June 30, 2018.</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Liquidity and Capital Resources</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At June 30, 2019, we had $31.6 million in cash and cash equivalents (and no restricted cash) and $27.7 million of cash, cash equivalents and restricted cash at June 30, 2018.</w:t>
      </w:r>
    </w:p>
    <w:p>
      <w:pPr>
        <w:spacing w:after="0" w:line="119" w:lineRule="exact"/>
        <w:rPr>
          <w:sz w:val="20"/>
          <w:szCs w:val="20"/>
          <w:color w:val="auto"/>
        </w:rPr>
      </w:pPr>
    </w:p>
    <w:p>
      <w:pPr>
        <w:ind w:right="240" w:firstLine="388"/>
        <w:spacing w:after="0" w:line="272" w:lineRule="auto"/>
        <w:rPr>
          <w:sz w:val="20"/>
          <w:szCs w:val="20"/>
          <w:color w:val="auto"/>
        </w:rPr>
      </w:pPr>
      <w:r>
        <w:rPr>
          <w:rFonts w:ascii="Arial" w:cs="Arial" w:eastAsia="Arial" w:hAnsi="Arial"/>
          <w:sz w:val="14"/>
          <w:szCs w:val="14"/>
          <w:color w:val="auto"/>
        </w:rPr>
        <w:t>In addition, we have a senior secured reserve-based credit facility (the "Facility") with a maximum capacity of $50 million. The Facility had $40 million of undrawn elected borrowing base availability on June 30, 2019. Under the Facility the borrowing base shall be determined semiannually as of May 15 and November 15. There have been no borrowings under the Facility, which matures on April 11, 2021, and it is secured by substantially all of the Company’s assets.</w:t>
      </w:r>
    </w:p>
    <w:p>
      <w:pPr>
        <w:spacing w:after="0" w:line="185" w:lineRule="exact"/>
        <w:rPr>
          <w:sz w:val="20"/>
          <w:szCs w:val="20"/>
          <w:color w:val="auto"/>
        </w:rPr>
      </w:pPr>
    </w:p>
    <w:p>
      <w:pPr>
        <w:ind w:right="280" w:firstLine="388"/>
        <w:spacing w:after="0" w:line="288" w:lineRule="auto"/>
        <w:rPr>
          <w:sz w:val="20"/>
          <w:szCs w:val="20"/>
          <w:color w:val="auto"/>
        </w:rPr>
      </w:pPr>
      <w:r>
        <w:rPr>
          <w:rFonts w:ascii="Arial" w:cs="Arial" w:eastAsia="Arial" w:hAnsi="Arial"/>
          <w:sz w:val="14"/>
          <w:szCs w:val="14"/>
          <w:color w:val="auto"/>
        </w:rPr>
        <w:t>During the current fiscal year, we amended the credit agreement to broaden the definition for Use of Proceeds to provide funds, limited to an amount not in excess of 25% of the borrowing base, for investments into cash flow generating assets complimentary to the production of oil and gas.</w:t>
      </w:r>
    </w:p>
    <w:p>
      <w:pPr>
        <w:spacing w:after="0" w:line="174" w:lineRule="exact"/>
        <w:rPr>
          <w:sz w:val="20"/>
          <w:szCs w:val="20"/>
          <w:color w:val="auto"/>
        </w:rPr>
      </w:pPr>
    </w:p>
    <w:p>
      <w:pPr>
        <w:ind w:right="200" w:firstLine="388"/>
        <w:spacing w:after="0" w:line="267" w:lineRule="auto"/>
        <w:rPr>
          <w:sz w:val="20"/>
          <w:szCs w:val="20"/>
          <w:color w:val="auto"/>
        </w:rPr>
      </w:pPr>
      <w:r>
        <w:rPr>
          <w:rFonts w:ascii="Arial" w:cs="Arial" w:eastAsia="Arial" w:hAnsi="Arial"/>
          <w:sz w:val="14"/>
          <w:szCs w:val="14"/>
          <w:color w:val="auto"/>
        </w:rPr>
        <w:t>Any future borrowings bear interest, at the Company's option, at either LIBOR plus 2.75% or the Prime Rate, as defined under the Facility, plus 1.0%. The Facility contains covenants that require the maintenance of (i) a total leverage ratio of not more than 3.0 to 1.0, (ii) a debt service coverage ratio of not less than 1.1 to 1.0 and (iii) a consolidated tangible net worth of not less than $50.0 million, each as defined in the Facility. The Facility also contains other customary affirmative and negative covenants and events of default. As of June 30, 2019, the Company was in compliance with all covenants contained in the Facility.</w:t>
      </w:r>
    </w:p>
    <w:p>
      <w:pPr>
        <w:spacing w:after="0" w:line="189" w:lineRule="exact"/>
        <w:rPr>
          <w:sz w:val="20"/>
          <w:szCs w:val="20"/>
          <w:color w:val="auto"/>
        </w:rPr>
      </w:pPr>
    </w:p>
    <w:p>
      <w:pPr>
        <w:ind w:firstLine="388"/>
        <w:spacing w:after="0" w:line="288" w:lineRule="auto"/>
        <w:rPr>
          <w:sz w:val="20"/>
          <w:szCs w:val="20"/>
          <w:color w:val="auto"/>
        </w:rPr>
      </w:pPr>
      <w:r>
        <w:rPr>
          <w:rFonts w:ascii="Arial" w:cs="Arial" w:eastAsia="Arial" w:hAnsi="Arial"/>
          <w:sz w:val="14"/>
          <w:szCs w:val="14"/>
          <w:color w:val="auto"/>
        </w:rPr>
        <w:t>During the year ended June 30, 2019, we funded our operations, capital expenditures and cash dividends with cash generated from operations resulting in an increase of $3.9 million in cash. As of June 30, 2019, our working capital was $32.4 million, an increase of $4.7 million over working capital of $27.7 million at June 30, 2018.</w:t>
      </w:r>
    </w:p>
    <w:p>
      <w:pPr>
        <w:spacing w:after="0" w:line="174" w:lineRule="exact"/>
        <w:rPr>
          <w:sz w:val="20"/>
          <w:szCs w:val="20"/>
          <w:color w:val="auto"/>
        </w:rPr>
      </w:pPr>
    </w:p>
    <w:p>
      <w:pPr>
        <w:ind w:firstLine="388"/>
        <w:spacing w:after="0" w:line="302" w:lineRule="auto"/>
        <w:rPr>
          <w:sz w:val="20"/>
          <w:szCs w:val="20"/>
          <w:color w:val="auto"/>
        </w:rPr>
      </w:pPr>
      <w:r>
        <w:rPr>
          <w:rFonts w:ascii="Arial" w:cs="Arial" w:eastAsia="Arial" w:hAnsi="Arial"/>
          <w:sz w:val="13"/>
          <w:szCs w:val="13"/>
          <w:color w:val="auto"/>
        </w:rPr>
        <w:t>We have historically funded our operations through cash from operations and working capital. Our primary source of cash is the sale of oil and natural gas liquids production. A portion of these cash flows are used to fund our capital expenditures. While we expect to continue to expend capital to further develop the Delhi field, we and the operator have flexibility as to when this capital is spent. The Company expects to manage future development activities in the Delhi field within the boundaries of its operating cash flow and existing working capital.</w:t>
      </w:r>
    </w:p>
    <w:p>
      <w:pPr>
        <w:spacing w:after="0" w:line="168" w:lineRule="exact"/>
        <w:rPr>
          <w:sz w:val="20"/>
          <w:szCs w:val="20"/>
          <w:color w:val="auto"/>
        </w:rPr>
      </w:pPr>
    </w:p>
    <w:p>
      <w:pPr>
        <w:ind w:right="60" w:firstLine="388"/>
        <w:spacing w:after="0" w:line="267" w:lineRule="auto"/>
        <w:rPr>
          <w:sz w:val="20"/>
          <w:szCs w:val="20"/>
          <w:color w:val="auto"/>
        </w:rPr>
      </w:pPr>
      <w:r>
        <w:rPr>
          <w:rFonts w:ascii="Arial" w:cs="Arial" w:eastAsia="Arial" w:hAnsi="Arial"/>
          <w:sz w:val="14"/>
          <w:szCs w:val="14"/>
          <w:color w:val="auto"/>
        </w:rPr>
        <w:t>We may choose to pursue new growth opportunities through acquisitions or other transactions. In addition to our cash on hand, we have access to at least $40 million of undrawn elected borrowing base availability under our senior secured credit facility. In addition we have an effective shelf registration statement with Securities and Exchange Commission under which we may issue up to $500 million of new debt or equity securities. If we choose to pursue new growth opportunities, we would expect to use our internal resources of cash, working capital and borrowing capacity under our credit facility. It may also be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60"/>
          </w:cols>
          <w:pgMar w:left="220" w:top="129" w:right="21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advantageous for us to consider issuing additional equity as part of any potential transaction, but we have no specific plans to issue additional equity at this time.</w:t>
      </w:r>
    </w:p>
    <w:p>
      <w:pPr>
        <w:spacing w:after="0" w:line="227" w:lineRule="exact"/>
        <w:rPr>
          <w:sz w:val="20"/>
          <w:szCs w:val="20"/>
          <w:color w:val="auto"/>
        </w:rPr>
      </w:pPr>
    </w:p>
    <w:p>
      <w:pPr>
        <w:ind w:right="60" w:firstLine="388"/>
        <w:spacing w:after="0" w:line="263" w:lineRule="auto"/>
        <w:rPr>
          <w:sz w:val="20"/>
          <w:szCs w:val="20"/>
          <w:color w:val="auto"/>
        </w:rPr>
      </w:pPr>
      <w:r>
        <w:rPr>
          <w:rFonts w:ascii="Arial" w:cs="Arial" w:eastAsia="Arial" w:hAnsi="Arial"/>
          <w:sz w:val="14"/>
          <w:szCs w:val="14"/>
          <w:color w:val="auto"/>
        </w:rPr>
        <w:t>Our other significant use of cash is our on-going cash dividend program. The Board of Directors instituted a cash dividend on our common stock in December 2013 and we have since paid twenty-three consecutive quarterly dividends. Distribution of a large portion of free cash flow in excess of our operating and capital requirements through cash dividends and potential repurchases of our common stock remains a priority of our financial strategy, and it is our long term goal to increase our cash dividends over time as appropriate. On August 9, 2019, the Board declared the next quarterly common stock dividend of $0.10 per share, which will be paid on September 30, 2019 to stockholders of record on September 13, 2019. The Board reviews the quarterly dividend rate in view of our financial position and operations, forecasted results, including the outlook for oil and NGL prices, the timing of further expansion of Delhi field development and other potential growth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Budget - Delhi Field</w:t>
      </w:r>
    </w:p>
    <w:p>
      <w:pPr>
        <w:spacing w:after="0" w:line="227" w:lineRule="exact"/>
        <w:rPr>
          <w:sz w:val="20"/>
          <w:szCs w:val="20"/>
          <w:color w:val="auto"/>
        </w:rPr>
      </w:pPr>
    </w:p>
    <w:p>
      <w:pPr>
        <w:jc w:val="both"/>
        <w:ind w:right="100" w:firstLine="388"/>
        <w:spacing w:after="0" w:line="272" w:lineRule="auto"/>
        <w:rPr>
          <w:sz w:val="20"/>
          <w:szCs w:val="20"/>
          <w:color w:val="auto"/>
        </w:rPr>
      </w:pPr>
      <w:r>
        <w:rPr>
          <w:rFonts w:ascii="Arial" w:cs="Arial" w:eastAsia="Arial" w:hAnsi="Arial"/>
          <w:sz w:val="14"/>
          <w:szCs w:val="14"/>
          <w:color w:val="auto"/>
        </w:rPr>
        <w:t>During the year ended June 30, 2019, we incurred $5.2 million of capital expenditures at Delhi. This spending included $0.7 million for capital upgrades to the NGL plant, injection lines and facilities, $1.1 million for CO</w:t>
      </w:r>
      <w:r>
        <w:rPr>
          <w:rFonts w:ascii="Arial" w:cs="Arial" w:eastAsia="Arial" w:hAnsi="Arial"/>
          <w:sz w:val="10"/>
          <w:szCs w:val="10"/>
          <w:color w:val="auto"/>
        </w:rPr>
        <w:t>2</w:t>
      </w:r>
      <w:r>
        <w:rPr>
          <w:rFonts w:ascii="Arial" w:cs="Arial" w:eastAsia="Arial" w:hAnsi="Arial"/>
          <w:sz w:val="14"/>
          <w:szCs w:val="14"/>
          <w:color w:val="auto"/>
        </w:rPr>
        <w:t xml:space="preserve"> conformance projects and capital maintenance, $1.6 million for Phase V infrastructure (i.e. water curtain wells) in the eastern portion of the field, and $1.8 million for the infill drilling program.</w:t>
      </w:r>
    </w:p>
    <w:p>
      <w:pPr>
        <w:spacing w:after="0" w:line="185" w:lineRule="exact"/>
        <w:rPr>
          <w:sz w:val="20"/>
          <w:szCs w:val="20"/>
          <w:color w:val="auto"/>
        </w:rPr>
      </w:pPr>
    </w:p>
    <w:p>
      <w:pPr>
        <w:ind w:right="20" w:firstLine="388"/>
        <w:spacing w:after="0" w:line="272" w:lineRule="auto"/>
        <w:rPr>
          <w:sz w:val="20"/>
          <w:szCs w:val="20"/>
          <w:color w:val="auto"/>
        </w:rPr>
      </w:pPr>
      <w:r>
        <w:rPr>
          <w:rFonts w:ascii="Arial" w:cs="Arial" w:eastAsia="Arial" w:hAnsi="Arial"/>
          <w:sz w:val="14"/>
          <w:szCs w:val="14"/>
          <w:color w:val="auto"/>
        </w:rPr>
        <w:t>The twelve well infill drilling program in the Delhi field is complete and the wells are contributing. There are ten producing oil wells and two CO</w:t>
      </w:r>
      <w:r>
        <w:rPr>
          <w:rFonts w:ascii="Arial" w:cs="Arial" w:eastAsia="Arial" w:hAnsi="Arial"/>
          <w:sz w:val="10"/>
          <w:szCs w:val="10"/>
          <w:color w:val="auto"/>
        </w:rPr>
        <w:t>2</w:t>
      </w:r>
      <w:r>
        <w:rPr>
          <w:rFonts w:ascii="Arial" w:cs="Arial" w:eastAsia="Arial" w:hAnsi="Arial"/>
          <w:sz w:val="14"/>
          <w:szCs w:val="14"/>
          <w:color w:val="auto"/>
        </w:rPr>
        <w:t xml:space="preserve"> injection wells. While we intended to drill four injection wells, two of the planned injectors were completed as producers. These wells may be re-completed as injectors at a later date. The injectors and producers were drilled and completed in areas needing additional support to sweep oil. Since the program's inception in fiscal 2018, our net capital expenditures have totaled $4.6 million.</w:t>
      </w:r>
    </w:p>
    <w:p>
      <w:pPr>
        <w:spacing w:after="0" w:line="185" w:lineRule="exact"/>
        <w:rPr>
          <w:sz w:val="20"/>
          <w:szCs w:val="20"/>
          <w:color w:val="auto"/>
        </w:rPr>
      </w:pPr>
    </w:p>
    <w:p>
      <w:pPr>
        <w:ind w:firstLine="388"/>
        <w:spacing w:after="0" w:line="288" w:lineRule="auto"/>
        <w:rPr>
          <w:sz w:val="20"/>
          <w:szCs w:val="20"/>
          <w:color w:val="auto"/>
        </w:rPr>
      </w:pPr>
      <w:r>
        <w:rPr>
          <w:rFonts w:ascii="Arial" w:cs="Arial" w:eastAsia="Arial" w:hAnsi="Arial"/>
          <w:sz w:val="14"/>
          <w:szCs w:val="14"/>
          <w:color w:val="auto"/>
        </w:rPr>
        <w:t>We expect to continue to perform conformance workover projects and will likely incur additional maintenance capital expenditures. Such amounts are not known or approved yet but we expect them to run in the $1.0 to $2.0 million magnitude as it has the past two fiscal years.</w:t>
      </w:r>
    </w:p>
    <w:p>
      <w:pPr>
        <w:spacing w:after="0" w:line="66" w:lineRule="exact"/>
        <w:rPr>
          <w:sz w:val="20"/>
          <w:szCs w:val="20"/>
          <w:color w:val="auto"/>
        </w:rPr>
      </w:pPr>
    </w:p>
    <w:p>
      <w:pPr>
        <w:ind w:right="20" w:firstLine="388"/>
        <w:spacing w:after="0" w:line="264" w:lineRule="auto"/>
        <w:rPr>
          <w:sz w:val="20"/>
          <w:szCs w:val="20"/>
          <w:color w:val="auto"/>
        </w:rPr>
      </w:pPr>
      <w:r>
        <w:rPr>
          <w:rFonts w:ascii="Arial" w:cs="Arial" w:eastAsia="Arial" w:hAnsi="Arial"/>
          <w:sz w:val="14"/>
          <w:szCs w:val="14"/>
          <w:color w:val="auto"/>
        </w:rPr>
        <w:t>Our proved undeveloped reserves at June 30, 2019 included 1,583 MBOE of reserves and approximately $8.6 million of future development costs associated with Phase V development in the eastern portion of the field. Such development requires participation by both the operator and Evolution, and the operator has not yet finalized its capital expenditure budget for 2020. Based our discussions with the operator, in fiscal 2020, we expect to spend about $0.6 million to complete the south water curtain in preparation for the Phase V development, which is expected to commence late in fiscal 2020. In our last three fiscal years we have incurred a total of $3.1 million on the water curtain program in advance of this development. The timing of Phase V is also dependent, in part, on the field operator's available funds and capital spending plans and priorities within its portfolio of properties.</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Funding for our anticipated capital expenditures at Delhi over the next two fiscal years is expected to be met from cash flows from operations and current working capital.</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 of Cash Flow Activities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table below compares a summary of our condensed consolidated statements of cash flows for year ended June 30, 2019 and 2018.</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68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1"/>
                <w:szCs w:val="11"/>
                <w:b w:val="1"/>
                <w:bCs w:val="1"/>
                <w:color w:val="auto"/>
              </w:rPr>
              <w:t>June 30,</w:t>
            </w:r>
          </w:p>
        </w:tc>
        <w:tc>
          <w:tcPr>
            <w:tcW w:w="1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1"/>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Increases (Decreases) in Cash:</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8"/>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Difference</w:t>
            </w:r>
          </w:p>
        </w:tc>
      </w:tr>
      <w:tr>
        <w:trPr>
          <w:trHeight w:val="180"/>
        </w:trPr>
        <w:tc>
          <w:tcPr>
            <w:tcW w:w="68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89"/>
        </w:trPr>
        <w:tc>
          <w:tcPr>
            <w:tcW w:w="6840" w:type="dxa"/>
            <w:vAlign w:val="bottom"/>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360" w:type="dxa"/>
            <w:vAlign w:val="bottom"/>
          </w:tcPr>
          <w:p>
            <w:pPr>
              <w:jc w:val="right"/>
              <w:ind w:right="215"/>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ind w:right="58"/>
              <w:spacing w:after="0"/>
              <w:rPr>
                <w:sz w:val="20"/>
                <w:szCs w:val="20"/>
                <w:color w:val="auto"/>
              </w:rPr>
            </w:pPr>
            <w:r>
              <w:rPr>
                <w:rFonts w:ascii="Arial" w:cs="Arial" w:eastAsia="Arial" w:hAnsi="Arial"/>
                <w:sz w:val="13"/>
                <w:szCs w:val="13"/>
                <w:color w:val="auto"/>
              </w:rPr>
              <w:t>24.1</w:t>
            </w:r>
          </w:p>
        </w:tc>
        <w:tc>
          <w:tcPr>
            <w:tcW w:w="120" w:type="dxa"/>
            <w:vAlign w:val="bottom"/>
          </w:tcPr>
          <w:p>
            <w:pPr>
              <w:spacing w:after="0"/>
              <w:rPr>
                <w:sz w:val="16"/>
                <w:szCs w:val="16"/>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ind w:right="37"/>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16"/>
                <w:szCs w:val="16"/>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3.6</w:t>
            </w:r>
          </w:p>
        </w:tc>
      </w:tr>
      <w:tr>
        <w:trPr>
          <w:trHeight w:val="27"/>
        </w:trPr>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(6.8)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89"/>
        </w:trPr>
        <w:tc>
          <w:tcPr>
            <w:tcW w:w="6840" w:type="dxa"/>
            <w:vAlign w:val="bottom"/>
          </w:tcPr>
          <w:p>
            <w:pPr>
              <w:ind w:left="20"/>
              <w:spacing w:after="0"/>
              <w:rPr>
                <w:sz w:val="20"/>
                <w:szCs w:val="20"/>
                <w:color w:val="auto"/>
              </w:rPr>
            </w:pPr>
            <w:r>
              <w:rPr>
                <w:rFonts w:ascii="Arial" w:cs="Arial" w:eastAsia="Arial" w:hAnsi="Arial"/>
                <w:sz w:val="13"/>
                <w:szCs w:val="13"/>
                <w:color w:val="auto"/>
              </w:rPr>
              <w:t>Net cash used in financing activities</w:t>
            </w:r>
          </w:p>
        </w:tc>
        <w:tc>
          <w:tcPr>
            <w:tcW w:w="360" w:type="dxa"/>
            <w:vAlign w:val="bottom"/>
          </w:tcPr>
          <w:p>
            <w:pPr>
              <w:spacing w:after="0"/>
              <w:rPr>
                <w:sz w:val="16"/>
                <w:szCs w:val="16"/>
                <w:color w:val="auto"/>
              </w:rPr>
            </w:pPr>
          </w:p>
        </w:tc>
        <w:tc>
          <w:tcPr>
            <w:tcW w:w="1140" w:type="dxa"/>
            <w:vAlign w:val="bottom"/>
          </w:tcPr>
          <w:p>
            <w:pPr>
              <w:jc w:val="right"/>
              <w:ind w:right="18"/>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27"/>
        </w:trPr>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1"/>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Change in cash, cash equivalents and restricted cash</w:t>
            </w:r>
          </w:p>
        </w:tc>
        <w:tc>
          <w:tcPr>
            <w:tcW w:w="36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3"/>
                <w:szCs w:val="13"/>
                <w:color w:val="auto"/>
              </w:rPr>
              <w:t>3.9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jc w:val="both"/>
        <w:ind w:right="300" w:firstLine="388"/>
        <w:spacing w:after="0" w:line="272" w:lineRule="auto"/>
        <w:rPr>
          <w:sz w:val="20"/>
          <w:szCs w:val="20"/>
          <w:color w:val="auto"/>
        </w:rPr>
      </w:pPr>
      <w:r>
        <w:rPr>
          <w:rFonts w:ascii="Arial" w:cs="Arial" w:eastAsia="Arial" w:hAnsi="Arial"/>
          <w:sz w:val="14"/>
          <w:szCs w:val="14"/>
          <w:color w:val="auto"/>
        </w:rPr>
        <w:t>Cash provided by operating activities in the current year increased $3.6 million compared to the fiscal 2018 due to a $5.8 million increase in cash provided by non-cash expenses and $2.1 million increase in cash provided from current operating assets and liabilities partially offset by a $4.3 million decrease in cash provided by net income. Fiscal 2018 total non-cash expenses were impacted by the one-time $6.0 million deferred income tax credit related to enactment of the Tax Cut and Jobs Act.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40"/>
          </w:cols>
          <w:pgMar w:left="220" w:top="129"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Cash used in investing activities increased $3.1 million due to higher capital expenditure disbursements in the 2019 period.</w:t>
      </w:r>
    </w:p>
    <w:p>
      <w:pPr>
        <w:spacing w:after="0" w:line="227" w:lineRule="exact"/>
        <w:rPr>
          <w:sz w:val="20"/>
          <w:szCs w:val="20"/>
          <w:color w:val="auto"/>
        </w:rPr>
      </w:pPr>
    </w:p>
    <w:p>
      <w:pPr>
        <w:ind w:right="180" w:firstLine="388"/>
        <w:spacing w:after="0" w:line="272" w:lineRule="auto"/>
        <w:rPr>
          <w:sz w:val="20"/>
          <w:szCs w:val="20"/>
          <w:color w:val="auto"/>
        </w:rPr>
      </w:pPr>
      <w:r>
        <w:rPr>
          <w:rFonts w:ascii="Arial" w:cs="Arial" w:eastAsia="Arial" w:hAnsi="Arial"/>
          <w:sz w:val="14"/>
          <w:szCs w:val="14"/>
          <w:color w:val="auto"/>
        </w:rPr>
        <w:t>Cash used in financing activities increased $1.2 million due to $1.6 million of higher cash dividends, reflecting a higher quarterly dividend rate of $0.10 per share throughout fiscal 2019 compared to $0.075 per share during the first half of fiscal 2018 and $0.10 per share paid the subsequent two quarters, partially offset by $0.4 million of lower common share repurchases related to stock-based awards vestings.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Other Commitments</w:t>
      </w:r>
    </w:p>
    <w:p>
      <w:pPr>
        <w:spacing w:after="0" w:line="231" w:lineRule="exact"/>
        <w:rPr>
          <w:sz w:val="20"/>
          <w:szCs w:val="20"/>
          <w:color w:val="auto"/>
        </w:rPr>
      </w:pPr>
    </w:p>
    <w:p>
      <w:pPr>
        <w:ind w:right="120"/>
        <w:spacing w:after="0" w:line="288" w:lineRule="auto"/>
        <w:rPr>
          <w:sz w:val="20"/>
          <w:szCs w:val="20"/>
          <w:color w:val="auto"/>
        </w:rPr>
      </w:pPr>
      <w:r>
        <w:rPr>
          <w:rFonts w:ascii="Arial" w:cs="Arial" w:eastAsia="Arial" w:hAnsi="Arial"/>
          <w:sz w:val="14"/>
          <w:szCs w:val="14"/>
          <w:color w:val="auto"/>
        </w:rPr>
        <w:t>The table below provides estimates of the timing of future payments that, as of June 30, 2019, we are obligated to make under our contractual obligations and commitments. We expect to fund these contractual obligations with cash on hand and cash generated from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Payments Due by Period</w:t>
            </w: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Total</w:t>
            </w:r>
          </w:p>
        </w:tc>
        <w:tc>
          <w:tcPr>
            <w:tcW w:w="280" w:type="dxa"/>
            <w:vAlign w:val="bottom"/>
          </w:tcPr>
          <w:p>
            <w:pPr>
              <w:spacing w:after="0"/>
              <w:rPr>
                <w:sz w:val="10"/>
                <w:szCs w:val="10"/>
                <w:color w:val="auto"/>
              </w:rPr>
            </w:pPr>
          </w:p>
        </w:tc>
        <w:tc>
          <w:tcPr>
            <w:tcW w:w="124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93"/>
              </w:rPr>
              <w:t>Less than</w:t>
            </w:r>
          </w:p>
        </w:tc>
        <w:tc>
          <w:tcPr>
            <w:tcW w:w="260" w:type="dxa"/>
            <w:vAlign w:val="bottom"/>
          </w:tcPr>
          <w:p>
            <w:pPr>
              <w:spacing w:after="0"/>
              <w:rPr>
                <w:sz w:val="10"/>
                <w:szCs w:val="10"/>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1 - 3 Years</w:t>
            </w:r>
          </w:p>
        </w:tc>
        <w:tc>
          <w:tcPr>
            <w:tcW w:w="260" w:type="dxa"/>
            <w:vAlign w:val="bottom"/>
          </w:tcPr>
          <w:p>
            <w:pPr>
              <w:spacing w:after="0"/>
              <w:rPr>
                <w:sz w:val="10"/>
                <w:szCs w:val="10"/>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3 - 5 Years</w:t>
            </w:r>
          </w:p>
        </w:tc>
        <w:tc>
          <w:tcPr>
            <w:tcW w:w="160" w:type="dxa"/>
            <w:vAlign w:val="bottom"/>
          </w:tcPr>
          <w:p>
            <w:pPr>
              <w:spacing w:after="0"/>
              <w:rPr>
                <w:sz w:val="10"/>
                <w:szCs w:val="10"/>
                <w:color w:val="auto"/>
              </w:rPr>
            </w:pPr>
          </w:p>
        </w:tc>
        <w:tc>
          <w:tcPr>
            <w:tcW w:w="1200" w:type="dxa"/>
            <w:vAlign w:val="bottom"/>
            <w:vMerge w:val="restart"/>
          </w:tcPr>
          <w:p>
            <w:pPr>
              <w:jc w:val="right"/>
              <w:ind w:right="151"/>
              <w:spacing w:after="0"/>
              <w:rPr>
                <w:sz w:val="20"/>
                <w:szCs w:val="20"/>
                <w:color w:val="auto"/>
              </w:rPr>
            </w:pPr>
            <w:r>
              <w:rPr>
                <w:rFonts w:ascii="Arial" w:cs="Arial" w:eastAsia="Arial" w:hAnsi="Arial"/>
                <w:sz w:val="11"/>
                <w:szCs w:val="11"/>
                <w:b w:val="1"/>
                <w:bCs w:val="1"/>
                <w:color w:val="auto"/>
              </w:rPr>
              <w:t>More than 5 Years</w:t>
            </w:r>
          </w:p>
        </w:tc>
        <w:tc>
          <w:tcPr>
            <w:tcW w:w="0" w:type="dxa"/>
            <w:vAlign w:val="bottom"/>
          </w:tcPr>
          <w:p>
            <w:pPr>
              <w:spacing w:after="0"/>
              <w:rPr>
                <w:sz w:val="1"/>
                <w:szCs w:val="1"/>
                <w:color w:val="auto"/>
              </w:rPr>
            </w:pPr>
          </w:p>
        </w:tc>
      </w:tr>
      <w:tr>
        <w:trPr>
          <w:trHeight w:val="153"/>
        </w:trPr>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6"/>
              </w:rPr>
              <w:t>1 Year</w:t>
            </w:r>
          </w:p>
        </w:tc>
        <w:tc>
          <w:tcPr>
            <w:tcW w:w="2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Contractual Obligations</w:t>
            </w: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40" w:type="dxa"/>
            <w:vAlign w:val="bottom"/>
          </w:tcPr>
          <w:p>
            <w:pPr>
              <w:ind w:left="140"/>
              <w:spacing w:after="0"/>
              <w:rPr>
                <w:sz w:val="20"/>
                <w:szCs w:val="20"/>
                <w:color w:val="auto"/>
              </w:rPr>
            </w:pPr>
            <w:r>
              <w:rPr>
                <w:rFonts w:ascii="Arial" w:cs="Arial" w:eastAsia="Arial" w:hAnsi="Arial"/>
                <w:sz w:val="14"/>
                <w:szCs w:val="14"/>
                <w:color w:val="auto"/>
                <w:w w:val="96"/>
              </w:rPr>
              <w:t>Purchase commitments in connection with joint interest agreement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861,674</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3"/>
              <w:spacing w:after="0"/>
              <w:rPr>
                <w:sz w:val="20"/>
                <w:szCs w:val="20"/>
                <w:color w:val="auto"/>
              </w:rPr>
            </w:pPr>
            <w:r>
              <w:rPr>
                <w:rFonts w:ascii="Arial" w:cs="Arial" w:eastAsia="Arial" w:hAnsi="Arial"/>
                <w:sz w:val="14"/>
                <w:szCs w:val="14"/>
                <w:color w:val="auto"/>
              </w:rPr>
              <w:t>861,674</w:t>
            </w:r>
          </w:p>
        </w:tc>
        <w:tc>
          <w:tcPr>
            <w:tcW w:w="120" w:type="dxa"/>
            <w:vAlign w:val="bottom"/>
          </w:tcPr>
          <w:p>
            <w:pPr>
              <w:spacing w:after="0"/>
              <w:rPr>
                <w:sz w:val="16"/>
                <w:szCs w:val="16"/>
                <w:color w:val="auto"/>
              </w:rPr>
            </w:pPr>
          </w:p>
        </w:tc>
        <w:tc>
          <w:tcPr>
            <w:tcW w:w="260" w:type="dxa"/>
            <w:vAlign w:val="bottom"/>
          </w:tcPr>
          <w:p>
            <w:pPr>
              <w:jc w:val="right"/>
              <w:ind w:right="113"/>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Operating lease</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182,208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34,322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147,886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4140" w:type="dxa"/>
            <w:vAlign w:val="bottom"/>
          </w:tcPr>
          <w:p>
            <w:pPr>
              <w:ind w:left="20"/>
              <w:spacing w:after="0"/>
              <w:rPr>
                <w:sz w:val="20"/>
                <w:szCs w:val="20"/>
                <w:color w:val="auto"/>
              </w:rPr>
            </w:pPr>
            <w:r>
              <w:rPr>
                <w:rFonts w:ascii="Arial" w:cs="Arial" w:eastAsia="Arial" w:hAnsi="Arial"/>
                <w:sz w:val="14"/>
                <w:szCs w:val="14"/>
                <w:color w:val="auto"/>
              </w:rPr>
              <w:t>Other Obligations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Asset retirement obligations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1,610,845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50,244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1,560,601</w:t>
            </w:r>
          </w:p>
        </w:tc>
        <w:tc>
          <w:tcPr>
            <w:tcW w:w="0" w:type="dxa"/>
            <w:vAlign w:val="bottom"/>
          </w:tcPr>
          <w:p>
            <w:pPr>
              <w:spacing w:after="0"/>
              <w:rPr>
                <w:sz w:val="1"/>
                <w:szCs w:val="1"/>
                <w:color w:val="auto"/>
              </w:rPr>
            </w:pPr>
          </w:p>
        </w:tc>
      </w:tr>
      <w:tr>
        <w:trPr>
          <w:trHeight w:val="200"/>
        </w:trPr>
        <w:tc>
          <w:tcPr>
            <w:tcW w:w="4140" w:type="dxa"/>
            <w:vAlign w:val="bottom"/>
          </w:tcPr>
          <w:p>
            <w:pPr>
              <w:ind w:left="300"/>
              <w:spacing w:after="0"/>
              <w:rPr>
                <w:sz w:val="20"/>
                <w:szCs w:val="20"/>
                <w:color w:val="auto"/>
              </w:rPr>
            </w:pPr>
            <w:r>
              <w:rPr>
                <w:rFonts w:ascii="Arial" w:cs="Arial" w:eastAsia="Arial" w:hAnsi="Arial"/>
                <w:sz w:val="14"/>
                <w:szCs w:val="14"/>
                <w:color w:val="auto"/>
              </w:rPr>
              <w:t>Total Obligations</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2,654,727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946,240</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147,886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1,560,601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231" w:lineRule="exact"/>
        <w:rPr>
          <w:sz w:val="20"/>
          <w:szCs w:val="20"/>
          <w:color w:val="auto"/>
        </w:rPr>
      </w:pPr>
    </w:p>
    <w:p>
      <w:pPr>
        <w:ind w:right="20" w:firstLine="345"/>
        <w:spacing w:after="0" w:line="264" w:lineRule="auto"/>
        <w:rPr>
          <w:sz w:val="20"/>
          <w:szCs w:val="20"/>
          <w:color w:val="auto"/>
        </w:rPr>
      </w:pPr>
      <w:r>
        <w:rPr>
          <w:rFonts w:ascii="Arial" w:cs="Arial" w:eastAsia="Arial" w:hAnsi="Arial"/>
          <w:sz w:val="14"/>
          <w:szCs w:val="14"/>
          <w:color w:val="auto"/>
        </w:rPr>
        <w:t xml:space="preserve">The preparation of financial statements in accordance with accounting principles generally accepted in the United States of America requires that we select certain accounting policies and make estimates and assumptions that affect the reported amounts of the assets and liabilities and disclosures of contingent assets and liabilities as of the date of the balance sheet as well as the reported amounts of revenues and expenses during the reporting period. These policies, together with our estimates have a significant effect on our consolidated financial statements. Our significant accounting policies are included in </w:t>
      </w:r>
      <w:r>
        <w:rPr>
          <w:rFonts w:ascii="Arial" w:cs="Arial" w:eastAsia="Arial" w:hAnsi="Arial"/>
          <w:sz w:val="14"/>
          <w:szCs w:val="14"/>
          <w:i w:val="1"/>
          <w:iCs w:val="1"/>
          <w:color w:val="auto"/>
        </w:rPr>
        <w:t>Note 2 – Summary of Significant Accounting Policies</w:t>
      </w:r>
      <w:r>
        <w:rPr>
          <w:rFonts w:ascii="Arial" w:cs="Arial" w:eastAsia="Arial" w:hAnsi="Arial"/>
          <w:sz w:val="14"/>
          <w:szCs w:val="14"/>
          <w:color w:val="auto"/>
        </w:rPr>
        <w:t xml:space="preserve"> of the consolidated financial statements. Following is a discussion of our most critical accounting estimates, judgments and uncertainties that are inherent in the preparation of our consolidated financial statements.</w:t>
      </w:r>
    </w:p>
    <w:p>
      <w:pPr>
        <w:spacing w:after="0" w:line="192" w:lineRule="exact"/>
        <w:rPr>
          <w:sz w:val="20"/>
          <w:szCs w:val="20"/>
          <w:color w:val="auto"/>
        </w:rPr>
      </w:pPr>
    </w:p>
    <w:p>
      <w:pPr>
        <w:ind w:right="60" w:firstLine="345"/>
        <w:spacing w:after="0" w:line="261" w:lineRule="auto"/>
        <w:rPr>
          <w:sz w:val="20"/>
          <w:szCs w:val="20"/>
          <w:color w:val="auto"/>
        </w:rPr>
      </w:pPr>
      <w:r>
        <w:rPr>
          <w:rFonts w:ascii="Arial" w:cs="Arial" w:eastAsia="Arial" w:hAnsi="Arial"/>
          <w:sz w:val="14"/>
          <w:szCs w:val="14"/>
          <w:i w:val="1"/>
          <w:iCs w:val="1"/>
          <w:color w:val="auto"/>
        </w:rPr>
        <w:t>Oil and Natural Gas Properties</w:t>
      </w:r>
      <w:r>
        <w:rPr>
          <w:rFonts w:ascii="Arial" w:cs="Arial" w:eastAsia="Arial" w:hAnsi="Arial"/>
          <w:sz w:val="14"/>
          <w:szCs w:val="14"/>
          <w:color w:val="auto"/>
        </w:rPr>
        <w:t>. Companies engaged in the production of oil and natural gas are required to follow accounting rules that are unique to the oil and gas industry. We apply the</w:t>
      </w:r>
      <w:r>
        <w:rPr>
          <w:rFonts w:ascii="Arial" w:cs="Arial" w:eastAsia="Arial" w:hAnsi="Arial"/>
          <w:sz w:val="14"/>
          <w:szCs w:val="14"/>
          <w:i w:val="1"/>
          <w:iCs w:val="1"/>
          <w:color w:val="auto"/>
        </w:rPr>
        <w:t xml:space="preserve"> </w:t>
      </w:r>
      <w:r>
        <w:rPr>
          <w:rFonts w:ascii="Arial" w:cs="Arial" w:eastAsia="Arial" w:hAnsi="Arial"/>
          <w:sz w:val="14"/>
          <w:szCs w:val="14"/>
          <w:color w:val="auto"/>
        </w:rPr>
        <w:t>full cost accounting method for our oil and natural gas properties as prescribed by SEC Regulation S-X Rule 4-10. Under this method of accounting, the costs of unsuccessful, as well as successful, exploration and development activities are capitalized as properties and equipment.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gas properties is not recognized, unless the gain or loss would significantly alter the relationship between capitalized costs and proved reserves. Oil and natural gas properties include costs that are excluded from costs being depleted or amortized. Oil and natural gas property costs excluded represent investments in unevaluated properties and include non-producing leasehold, geological and geophysical costs associated with leasehold or drilling interests and exploration drilling costs. We exclude these costs until the property has been evaluated. Costs are transferred to the full cost pool as the properties are evaluated. As of June 30, 2019, we had no unevaluated properties costs.</w:t>
      </w:r>
    </w:p>
    <w:p>
      <w:pPr>
        <w:spacing w:after="0" w:line="194" w:lineRule="exact"/>
        <w:rPr>
          <w:sz w:val="20"/>
          <w:szCs w:val="20"/>
          <w:color w:val="auto"/>
        </w:rPr>
      </w:pPr>
    </w:p>
    <w:p>
      <w:pPr>
        <w:ind w:right="40" w:firstLine="345"/>
        <w:spacing w:after="0" w:line="287" w:lineRule="auto"/>
        <w:rPr>
          <w:sz w:val="20"/>
          <w:szCs w:val="20"/>
          <w:color w:val="auto"/>
        </w:rPr>
      </w:pPr>
      <w:r>
        <w:rPr>
          <w:rFonts w:ascii="Arial" w:cs="Arial" w:eastAsia="Arial" w:hAnsi="Arial"/>
          <w:sz w:val="13"/>
          <w:szCs w:val="13"/>
          <w:i w:val="1"/>
          <w:iCs w:val="1"/>
          <w:color w:val="auto"/>
        </w:rPr>
        <w:t xml:space="preserve">Estimates of Proved Reserves. </w:t>
      </w:r>
      <w:r>
        <w:rPr>
          <w:rFonts w:ascii="Arial" w:cs="Arial" w:eastAsia="Arial" w:hAnsi="Arial"/>
          <w:sz w:val="13"/>
          <w:szCs w:val="13"/>
          <w:color w:val="auto"/>
        </w:rPr>
        <w:t>The estimated quantities of proved oil and natural gas reserves have a significant impact on the underlying financial statements. The estimated quantities of</w:t>
      </w:r>
      <w:r>
        <w:rPr>
          <w:rFonts w:ascii="Arial" w:cs="Arial" w:eastAsia="Arial" w:hAnsi="Arial"/>
          <w:sz w:val="13"/>
          <w:szCs w:val="13"/>
          <w:i w:val="1"/>
          <w:iCs w:val="1"/>
          <w:color w:val="auto"/>
        </w:rPr>
        <w:t xml:space="preserve"> </w:t>
      </w:r>
      <w:r>
        <w:rPr>
          <w:rFonts w:ascii="Arial" w:cs="Arial" w:eastAsia="Arial" w:hAnsi="Arial"/>
          <w:sz w:val="13"/>
          <w:szCs w:val="13"/>
          <w:color w:val="auto"/>
        </w:rPr>
        <w:t>proved reserves are used to calculate depletion expense, and the estimated future net cash flows associated with those proved reserves is the basis in determining impairment under the quarterly ceiling test calculation. The process of estimating oil and natural gas reserves is very complex, requiring significant decisions in the evaluation of all available geological, geophysical, engineering and economic data. Estimated reserves are often subject to future revisions, which could be substantial, based on the availability of additional information, including reservoir performance, additional development activity, new geological and geophysical data, additional drilling, technological advancements, price changes and other economic factors. As a result, material revisions to existing reserve estimates may occur from time to time. Although every reasonable effort is made to ensure that the reported reserve estimates represent the most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129" w:right="21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ind w:right="60"/>
        <w:spacing w:after="0" w:line="263" w:lineRule="auto"/>
        <w:rPr>
          <w:sz w:val="20"/>
          <w:szCs w:val="20"/>
          <w:color w:val="auto"/>
        </w:rPr>
      </w:pPr>
      <w:r>
        <w:rPr>
          <w:rFonts w:ascii="Arial" w:cs="Arial" w:eastAsia="Arial" w:hAnsi="Arial"/>
          <w:sz w:val="14"/>
          <w:szCs w:val="14"/>
          <w:color w:val="auto"/>
        </w:rPr>
        <w:t>accurate assessments possible, including the hiring of independent engineers to prepare our reserve estimates, the subjective decisions and variances in available data for the properties make these estimates generally less precise than other estimates included in our financial statements. Material revisions to reserve estimates and/or significant changes in commodity prices could substantially affect our estimated future net cash flows of our proved reserves, affecting our quarterly ceiling test calculation and could significantly affect our depletion rate. A 10% decrease in commodity prices used to determine our proved reserves as of June 30, 2019 would not have resulted in an impairment of our oil and natural gas properties. Holding all other factors constant, a reduction in the Company's proved reserve estimates at June 30, 2019 of 5%, 10% and 15% would affect depreciation, depletion and amortization expense by approximately $313,000, $658,000 and $1,042,000, respectively.</w:t>
      </w:r>
    </w:p>
    <w:p>
      <w:pPr>
        <w:spacing w:after="0" w:line="192" w:lineRule="exact"/>
        <w:rPr>
          <w:sz w:val="20"/>
          <w:szCs w:val="20"/>
          <w:color w:val="auto"/>
        </w:rPr>
      </w:pPr>
    </w:p>
    <w:p>
      <w:pPr>
        <w:ind w:firstLine="345"/>
        <w:spacing w:after="0" w:line="294" w:lineRule="auto"/>
        <w:rPr>
          <w:sz w:val="20"/>
          <w:szCs w:val="20"/>
          <w:color w:val="auto"/>
        </w:rPr>
      </w:pPr>
      <w:r>
        <w:rPr>
          <w:rFonts w:ascii="Arial" w:cs="Arial" w:eastAsia="Arial" w:hAnsi="Arial"/>
          <w:sz w:val="13"/>
          <w:szCs w:val="13"/>
          <w:color w:val="auto"/>
        </w:rPr>
        <w:t>On December 31, 2008, the SEC issued its final rule on the modernization of reporting oil and gas reserves. The rule allows consideration of new technologies in evaluating reserves, generally limits the designation of proved reserves to those projects forecast to be drilled five years from the initial recognition date of such reserves, allows companies to disclose their probable and possible reserves to investors, requires reporting of oil and gas reserves using an average price based on the previous 12-month unweighted arithmetic average first-day-of-the-month price rather than year-end prices, revises the disclosure requirements for oil and gas operations, and revises accounting for the limitation on capitalized costs for full cost companies.</w:t>
      </w:r>
    </w:p>
    <w:p>
      <w:pPr>
        <w:spacing w:after="0" w:line="65" w:lineRule="exact"/>
        <w:rPr>
          <w:sz w:val="20"/>
          <w:szCs w:val="20"/>
          <w:color w:val="auto"/>
        </w:rPr>
      </w:pPr>
    </w:p>
    <w:p>
      <w:pPr>
        <w:ind w:right="80" w:firstLine="345"/>
        <w:spacing w:after="0" w:line="285" w:lineRule="auto"/>
        <w:rPr>
          <w:sz w:val="20"/>
          <w:szCs w:val="20"/>
          <w:color w:val="auto"/>
        </w:rPr>
      </w:pPr>
      <w:r>
        <w:rPr>
          <w:rFonts w:ascii="Arial" w:cs="Arial" w:eastAsia="Arial" w:hAnsi="Arial"/>
          <w:sz w:val="13"/>
          <w:szCs w:val="13"/>
          <w:i w:val="1"/>
          <w:iCs w:val="1"/>
          <w:color w:val="auto"/>
        </w:rPr>
        <w:t xml:space="preserve">Valuation of Deferred Tax Assets. </w:t>
      </w:r>
      <w:r>
        <w:rPr>
          <w:rFonts w:ascii="Arial" w:cs="Arial" w:eastAsia="Arial" w:hAnsi="Arial"/>
          <w:sz w:val="13"/>
          <w:szCs w:val="13"/>
          <w:color w:val="auto"/>
        </w:rPr>
        <w:t>We make certain estimates and judgments in determining our income tax expense for financial reporting purposes. These estimates and judgments occur in</w:t>
      </w:r>
      <w:r>
        <w:rPr>
          <w:rFonts w:ascii="Arial" w:cs="Arial" w:eastAsia="Arial" w:hAnsi="Arial"/>
          <w:sz w:val="13"/>
          <w:szCs w:val="13"/>
          <w:i w:val="1"/>
          <w:iCs w:val="1"/>
          <w:color w:val="auto"/>
        </w:rPr>
        <w:t xml:space="preserve"> </w:t>
      </w:r>
      <w:r>
        <w:rPr>
          <w:rFonts w:ascii="Arial" w:cs="Arial" w:eastAsia="Arial" w:hAnsi="Arial"/>
          <w:sz w:val="13"/>
          <w:szCs w:val="13"/>
          <w:color w:val="auto"/>
        </w:rPr>
        <w:t>the calculation of certain tax assets and liabilities that arise from differences in the timing and recognition of revenue and expense for tax and financial reporting purposes. Our federal and state income tax returns are generally not prepared or filed before the consolidated financial statements are prepared or filed; therefore, we estimate the tax basis of our assets and liabilities at the end of each period as well as the effects of tax rate changes, tax credits, and net operating loss carry backs and carry forwards. Adjustments related to these estimates are recorded in our tax provision in the period in which we file our income tax returns. Further, we must assess the likelihood that we will be able to recover or utilize our deferred tax assets (primarily our net operating loss). If recovery is not likely, we must record a valuation allowance against such deferred tax assets for the amount we would not expect to recover, which would result in an increase to our income tax expense. As of June 30, 2019, we have recorded a valuation allowance for the portion of our net operating loss that is limited by IRS Section 382.</w:t>
      </w:r>
    </w:p>
    <w:p>
      <w:pPr>
        <w:spacing w:after="0" w:line="72" w:lineRule="exact"/>
        <w:rPr>
          <w:sz w:val="20"/>
          <w:szCs w:val="20"/>
          <w:color w:val="auto"/>
        </w:rPr>
      </w:pPr>
    </w:p>
    <w:p>
      <w:pPr>
        <w:ind w:right="300" w:firstLine="345"/>
        <w:spacing w:after="0" w:line="267" w:lineRule="auto"/>
        <w:rPr>
          <w:sz w:val="20"/>
          <w:szCs w:val="20"/>
          <w:color w:val="auto"/>
        </w:rPr>
      </w:pPr>
      <w:r>
        <w:rPr>
          <w:rFonts w:ascii="Arial" w:cs="Arial" w:eastAsia="Arial" w:hAnsi="Arial"/>
          <w:sz w:val="14"/>
          <w:szCs w:val="14"/>
          <w:color w:val="auto"/>
        </w:rPr>
        <w:t>Management considers the scheduled reversal of deferred tax liabilities, projected future taxable income, and tax planning strategies in making the assessment of the ultimate realization of deferred tax assets. Based upon the level of historical taxable income and projections for future taxable income over the periods for which the deferred tax assets are deductible, as of end of the current fiscal year, we believe that it is more likely than not that the Company will realize the benefits of its net deferred tax assets. If our estimates and judgments change regarding our ability to utilize our deferred tax assets, our tax provision would increase in the period it is determined that recovery is not probable.</w:t>
      </w:r>
    </w:p>
    <w:p>
      <w:pPr>
        <w:spacing w:after="0" w:line="189" w:lineRule="exact"/>
        <w:rPr>
          <w:sz w:val="20"/>
          <w:szCs w:val="20"/>
          <w:color w:val="auto"/>
        </w:rPr>
      </w:pPr>
    </w:p>
    <w:p>
      <w:pPr>
        <w:ind w:right="40" w:firstLine="345"/>
        <w:spacing w:after="0" w:line="264" w:lineRule="auto"/>
        <w:rPr>
          <w:sz w:val="20"/>
          <w:szCs w:val="20"/>
          <w:color w:val="auto"/>
        </w:rPr>
      </w:pPr>
      <w:r>
        <w:rPr>
          <w:rFonts w:ascii="Arial" w:cs="Arial" w:eastAsia="Arial" w:hAnsi="Arial"/>
          <w:sz w:val="14"/>
          <w:szCs w:val="14"/>
          <w:i w:val="1"/>
          <w:iCs w:val="1"/>
          <w:color w:val="auto"/>
        </w:rPr>
        <w:t>Stock-based Compensation</w:t>
      </w:r>
      <w:r>
        <w:rPr>
          <w:rFonts w:ascii="Arial" w:cs="Arial" w:eastAsia="Arial" w:hAnsi="Arial"/>
          <w:sz w:val="14"/>
          <w:szCs w:val="14"/>
          <w:color w:val="auto"/>
        </w:rPr>
        <w:t>. The fair value and expected vesting period of the Company's market-based awards were determined using a Monte Carlo simulation. This technique uses a</w:t>
      </w:r>
      <w:r>
        <w:rPr>
          <w:rFonts w:ascii="Arial" w:cs="Arial" w:eastAsia="Arial" w:hAnsi="Arial"/>
          <w:sz w:val="14"/>
          <w:szCs w:val="14"/>
          <w:i w:val="1"/>
          <w:iCs w:val="1"/>
          <w:color w:val="auto"/>
        </w:rPr>
        <w:t xml:space="preserve"> </w:t>
      </w:r>
      <w:r>
        <w:rPr>
          <w:rFonts w:ascii="Arial" w:cs="Arial" w:eastAsia="Arial" w:hAnsi="Arial"/>
          <w:sz w:val="14"/>
          <w:szCs w:val="14"/>
          <w:color w:val="auto"/>
        </w:rPr>
        <w:t>geometric Brownian motion model with defined variables and randomly generates values for each variable through multiple trials. Variables include stock price volatility, expected term of the award, the expected risk-free interest rate, and the expected dividend yield of the Company's stock. The risk-free interest rate used is the U.S. Treasury yield for bonds matching the expected term of the award on the date of grant. Vesting of market-based awards is based on the Company's total common stock return compared to a peer group of other companies in our industry with comparable market capitalizations and, for certain awards, the Company's share price attaining a set target.</w:t>
      </w:r>
    </w:p>
    <w:p>
      <w:pPr>
        <w:spacing w:after="0" w:line="192" w:lineRule="exact"/>
        <w:rPr>
          <w:sz w:val="20"/>
          <w:szCs w:val="20"/>
          <w:color w:val="auto"/>
        </w:rPr>
      </w:pPr>
    </w:p>
    <w:p>
      <w:pPr>
        <w:ind w:right="840" w:firstLine="323"/>
        <w:spacing w:after="0" w:line="288" w:lineRule="auto"/>
        <w:rPr>
          <w:sz w:val="20"/>
          <w:szCs w:val="20"/>
          <w:color w:val="auto"/>
        </w:rPr>
      </w:pPr>
      <w:r>
        <w:rPr>
          <w:rFonts w:ascii="Arial" w:cs="Arial" w:eastAsia="Arial" w:hAnsi="Arial"/>
          <w:sz w:val="14"/>
          <w:szCs w:val="14"/>
          <w:i w:val="1"/>
          <w:iCs w:val="1"/>
          <w:color w:val="auto"/>
        </w:rPr>
        <w:t>Recent Accounting Pronouncements</w:t>
      </w:r>
      <w:r>
        <w:rPr>
          <w:rFonts w:ascii="Arial" w:cs="Arial" w:eastAsia="Arial" w:hAnsi="Arial"/>
          <w:sz w:val="14"/>
          <w:szCs w:val="14"/>
          <w:color w:val="auto"/>
        </w:rPr>
        <w:t>. See Note 2 – Summary of Significant Accounting Policies to our Consolidated Financial Statements for discussion of the recent accounting</w:t>
      </w:r>
      <w:r>
        <w:rPr>
          <w:rFonts w:ascii="Arial" w:cs="Arial" w:eastAsia="Arial" w:hAnsi="Arial"/>
          <w:sz w:val="14"/>
          <w:szCs w:val="14"/>
          <w:i w:val="1"/>
          <w:iCs w:val="1"/>
          <w:color w:val="auto"/>
        </w:rPr>
        <w:t xml:space="preserve"> </w:t>
      </w:r>
      <w:r>
        <w:rPr>
          <w:rFonts w:ascii="Arial" w:cs="Arial" w:eastAsia="Arial" w:hAnsi="Arial"/>
          <w:sz w:val="14"/>
          <w:szCs w:val="14"/>
          <w:color w:val="auto"/>
        </w:rPr>
        <w:t>pronouncements issued by the Financial Accounting Standards Board.</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 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has no off-balance sheet arrangements as of June 30, 2019.</w:t>
      </w: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color w:val="auto"/>
        </w:rPr>
        <w:t>Quantitative and Qualitative Disclosures About Market Risks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227" w:lineRule="exact"/>
        <w:rPr>
          <w:sz w:val="20"/>
          <w:szCs w:val="20"/>
          <w:color w:val="auto"/>
        </w:rPr>
      </w:pPr>
    </w:p>
    <w:p>
      <w:pPr>
        <w:ind w:firstLine="345"/>
        <w:spacing w:after="0" w:line="288" w:lineRule="auto"/>
        <w:rPr>
          <w:sz w:val="20"/>
          <w:szCs w:val="20"/>
          <w:color w:val="auto"/>
        </w:rPr>
      </w:pPr>
      <w:r>
        <w:rPr>
          <w:rFonts w:ascii="Arial" w:cs="Arial" w:eastAsia="Arial" w:hAnsi="Arial"/>
          <w:sz w:val="14"/>
          <w:szCs w:val="14"/>
          <w:color w:val="auto"/>
        </w:rPr>
        <w:t>We are exposed to changes in interest rates. Changes in interest rates affect the interest earned on our cash and cash equivalents. Under our current policies, we do not use interest rate derivative instruments to manage exposure to interest rate changes.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Commodity Price Risk</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40"/>
          </w:cols>
          <w:pgMar w:left="220" w:top="129"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35" w:lineRule="exact"/>
        <w:rPr>
          <w:sz w:val="20"/>
          <w:szCs w:val="20"/>
          <w:color w:val="auto"/>
        </w:rPr>
      </w:pPr>
    </w:p>
    <w:p>
      <w:pPr>
        <w:ind w:firstLine="345"/>
        <w:spacing w:after="0" w:line="289" w:lineRule="auto"/>
        <w:rPr>
          <w:sz w:val="20"/>
          <w:szCs w:val="20"/>
          <w:color w:val="auto"/>
        </w:rPr>
      </w:pPr>
      <w:r>
        <w:rPr>
          <w:rFonts w:ascii="Arial" w:cs="Arial" w:eastAsia="Arial" w:hAnsi="Arial"/>
          <w:sz w:val="13"/>
          <w:szCs w:val="13"/>
          <w:color w:val="auto"/>
        </w:rPr>
        <w:t>Our most significant market risk is the pricing for crude oil, natural gas and NGL's. We expect energy prices to remain volatile and unpredictable. If energy prices decline significantly, revenues and cash flow would significantly decline. In addition, a non-cash write-down of our oil and gas properties could be required under full cost accounting rules if future oil and gas commodity prices sustained a significant decline. Prices also affect the amount of cash flow available for capital expenditures and our ability to borrow and raise additional capital, as, if and when needed. We use derivative instruments to manage our exposure to commodity price risk from time to time based on our assessment of such risk. We primarily utilize swaps and costless collars to reduce the effect of price changes on a portion of our future oil production. We do not enter into derivative instruments for trading purposes. The Company had no positions in derivative instruments at June 30, 2019.</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40"/>
          </w:cols>
          <w:pgMar w:left="220" w:top="12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6600" w:type="dxa"/>
            <w:vAlign w:val="bottom"/>
            <w:gridSpan w:val="8"/>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
        </w:trPr>
        <w:tc>
          <w:tcPr>
            <w:tcW w:w="5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15"/>
        </w:trPr>
        <w:tc>
          <w:tcPr>
            <w:tcW w:w="6600" w:type="dxa"/>
            <w:vAlign w:val="bottom"/>
            <w:gridSpan w:val="8"/>
          </w:tcPr>
          <w:p>
            <w:pPr>
              <w:spacing w:after="0"/>
              <w:rPr>
                <w:sz w:val="20"/>
                <w:szCs w:val="20"/>
                <w:color w:val="auto"/>
              </w:rPr>
            </w:pPr>
            <w:r>
              <w:rPr>
                <w:rFonts w:ascii="Arial" w:cs="Arial" w:eastAsia="Arial" w:hAnsi="Arial"/>
                <w:sz w:val="14"/>
                <w:szCs w:val="14"/>
                <w:b w:val="1"/>
                <w:bCs w:val="1"/>
                <w:color w:val="auto"/>
              </w:rPr>
              <w:t>Item 8.  Financial Statements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60"/>
        </w:trPr>
        <w:tc>
          <w:tcPr>
            <w:tcW w:w="6600" w:type="dxa"/>
            <w:vAlign w:val="bottom"/>
            <w:gridSpan w:val="8"/>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580" w:type="dxa"/>
            <w:vAlign w:val="bottom"/>
          </w:tcPr>
          <w:p>
            <w:pPr>
              <w:spacing w:after="0"/>
              <w:rPr>
                <w:sz w:val="24"/>
                <w:szCs w:val="24"/>
                <w:color w:val="auto"/>
              </w:rPr>
            </w:pPr>
          </w:p>
        </w:tc>
        <w:tc>
          <w:tcPr>
            <w:tcW w:w="3400" w:type="dxa"/>
            <w:vAlign w:val="bottom"/>
            <w:tcBorders>
              <w:bottom w:val="single" w:sz="8" w:color="0000EE"/>
            </w:tcBorders>
            <w:gridSpan w:val="4"/>
          </w:tcPr>
          <w:p>
            <w:pPr>
              <w:spacing w:after="0"/>
              <w:rPr>
                <w:rFonts w:ascii="Arial" w:cs="Arial" w:eastAsia="Arial" w:hAnsi="Arial"/>
                <w:sz w:val="14"/>
                <w:szCs w:val="14"/>
                <w:color w:val="0000EE"/>
                <w:w w:val="92"/>
              </w:rPr>
            </w:pPr>
            <w:hyperlink w:anchor="page43">
              <w:r>
                <w:rPr>
                  <w:rFonts w:ascii="Arial" w:cs="Arial" w:eastAsia="Arial" w:hAnsi="Arial"/>
                  <w:sz w:val="14"/>
                  <w:szCs w:val="14"/>
                  <w:color w:val="0000EE"/>
                  <w:w w:val="92"/>
                </w:rPr>
                <w:t>Reports of Independent Registered Public Accounting Firm</w:t>
              </w:r>
            </w:hyperlink>
          </w:p>
        </w:tc>
        <w:tc>
          <w:tcPr>
            <w:tcW w:w="262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3">
              <w:r>
                <w:rPr>
                  <w:rFonts w:ascii="Arial" w:cs="Arial" w:eastAsia="Arial" w:hAnsi="Arial"/>
                  <w:sz w:val="14"/>
                  <w:szCs w:val="14"/>
                  <w:color w:val="0000EE"/>
                  <w:w w:val="76"/>
                </w:rPr>
                <w:t>37</w:t>
              </w:r>
            </w:hyperlink>
          </w:p>
        </w:tc>
      </w:tr>
      <w:tr>
        <w:trPr>
          <w:trHeight w:val="196"/>
        </w:trPr>
        <w:tc>
          <w:tcPr>
            <w:tcW w:w="580" w:type="dxa"/>
            <w:vAlign w:val="bottom"/>
          </w:tcPr>
          <w:p>
            <w:pPr>
              <w:spacing w:after="0"/>
              <w:rPr>
                <w:sz w:val="17"/>
                <w:szCs w:val="17"/>
                <w:color w:val="auto"/>
              </w:rPr>
            </w:pPr>
          </w:p>
        </w:tc>
        <w:tc>
          <w:tcPr>
            <w:tcW w:w="33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45">
              <w:r>
                <w:rPr>
                  <w:rFonts w:ascii="Arial" w:cs="Arial" w:eastAsia="Arial" w:hAnsi="Arial"/>
                  <w:sz w:val="14"/>
                  <w:szCs w:val="14"/>
                  <w:color w:val="0000EE"/>
                  <w:w w:val="89"/>
                </w:rPr>
                <w:t>Consolidated Balance Sheets as of June 30, 2019 and 2018</w:t>
              </w:r>
            </w:hyperlink>
          </w:p>
        </w:tc>
        <w:tc>
          <w:tcPr>
            <w:tcW w:w="266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5">
              <w:r>
                <w:rPr>
                  <w:rFonts w:ascii="Arial" w:cs="Arial" w:eastAsia="Arial" w:hAnsi="Arial"/>
                  <w:sz w:val="14"/>
                  <w:szCs w:val="14"/>
                  <w:color w:val="0000EE"/>
                  <w:w w:val="76"/>
                </w:rPr>
                <w:t>39</w:t>
              </w:r>
            </w:hyperlink>
          </w:p>
        </w:tc>
      </w:tr>
      <w:tr>
        <w:trPr>
          <w:trHeight w:val="196"/>
        </w:trPr>
        <w:tc>
          <w:tcPr>
            <w:tcW w:w="580" w:type="dxa"/>
            <w:vAlign w:val="bottom"/>
          </w:tcPr>
          <w:p>
            <w:pPr>
              <w:spacing w:after="0"/>
              <w:rPr>
                <w:sz w:val="17"/>
                <w:szCs w:val="17"/>
                <w:color w:val="auto"/>
              </w:rPr>
            </w:pPr>
          </w:p>
        </w:tc>
        <w:tc>
          <w:tcPr>
            <w:tcW w:w="4780" w:type="dxa"/>
            <w:vAlign w:val="bottom"/>
            <w:tcBorders>
              <w:bottom w:val="single" w:sz="8" w:color="0000EE"/>
            </w:tcBorders>
            <w:gridSpan w:val="5"/>
          </w:tcPr>
          <w:p>
            <w:pPr>
              <w:spacing w:after="0"/>
              <w:rPr>
                <w:rFonts w:ascii="Arial" w:cs="Arial" w:eastAsia="Arial" w:hAnsi="Arial"/>
                <w:sz w:val="14"/>
                <w:szCs w:val="14"/>
                <w:color w:val="0000EE"/>
                <w:w w:val="90"/>
              </w:rPr>
            </w:pPr>
            <w:hyperlink w:anchor="page46">
              <w:r>
                <w:rPr>
                  <w:rFonts w:ascii="Arial" w:cs="Arial" w:eastAsia="Arial" w:hAnsi="Arial"/>
                  <w:sz w:val="14"/>
                  <w:szCs w:val="14"/>
                  <w:color w:val="0000EE"/>
                  <w:w w:val="90"/>
                </w:rPr>
                <w:t>Consolidated Statements of Operations for the Years ended June 30, 2019 and 2018</w:t>
              </w:r>
            </w:hyperlink>
          </w:p>
        </w:tc>
        <w:tc>
          <w:tcPr>
            <w:tcW w:w="124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6">
              <w:r>
                <w:rPr>
                  <w:rFonts w:ascii="Arial" w:cs="Arial" w:eastAsia="Arial" w:hAnsi="Arial"/>
                  <w:sz w:val="14"/>
                  <w:szCs w:val="14"/>
                  <w:color w:val="0000EE"/>
                  <w:w w:val="76"/>
                </w:rPr>
                <w:t>40</w:t>
              </w:r>
            </w:hyperlink>
          </w:p>
        </w:tc>
      </w:tr>
      <w:tr>
        <w:trPr>
          <w:trHeight w:val="196"/>
        </w:trPr>
        <w:tc>
          <w:tcPr>
            <w:tcW w:w="580" w:type="dxa"/>
            <w:vAlign w:val="bottom"/>
          </w:tcPr>
          <w:p>
            <w:pPr>
              <w:spacing w:after="0"/>
              <w:rPr>
                <w:sz w:val="17"/>
                <w:szCs w:val="17"/>
                <w:color w:val="auto"/>
              </w:rPr>
            </w:pPr>
          </w:p>
        </w:tc>
        <w:tc>
          <w:tcPr>
            <w:tcW w:w="6020" w:type="dxa"/>
            <w:vAlign w:val="bottom"/>
            <w:gridSpan w:val="7"/>
          </w:tcPr>
          <w:p>
            <w:pPr>
              <w:spacing w:after="0"/>
              <w:rPr>
                <w:rFonts w:ascii="Arial" w:cs="Arial" w:eastAsia="Arial" w:hAnsi="Arial"/>
                <w:sz w:val="14"/>
                <w:szCs w:val="14"/>
                <w:color w:val="0000EE"/>
              </w:rPr>
            </w:pPr>
            <w:hyperlink w:anchor="page47">
              <w:r>
                <w:rPr>
                  <w:rFonts w:ascii="Arial" w:cs="Arial" w:eastAsia="Arial" w:hAnsi="Arial"/>
                  <w:sz w:val="14"/>
                  <w:szCs w:val="14"/>
                  <w:color w:val="0000EE"/>
                </w:rPr>
                <w:t>Consolidated Statements of Cash Flows for the Years ended June 30, 2019 and 2018</w:t>
              </w:r>
            </w:hyperlink>
          </w:p>
        </w:tc>
        <w:tc>
          <w:tcPr>
            <w:tcW w:w="640" w:type="dxa"/>
            <w:vAlign w:val="bottom"/>
            <w:gridSpan w:val="2"/>
          </w:tcPr>
          <w:p>
            <w:pPr>
              <w:jc w:val="right"/>
              <w:spacing w:after="0"/>
              <w:rPr>
                <w:rFonts w:ascii="Arial" w:cs="Arial" w:eastAsia="Arial" w:hAnsi="Arial"/>
                <w:sz w:val="14"/>
                <w:szCs w:val="14"/>
                <w:color w:val="0000EE"/>
              </w:rPr>
            </w:pPr>
            <w:hyperlink w:anchor="page47">
              <w:r>
                <w:rPr>
                  <w:rFonts w:ascii="Arial" w:cs="Arial" w:eastAsia="Arial" w:hAnsi="Arial"/>
                  <w:sz w:val="14"/>
                  <w:szCs w:val="14"/>
                  <w:color w:val="0000EE"/>
                </w:rPr>
                <w:t>41</w:t>
              </w:r>
            </w:hyperlink>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20" w:type="dxa"/>
            <w:vAlign w:val="bottom"/>
            <w:tcBorders>
              <w:bottom w:val="single" w:sz="8" w:color="0000EE"/>
            </w:tcBorders>
            <w:gridSpan w:val="7"/>
          </w:tcPr>
          <w:p>
            <w:pPr>
              <w:spacing w:after="0"/>
              <w:rPr>
                <w:rFonts w:ascii="Arial" w:cs="Arial" w:eastAsia="Arial" w:hAnsi="Arial"/>
                <w:sz w:val="14"/>
                <w:szCs w:val="14"/>
                <w:color w:val="0000EE"/>
                <w:w w:val="91"/>
              </w:rPr>
            </w:pPr>
            <w:hyperlink w:anchor="page48">
              <w:r>
                <w:rPr>
                  <w:rFonts w:ascii="Arial" w:cs="Arial" w:eastAsia="Arial" w:hAnsi="Arial"/>
                  <w:sz w:val="14"/>
                  <w:szCs w:val="14"/>
                  <w:color w:val="0000EE"/>
                  <w:w w:val="91"/>
                </w:rPr>
                <w:t>Consolidated Statements of Changes in Stockholders' Equity for the Years ended June 30, 2019 and 2018</w:t>
              </w:r>
            </w:hyperlink>
          </w:p>
        </w:tc>
        <w:tc>
          <w:tcPr>
            <w:tcW w:w="500" w:type="dxa"/>
            <w:vAlign w:val="bottom"/>
          </w:tcPr>
          <w:p>
            <w:pPr>
              <w:spacing w:after="0"/>
              <w:rPr>
                <w:sz w:val="17"/>
                <w:szCs w:val="17"/>
                <w:color w:val="auto"/>
              </w:rPr>
            </w:pPr>
          </w:p>
        </w:tc>
        <w:tc>
          <w:tcPr>
            <w:tcW w:w="140" w:type="dxa"/>
            <w:vAlign w:val="bottom"/>
            <w:tcBorders>
              <w:bottom w:val="single" w:sz="8" w:color="0000EE"/>
            </w:tcBorders>
          </w:tcPr>
          <w:p>
            <w:pPr>
              <w:jc w:val="right"/>
              <w:spacing w:after="0"/>
              <w:rPr>
                <w:rFonts w:ascii="Arial" w:cs="Arial" w:eastAsia="Arial" w:hAnsi="Arial"/>
                <w:sz w:val="14"/>
                <w:szCs w:val="14"/>
                <w:color w:val="0000EE"/>
                <w:w w:val="76"/>
              </w:rPr>
            </w:pPr>
            <w:hyperlink w:anchor="page48">
              <w:r>
                <w:rPr>
                  <w:rFonts w:ascii="Arial" w:cs="Arial" w:eastAsia="Arial" w:hAnsi="Arial"/>
                  <w:sz w:val="14"/>
                  <w:szCs w:val="14"/>
                  <w:color w:val="0000EE"/>
                  <w:w w:val="76"/>
                </w:rPr>
                <w:t>42</w:t>
              </w:r>
            </w:hyperlink>
          </w:p>
        </w:tc>
      </w:tr>
      <w:tr>
        <w:trPr>
          <w:trHeight w:val="196"/>
        </w:trPr>
        <w:tc>
          <w:tcPr>
            <w:tcW w:w="580" w:type="dxa"/>
            <w:vAlign w:val="bottom"/>
          </w:tcPr>
          <w:p>
            <w:pPr>
              <w:spacing w:after="0"/>
              <w:rPr>
                <w:sz w:val="17"/>
                <w:szCs w:val="17"/>
                <w:color w:val="auto"/>
              </w:rPr>
            </w:pPr>
          </w:p>
        </w:tc>
        <w:tc>
          <w:tcPr>
            <w:tcW w:w="6020" w:type="dxa"/>
            <w:vAlign w:val="bottom"/>
            <w:gridSpan w:val="7"/>
          </w:tcPr>
          <w:p>
            <w:pPr>
              <w:spacing w:after="0"/>
              <w:rPr>
                <w:rFonts w:ascii="Arial" w:cs="Arial" w:eastAsia="Arial" w:hAnsi="Arial"/>
                <w:sz w:val="14"/>
                <w:szCs w:val="14"/>
                <w:color w:val="0000EE"/>
              </w:rPr>
            </w:pPr>
            <w:hyperlink w:anchor="page49">
              <w:r>
                <w:rPr>
                  <w:rFonts w:ascii="Arial" w:cs="Arial" w:eastAsia="Arial" w:hAnsi="Arial"/>
                  <w:sz w:val="14"/>
                  <w:szCs w:val="14"/>
                  <w:color w:val="0000EE"/>
                </w:rPr>
                <w:t>Notes to Consolidated Financial Statements</w:t>
              </w:r>
            </w:hyperlink>
          </w:p>
        </w:tc>
        <w:tc>
          <w:tcPr>
            <w:tcW w:w="640" w:type="dxa"/>
            <w:vAlign w:val="bottom"/>
            <w:gridSpan w:val="2"/>
          </w:tcPr>
          <w:p>
            <w:pPr>
              <w:jc w:val="right"/>
              <w:spacing w:after="0"/>
              <w:rPr>
                <w:rFonts w:ascii="Arial" w:cs="Arial" w:eastAsia="Arial" w:hAnsi="Arial"/>
                <w:sz w:val="14"/>
                <w:szCs w:val="14"/>
                <w:color w:val="0000EE"/>
              </w:rPr>
            </w:pPr>
            <w:hyperlink w:anchor="page49">
              <w:r>
                <w:rPr>
                  <w:rFonts w:ascii="Arial" w:cs="Arial" w:eastAsia="Arial" w:hAnsi="Arial"/>
                  <w:sz w:val="14"/>
                  <w:szCs w:val="14"/>
                  <w:color w:val="0000EE"/>
                </w:rPr>
                <w:t>43</w:t>
              </w:r>
            </w:hyperlink>
          </w:p>
        </w:tc>
      </w:tr>
      <w:tr>
        <w:trPr>
          <w:trHeight w:val="399"/>
        </w:trPr>
        <w:tc>
          <w:tcPr>
            <w:tcW w:w="580" w:type="dxa"/>
            <w:vAlign w:val="bottom"/>
          </w:tcPr>
          <w:p>
            <w:pPr>
              <w:spacing w:after="0"/>
              <w:rPr>
                <w:sz w:val="24"/>
                <w:szCs w:val="24"/>
                <w:color w:val="auto"/>
              </w:rPr>
            </w:pPr>
          </w:p>
        </w:tc>
        <w:tc>
          <w:tcPr>
            <w:tcW w:w="2480" w:type="dxa"/>
            <w:vAlign w:val="bottom"/>
            <w:tcBorders>
              <w:top w:val="single" w:sz="8" w:color="0000EE"/>
            </w:tcBorders>
            <w:gridSpan w:val="2"/>
          </w:tcPr>
          <w:p>
            <w:pPr>
              <w:spacing w:after="0"/>
              <w:rPr>
                <w:sz w:val="24"/>
                <w:szCs w:val="24"/>
                <w:color w:val="auto"/>
              </w:rPr>
            </w:pPr>
          </w:p>
        </w:tc>
        <w:tc>
          <w:tcPr>
            <w:tcW w:w="3540" w:type="dxa"/>
            <w:vAlign w:val="bottom"/>
            <w:gridSpan w:val="5"/>
          </w:tcPr>
          <w:p>
            <w:pPr>
              <w:jc w:val="right"/>
              <w:ind w:right="800"/>
              <w:spacing w:after="0"/>
              <w:rPr>
                <w:sz w:val="20"/>
                <w:szCs w:val="20"/>
                <w:color w:val="auto"/>
              </w:rPr>
            </w:pPr>
            <w:r>
              <w:rPr>
                <w:rFonts w:ascii="Arial" w:cs="Arial" w:eastAsia="Arial" w:hAnsi="Arial"/>
                <w:sz w:val="14"/>
                <w:szCs w:val="14"/>
                <w:color w:val="auto"/>
              </w:rPr>
              <w:t>36</w:t>
            </w:r>
          </w:p>
        </w:tc>
        <w:tc>
          <w:tcPr>
            <w:tcW w:w="5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r>
    </w:tbl>
    <w:p>
      <w:pPr>
        <w:sectPr>
          <w:pgSz w:w="11900" w:h="16838" w:orient="portrait"/>
          <w:cols w:equalWidth="0" w:num="1">
            <w:col w:w="10239"/>
          </w:cols>
          <w:pgMar w:left="220" w:top="119" w:right="1440"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Evolution Petroleum Corporation</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Financial Statements</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We have audited the accompanying consolidated balance sheets of Evolution Petroleum Corporation and Subsidiaries (the “Company”) as of June 30, 2019 and 2018, the related consolidated statements of operations, cash flows and changes in stockholders’ equity for the years then ended, and the related notes (collectively referred to as the “consolidated financial statements”). In our opinion, the consolidated financial statements present fairly, in all material respects, the consolidated financial position of the Company as of June 30, 2019 and 2018, and the consolidated results of its operations and its cash flows for the years then ended, in conformity with accounting principles generally accepted in the United States of America.</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(“PCAOB”), the Company’s internal control over financial reporting as of June 30, 2019,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and our report dated September 12, 2019 expressed an unqualified opinion on the Company’s internal control over financial reporting.</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79"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i w:val="1"/>
          <w:iCs w:val="1"/>
          <w:color w:val="auto"/>
        </w:rPr>
        <w:t>/s/</w:t>
      </w:r>
      <w:r>
        <w:rPr>
          <w:sz w:val="20"/>
          <w:szCs w:val="20"/>
          <w:color w:val="auto"/>
        </w:rPr>
        <w:tab/>
      </w:r>
      <w:r>
        <w:rPr>
          <w:rFonts w:ascii="Arial" w:cs="Arial" w:eastAsia="Arial" w:hAnsi="Arial"/>
          <w:sz w:val="14"/>
          <w:szCs w:val="14"/>
          <w:color w:val="auto"/>
        </w:rPr>
        <w:t>Moss Adams LLP</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Houston, Texas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September 12, 2019</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60"/>
          </w:cols>
          <w:pgMar w:left="220" w:top="129" w:right="21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Evolution Petroleum Corporation</w:t>
      </w: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Internal Control over Financial Reporting</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 xml:space="preserve">We have audited Evolution Petroleum Corporation and Subsidiaries’ (the “Company”) internal control over financial reporting as of June 30, 2019, based on criteria established in </w:t>
      </w:r>
      <w:r>
        <w:rPr>
          <w:rFonts w:ascii="Arial" w:cs="Arial" w:eastAsia="Arial" w:hAnsi="Arial"/>
          <w:sz w:val="13"/>
          <w:szCs w:val="13"/>
          <w:i w:val="1"/>
          <w:iCs w:val="1"/>
          <w:color w:val="auto"/>
        </w:rPr>
        <w:t>Internal Control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Integrated Framework (2013) </w:t>
      </w:r>
      <w:r>
        <w:rPr>
          <w:rFonts w:ascii="Arial" w:cs="Arial" w:eastAsia="Arial" w:hAnsi="Arial"/>
          <w:sz w:val="13"/>
          <w:szCs w:val="13"/>
          <w:color w:val="auto"/>
        </w:rPr>
        <w:t>issued by the Committee of Sponsoring Organizations of the Treadway Commission (“COSO”). In our opinion, the Company maintained, in all material respects,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effective internal control over financial reporting as of June 30, 2019,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COSO.</w:t>
      </w:r>
    </w:p>
    <w:p>
      <w:pPr>
        <w:spacing w:after="0" w:line="147"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Evolution Petroleum Corporation and Subsidiaries as of June 30, 2019 and 2018, the related consolidated statements of operations, cash flows and changes in stockholders’ equity for the years then ended, and the related notes (collectively referred to as the “consolidated financial statements”) and our report dated September 12, 2019 expressed an unqualified opinion on those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/s/ Moss Adams LLP</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Houston, Texas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September 12, 2019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129" w:right="21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2019</w:t>
            </w:r>
          </w:p>
        </w:tc>
        <w:tc>
          <w:tcPr>
            <w:tcW w:w="240" w:type="dxa"/>
            <w:vAlign w:val="bottom"/>
          </w:tcPr>
          <w:p>
            <w:pPr>
              <w:spacing w:after="0"/>
              <w:rPr>
                <w:sz w:val="13"/>
                <w:szCs w:val="13"/>
                <w:color w:val="auto"/>
              </w:rPr>
            </w:pPr>
          </w:p>
        </w:tc>
        <w:tc>
          <w:tcPr>
            <w:tcW w:w="1240" w:type="dxa"/>
            <w:vAlign w:val="bottom"/>
          </w:tcPr>
          <w:p>
            <w:pPr>
              <w:jc w:val="right"/>
              <w:ind w:right="343"/>
              <w:spacing w:after="0"/>
              <w:rPr>
                <w:sz w:val="20"/>
                <w:szCs w:val="20"/>
                <w:color w:val="auto"/>
              </w:rPr>
            </w:pPr>
            <w:r>
              <w:rPr>
                <w:rFonts w:ascii="Arial" w:cs="Arial" w:eastAsia="Arial" w:hAnsi="Arial"/>
                <w:sz w:val="11"/>
                <w:szCs w:val="11"/>
                <w:b w:val="1"/>
                <w:bCs w:val="1"/>
                <w:color w:val="auto"/>
              </w:rPr>
              <w:t>June 30, 2018</w:t>
            </w:r>
          </w:p>
        </w:tc>
        <w:tc>
          <w:tcPr>
            <w:tcW w:w="0" w:type="dxa"/>
            <w:vAlign w:val="bottom"/>
          </w:tcPr>
          <w:p>
            <w:pPr>
              <w:spacing w:after="0"/>
              <w:rPr>
                <w:sz w:val="1"/>
                <w:szCs w:val="1"/>
                <w:color w:val="auto"/>
              </w:rPr>
            </w:pPr>
          </w:p>
        </w:tc>
      </w:tr>
      <w:tr>
        <w:trPr>
          <w:trHeight w:val="200"/>
        </w:trPr>
        <w:tc>
          <w:tcPr>
            <w:tcW w:w="8360" w:type="dxa"/>
            <w:vAlign w:val="bottom"/>
            <w:tcBorders>
              <w:top w:val="single" w:sz="8" w:color="CCEEFF"/>
            </w:tcBorders>
            <w:shd w:val="clear" w:color="auto" w:fill="CCEEFF"/>
          </w:tcPr>
          <w:p>
            <w:pPr>
              <w:ind w:left="4040"/>
              <w:spacing w:after="0"/>
              <w:rPr>
                <w:sz w:val="20"/>
                <w:szCs w:val="20"/>
                <w:color w:val="auto"/>
              </w:rPr>
            </w:pPr>
            <w:r>
              <w:rPr>
                <w:rFonts w:ascii="Arial" w:cs="Arial" w:eastAsia="Arial" w:hAnsi="Arial"/>
                <w:sz w:val="11"/>
                <w:szCs w:val="11"/>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Cash and cash equivalents</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31,552,533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24,929,844</w:t>
            </w:r>
          </w:p>
        </w:tc>
        <w:tc>
          <w:tcPr>
            <w:tcW w:w="0" w:type="dxa"/>
            <w:vAlign w:val="bottom"/>
          </w:tcPr>
          <w:p>
            <w:pPr>
              <w:spacing w:after="0"/>
              <w:rPr>
                <w:sz w:val="1"/>
                <w:szCs w:val="1"/>
                <w:color w:val="auto"/>
              </w:rPr>
            </w:pPr>
          </w:p>
        </w:tc>
      </w:tr>
      <w:tr>
        <w:trPr>
          <w:trHeight w:val="211"/>
        </w:trPr>
        <w:tc>
          <w:tcPr>
            <w:tcW w:w="8360" w:type="dxa"/>
            <w:vAlign w:val="bottom"/>
          </w:tcPr>
          <w:p>
            <w:pPr>
              <w:ind w:left="140"/>
              <w:spacing w:after="0"/>
              <w:rPr>
                <w:sz w:val="20"/>
                <w:szCs w:val="20"/>
                <w:color w:val="auto"/>
              </w:rPr>
            </w:pPr>
            <w:r>
              <w:rPr>
                <w:rFonts w:ascii="Arial" w:cs="Arial" w:eastAsia="Arial" w:hAnsi="Arial"/>
                <w:sz w:val="11"/>
                <w:szCs w:val="11"/>
                <w:color w:val="auto"/>
              </w:rPr>
              <w:t>Restricted cash</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1"/>
                <w:szCs w:val="11"/>
                <w:color w:val="auto"/>
              </w:rPr>
              <w:t>2,751,289</w:t>
            </w: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Receivables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3,168,116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3,941,916</w:t>
            </w: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458,278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524,507</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35,178,927</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32,147,556</w:t>
            </w:r>
          </w:p>
        </w:tc>
        <w:tc>
          <w:tcPr>
            <w:tcW w:w="0" w:type="dxa"/>
            <w:vAlign w:val="bottom"/>
          </w:tcPr>
          <w:p>
            <w:pPr>
              <w:spacing w:after="0"/>
              <w:rPr>
                <w:sz w:val="1"/>
                <w:szCs w:val="1"/>
                <w:color w:val="auto"/>
              </w:rPr>
            </w:pPr>
          </w:p>
        </w:tc>
      </w:tr>
      <w:tr>
        <w:trPr>
          <w:trHeight w:val="191"/>
        </w:trPr>
        <w:tc>
          <w:tcPr>
            <w:tcW w:w="8360" w:type="dxa"/>
            <w:vAlign w:val="bottom"/>
          </w:tcPr>
          <w:p>
            <w:pPr>
              <w:ind w:left="20"/>
              <w:spacing w:after="0"/>
              <w:rPr>
                <w:sz w:val="20"/>
                <w:szCs w:val="20"/>
                <w:color w:val="auto"/>
              </w:rPr>
            </w:pPr>
            <w:r>
              <w:rPr>
                <w:rFonts w:ascii="Arial" w:cs="Arial" w:eastAsia="Arial" w:hAnsi="Arial"/>
                <w:sz w:val="11"/>
                <w:szCs w:val="11"/>
                <w:color w:val="auto"/>
              </w:rPr>
              <w:t>Property and equipment, net of depreciation, depletion, and amortization</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Oil and natural gas properties—full-cost method of accounting, of which none were excluded from amortization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60,346,466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61,239,746</w:t>
            </w: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property and equipment, net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26,418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30,407</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property and equipment, net</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60,372,884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61,270,153</w:t>
            </w: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assets, net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210,033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244,835</w:t>
            </w:r>
          </w:p>
        </w:tc>
        <w:tc>
          <w:tcPr>
            <w:tcW w:w="0" w:type="dxa"/>
            <w:vAlign w:val="bottom"/>
          </w:tcPr>
          <w:p>
            <w:pPr>
              <w:spacing w:after="0"/>
              <w:rPr>
                <w:sz w:val="1"/>
                <w:szCs w:val="1"/>
                <w:color w:val="auto"/>
              </w:rPr>
            </w:pPr>
          </w:p>
        </w:tc>
      </w:tr>
      <w:tr>
        <w:trPr>
          <w:trHeight w:val="189"/>
        </w:trPr>
        <w:tc>
          <w:tcPr>
            <w:tcW w:w="8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Total assets</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95,761,844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93,662,544</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3300"/>
              <w:spacing w:after="0"/>
              <w:rPr>
                <w:sz w:val="20"/>
                <w:szCs w:val="20"/>
                <w:color w:val="auto"/>
              </w:rPr>
            </w:pPr>
            <w:r>
              <w:rPr>
                <w:rFonts w:ascii="Arial" w:cs="Arial" w:eastAsia="Arial" w:hAnsi="Arial"/>
                <w:sz w:val="11"/>
                <w:szCs w:val="11"/>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360" w:type="dxa"/>
            <w:vAlign w:val="bottom"/>
          </w:tcPr>
          <w:p>
            <w:pPr>
              <w:ind w:left="140"/>
              <w:spacing w:after="0"/>
              <w:rPr>
                <w:sz w:val="20"/>
                <w:szCs w:val="20"/>
                <w:color w:val="auto"/>
              </w:rPr>
            </w:pPr>
            <w:r>
              <w:rPr>
                <w:rFonts w:ascii="Arial" w:cs="Arial" w:eastAsia="Arial" w:hAnsi="Arial"/>
                <w:sz w:val="11"/>
                <w:szCs w:val="11"/>
                <w:color w:val="auto"/>
              </w:rPr>
              <w:t>Accounts payable</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63"/>
              <w:spacing w:after="0"/>
              <w:rPr>
                <w:sz w:val="20"/>
                <w:szCs w:val="20"/>
                <w:color w:val="auto"/>
              </w:rPr>
            </w:pPr>
            <w:r>
              <w:rPr>
                <w:rFonts w:ascii="Arial" w:cs="Arial" w:eastAsia="Arial" w:hAnsi="Arial"/>
                <w:sz w:val="11"/>
                <w:szCs w:val="11"/>
                <w:color w:val="auto"/>
              </w:rPr>
              <w:t>2,084,140</w:t>
            </w:r>
          </w:p>
        </w:tc>
        <w:tc>
          <w:tcPr>
            <w:tcW w:w="120" w:type="dxa"/>
            <w:vAlign w:val="bottom"/>
          </w:tcPr>
          <w:p>
            <w:pPr>
              <w:spacing w:after="0"/>
              <w:rPr>
                <w:sz w:val="18"/>
                <w:szCs w:val="18"/>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43"/>
              <w:spacing w:after="0"/>
              <w:rPr>
                <w:sz w:val="20"/>
                <w:szCs w:val="20"/>
                <w:color w:val="auto"/>
              </w:rPr>
            </w:pPr>
            <w:r>
              <w:rPr>
                <w:rFonts w:ascii="Arial" w:cs="Arial" w:eastAsia="Arial" w:hAnsi="Arial"/>
                <w:sz w:val="11"/>
                <w:szCs w:val="11"/>
                <w:color w:val="auto"/>
              </w:rPr>
              <w:t>3,432,568</w:t>
            </w: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Accrued liabilities and other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537,755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874,886</w:t>
            </w: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State and federal taxes payable</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130,799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122,760</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current liabilities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2,752,694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4,430,214</w:t>
            </w:r>
          </w:p>
        </w:tc>
        <w:tc>
          <w:tcPr>
            <w:tcW w:w="0" w:type="dxa"/>
            <w:vAlign w:val="bottom"/>
          </w:tcPr>
          <w:p>
            <w:pPr>
              <w:spacing w:after="0"/>
              <w:rPr>
                <w:sz w:val="1"/>
                <w:szCs w:val="1"/>
                <w:color w:val="auto"/>
              </w:rPr>
            </w:pPr>
          </w:p>
        </w:tc>
      </w:tr>
      <w:tr>
        <w:trPr>
          <w:trHeight w:val="211"/>
        </w:trPr>
        <w:tc>
          <w:tcPr>
            <w:tcW w:w="8360" w:type="dxa"/>
            <w:vAlign w:val="bottom"/>
          </w:tcPr>
          <w:p>
            <w:pPr>
              <w:ind w:left="20"/>
              <w:spacing w:after="0"/>
              <w:rPr>
                <w:sz w:val="20"/>
                <w:szCs w:val="20"/>
                <w:color w:val="auto"/>
              </w:rPr>
            </w:pPr>
            <w:r>
              <w:rPr>
                <w:rFonts w:ascii="Arial" w:cs="Arial" w:eastAsia="Arial" w:hAnsi="Arial"/>
                <w:sz w:val="11"/>
                <w:szCs w:val="11"/>
                <w:color w:val="auto"/>
              </w:rPr>
              <w:t>Long term liabilities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Deferred income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11,322,691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10,555,435</w:t>
            </w: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Asset retirement obligations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1,560,601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1,387,416</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15,635,986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16,373,065</w:t>
            </w:r>
          </w:p>
        </w:tc>
        <w:tc>
          <w:tcPr>
            <w:tcW w:w="0" w:type="dxa"/>
            <w:vAlign w:val="bottom"/>
          </w:tcPr>
          <w:p>
            <w:pPr>
              <w:spacing w:after="0"/>
              <w:rPr>
                <w:sz w:val="1"/>
                <w:szCs w:val="1"/>
                <w:color w:val="auto"/>
              </w:rPr>
            </w:pPr>
          </w:p>
        </w:tc>
      </w:tr>
      <w:tr>
        <w:trPr>
          <w:trHeight w:val="191"/>
        </w:trPr>
        <w:tc>
          <w:tcPr>
            <w:tcW w:w="8360" w:type="dxa"/>
            <w:vAlign w:val="bottom"/>
          </w:tcPr>
          <w:p>
            <w:pPr>
              <w:ind w:left="20"/>
              <w:spacing w:after="0"/>
              <w:rPr>
                <w:sz w:val="20"/>
                <w:szCs w:val="20"/>
                <w:color w:val="auto"/>
              </w:rPr>
            </w:pPr>
            <w:r>
              <w:rPr>
                <w:rFonts w:ascii="Arial" w:cs="Arial" w:eastAsia="Arial" w:hAnsi="Arial"/>
                <w:sz w:val="11"/>
                <w:szCs w:val="11"/>
                <w:color w:val="auto"/>
              </w:rPr>
              <w:t>Commitments and contingencies (Note 16)</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360" w:type="dxa"/>
            <w:vAlign w:val="bottom"/>
          </w:tcPr>
          <w:p>
            <w:pPr>
              <w:ind w:left="140"/>
              <w:spacing w:after="0"/>
              <w:rPr>
                <w:sz w:val="20"/>
                <w:szCs w:val="20"/>
                <w:color w:val="auto"/>
              </w:rPr>
            </w:pPr>
            <w:r>
              <w:rPr>
                <w:rFonts w:ascii="Arial" w:cs="Arial" w:eastAsia="Arial" w:hAnsi="Arial"/>
                <w:sz w:val="11"/>
                <w:szCs w:val="11"/>
                <w:color w:val="auto"/>
                <w:w w:val="99"/>
              </w:rPr>
              <w:t>Common stock; par value $0.001; 100,000,000 shares authorized: issued and outstanding 33,183,730 and 33,080,543 shares as of June 30, 2019 and 2018, respectively</w:t>
            </w:r>
          </w:p>
        </w:tc>
        <w:tc>
          <w:tcPr>
            <w:tcW w:w="260" w:type="dxa"/>
            <w:vAlign w:val="bottom"/>
          </w:tcPr>
          <w:p>
            <w:pPr>
              <w:spacing w:after="0"/>
              <w:rPr>
                <w:sz w:val="18"/>
                <w:szCs w:val="18"/>
                <w:color w:val="auto"/>
              </w:rPr>
            </w:pPr>
          </w:p>
        </w:tc>
        <w:tc>
          <w:tcPr>
            <w:tcW w:w="1240" w:type="dxa"/>
            <w:vAlign w:val="bottom"/>
          </w:tcPr>
          <w:p>
            <w:pPr>
              <w:jc w:val="right"/>
              <w:ind w:right="63"/>
              <w:spacing w:after="0"/>
              <w:rPr>
                <w:sz w:val="20"/>
                <w:szCs w:val="20"/>
                <w:color w:val="auto"/>
              </w:rPr>
            </w:pPr>
            <w:r>
              <w:rPr>
                <w:rFonts w:ascii="Arial" w:cs="Arial" w:eastAsia="Arial" w:hAnsi="Arial"/>
                <w:sz w:val="11"/>
                <w:szCs w:val="11"/>
                <w:color w:val="auto"/>
              </w:rPr>
              <w:t>33,183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3"/>
              <w:spacing w:after="0"/>
              <w:rPr>
                <w:sz w:val="20"/>
                <w:szCs w:val="20"/>
                <w:color w:val="auto"/>
              </w:rPr>
            </w:pPr>
            <w:r>
              <w:rPr>
                <w:rFonts w:ascii="Arial" w:cs="Arial" w:eastAsia="Arial" w:hAnsi="Arial"/>
                <w:sz w:val="11"/>
                <w:szCs w:val="11"/>
                <w:color w:val="auto"/>
              </w:rPr>
              <w:t>33,080</w:t>
            </w:r>
          </w:p>
        </w:tc>
        <w:tc>
          <w:tcPr>
            <w:tcW w:w="0" w:type="dxa"/>
            <w:vAlign w:val="bottom"/>
          </w:tcPr>
          <w:p>
            <w:pPr>
              <w:spacing w:after="0"/>
              <w:rPr>
                <w:sz w:val="1"/>
                <w:szCs w:val="1"/>
                <w:color w:val="auto"/>
              </w:rPr>
            </w:pPr>
          </w:p>
        </w:tc>
      </w:tr>
      <w:tr>
        <w:trPr>
          <w:trHeight w:val="220"/>
        </w:trPr>
        <w:tc>
          <w:tcPr>
            <w:tcW w:w="83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Additional paid-in capital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42,488,913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41,757,645</w:t>
            </w:r>
          </w:p>
        </w:tc>
        <w:tc>
          <w:tcPr>
            <w:tcW w:w="0" w:type="dxa"/>
            <w:vAlign w:val="bottom"/>
          </w:tcPr>
          <w:p>
            <w:pPr>
              <w:spacing w:after="0"/>
              <w:rPr>
                <w:sz w:val="1"/>
                <w:szCs w:val="1"/>
                <w:color w:val="auto"/>
              </w:rPr>
            </w:pPr>
          </w:p>
        </w:tc>
      </w:tr>
      <w:tr>
        <w:trPr>
          <w:trHeight w:val="211"/>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Retained earnings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37,603,762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35,498,754</w:t>
            </w: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ind w:left="400"/>
              <w:spacing w:after="0"/>
              <w:rPr>
                <w:sz w:val="20"/>
                <w:szCs w:val="20"/>
                <w:color w:val="auto"/>
              </w:rPr>
            </w:pPr>
            <w:r>
              <w:rPr>
                <w:rFonts w:ascii="Arial" w:cs="Arial" w:eastAsia="Arial" w:hAnsi="Arial"/>
                <w:sz w:val="11"/>
                <w:szCs w:val="11"/>
                <w:color w:val="auto"/>
              </w:rPr>
              <w:t>Total stockholders'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80,125,858</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77,289,479</w:t>
            </w:r>
          </w:p>
        </w:tc>
        <w:tc>
          <w:tcPr>
            <w:tcW w:w="0" w:type="dxa"/>
            <w:vAlign w:val="bottom"/>
          </w:tcPr>
          <w:p>
            <w:pPr>
              <w:spacing w:after="0"/>
              <w:rPr>
                <w:sz w:val="1"/>
                <w:szCs w:val="1"/>
                <w:color w:val="auto"/>
              </w:rPr>
            </w:pPr>
          </w:p>
        </w:tc>
      </w:tr>
      <w:tr>
        <w:trPr>
          <w:trHeight w:val="189"/>
        </w:trPr>
        <w:tc>
          <w:tcPr>
            <w:tcW w:w="8360" w:type="dxa"/>
            <w:vAlign w:val="bottom"/>
          </w:tcPr>
          <w:p>
            <w:pPr>
              <w:ind w:left="400"/>
              <w:spacing w:after="0"/>
              <w:rPr>
                <w:sz w:val="20"/>
                <w:szCs w:val="20"/>
                <w:color w:val="auto"/>
              </w:rPr>
            </w:pPr>
            <w:r>
              <w:rPr>
                <w:rFonts w:ascii="Arial" w:cs="Arial" w:eastAsia="Arial" w:hAnsi="Arial"/>
                <w:sz w:val="11"/>
                <w:szCs w:val="11"/>
                <w:color w:val="auto"/>
              </w:rPr>
              <w:t>Total liabilities and stockholders' equity</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95,761,844</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93,662,544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left="38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60"/>
          </w:cols>
          <w:pgMar w:left="220" w:top="129" w:right="21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1"/>
                <w:szCs w:val="11"/>
                <w:b w:val="1"/>
                <w:bCs w:val="1"/>
                <w:color w:val="auto"/>
              </w:rPr>
              <w:t>Years Ended June 30,</w:t>
            </w:r>
          </w:p>
        </w:tc>
        <w:tc>
          <w:tcPr>
            <w:tcW w:w="920" w:type="dxa"/>
            <w:vAlign w:val="bottom"/>
            <w:tcBorders>
              <w:bottom w:val="single" w:sz="8" w:color="auto"/>
            </w:tcBorders>
          </w:tcPr>
          <w:p>
            <w:pPr>
              <w:spacing w:after="0"/>
              <w:rPr>
                <w:sz w:val="13"/>
                <w:szCs w:val="13"/>
                <w:color w:val="auto"/>
              </w:rPr>
            </w:pPr>
          </w:p>
        </w:tc>
      </w:tr>
      <w:tr>
        <w:trPr>
          <w:trHeight w:val="206"/>
        </w:trPr>
        <w:tc>
          <w:tcPr>
            <w:tcW w:w="8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2018</w:t>
            </w:r>
          </w:p>
        </w:tc>
      </w:tr>
      <w:tr>
        <w:trPr>
          <w:trHeight w:val="19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Revenues</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89"/>
        </w:trPr>
        <w:tc>
          <w:tcPr>
            <w:tcW w:w="8360" w:type="dxa"/>
            <w:vAlign w:val="bottom"/>
          </w:tcPr>
          <w:p>
            <w:pPr>
              <w:ind w:left="20"/>
              <w:spacing w:after="0"/>
              <w:rPr>
                <w:sz w:val="20"/>
                <w:szCs w:val="20"/>
                <w:color w:val="auto"/>
              </w:rPr>
            </w:pPr>
            <w:r>
              <w:rPr>
                <w:rFonts w:ascii="Arial" w:cs="Arial" w:eastAsia="Arial" w:hAnsi="Arial"/>
                <w:sz w:val="13"/>
                <w:szCs w:val="13"/>
                <w:color w:val="auto"/>
              </w:rPr>
              <w:t>Crude oil</w:t>
            </w: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40,779,052</w:t>
            </w:r>
          </w:p>
        </w:tc>
        <w:tc>
          <w:tcPr>
            <w:tcW w:w="120" w:type="dxa"/>
            <w:vAlign w:val="bottom"/>
          </w:tcPr>
          <w:p>
            <w:pPr>
              <w:spacing w:after="0"/>
              <w:rPr>
                <w:sz w:val="16"/>
                <w:szCs w:val="16"/>
                <w:color w:val="auto"/>
              </w:rPr>
            </w:pPr>
          </w:p>
        </w:tc>
        <w:tc>
          <w:tcPr>
            <w:tcW w:w="56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38,153,417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Natural gas liquids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2,449,359</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2,620,110</w:t>
            </w:r>
          </w:p>
        </w:tc>
      </w:tr>
      <w:tr>
        <w:trPr>
          <w:trHeight w:val="189"/>
        </w:trPr>
        <w:tc>
          <w:tcPr>
            <w:tcW w:w="8360" w:type="dxa"/>
            <w:vAlign w:val="bottom"/>
          </w:tcPr>
          <w:p>
            <w:pPr>
              <w:ind w:left="20"/>
              <w:spacing w:after="0"/>
              <w:rPr>
                <w:sz w:val="20"/>
                <w:szCs w:val="20"/>
                <w:color w:val="auto"/>
              </w:rPr>
            </w:pPr>
            <w:r>
              <w:rPr>
                <w:rFonts w:ascii="Arial" w:cs="Arial" w:eastAsia="Arial" w:hAnsi="Arial"/>
                <w:sz w:val="13"/>
                <w:szCs w:val="13"/>
                <w:color w:val="auto"/>
              </w:rPr>
              <w:t>Natural gas</w:t>
            </w:r>
          </w:p>
        </w:tc>
        <w:tc>
          <w:tcPr>
            <w:tcW w:w="36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1,210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Total revenues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43,229,621</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40,773,527</w:t>
            </w:r>
          </w:p>
        </w:tc>
      </w:tr>
      <w:tr>
        <w:trPr>
          <w:trHeight w:val="169"/>
        </w:trPr>
        <w:tc>
          <w:tcPr>
            <w:tcW w:w="8360" w:type="dxa"/>
            <w:vAlign w:val="bottom"/>
          </w:tcPr>
          <w:p>
            <w:pPr>
              <w:ind w:left="20"/>
              <w:spacing w:after="0"/>
              <w:rPr>
                <w:sz w:val="20"/>
                <w:szCs w:val="20"/>
                <w:color w:val="auto"/>
              </w:rPr>
            </w:pPr>
            <w:r>
              <w:rPr>
                <w:rFonts w:ascii="Arial" w:cs="Arial" w:eastAsia="Arial" w:hAnsi="Arial"/>
                <w:sz w:val="13"/>
                <w:szCs w:val="13"/>
                <w:color w:val="auto"/>
              </w:rPr>
              <w:t>Operating costs</w:t>
            </w: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Production costs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14,266,784</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11,685,817</w:t>
            </w:r>
          </w:p>
        </w:tc>
      </w:tr>
      <w:tr>
        <w:trPr>
          <w:trHeight w:val="189"/>
        </w:trPr>
        <w:tc>
          <w:tcPr>
            <w:tcW w:w="8360" w:type="dxa"/>
            <w:vAlign w:val="bottom"/>
          </w:tcPr>
          <w:p>
            <w:pPr>
              <w:ind w:left="140"/>
              <w:spacing w:after="0"/>
              <w:rPr>
                <w:sz w:val="20"/>
                <w:szCs w:val="20"/>
                <w:color w:val="auto"/>
              </w:rPr>
            </w:pPr>
            <w:r>
              <w:rPr>
                <w:rFonts w:ascii="Arial" w:cs="Arial" w:eastAsia="Arial" w:hAnsi="Arial"/>
                <w:sz w:val="13"/>
                <w:szCs w:val="13"/>
                <w:color w:val="auto"/>
              </w:rPr>
              <w:t>Depreciation, depletion and amortization</w:t>
            </w:r>
          </w:p>
        </w:tc>
        <w:tc>
          <w:tcPr>
            <w:tcW w:w="36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6,253,083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6,102,288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General and administrative expenses*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5,072,931</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6,773,781</w:t>
            </w:r>
          </w:p>
        </w:tc>
      </w:tr>
      <w:tr>
        <w:trPr>
          <w:trHeight w:val="169"/>
        </w:trPr>
        <w:tc>
          <w:tcPr>
            <w:tcW w:w="8360" w:type="dxa"/>
            <w:vAlign w:val="bottom"/>
          </w:tcPr>
          <w:p>
            <w:pPr>
              <w:ind w:left="480"/>
              <w:spacing w:after="0"/>
              <w:rPr>
                <w:sz w:val="20"/>
                <w:szCs w:val="20"/>
                <w:color w:val="auto"/>
              </w:rPr>
            </w:pPr>
            <w:r>
              <w:rPr>
                <w:rFonts w:ascii="Arial" w:cs="Arial" w:eastAsia="Arial" w:hAnsi="Arial"/>
                <w:sz w:val="13"/>
                <w:szCs w:val="13"/>
                <w:color w:val="auto"/>
              </w:rPr>
              <w:t>Total operating costs</w:t>
            </w: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25,592,798</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24,561,886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from operations</w:t>
            </w: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17,636,823</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16,211,641</w:t>
            </w:r>
          </w:p>
        </w:tc>
      </w:tr>
      <w:tr>
        <w:trPr>
          <w:trHeight w:val="189"/>
        </w:trPr>
        <w:tc>
          <w:tcPr>
            <w:tcW w:w="8360" w:type="dxa"/>
            <w:vAlign w:val="bottom"/>
          </w:tcPr>
          <w:p>
            <w:pPr>
              <w:ind w:left="20"/>
              <w:spacing w:after="0"/>
              <w:rPr>
                <w:sz w:val="20"/>
                <w:szCs w:val="20"/>
                <w:color w:val="auto"/>
              </w:rPr>
            </w:pPr>
            <w:r>
              <w:rPr>
                <w:rFonts w:ascii="Arial" w:cs="Arial" w:eastAsia="Arial" w:hAnsi="Arial"/>
                <w:sz w:val="13"/>
                <w:szCs w:val="13"/>
                <w:color w:val="auto"/>
              </w:rPr>
              <w:t>Other</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Enduro transaction breakup fee</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1,100,000</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89"/>
        </w:trPr>
        <w:tc>
          <w:tcPr>
            <w:tcW w:w="8360" w:type="dxa"/>
            <w:vAlign w:val="bottom"/>
          </w:tcPr>
          <w:p>
            <w:pPr>
              <w:ind w:left="140"/>
              <w:spacing w:after="0"/>
              <w:rPr>
                <w:sz w:val="20"/>
                <w:szCs w:val="20"/>
                <w:color w:val="auto"/>
              </w:rPr>
            </w:pPr>
            <w:r>
              <w:rPr>
                <w:rFonts w:ascii="Arial" w:cs="Arial" w:eastAsia="Arial" w:hAnsi="Arial"/>
                <w:sz w:val="13"/>
                <w:szCs w:val="13"/>
                <w:color w:val="auto"/>
              </w:rPr>
              <w:t>Interest and other income</w:t>
            </w:r>
          </w:p>
        </w:tc>
        <w:tc>
          <w:tcPr>
            <w:tcW w:w="36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239,150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85,654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(116,546)</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(110,780)</w:t>
            </w:r>
          </w:p>
        </w:tc>
      </w:tr>
      <w:tr>
        <w:trPr>
          <w:trHeight w:val="169"/>
        </w:trPr>
        <w:tc>
          <w:tcPr>
            <w:tcW w:w="8360" w:type="dxa"/>
            <w:vAlign w:val="bottom"/>
          </w:tcPr>
          <w:p>
            <w:pPr>
              <w:ind w:left="20"/>
              <w:spacing w:after="0"/>
              <w:rPr>
                <w:sz w:val="20"/>
                <w:szCs w:val="20"/>
                <w:color w:val="auto"/>
              </w:rPr>
            </w:pPr>
            <w:r>
              <w:rPr>
                <w:rFonts w:ascii="Arial" w:cs="Arial" w:eastAsia="Arial" w:hAnsi="Arial"/>
                <w:sz w:val="13"/>
                <w:szCs w:val="13"/>
                <w:color w:val="auto"/>
              </w:rPr>
              <w:t>Income before income tax provision</w:t>
            </w: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18,859,427</w:t>
            </w: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16,186,515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tax provision (benefit)</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3,482,361</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(3,431,969)</w:t>
            </w:r>
          </w:p>
        </w:tc>
      </w:tr>
      <w:tr>
        <w:trPr>
          <w:trHeight w:val="22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attributable to common shareholders</w:t>
            </w: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rPr>
              <w:t>15,377,066</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rPr>
              <w:t>19,618,484</w:t>
            </w:r>
          </w:p>
        </w:tc>
      </w:tr>
      <w:tr>
        <w:trPr>
          <w:trHeight w:val="16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Earnings per common share</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r>
      <w:tr>
        <w:trPr>
          <w:trHeight w:val="189"/>
        </w:trPr>
        <w:tc>
          <w:tcPr>
            <w:tcW w:w="8360" w:type="dxa"/>
            <w:vAlign w:val="bottom"/>
          </w:tcPr>
          <w:p>
            <w:pPr>
              <w:ind w:left="140"/>
              <w:spacing w:after="0"/>
              <w:rPr>
                <w:sz w:val="20"/>
                <w:szCs w:val="20"/>
                <w:color w:val="auto"/>
              </w:rPr>
            </w:pPr>
            <w:r>
              <w:rPr>
                <w:rFonts w:ascii="Arial" w:cs="Arial" w:eastAsia="Arial" w:hAnsi="Arial"/>
                <w:sz w:val="13"/>
                <w:szCs w:val="13"/>
                <w:color w:val="auto"/>
              </w:rPr>
              <w:t>Basic</w:t>
            </w:r>
          </w:p>
        </w:tc>
        <w:tc>
          <w:tcPr>
            <w:tcW w:w="360" w:type="dxa"/>
            <w:vAlign w:val="bottom"/>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0.46</w:t>
            </w:r>
          </w:p>
        </w:tc>
        <w:tc>
          <w:tcPr>
            <w:tcW w:w="120" w:type="dxa"/>
            <w:vAlign w:val="bottom"/>
          </w:tcPr>
          <w:p>
            <w:pPr>
              <w:spacing w:after="0"/>
              <w:rPr>
                <w:sz w:val="16"/>
                <w:szCs w:val="16"/>
                <w:color w:val="auto"/>
              </w:rPr>
            </w:pPr>
          </w:p>
        </w:tc>
        <w:tc>
          <w:tcPr>
            <w:tcW w:w="560" w:type="dxa"/>
            <w:vAlign w:val="bottom"/>
          </w:tcPr>
          <w:p>
            <w:pPr>
              <w:jc w:val="right"/>
              <w:ind w:right="395"/>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0.59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3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0.46</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0.59</w:t>
            </w:r>
          </w:p>
        </w:tc>
      </w:tr>
      <w:tr>
        <w:trPr>
          <w:trHeight w:val="189"/>
        </w:trPr>
        <w:tc>
          <w:tcPr>
            <w:tcW w:w="8360" w:type="dxa"/>
            <w:vAlign w:val="bottom"/>
          </w:tcPr>
          <w:p>
            <w:pPr>
              <w:ind w:left="20"/>
              <w:spacing w:after="0"/>
              <w:rPr>
                <w:sz w:val="20"/>
                <w:szCs w:val="20"/>
                <w:color w:val="auto"/>
              </w:rPr>
            </w:pPr>
            <w:r>
              <w:rPr>
                <w:rFonts w:ascii="Arial" w:cs="Arial" w:eastAsia="Arial" w:hAnsi="Arial"/>
                <w:sz w:val="13"/>
                <w:szCs w:val="13"/>
                <w:color w:val="auto"/>
              </w:rPr>
              <w:t>Weighted average number of common shares outstanding</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33,160,283</w:t>
            </w: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33,126,469</w:t>
            </w:r>
          </w:p>
        </w:tc>
      </w:tr>
      <w:tr>
        <w:trPr>
          <w:trHeight w:val="189"/>
        </w:trPr>
        <w:tc>
          <w:tcPr>
            <w:tcW w:w="8360" w:type="dxa"/>
            <w:vAlign w:val="bottom"/>
          </w:tcPr>
          <w:p>
            <w:pPr>
              <w:ind w:left="140"/>
              <w:spacing w:after="0"/>
              <w:rPr>
                <w:sz w:val="20"/>
                <w:szCs w:val="20"/>
                <w:color w:val="auto"/>
              </w:rPr>
            </w:pPr>
            <w:r>
              <w:rPr>
                <w:rFonts w:ascii="Arial" w:cs="Arial" w:eastAsia="Arial" w:hAnsi="Arial"/>
                <w:sz w:val="13"/>
                <w:szCs w:val="13"/>
                <w:color w:val="auto"/>
              </w:rPr>
              <w:t>Diluted</w:t>
            </w:r>
          </w:p>
        </w:tc>
        <w:tc>
          <w:tcPr>
            <w:tcW w:w="360" w:type="dxa"/>
            <w:vAlign w:val="bottom"/>
          </w:tcPr>
          <w:p>
            <w:pPr>
              <w:spacing w:after="0"/>
              <w:rPr>
                <w:sz w:val="16"/>
                <w:szCs w:val="16"/>
                <w:color w:val="auto"/>
              </w:rPr>
            </w:pPr>
          </w:p>
        </w:tc>
        <w:tc>
          <w:tcPr>
            <w:tcW w:w="1140" w:type="dxa"/>
            <w:vAlign w:val="bottom"/>
          </w:tcPr>
          <w:p>
            <w:pPr>
              <w:jc w:val="right"/>
              <w:ind w:right="56"/>
              <w:spacing w:after="0"/>
              <w:rPr>
                <w:sz w:val="20"/>
                <w:szCs w:val="20"/>
                <w:color w:val="auto"/>
              </w:rPr>
            </w:pPr>
            <w:r>
              <w:rPr>
                <w:rFonts w:ascii="Arial" w:cs="Arial" w:eastAsia="Arial" w:hAnsi="Arial"/>
                <w:sz w:val="13"/>
                <w:szCs w:val="13"/>
                <w:color w:val="auto"/>
              </w:rPr>
              <w:t>33,169,718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Arial" w:cs="Arial" w:eastAsia="Arial" w:hAnsi="Arial"/>
                <w:sz w:val="13"/>
                <w:szCs w:val="13"/>
                <w:color w:val="auto"/>
              </w:rPr>
              <w:t>33,178,535</w:t>
            </w:r>
          </w:p>
        </w:tc>
      </w:tr>
      <w:tr>
        <w:trPr>
          <w:trHeight w:val="158"/>
        </w:trPr>
        <w:tc>
          <w:tcPr>
            <w:tcW w:w="836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_______________________________________________________________________________</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10" w:lineRule="exact"/>
        <w:rPr>
          <w:sz w:val="20"/>
          <w:szCs w:val="20"/>
          <w:color w:val="auto"/>
        </w:rPr>
      </w:pPr>
    </w:p>
    <w:p>
      <w:pPr>
        <w:ind w:left="520" w:hanging="514"/>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3"/>
          <w:szCs w:val="13"/>
          <w:color w:val="auto"/>
        </w:rPr>
        <w:t>General and administrative expenses for the years ended June 30, 2019 and 2018 included non-cash stock-based compensation expense of $888,162 and $1,366,764, respectively.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60"/>
          </w:cols>
          <w:pgMar w:left="220" w:top="129" w:right="21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Years Ended June 30,</w:t>
            </w:r>
          </w:p>
        </w:tc>
        <w:tc>
          <w:tcPr>
            <w:tcW w:w="840" w:type="dxa"/>
            <w:vAlign w:val="bottom"/>
            <w:tcBorders>
              <w:bottom w:val="single" w:sz="8" w:color="auto"/>
            </w:tcBorders>
          </w:tcPr>
          <w:p>
            <w:pPr>
              <w:spacing w:after="0"/>
              <w:rPr>
                <w:sz w:val="13"/>
                <w:szCs w:val="13"/>
                <w:color w:val="auto"/>
              </w:rPr>
            </w:pPr>
          </w:p>
        </w:tc>
      </w:tr>
      <w:tr>
        <w:trPr>
          <w:trHeight w:val="206"/>
        </w:trPr>
        <w:tc>
          <w:tcPr>
            <w:tcW w:w="86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99"/>
              <w:spacing w:after="0"/>
              <w:rPr>
                <w:sz w:val="20"/>
                <w:szCs w:val="20"/>
                <w:color w:val="auto"/>
              </w:rPr>
            </w:pPr>
            <w:r>
              <w:rPr>
                <w:rFonts w:ascii="Arial" w:cs="Arial" w:eastAsia="Arial" w:hAnsi="Arial"/>
                <w:sz w:val="11"/>
                <w:szCs w:val="11"/>
                <w:b w:val="1"/>
                <w:bCs w:val="1"/>
                <w:color w:val="auto"/>
              </w:rPr>
              <w:t>2018</w:t>
            </w:r>
          </w:p>
        </w:tc>
      </w:tr>
      <w:tr>
        <w:trPr>
          <w:trHeight w:val="200"/>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operating activities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2"/>
        </w:trPr>
        <w:tc>
          <w:tcPr>
            <w:tcW w:w="8600" w:type="dxa"/>
            <w:vAlign w:val="bottom"/>
          </w:tcPr>
          <w:p>
            <w:pPr>
              <w:ind w:left="140"/>
              <w:spacing w:after="0"/>
              <w:rPr>
                <w:sz w:val="20"/>
                <w:szCs w:val="20"/>
                <w:color w:val="auto"/>
              </w:rPr>
            </w:pPr>
            <w:r>
              <w:rPr>
                <w:rFonts w:ascii="Arial" w:cs="Arial" w:eastAsia="Arial" w:hAnsi="Arial"/>
                <w:sz w:val="12"/>
                <w:szCs w:val="12"/>
                <w:color w:val="auto"/>
              </w:rPr>
              <w:t>Net income attributable to the Company</w:t>
            </w: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2"/>
                <w:szCs w:val="12"/>
                <w:color w:val="auto"/>
              </w:rPr>
              <w:t>15,377,066</w:t>
            </w:r>
          </w:p>
        </w:tc>
        <w:tc>
          <w:tcPr>
            <w:tcW w:w="100" w:type="dxa"/>
            <w:vAlign w:val="bottom"/>
          </w:tcPr>
          <w:p>
            <w:pPr>
              <w:spacing w:after="0"/>
              <w:rPr>
                <w:sz w:val="18"/>
                <w:szCs w:val="18"/>
                <w:color w:val="auto"/>
              </w:rPr>
            </w:pPr>
          </w:p>
        </w:tc>
        <w:tc>
          <w:tcPr>
            <w:tcW w:w="520" w:type="dxa"/>
            <w:vAlign w:val="bottom"/>
          </w:tcPr>
          <w:p>
            <w:pPr>
              <w:jc w:val="right"/>
              <w:ind w:right="379"/>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19,618,484</w:t>
            </w:r>
          </w:p>
        </w:tc>
      </w:tr>
      <w:tr>
        <w:trPr>
          <w:trHeight w:val="219"/>
        </w:trPr>
        <w:tc>
          <w:tcPr>
            <w:tcW w:w="8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2"/>
        </w:trPr>
        <w:tc>
          <w:tcPr>
            <w:tcW w:w="8600" w:type="dxa"/>
            <w:vAlign w:val="bottom"/>
          </w:tcPr>
          <w:p>
            <w:pPr>
              <w:ind w:left="300"/>
              <w:spacing w:after="0"/>
              <w:rPr>
                <w:sz w:val="20"/>
                <w:szCs w:val="20"/>
                <w:color w:val="auto"/>
              </w:rPr>
            </w:pPr>
            <w:r>
              <w:rPr>
                <w:rFonts w:ascii="Arial" w:cs="Arial" w:eastAsia="Arial" w:hAnsi="Arial"/>
                <w:sz w:val="12"/>
                <w:szCs w:val="12"/>
                <w:color w:val="auto"/>
              </w:rPr>
              <w:t>Depreciation, depletion and amortization</w:t>
            </w:r>
          </w:p>
        </w:tc>
        <w:tc>
          <w:tcPr>
            <w:tcW w:w="3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2"/>
                <w:szCs w:val="12"/>
                <w:color w:val="auto"/>
              </w:rPr>
              <w:t>6,268,239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6,158,555</w:t>
            </w:r>
          </w:p>
        </w:tc>
      </w:tr>
      <w:tr>
        <w:trPr>
          <w:trHeight w:val="219"/>
        </w:trPr>
        <w:tc>
          <w:tcPr>
            <w:tcW w:w="86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Stock-based compensation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888,162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1,366,764</w:t>
            </w:r>
          </w:p>
        </w:tc>
      </w:tr>
      <w:tr>
        <w:trPr>
          <w:trHeight w:val="212"/>
        </w:trPr>
        <w:tc>
          <w:tcPr>
            <w:tcW w:w="8600" w:type="dxa"/>
            <w:vAlign w:val="bottom"/>
          </w:tcPr>
          <w:p>
            <w:pPr>
              <w:ind w:left="300"/>
              <w:spacing w:after="0"/>
              <w:rPr>
                <w:sz w:val="20"/>
                <w:szCs w:val="20"/>
                <w:color w:val="auto"/>
              </w:rPr>
            </w:pPr>
            <w:r>
              <w:rPr>
                <w:rFonts w:ascii="Arial" w:cs="Arial" w:eastAsia="Arial" w:hAnsi="Arial"/>
                <w:sz w:val="12"/>
                <w:szCs w:val="12"/>
                <w:color w:val="auto"/>
              </w:rPr>
              <w:t>Deferred income taxes</w:t>
            </w:r>
          </w:p>
        </w:tc>
        <w:tc>
          <w:tcPr>
            <w:tcW w:w="3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2"/>
                <w:szCs w:val="12"/>
                <w:color w:val="auto"/>
              </w:rPr>
              <w:t>767,256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(5,270,856)</w:t>
            </w:r>
          </w:p>
        </w:tc>
      </w:tr>
      <w:tr>
        <w:trPr>
          <w:trHeight w:val="219"/>
        </w:trPr>
        <w:tc>
          <w:tcPr>
            <w:tcW w:w="86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Changes in operating assets and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2"/>
        </w:trPr>
        <w:tc>
          <w:tcPr>
            <w:tcW w:w="8600" w:type="dxa"/>
            <w:vAlign w:val="bottom"/>
          </w:tcPr>
          <w:p>
            <w:pPr>
              <w:ind w:left="480"/>
              <w:spacing w:after="0"/>
              <w:rPr>
                <w:sz w:val="20"/>
                <w:szCs w:val="20"/>
                <w:color w:val="auto"/>
              </w:rPr>
            </w:pPr>
            <w:r>
              <w:rPr>
                <w:rFonts w:ascii="Arial" w:cs="Arial" w:eastAsia="Arial" w:hAnsi="Arial"/>
                <w:sz w:val="12"/>
                <w:szCs w:val="12"/>
                <w:color w:val="auto"/>
              </w:rPr>
              <w:t>Receivables</w:t>
            </w:r>
          </w:p>
        </w:tc>
        <w:tc>
          <w:tcPr>
            <w:tcW w:w="3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2"/>
                <w:szCs w:val="12"/>
                <w:color w:val="auto"/>
              </w:rPr>
              <w:t>773,800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(1,215,214)</w:t>
            </w:r>
          </w:p>
        </w:tc>
      </w:tr>
      <w:tr>
        <w:trPr>
          <w:trHeight w:val="219"/>
        </w:trPr>
        <w:tc>
          <w:tcPr>
            <w:tcW w:w="86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Prepaid expenses and other current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66,229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(136,835)</w:t>
            </w:r>
          </w:p>
        </w:tc>
      </w:tr>
      <w:tr>
        <w:trPr>
          <w:trHeight w:val="212"/>
        </w:trPr>
        <w:tc>
          <w:tcPr>
            <w:tcW w:w="8600" w:type="dxa"/>
            <w:vAlign w:val="bottom"/>
          </w:tcPr>
          <w:p>
            <w:pPr>
              <w:ind w:left="480"/>
              <w:spacing w:after="0"/>
              <w:rPr>
                <w:sz w:val="20"/>
                <w:szCs w:val="20"/>
                <w:color w:val="auto"/>
              </w:rPr>
            </w:pPr>
            <w:r>
              <w:rPr>
                <w:rFonts w:ascii="Arial" w:cs="Arial" w:eastAsia="Arial" w:hAnsi="Arial"/>
                <w:sz w:val="12"/>
                <w:szCs w:val="12"/>
                <w:color w:val="auto"/>
              </w:rPr>
              <w:t>Accounts payable and accrued expenses</w:t>
            </w:r>
          </w:p>
        </w:tc>
        <w:tc>
          <w:tcPr>
            <w:tcW w:w="3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(90,891)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(107,081)</w:t>
            </w:r>
          </w:p>
        </w:tc>
      </w:tr>
      <w:tr>
        <w:trPr>
          <w:trHeight w:val="216"/>
        </w:trPr>
        <w:tc>
          <w:tcPr>
            <w:tcW w:w="86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Income taxes payable</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8,039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122,760</w:t>
            </w:r>
          </w:p>
        </w:tc>
      </w:tr>
      <w:tr>
        <w:trPr>
          <w:trHeight w:val="196"/>
        </w:trPr>
        <w:tc>
          <w:tcPr>
            <w:tcW w:w="8600" w:type="dxa"/>
            <w:vAlign w:val="bottom"/>
            <w:tcBorders>
              <w:bottom w:val="single" w:sz="8" w:color="CCEEFF"/>
            </w:tcBorders>
          </w:tcPr>
          <w:p>
            <w:pPr>
              <w:ind w:left="560"/>
              <w:spacing w:after="0"/>
              <w:rPr>
                <w:sz w:val="20"/>
                <w:szCs w:val="20"/>
                <w:color w:val="auto"/>
              </w:rPr>
            </w:pPr>
            <w:r>
              <w:rPr>
                <w:rFonts w:ascii="Arial" w:cs="Arial" w:eastAsia="Arial" w:hAnsi="Arial"/>
                <w:sz w:val="12"/>
                <w:szCs w:val="12"/>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24,057,900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20,536,577</w:t>
            </w:r>
          </w:p>
        </w:tc>
      </w:tr>
      <w:tr>
        <w:trPr>
          <w:trHeight w:val="199"/>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investing activities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2"/>
        </w:trPr>
        <w:tc>
          <w:tcPr>
            <w:tcW w:w="8600" w:type="dxa"/>
            <w:vAlign w:val="bottom"/>
          </w:tcPr>
          <w:p>
            <w:pPr>
              <w:ind w:left="300"/>
              <w:spacing w:after="0"/>
              <w:rPr>
                <w:sz w:val="20"/>
                <w:szCs w:val="20"/>
                <w:color w:val="auto"/>
              </w:rPr>
            </w:pPr>
            <w:r>
              <w:rPr>
                <w:rFonts w:ascii="Arial" w:cs="Arial" w:eastAsia="Arial" w:hAnsi="Arial"/>
                <w:sz w:val="12"/>
                <w:szCs w:val="12"/>
                <w:color w:val="auto"/>
              </w:rPr>
              <w:t>Development of oil and natural gas properties</w:t>
            </w:r>
          </w:p>
        </w:tc>
        <w:tc>
          <w:tcPr>
            <w:tcW w:w="3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(6,746,142)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(3,690,845)</w:t>
            </w:r>
          </w:p>
        </w:tc>
      </w:tr>
      <w:tr>
        <w:trPr>
          <w:trHeight w:val="219"/>
        </w:trPr>
        <w:tc>
          <w:tcPr>
            <w:tcW w:w="86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Capital expenditures for other property and equipment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(11,509)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(7,846)</w:t>
            </w:r>
          </w:p>
        </w:tc>
      </w:tr>
      <w:tr>
        <w:trPr>
          <w:trHeight w:val="212"/>
        </w:trPr>
        <w:tc>
          <w:tcPr>
            <w:tcW w:w="8600" w:type="dxa"/>
            <w:vAlign w:val="bottom"/>
          </w:tcPr>
          <w:p>
            <w:pPr>
              <w:ind w:left="300"/>
              <w:spacing w:after="0"/>
              <w:rPr>
                <w:sz w:val="20"/>
                <w:szCs w:val="20"/>
                <w:color w:val="auto"/>
              </w:rPr>
            </w:pPr>
            <w:r>
              <w:rPr>
                <w:rFonts w:ascii="Arial" w:cs="Arial" w:eastAsia="Arial" w:hAnsi="Arial"/>
                <w:sz w:val="12"/>
                <w:szCs w:val="12"/>
                <w:color w:val="auto"/>
              </w:rPr>
              <w:t>Other assets</w:t>
            </w: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(19,282)</w:t>
            </w:r>
          </w:p>
        </w:tc>
      </w:tr>
      <w:tr>
        <w:trPr>
          <w:trHeight w:val="199"/>
        </w:trPr>
        <w:tc>
          <w:tcPr>
            <w:tcW w:w="86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2"/>
                <w:szCs w:val="12"/>
                <w:color w:val="auto"/>
              </w:rPr>
              <w:t>Net cash used by investing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(6,757,651)</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(3,717,973)</w:t>
            </w:r>
          </w:p>
        </w:tc>
      </w:tr>
      <w:tr>
        <w:trPr>
          <w:trHeight w:val="192"/>
        </w:trPr>
        <w:tc>
          <w:tcPr>
            <w:tcW w:w="8600" w:type="dxa"/>
            <w:vAlign w:val="bottom"/>
          </w:tcPr>
          <w:p>
            <w:pPr>
              <w:ind w:left="20"/>
              <w:spacing w:after="0"/>
              <w:rPr>
                <w:sz w:val="20"/>
                <w:szCs w:val="20"/>
                <w:color w:val="auto"/>
              </w:rPr>
            </w:pPr>
            <w:r>
              <w:rPr>
                <w:rFonts w:ascii="Arial" w:cs="Arial" w:eastAsia="Arial" w:hAnsi="Arial"/>
                <w:sz w:val="12"/>
                <w:szCs w:val="12"/>
                <w:color w:val="auto"/>
              </w:rPr>
              <w:t>Cash flows from financing activities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86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Common share repurchases, including shares surrendered for tax withholding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(156,791)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(571,083)</w:t>
            </w:r>
          </w:p>
        </w:tc>
      </w:tr>
      <w:tr>
        <w:trPr>
          <w:trHeight w:val="212"/>
        </w:trPr>
        <w:tc>
          <w:tcPr>
            <w:tcW w:w="860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Common stock dividends paid</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(13,272,058)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(11,594,541)</w:t>
            </w:r>
          </w:p>
        </w:tc>
      </w:tr>
      <w:tr>
        <w:trPr>
          <w:trHeight w:val="196"/>
        </w:trPr>
        <w:tc>
          <w:tcPr>
            <w:tcW w:w="86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cash provided by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(13,428,849)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(12,165,624)</w:t>
            </w:r>
          </w:p>
        </w:tc>
      </w:tr>
      <w:tr>
        <w:trPr>
          <w:trHeight w:val="196"/>
        </w:trPr>
        <w:tc>
          <w:tcPr>
            <w:tcW w:w="8600" w:type="dxa"/>
            <w:vAlign w:val="bottom"/>
          </w:tcPr>
          <w:p>
            <w:pPr>
              <w:ind w:left="480"/>
              <w:spacing w:after="0"/>
              <w:rPr>
                <w:sz w:val="20"/>
                <w:szCs w:val="20"/>
                <w:color w:val="auto"/>
              </w:rPr>
            </w:pPr>
            <w:r>
              <w:rPr>
                <w:rFonts w:ascii="Arial" w:cs="Arial" w:eastAsia="Arial" w:hAnsi="Arial"/>
                <w:sz w:val="12"/>
                <w:szCs w:val="12"/>
                <w:color w:val="auto"/>
              </w:rPr>
              <w:t>Net increase in cash, cash equivalents and restricted cash</w:t>
            </w:r>
          </w:p>
        </w:tc>
        <w:tc>
          <w:tcPr>
            <w:tcW w:w="34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2"/>
                <w:szCs w:val="12"/>
                <w:color w:val="auto"/>
              </w:rPr>
              <w:t>3,871,400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4,652,980</w:t>
            </w:r>
          </w:p>
        </w:tc>
      </w:tr>
      <w:tr>
        <w:trPr>
          <w:trHeight w:val="216"/>
        </w:trPr>
        <w:tc>
          <w:tcPr>
            <w:tcW w:w="86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Cash, cash equivalents and restricted cash, beginning of year</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27,681,133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23,028,153</w:t>
            </w:r>
          </w:p>
        </w:tc>
      </w:tr>
      <w:tr>
        <w:trPr>
          <w:trHeight w:val="188"/>
        </w:trPr>
        <w:tc>
          <w:tcPr>
            <w:tcW w:w="8600" w:type="dxa"/>
            <w:vAlign w:val="bottom"/>
          </w:tcPr>
          <w:p>
            <w:pPr>
              <w:ind w:left="480"/>
              <w:spacing w:after="0"/>
              <w:rPr>
                <w:sz w:val="20"/>
                <w:szCs w:val="20"/>
                <w:color w:val="auto"/>
              </w:rPr>
            </w:pPr>
            <w:r>
              <w:rPr>
                <w:rFonts w:ascii="Arial" w:cs="Arial" w:eastAsia="Arial" w:hAnsi="Arial"/>
                <w:sz w:val="12"/>
                <w:szCs w:val="12"/>
                <w:color w:val="auto"/>
              </w:rPr>
              <w:t>Cash, cash equivalents and restricted cash, end of year</w:t>
            </w: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31,552,533</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27,681,133</w:t>
            </w:r>
          </w:p>
        </w:tc>
      </w:tr>
      <w:tr>
        <w:trPr>
          <w:trHeight w:val="20"/>
        </w:trPr>
        <w:tc>
          <w:tcPr>
            <w:tcW w:w="8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280"/>
        <w:spacing w:after="0" w:line="298" w:lineRule="auto"/>
        <w:rPr>
          <w:sz w:val="20"/>
          <w:szCs w:val="20"/>
          <w:color w:val="auto"/>
        </w:rPr>
      </w:pPr>
      <w:r>
        <w:rPr>
          <w:rFonts w:ascii="Arial" w:cs="Arial" w:eastAsia="Arial" w:hAnsi="Arial"/>
          <w:sz w:val="13"/>
          <w:szCs w:val="13"/>
          <w:color w:val="auto"/>
        </w:rPr>
        <w:t>The following table provides a reconciliation of cash, cash equivalents and restricted cash reported within the statements of financial position that sum to the totals of the such amounts shown in the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Years Ended June 30,</w:t>
            </w:r>
          </w:p>
        </w:tc>
        <w:tc>
          <w:tcPr>
            <w:tcW w:w="840" w:type="dxa"/>
            <w:vAlign w:val="bottom"/>
            <w:tcBorders>
              <w:bottom w:val="single" w:sz="8" w:color="auto"/>
            </w:tcBorders>
          </w:tcPr>
          <w:p>
            <w:pPr>
              <w:spacing w:after="0"/>
              <w:rPr>
                <w:sz w:val="13"/>
                <w:szCs w:val="13"/>
                <w:color w:val="auto"/>
              </w:rPr>
            </w:pPr>
          </w:p>
        </w:tc>
      </w:tr>
      <w:tr>
        <w:trPr>
          <w:trHeight w:val="206"/>
        </w:trPr>
        <w:tc>
          <w:tcPr>
            <w:tcW w:w="86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00"/>
              <w:spacing w:after="0"/>
              <w:rPr>
                <w:sz w:val="20"/>
                <w:szCs w:val="20"/>
                <w:color w:val="auto"/>
              </w:rPr>
            </w:pPr>
            <w:r>
              <w:rPr>
                <w:rFonts w:ascii="Arial" w:cs="Arial" w:eastAsia="Arial" w:hAnsi="Arial"/>
                <w:sz w:val="11"/>
                <w:szCs w:val="11"/>
                <w:b w:val="1"/>
                <w:bCs w:val="1"/>
                <w:color w:val="auto"/>
              </w:rPr>
              <w:t>2018</w:t>
            </w:r>
          </w:p>
        </w:tc>
      </w:tr>
      <w:tr>
        <w:trPr>
          <w:trHeight w:val="200"/>
        </w:trPr>
        <w:tc>
          <w:tcPr>
            <w:tcW w:w="8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31,552,533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79"/>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24,929,844</w:t>
            </w:r>
          </w:p>
        </w:tc>
      </w:tr>
      <w:tr>
        <w:trPr>
          <w:trHeight w:val="212"/>
        </w:trPr>
        <w:tc>
          <w:tcPr>
            <w:tcW w:w="8600" w:type="dxa"/>
            <w:vAlign w:val="bottom"/>
          </w:tcPr>
          <w:p>
            <w:pPr>
              <w:ind w:left="20"/>
              <w:spacing w:after="0"/>
              <w:rPr>
                <w:sz w:val="20"/>
                <w:szCs w:val="20"/>
                <w:color w:val="auto"/>
              </w:rPr>
            </w:pPr>
            <w:r>
              <w:rPr>
                <w:rFonts w:ascii="Arial" w:cs="Arial" w:eastAsia="Arial" w:hAnsi="Arial"/>
                <w:sz w:val="12"/>
                <w:szCs w:val="12"/>
                <w:color w:val="auto"/>
              </w:rPr>
              <w:t>Restricted cash included in current assets</w:t>
            </w: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8"/>
                <w:szCs w:val="18"/>
                <w:color w:val="auto"/>
              </w:rPr>
            </w:pPr>
          </w:p>
        </w:tc>
        <w:tc>
          <w:tcPr>
            <w:tcW w:w="840" w:type="dxa"/>
            <w:vAlign w:val="bottom"/>
          </w:tcPr>
          <w:p>
            <w:pPr>
              <w:jc w:val="right"/>
              <w:ind w:right="40"/>
              <w:spacing w:after="0"/>
              <w:rPr>
                <w:sz w:val="20"/>
                <w:szCs w:val="20"/>
                <w:color w:val="auto"/>
              </w:rPr>
            </w:pPr>
            <w:r>
              <w:rPr>
                <w:rFonts w:ascii="Arial" w:cs="Arial" w:eastAsia="Arial" w:hAnsi="Arial"/>
                <w:sz w:val="12"/>
                <w:szCs w:val="12"/>
                <w:color w:val="auto"/>
              </w:rPr>
              <w:t>2,751,289</w:t>
            </w:r>
          </w:p>
        </w:tc>
      </w:tr>
      <w:tr>
        <w:trPr>
          <w:trHeight w:val="188"/>
        </w:trPr>
        <w:tc>
          <w:tcPr>
            <w:tcW w:w="8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cash, cash equivalents and restricted cash shown in the statements of cash flows</w:t>
            </w:r>
          </w:p>
        </w:tc>
        <w:tc>
          <w:tcPr>
            <w:tcW w:w="34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31,552,533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27,681,133</w:t>
            </w:r>
          </w:p>
        </w:tc>
      </w:tr>
      <w:tr>
        <w:trPr>
          <w:trHeight w:val="20"/>
        </w:trPr>
        <w:tc>
          <w:tcPr>
            <w:tcW w:w="8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60"/>
          </w:cols>
          <w:pgMar w:left="220" w:top="129" w:right="21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June 30, 2019 and 2018</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00" w:type="dxa"/>
            <w:vAlign w:val="bottom"/>
          </w:tcPr>
          <w:p>
            <w:pPr>
              <w:spacing w:after="0"/>
              <w:rPr>
                <w:sz w:val="10"/>
                <w:szCs w:val="10"/>
                <w:color w:val="auto"/>
              </w:rPr>
            </w:pPr>
          </w:p>
        </w:tc>
        <w:tc>
          <w:tcPr>
            <w:tcW w:w="2100" w:type="dxa"/>
            <w:vAlign w:val="bottom"/>
            <w:gridSpan w:val="5"/>
          </w:tcPr>
          <w:p>
            <w:pPr>
              <w:ind w:left="62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Additional</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23"/>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39"/>
        </w:trPr>
        <w:tc>
          <w:tcPr>
            <w:tcW w:w="46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restart"/>
          </w:tcPr>
          <w:p>
            <w:pPr>
              <w:jc w:val="center"/>
              <w:ind w:right="280"/>
              <w:spacing w:after="0" w:line="119" w:lineRule="exact"/>
              <w:rPr>
                <w:sz w:val="20"/>
                <w:szCs w:val="20"/>
                <w:color w:val="auto"/>
              </w:rPr>
            </w:pPr>
            <w:r>
              <w:rPr>
                <w:rFonts w:ascii="Arial" w:cs="Arial" w:eastAsia="Arial" w:hAnsi="Arial"/>
                <w:sz w:val="11"/>
                <w:szCs w:val="11"/>
                <w:b w:val="1"/>
                <w:bCs w:val="1"/>
                <w:color w:val="auto"/>
                <w:w w:val="98"/>
              </w:rPr>
              <w:t>Paid-in</w:t>
            </w:r>
          </w:p>
        </w:tc>
        <w:tc>
          <w:tcPr>
            <w:tcW w:w="220" w:type="dxa"/>
            <w:vAlign w:val="bottom"/>
          </w:tcPr>
          <w:p>
            <w:pPr>
              <w:spacing w:after="0"/>
              <w:rPr>
                <w:sz w:val="3"/>
                <w:szCs w:val="3"/>
                <w:color w:val="auto"/>
              </w:rPr>
            </w:pPr>
          </w:p>
        </w:tc>
        <w:tc>
          <w:tcPr>
            <w:tcW w:w="1020" w:type="dxa"/>
            <w:vAlign w:val="bottom"/>
            <w:gridSpan w:val="2"/>
            <w:vMerge w:val="restart"/>
          </w:tcPr>
          <w:p>
            <w:pPr>
              <w:ind w:left="120"/>
              <w:spacing w:after="0" w:line="119" w:lineRule="exact"/>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3"/>
                <w:szCs w:val="3"/>
                <w:color w:val="auto"/>
              </w:rPr>
            </w:pPr>
          </w:p>
        </w:tc>
        <w:tc>
          <w:tcPr>
            <w:tcW w:w="940" w:type="dxa"/>
            <w:vAlign w:val="bottom"/>
            <w:gridSpan w:val="2"/>
            <w:vMerge w:val="restart"/>
          </w:tcPr>
          <w:p>
            <w:pPr>
              <w:ind w:left="100"/>
              <w:spacing w:after="0" w:line="119" w:lineRule="exact"/>
              <w:rPr>
                <w:sz w:val="20"/>
                <w:szCs w:val="20"/>
                <w:color w:val="auto"/>
              </w:rPr>
            </w:pPr>
            <w:r>
              <w:rPr>
                <w:rFonts w:ascii="Arial" w:cs="Arial" w:eastAsia="Arial" w:hAnsi="Arial"/>
                <w:sz w:val="11"/>
                <w:szCs w:val="11"/>
                <w:b w:val="1"/>
                <w:bCs w:val="1"/>
                <w:color w:val="auto"/>
              </w:rPr>
              <w:t>Treasury</w:t>
            </w:r>
          </w:p>
        </w:tc>
        <w:tc>
          <w:tcPr>
            <w:tcW w:w="180" w:type="dxa"/>
            <w:vAlign w:val="bottom"/>
          </w:tcPr>
          <w:p>
            <w:pPr>
              <w:spacing w:after="0"/>
              <w:rPr>
                <w:sz w:val="3"/>
                <w:szCs w:val="3"/>
                <w:color w:val="auto"/>
              </w:rPr>
            </w:pPr>
          </w:p>
        </w:tc>
        <w:tc>
          <w:tcPr>
            <w:tcW w:w="1060" w:type="dxa"/>
            <w:vAlign w:val="bottom"/>
            <w:vMerge w:val="restart"/>
          </w:tcPr>
          <w:p>
            <w:pPr>
              <w:jc w:val="center"/>
              <w:ind w:right="123"/>
              <w:spacing w:after="0" w:line="119" w:lineRule="exact"/>
              <w:rPr>
                <w:sz w:val="20"/>
                <w:szCs w:val="20"/>
                <w:color w:val="auto"/>
              </w:rPr>
            </w:pPr>
            <w:r>
              <w:rPr>
                <w:rFonts w:ascii="Arial" w:cs="Arial" w:eastAsia="Arial" w:hAnsi="Arial"/>
                <w:sz w:val="11"/>
                <w:szCs w:val="11"/>
                <w:b w:val="1"/>
                <w:bCs w:val="1"/>
                <w:color w:val="auto"/>
                <w:w w:val="93"/>
              </w:rPr>
              <w:t>Stockholders'</w:t>
            </w:r>
          </w:p>
        </w:tc>
        <w:tc>
          <w:tcPr>
            <w:tcW w:w="0" w:type="dxa"/>
            <w:vAlign w:val="bottom"/>
          </w:tcPr>
          <w:p>
            <w:pPr>
              <w:spacing w:after="0"/>
              <w:rPr>
                <w:sz w:val="1"/>
                <w:szCs w:val="1"/>
                <w:color w:val="auto"/>
              </w:rPr>
            </w:pPr>
          </w:p>
        </w:tc>
      </w:tr>
      <w:tr>
        <w:trPr>
          <w:trHeight w:val="60"/>
        </w:trPr>
        <w:tc>
          <w:tcPr>
            <w:tcW w:w="4600" w:type="dxa"/>
            <w:vAlign w:val="bottom"/>
          </w:tcPr>
          <w:p>
            <w:pPr>
              <w:spacing w:after="0"/>
              <w:rPr>
                <w:sz w:val="5"/>
                <w:szCs w:val="5"/>
                <w:color w:val="auto"/>
              </w:rPr>
            </w:pPr>
          </w:p>
        </w:tc>
        <w:tc>
          <w:tcPr>
            <w:tcW w:w="1040" w:type="dxa"/>
            <w:vAlign w:val="bottom"/>
            <w:vMerge w:val="restart"/>
          </w:tcPr>
          <w:p>
            <w:pPr>
              <w:jc w:val="right"/>
              <w:ind w:right="303"/>
              <w:spacing w:after="0"/>
              <w:rPr>
                <w:sz w:val="20"/>
                <w:szCs w:val="20"/>
                <w:color w:val="auto"/>
              </w:rPr>
            </w:pPr>
            <w:r>
              <w:rPr>
                <w:rFonts w:ascii="Arial" w:cs="Arial" w:eastAsia="Arial" w:hAnsi="Arial"/>
                <w:sz w:val="11"/>
                <w:szCs w:val="11"/>
                <w:b w:val="1"/>
                <w:bCs w:val="1"/>
                <w:color w:val="auto"/>
              </w:rPr>
              <w:t>Shares</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Par Value</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46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03"/>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Earnings</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Stock</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23"/>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0"/>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June 30, 2017</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33,087,308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33,087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40,961,957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27,474,811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68,469,855</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Arial" w:cs="Arial" w:eastAsia="Arial" w:hAnsi="Arial"/>
                <w:sz w:val="11"/>
                <w:szCs w:val="11"/>
                <w:color w:val="auto"/>
              </w:rPr>
              <w:t>Issuance of restricted common stock</w:t>
            </w: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183,537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183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(183)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Forfeitures of restricted stock</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(117,094)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Arial" w:cs="Arial" w:eastAsia="Arial" w:hAnsi="Arial"/>
                <w:sz w:val="11"/>
                <w:szCs w:val="11"/>
                <w:color w:val="auto"/>
              </w:rPr>
              <w:t>Common share repurchases, including shares surrendered for tax withholding</w:t>
            </w:r>
          </w:p>
        </w:tc>
        <w:tc>
          <w:tcPr>
            <w:tcW w:w="1040" w:type="dxa"/>
            <w:vAlign w:val="bottom"/>
          </w:tcPr>
          <w:p>
            <w:pPr>
              <w:jc w:val="right"/>
              <w:ind w:right="23"/>
              <w:spacing w:after="0"/>
              <w:rPr>
                <w:sz w:val="20"/>
                <w:szCs w:val="20"/>
                <w:color w:val="auto"/>
              </w:rPr>
            </w:pPr>
            <w:r>
              <w:rPr>
                <w:rFonts w:ascii="Arial" w:cs="Arial" w:eastAsia="Arial" w:hAnsi="Arial"/>
                <w:sz w:val="11"/>
                <w:szCs w:val="11"/>
                <w:color w:val="auto"/>
              </w:rPr>
              <w:t>(73,208)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1"/>
                <w:szCs w:val="11"/>
                <w:color w:val="auto"/>
              </w:rPr>
              <w:t>(571,083)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(571,083)</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Retirements of treasury stock</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(571,010)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571,083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1,366,764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1,366,764</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attributable to the Company</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19,618,484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19,618,484</w:t>
            </w:r>
          </w:p>
        </w:tc>
        <w:tc>
          <w:tcPr>
            <w:tcW w:w="0" w:type="dxa"/>
            <w:vAlign w:val="bottom"/>
          </w:tcPr>
          <w:p>
            <w:pPr>
              <w:spacing w:after="0"/>
              <w:rPr>
                <w:sz w:val="1"/>
                <w:szCs w:val="1"/>
                <w:color w:val="auto"/>
              </w:rPr>
            </w:pPr>
          </w:p>
        </w:tc>
      </w:tr>
      <w:tr>
        <w:trPr>
          <w:trHeight w:val="211"/>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Common stock cash dividends</w:t>
            </w: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(11,594,541)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(11,594,541)</w:t>
            </w:r>
          </w:p>
        </w:tc>
        <w:tc>
          <w:tcPr>
            <w:tcW w:w="0" w:type="dxa"/>
            <w:vAlign w:val="bottom"/>
          </w:tcPr>
          <w:p>
            <w:pPr>
              <w:spacing w:after="0"/>
              <w:rPr>
                <w:sz w:val="1"/>
                <w:szCs w:val="1"/>
                <w:color w:val="auto"/>
              </w:rPr>
            </w:pPr>
          </w:p>
        </w:tc>
      </w:tr>
      <w:tr>
        <w:trPr>
          <w:trHeight w:val="200"/>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June 30, 2018</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33,080,543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33,080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41,757,645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35,498,754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77,289,479</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Arial" w:cs="Arial" w:eastAsia="Arial" w:hAnsi="Arial"/>
                <w:sz w:val="11"/>
                <w:szCs w:val="11"/>
                <w:color w:val="auto"/>
              </w:rPr>
              <w:t>Issuance of restricted common stock</w:t>
            </w: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121,611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122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(122)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share repurchases, including shares surrendered for tax withholding</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(18,424)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(156,791)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(156,791)</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Arial" w:cs="Arial" w:eastAsia="Arial" w:hAnsi="Arial"/>
                <w:sz w:val="11"/>
                <w:szCs w:val="11"/>
                <w:color w:val="auto"/>
              </w:rPr>
              <w:t>Retirements of treasury stock</w:t>
            </w: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700" w:type="dxa"/>
            <w:vAlign w:val="bottom"/>
          </w:tcPr>
          <w:p>
            <w:pPr>
              <w:jc w:val="right"/>
              <w:ind w:right="23"/>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1"/>
                <w:szCs w:val="11"/>
                <w:color w:val="auto"/>
              </w:rPr>
              <w:t>(156,772)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156,791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888,162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888,162</w:t>
            </w:r>
          </w:p>
        </w:tc>
        <w:tc>
          <w:tcPr>
            <w:tcW w:w="0" w:type="dxa"/>
            <w:vAlign w:val="bottom"/>
          </w:tcPr>
          <w:p>
            <w:pPr>
              <w:spacing w:after="0"/>
              <w:rPr>
                <w:sz w:val="1"/>
                <w:szCs w:val="1"/>
                <w:color w:val="auto"/>
              </w:rPr>
            </w:pPr>
          </w:p>
        </w:tc>
      </w:tr>
      <w:tr>
        <w:trPr>
          <w:trHeight w:val="211"/>
        </w:trPr>
        <w:tc>
          <w:tcPr>
            <w:tcW w:w="4600" w:type="dxa"/>
            <w:vAlign w:val="bottom"/>
          </w:tcPr>
          <w:p>
            <w:pPr>
              <w:ind w:left="20"/>
              <w:spacing w:after="0"/>
              <w:rPr>
                <w:sz w:val="20"/>
                <w:szCs w:val="20"/>
                <w:color w:val="auto"/>
              </w:rPr>
            </w:pPr>
            <w:r>
              <w:rPr>
                <w:rFonts w:ascii="Arial" w:cs="Arial" w:eastAsia="Arial" w:hAnsi="Arial"/>
                <w:sz w:val="11"/>
                <w:szCs w:val="11"/>
                <w:color w:val="auto"/>
              </w:rPr>
              <w:t>Net income attributable to the Company</w:t>
            </w:r>
          </w:p>
        </w:tc>
        <w:tc>
          <w:tcPr>
            <w:tcW w:w="11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8"/>
                <w:szCs w:val="18"/>
                <w:color w:val="auto"/>
              </w:rPr>
            </w:pPr>
          </w:p>
        </w:tc>
        <w:tc>
          <w:tcPr>
            <w:tcW w:w="920" w:type="dxa"/>
            <w:vAlign w:val="bottom"/>
          </w:tcPr>
          <w:p>
            <w:pPr>
              <w:jc w:val="right"/>
              <w:ind w:right="63"/>
              <w:spacing w:after="0"/>
              <w:rPr>
                <w:sz w:val="20"/>
                <w:szCs w:val="20"/>
                <w:color w:val="auto"/>
              </w:rPr>
            </w:pPr>
            <w:r>
              <w:rPr>
                <w:rFonts w:ascii="Arial" w:cs="Arial" w:eastAsia="Arial" w:hAnsi="Arial"/>
                <w:sz w:val="11"/>
                <w:szCs w:val="11"/>
                <w:color w:val="auto"/>
              </w:rPr>
              <w:t>15,377,066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8"/>
                <w:szCs w:val="18"/>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15,377,066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cash dividends</w:t>
            </w:r>
          </w:p>
        </w:tc>
        <w:tc>
          <w:tcPr>
            <w:tcW w:w="10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(13,272,058)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(13,272,058)</w:t>
            </w:r>
          </w:p>
        </w:tc>
        <w:tc>
          <w:tcPr>
            <w:tcW w:w="0" w:type="dxa"/>
            <w:vAlign w:val="bottom"/>
          </w:tcPr>
          <w:p>
            <w:pPr>
              <w:spacing w:after="0"/>
              <w:rPr>
                <w:sz w:val="1"/>
                <w:szCs w:val="1"/>
                <w:color w:val="auto"/>
              </w:rPr>
            </w:pPr>
          </w:p>
        </w:tc>
      </w:tr>
      <w:tr>
        <w:trPr>
          <w:trHeight w:val="189"/>
        </w:trPr>
        <w:tc>
          <w:tcPr>
            <w:tcW w:w="4600" w:type="dxa"/>
            <w:vAlign w:val="bottom"/>
          </w:tcPr>
          <w:p>
            <w:pPr>
              <w:ind w:left="20"/>
              <w:spacing w:after="0"/>
              <w:rPr>
                <w:sz w:val="20"/>
                <w:szCs w:val="20"/>
                <w:color w:val="auto"/>
              </w:rPr>
            </w:pPr>
            <w:r>
              <w:rPr>
                <w:rFonts w:ascii="Arial" w:cs="Arial" w:eastAsia="Arial" w:hAnsi="Arial"/>
                <w:sz w:val="11"/>
                <w:szCs w:val="11"/>
                <w:color w:val="auto"/>
              </w:rPr>
              <w:t>Balance, June 30, 2019</w:t>
            </w:r>
          </w:p>
        </w:tc>
        <w:tc>
          <w:tcPr>
            <w:tcW w:w="1040" w:type="dxa"/>
            <w:vAlign w:val="bottom"/>
          </w:tcPr>
          <w:p>
            <w:pPr>
              <w:jc w:val="right"/>
              <w:ind w:right="63"/>
              <w:spacing w:after="0"/>
              <w:rPr>
                <w:sz w:val="20"/>
                <w:szCs w:val="20"/>
                <w:color w:val="auto"/>
              </w:rPr>
            </w:pPr>
            <w:r>
              <w:rPr>
                <w:rFonts w:ascii="Arial" w:cs="Arial" w:eastAsia="Arial" w:hAnsi="Arial"/>
                <w:sz w:val="11"/>
                <w:szCs w:val="11"/>
                <w:color w:val="auto"/>
              </w:rPr>
              <w:t>33,183,730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33,183</w:t>
            </w:r>
          </w:p>
        </w:tc>
        <w:tc>
          <w:tcPr>
            <w:tcW w:w="120" w:type="dxa"/>
            <w:vAlign w:val="bottom"/>
          </w:tcPr>
          <w:p>
            <w:pPr>
              <w:spacing w:after="0"/>
              <w:rPr>
                <w:sz w:val="16"/>
                <w:szCs w:val="16"/>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3"/>
              <w:spacing w:after="0"/>
              <w:rPr>
                <w:sz w:val="20"/>
                <w:szCs w:val="20"/>
                <w:color w:val="auto"/>
              </w:rPr>
            </w:pPr>
            <w:r>
              <w:rPr>
                <w:rFonts w:ascii="Arial" w:cs="Arial" w:eastAsia="Arial" w:hAnsi="Arial"/>
                <w:sz w:val="11"/>
                <w:szCs w:val="11"/>
                <w:color w:val="auto"/>
              </w:rPr>
              <w:t>42,488,913</w:t>
            </w:r>
          </w:p>
        </w:tc>
        <w:tc>
          <w:tcPr>
            <w:tcW w:w="120" w:type="dxa"/>
            <w:vAlign w:val="bottom"/>
          </w:tcPr>
          <w:p>
            <w:pPr>
              <w:spacing w:after="0"/>
              <w:rPr>
                <w:sz w:val="16"/>
                <w:szCs w:val="16"/>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3"/>
              <w:spacing w:after="0"/>
              <w:rPr>
                <w:sz w:val="20"/>
                <w:szCs w:val="20"/>
                <w:color w:val="auto"/>
              </w:rPr>
            </w:pPr>
            <w:r>
              <w:rPr>
                <w:rFonts w:ascii="Arial" w:cs="Arial" w:eastAsia="Arial" w:hAnsi="Arial"/>
                <w:sz w:val="11"/>
                <w:szCs w:val="11"/>
                <w:color w:val="auto"/>
              </w:rPr>
              <w:t>37,603,762</w:t>
            </w:r>
          </w:p>
        </w:tc>
        <w:tc>
          <w:tcPr>
            <w:tcW w:w="100" w:type="dxa"/>
            <w:vAlign w:val="bottom"/>
          </w:tcPr>
          <w:p>
            <w:pPr>
              <w:spacing w:after="0"/>
              <w:rPr>
                <w:sz w:val="16"/>
                <w:szCs w:val="16"/>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80,125,858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129" w:right="219" w:bottom="1440" w:gutter="0" w:footer="0" w:header="0"/>
        </w:sectPr>
      </w:pPr>
    </w:p>
    <w:bookmarkStart w:id="48" w:name="page49"/>
    <w:bookmarkEnd w:id="48"/>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Organization and Basis of Preparation</w:t>
      </w:r>
    </w:p>
    <w:p>
      <w:pPr>
        <w:spacing w:after="0" w:line="231" w:lineRule="exact"/>
        <w:rPr>
          <w:sz w:val="20"/>
          <w:szCs w:val="20"/>
          <w:color w:val="auto"/>
        </w:rPr>
      </w:pPr>
    </w:p>
    <w:p>
      <w:pPr>
        <w:jc w:val="both"/>
        <w:ind w:right="80" w:firstLine="323"/>
        <w:spacing w:after="0" w:line="267" w:lineRule="auto"/>
        <w:rPr>
          <w:sz w:val="20"/>
          <w:szCs w:val="20"/>
          <w:color w:val="auto"/>
        </w:rPr>
      </w:pPr>
      <w:r>
        <w:rPr>
          <w:rFonts w:ascii="Arial" w:cs="Arial" w:eastAsia="Arial" w:hAnsi="Arial"/>
          <w:sz w:val="14"/>
          <w:szCs w:val="14"/>
          <w:b w:val="1"/>
          <w:bCs w:val="1"/>
          <w:i w:val="1"/>
          <w:iCs w:val="1"/>
          <w:color w:val="auto"/>
        </w:rPr>
        <w:t xml:space="preserve">Nature of Operations. </w:t>
      </w:r>
      <w:r>
        <w:rPr>
          <w:rFonts w:ascii="Arial" w:cs="Arial" w:eastAsia="Arial" w:hAnsi="Arial"/>
          <w:sz w:val="14"/>
          <w:szCs w:val="14"/>
          <w:color w:val="333333"/>
        </w:rPr>
        <w:t>Evolution Petroleum Corporation is an oil and gas company focused on delivering a sustainable dividend yield to its shareholders through the ownership, management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333333"/>
        </w:rPr>
        <w:t>and development of producing oil and gas properties. The Company's long-term goal is to build a diversified portfolio of oil and gas assets primarily through acquisition, while seeking opportunities to maintain and increase production through selective development, production enhancement and other exploitation efforts on its properties. Our largest active investment is our interest in a CO</w:t>
      </w:r>
      <w:r>
        <w:rPr>
          <w:rFonts w:ascii="Arial" w:cs="Arial" w:eastAsia="Arial" w:hAnsi="Arial"/>
          <w:sz w:val="10"/>
          <w:szCs w:val="10"/>
          <w:color w:val="333333"/>
        </w:rPr>
        <w:t>2</w:t>
      </w:r>
      <w:r>
        <w:rPr>
          <w:rFonts w:ascii="Arial" w:cs="Arial" w:eastAsia="Arial" w:hAnsi="Arial"/>
          <w:sz w:val="14"/>
          <w:szCs w:val="14"/>
          <w:color w:val="333333"/>
        </w:rPr>
        <w:t xml:space="preserve"> enhanced oil recovery project in Louisiana's Delhi field.</w:t>
      </w:r>
    </w:p>
    <w:p>
      <w:pPr>
        <w:spacing w:after="0" w:line="189" w:lineRule="exact"/>
        <w:rPr>
          <w:sz w:val="20"/>
          <w:szCs w:val="20"/>
          <w:color w:val="auto"/>
        </w:rPr>
      </w:pPr>
    </w:p>
    <w:p>
      <w:pPr>
        <w:ind w:right="40" w:firstLine="323"/>
        <w:spacing w:after="0" w:line="272" w:lineRule="auto"/>
        <w:rPr>
          <w:sz w:val="20"/>
          <w:szCs w:val="20"/>
          <w:color w:val="auto"/>
        </w:rPr>
      </w:pPr>
      <w:r>
        <w:rPr>
          <w:rFonts w:ascii="Arial" w:cs="Arial" w:eastAsia="Arial" w:hAnsi="Arial"/>
          <w:sz w:val="14"/>
          <w:szCs w:val="14"/>
          <w:b w:val="1"/>
          <w:bCs w:val="1"/>
          <w:i w:val="1"/>
          <w:iCs w:val="1"/>
          <w:color w:val="auto"/>
        </w:rPr>
        <w:t xml:space="preserve">Principles of Consolidation and Reporting. </w:t>
      </w:r>
      <w:r>
        <w:rPr>
          <w:rFonts w:ascii="Arial" w:cs="Arial" w:eastAsia="Arial" w:hAnsi="Arial"/>
          <w:sz w:val="14"/>
          <w:szCs w:val="14"/>
          <w:color w:val="auto"/>
        </w:rPr>
        <w:t>Our consolidated financial statements include the accounts of the Company and its wholly-owned subsidiaries. All significant intercompany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transactions have been eliminated in consolidation. The consolidated financial statements of prior periods include certain reclassifications that were made to conform to the current presentation. Such reclassifications have no impact on previously reported net income or stockholders' equity.</w:t>
      </w:r>
    </w:p>
    <w:p>
      <w:pPr>
        <w:spacing w:after="0" w:line="185" w:lineRule="exact"/>
        <w:rPr>
          <w:sz w:val="20"/>
          <w:szCs w:val="20"/>
          <w:color w:val="auto"/>
        </w:rPr>
      </w:pPr>
    </w:p>
    <w:p>
      <w:pPr>
        <w:ind w:right="20" w:firstLine="323"/>
        <w:spacing w:after="0" w:line="263" w:lineRule="auto"/>
        <w:rPr>
          <w:sz w:val="20"/>
          <w:szCs w:val="20"/>
          <w:color w:val="auto"/>
        </w:rPr>
      </w:pPr>
      <w:r>
        <w:rPr>
          <w:rFonts w:ascii="Arial" w:cs="Arial" w:eastAsia="Arial" w:hAnsi="Arial"/>
          <w:sz w:val="14"/>
          <w:szCs w:val="14"/>
          <w:b w:val="1"/>
          <w:bCs w:val="1"/>
          <w:i w:val="1"/>
          <w:iCs w:val="1"/>
          <w:color w:val="auto"/>
        </w:rPr>
        <w:t xml:space="preserve">Use of Estimates. </w:t>
      </w:r>
      <w:r>
        <w:rPr>
          <w:rFonts w:ascii="Arial" w:cs="Arial" w:eastAsia="Arial" w:hAnsi="Arial"/>
          <w:sz w:val="14"/>
          <w:szCs w:val="14"/>
          <w:color w:val="auto"/>
        </w:rPr>
        <w:t>The preparation of financial statements in conformity with GAAP requires us to make estimates and assumptions that affect the reported amounts of assets and liabilities 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dates of the financial statements and the reported amounts of revenues and expenses during the reporting periods. Significant estimates include (a) reserve quantities and estimated future cash flows associated with proved reserves, which significantly impact depletion expense and potential impairments of oil and natural gas properties, (b) asset retirement obligations, (c) stock-based compensation, (d) fair values of derivative assets and liabilities, (e) income taxes and the valuation of deferred tax assets and (f) commitments and contingencies. We analyze our estimates based on historical experience and various other assumptions that we believe to be reasonable. While we believe that our estimates and assumptions used in preparation of the consolidated financial statements are appropriate,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231"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4"/>
          <w:szCs w:val="14"/>
          <w:b w:val="1"/>
          <w:bCs w:val="1"/>
          <w:i w:val="1"/>
          <w:iCs w:val="1"/>
          <w:color w:val="auto"/>
        </w:rPr>
        <w:t>Cash and Cash Equivalents.</w:t>
      </w:r>
      <w:r>
        <w:rPr>
          <w:sz w:val="20"/>
          <w:szCs w:val="20"/>
          <w:color w:val="auto"/>
        </w:rPr>
        <w:tab/>
      </w:r>
      <w:r>
        <w:rPr>
          <w:rFonts w:ascii="Arial" w:cs="Arial" w:eastAsia="Arial" w:hAnsi="Arial"/>
          <w:sz w:val="13"/>
          <w:szCs w:val="13"/>
          <w:color w:val="auto"/>
        </w:rPr>
        <w:t>We consider all highly liquid investments, with original maturities of 90 days or less when purchased, to be cash and cash equivalents.</w:t>
      </w:r>
    </w:p>
    <w:p>
      <w:pPr>
        <w:spacing w:after="0" w:line="227" w:lineRule="exact"/>
        <w:rPr>
          <w:sz w:val="20"/>
          <w:szCs w:val="20"/>
          <w:color w:val="auto"/>
        </w:rPr>
      </w:pPr>
    </w:p>
    <w:p>
      <w:pPr>
        <w:ind w:right="160" w:firstLine="345"/>
        <w:spacing w:after="0" w:line="288" w:lineRule="auto"/>
        <w:rPr>
          <w:sz w:val="20"/>
          <w:szCs w:val="20"/>
          <w:color w:val="auto"/>
        </w:rPr>
      </w:pPr>
      <w:r>
        <w:rPr>
          <w:rFonts w:ascii="Arial" w:cs="Arial" w:eastAsia="Arial" w:hAnsi="Arial"/>
          <w:sz w:val="14"/>
          <w:szCs w:val="14"/>
          <w:b w:val="1"/>
          <w:bCs w:val="1"/>
          <w:i w:val="1"/>
          <w:iCs w:val="1"/>
          <w:color w:val="auto"/>
        </w:rPr>
        <w:t xml:space="preserve">Restricted Cash. </w:t>
      </w:r>
      <w:r>
        <w:rPr>
          <w:rFonts w:ascii="Arial" w:cs="Arial" w:eastAsia="Arial" w:hAnsi="Arial"/>
          <w:sz w:val="14"/>
          <w:szCs w:val="14"/>
          <w:color w:val="auto"/>
        </w:rPr>
        <w:t>Funds legally designated for a specified purpose are classified as restricted cash. Such a balance is classified on the statement of financial position as either current or non-current depending on its expected use.</w:t>
      </w:r>
    </w:p>
    <w:p>
      <w:pPr>
        <w:spacing w:after="0" w:line="174" w:lineRule="exact"/>
        <w:rPr>
          <w:sz w:val="20"/>
          <w:szCs w:val="20"/>
          <w:color w:val="auto"/>
        </w:rPr>
      </w:pPr>
    </w:p>
    <w:p>
      <w:pPr>
        <w:ind w:right="100" w:firstLine="345"/>
        <w:spacing w:after="0" w:line="294" w:lineRule="auto"/>
        <w:rPr>
          <w:sz w:val="20"/>
          <w:szCs w:val="20"/>
          <w:color w:val="auto"/>
        </w:rPr>
      </w:pPr>
      <w:r>
        <w:rPr>
          <w:rFonts w:ascii="Arial" w:cs="Arial" w:eastAsia="Arial" w:hAnsi="Arial"/>
          <w:sz w:val="13"/>
          <w:szCs w:val="13"/>
          <w:b w:val="1"/>
          <w:bCs w:val="1"/>
          <w:i w:val="1"/>
          <w:iCs w:val="1"/>
          <w:color w:val="auto"/>
        </w:rPr>
        <w:t xml:space="preserve">Accounts Receivable and Allowance for Doubtful Accounts. </w:t>
      </w:r>
      <w:r>
        <w:rPr>
          <w:rFonts w:ascii="Arial" w:cs="Arial" w:eastAsia="Arial" w:hAnsi="Arial"/>
          <w:sz w:val="13"/>
          <w:szCs w:val="13"/>
          <w:color w:val="auto"/>
        </w:rPr>
        <w:t>Accounts receivable consist accrued revenues due under normal trade terms, generally requiring payment within 30 days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production, and other miscellaneous receivables. No interest is charged on past-due balances. Payments made on accounts receivable are applied to the earliest unpaid items. We establish provisions for losses on accounts receivable if it is determined that collection of all or a part of an outstanding balance is not probable. Collectibility is reviewed regularly and an allowance is established or adjusted, as necessary, using the specific identification method. As of June 30, 2019 and 2018, no allowance for doubtful accounts was considered necessary.</w:t>
      </w:r>
    </w:p>
    <w:p>
      <w:pPr>
        <w:spacing w:after="0" w:line="173" w:lineRule="exact"/>
        <w:rPr>
          <w:sz w:val="20"/>
          <w:szCs w:val="20"/>
          <w:color w:val="auto"/>
        </w:rPr>
      </w:pPr>
    </w:p>
    <w:p>
      <w:pPr>
        <w:ind w:firstLine="345"/>
        <w:spacing w:after="0" w:line="294" w:lineRule="auto"/>
        <w:rPr>
          <w:sz w:val="20"/>
          <w:szCs w:val="20"/>
          <w:color w:val="auto"/>
        </w:rPr>
      </w:pPr>
      <w:r>
        <w:rPr>
          <w:rFonts w:ascii="Arial" w:cs="Arial" w:eastAsia="Arial" w:hAnsi="Arial"/>
          <w:sz w:val="13"/>
          <w:szCs w:val="13"/>
          <w:b w:val="1"/>
          <w:bCs w:val="1"/>
          <w:i w:val="1"/>
          <w:iCs w:val="1"/>
          <w:color w:val="auto"/>
        </w:rPr>
        <w:t xml:space="preserve">Oil and Natural Gas Properties. </w:t>
      </w:r>
      <w:r>
        <w:rPr>
          <w:rFonts w:ascii="Arial" w:cs="Arial" w:eastAsia="Arial" w:hAnsi="Arial"/>
          <w:sz w:val="13"/>
          <w:szCs w:val="13"/>
          <w:color w:val="auto"/>
        </w:rPr>
        <w:t>We use the full-cost method of accounting for our investments in oil and natural gas properties. Under this method of accounting, all costs incurred 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Gain or loss on the sale or other disposition of oil and natural gas properties is not recognized, unless the gain or loss would significantly alter the relationship between capitalized costs and proved reserves.</w:t>
      </w:r>
    </w:p>
    <w:p>
      <w:pPr>
        <w:spacing w:after="0" w:line="65" w:lineRule="exact"/>
        <w:rPr>
          <w:sz w:val="20"/>
          <w:szCs w:val="20"/>
          <w:color w:val="auto"/>
        </w:rPr>
      </w:pPr>
    </w:p>
    <w:p>
      <w:pPr>
        <w:ind w:right="40" w:firstLine="345"/>
        <w:spacing w:after="0" w:line="267" w:lineRule="auto"/>
        <w:rPr>
          <w:sz w:val="20"/>
          <w:szCs w:val="20"/>
          <w:color w:val="auto"/>
        </w:rPr>
      </w:pPr>
      <w:r>
        <w:rPr>
          <w:rFonts w:ascii="Arial" w:cs="Arial" w:eastAsia="Arial" w:hAnsi="Arial"/>
          <w:sz w:val="14"/>
          <w:szCs w:val="14"/>
          <w:color w:val="auto"/>
        </w:rPr>
        <w:t>Oil and natural gas properties include costs that are excluded from costs being depleted or amortized. Excluded costs represent investments in unproved and unevaluated properties and include non-producing leasehold, geological and geophysical costs associated with leasehold or drilling interests and exploration drilling costs. We exclude these costs until the project is evaluated and proved reserves are established or impairment is determined. Excluded costs are reviewed at least quarterly to determine if impairment has occurred. The amount of any evaluated or impaired oil and natural gas properties is transferred to capitalized costs being amortized.</w:t>
      </w:r>
    </w:p>
    <w:p>
      <w:pPr>
        <w:spacing w:after="0" w:line="81" w:lineRule="exact"/>
        <w:rPr>
          <w:sz w:val="20"/>
          <w:szCs w:val="20"/>
          <w:color w:val="auto"/>
        </w:rPr>
      </w:pPr>
    </w:p>
    <w:p>
      <w:pPr>
        <w:ind w:right="100" w:firstLine="345"/>
        <w:spacing w:after="0" w:line="328" w:lineRule="auto"/>
        <w:rPr>
          <w:sz w:val="20"/>
          <w:szCs w:val="20"/>
          <w:color w:val="auto"/>
        </w:rPr>
      </w:pPr>
      <w:r>
        <w:rPr>
          <w:rFonts w:ascii="Arial" w:cs="Arial" w:eastAsia="Arial" w:hAnsi="Arial"/>
          <w:sz w:val="13"/>
          <w:szCs w:val="13"/>
          <w:b w:val="1"/>
          <w:bCs w:val="1"/>
          <w:i w:val="1"/>
          <w:iCs w:val="1"/>
          <w:color w:val="auto"/>
        </w:rPr>
        <w:t xml:space="preserve">Limitation on Capitalized Costs. </w:t>
      </w:r>
      <w:r>
        <w:rPr>
          <w:rFonts w:ascii="Arial" w:cs="Arial" w:eastAsia="Arial" w:hAnsi="Arial"/>
          <w:sz w:val="13"/>
          <w:szCs w:val="13"/>
          <w:color w:val="auto"/>
        </w:rPr>
        <w:t>Under the full-cost method of accounting, we are required, at the end of each fiscal quarter, to perform a test to determine the limit on the book value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oil and natural gas properties (the "Ceiling Test"). If the capitalized costs of our oil and natural gas properties, net of accumulated amortization and related deferred income taxes,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40"/>
          </w:cols>
          <w:pgMar w:left="220" w:top="297" w:right="239" w:bottom="1440" w:gutter="0" w:footer="0" w:header="0"/>
        </w:sectPr>
      </w:pPr>
    </w:p>
    <w:bookmarkStart w:id="49" w:name="page50"/>
    <w:bookmarkEnd w:id="49"/>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exceed the "Ceiling", this excess or impairment is charged to expense and reflected as additional accumulated depreciation, depletion and amortization or as a credit to oil and natural gas properties. The expense may not be reversed in future periods, even though higher oil and natural gas prices may subsequently increase the Ceiling. The Ceiling is defined as the sum of: (a) the present value, discounted at 10 percent, and assuming continuation of existing economic conditions, of 1) estimated future gross revenues from proved reserves, which is computed using oil and natural gas prices determined as the unweighted arithmetic average of the first-day-of-the-month price for each month within the 12-month period prior to the end of the reporting period (with consideration of price changes only to the extent provided by contractual arrangements including hedging arrangements pursuant to SAB 103), less 2) estimated future expenditures (based on current costs) to be incurred in developing and producing the proved reserves; plus (b) the cost of properties not being amortized (pursuant to Reg. S-X Rule 4-10 (c)(3)(ii)); plus (c) the lower of cost or estimated fair value of unproven properties included in the costs being amortized; and net of (d) the related tax effects related to the difference between the book and tax basis of our oil and natural gas properties. Our Ceiling Tests did not result in an impairment of our oil and natural gas properties during the years ended June 30, 2019 and 2018.</w:t>
      </w:r>
    </w:p>
    <w:p>
      <w:pPr>
        <w:spacing w:after="0" w:line="180" w:lineRule="exact"/>
        <w:rPr>
          <w:sz w:val="20"/>
          <w:szCs w:val="20"/>
          <w:color w:val="auto"/>
        </w:rPr>
      </w:pPr>
    </w:p>
    <w:p>
      <w:pPr>
        <w:ind w:right="20" w:firstLine="345"/>
        <w:spacing w:after="0" w:line="263" w:lineRule="auto"/>
        <w:rPr>
          <w:sz w:val="20"/>
          <w:szCs w:val="20"/>
          <w:color w:val="auto"/>
        </w:rPr>
      </w:pPr>
      <w:r>
        <w:rPr>
          <w:rFonts w:ascii="Arial" w:cs="Arial" w:eastAsia="Arial" w:hAnsi="Arial"/>
          <w:sz w:val="14"/>
          <w:szCs w:val="14"/>
          <w:b w:val="1"/>
          <w:bCs w:val="1"/>
          <w:i w:val="1"/>
          <w:iCs w:val="1"/>
          <w:color w:val="auto"/>
        </w:rPr>
        <w:t xml:space="preserve">Other Property and Equipment. </w:t>
      </w:r>
      <w:r>
        <w:rPr>
          <w:rFonts w:ascii="Arial" w:cs="Arial" w:eastAsia="Arial" w:hAnsi="Arial"/>
          <w:sz w:val="14"/>
          <w:szCs w:val="14"/>
          <w:color w:val="auto"/>
        </w:rPr>
        <w:t>Other property and equipment includes building leasehold improvements, data processing and telecommunications equipment, office furniture and office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equipment. These items are recorded at cost and depreciated over expected lives of the individual assets or group of assets, which range from three to seven years. The assets are depreciated using the straight-line method. 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disposal value, if any, is less than the carrying amount of the asset. If any asset is determined to be impaired, the loss is measured as the amount by which the carrying amount of the asset exceeds its fair value. Repairs and maintenance costs are expensed in the period incurred.</w:t>
      </w:r>
    </w:p>
    <w:p>
      <w:pPr>
        <w:spacing w:after="0" w:line="192" w:lineRule="exact"/>
        <w:rPr>
          <w:sz w:val="20"/>
          <w:szCs w:val="20"/>
          <w:color w:val="auto"/>
        </w:rPr>
      </w:pPr>
    </w:p>
    <w:p>
      <w:pPr>
        <w:ind w:right="320" w:firstLine="323"/>
        <w:spacing w:after="0" w:line="288" w:lineRule="auto"/>
        <w:rPr>
          <w:sz w:val="20"/>
          <w:szCs w:val="20"/>
          <w:color w:val="auto"/>
        </w:rPr>
      </w:pPr>
      <w:r>
        <w:rPr>
          <w:rFonts w:ascii="Arial" w:cs="Arial" w:eastAsia="Arial" w:hAnsi="Arial"/>
          <w:sz w:val="14"/>
          <w:szCs w:val="14"/>
          <w:b w:val="1"/>
          <w:bCs w:val="1"/>
          <w:i w:val="1"/>
          <w:iCs w:val="1"/>
          <w:color w:val="auto"/>
        </w:rPr>
        <w:t xml:space="preserve">Deferred Financing Costs. </w:t>
      </w:r>
      <w:r>
        <w:rPr>
          <w:rFonts w:ascii="Arial" w:cs="Arial" w:eastAsia="Arial" w:hAnsi="Arial"/>
          <w:sz w:val="14"/>
          <w:szCs w:val="14"/>
          <w:color w:val="auto"/>
        </w:rPr>
        <w:t>The Company capitalizes costs incurred in connection with obtaining financing. These costs are included in other assets on the Company's consolidated balance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sheet and are amortized over the term of the related financing using the straight-line method, which approximates the effective interest method.</w:t>
      </w:r>
    </w:p>
    <w:p>
      <w:pPr>
        <w:spacing w:after="0" w:line="174" w:lineRule="exact"/>
        <w:rPr>
          <w:sz w:val="20"/>
          <w:szCs w:val="20"/>
          <w:color w:val="auto"/>
        </w:rPr>
      </w:pPr>
    </w:p>
    <w:p>
      <w:pPr>
        <w:ind w:right="40" w:firstLine="345"/>
        <w:spacing w:after="0" w:line="262" w:lineRule="auto"/>
        <w:rPr>
          <w:sz w:val="20"/>
          <w:szCs w:val="20"/>
          <w:color w:val="auto"/>
        </w:rPr>
      </w:pPr>
      <w:r>
        <w:rPr>
          <w:rFonts w:ascii="Arial" w:cs="Arial" w:eastAsia="Arial" w:hAnsi="Arial"/>
          <w:sz w:val="14"/>
          <w:szCs w:val="14"/>
          <w:b w:val="1"/>
          <w:bCs w:val="1"/>
          <w:i w:val="1"/>
          <w:iCs w:val="1"/>
          <w:color w:val="auto"/>
        </w:rPr>
        <w:t xml:space="preserve">Asset Retirement Obligations. </w:t>
      </w:r>
      <w:r>
        <w:rPr>
          <w:rFonts w:ascii="Arial" w:cs="Arial" w:eastAsia="Arial" w:hAnsi="Arial"/>
          <w:sz w:val="14"/>
          <w:szCs w:val="14"/>
          <w:color w:val="auto"/>
        </w:rPr>
        <w:t>An asset retirement obligation associated with the retirement of a tangible long-lived asset is recognized as a liability in the period incurred, with an associated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increase in the carrying amount of the related long-lived asset, our oil and natural gas properties. The cost of the tangible asset, including the asset retirement cost, is depleted over the useful life of the asset. The initial recognition or subsequent revision of asset retirement cost is considered a level 3 fair value measurement. The asset retirement obligation is recorded at its estimated fair value, measured by reference to the expected future cash outflows required to satisfy the retirement obligation discounted at our credit-adjusted risk-free interest rate. Accretion expense is recognized over time as the discounted liability is accreted to its expected settlement value. If the estimated future cost of the asset retirement obligation changes, an adjustment is recorded to both the asset retirement obligation and the long-lived asset. Revisions to estimated asset retirement obligations can result from changes in retirement cost estimates, revisions to estimated inflation rates and changes in the estimated timing of abandonment.</w:t>
      </w:r>
    </w:p>
    <w:p>
      <w:pPr>
        <w:spacing w:after="0" w:line="192" w:lineRule="exact"/>
        <w:rPr>
          <w:sz w:val="20"/>
          <w:szCs w:val="20"/>
          <w:color w:val="auto"/>
        </w:rPr>
      </w:pPr>
    </w:p>
    <w:p>
      <w:pPr>
        <w:ind w:firstLine="345"/>
        <w:spacing w:after="0" w:line="302" w:lineRule="auto"/>
        <w:rPr>
          <w:sz w:val="20"/>
          <w:szCs w:val="20"/>
          <w:color w:val="auto"/>
        </w:rPr>
      </w:pPr>
      <w:r>
        <w:rPr>
          <w:rFonts w:ascii="Arial" w:cs="Arial" w:eastAsia="Arial" w:hAnsi="Arial"/>
          <w:sz w:val="13"/>
          <w:szCs w:val="13"/>
          <w:b w:val="1"/>
          <w:bCs w:val="1"/>
          <w:i w:val="1"/>
          <w:iCs w:val="1"/>
          <w:color w:val="auto"/>
        </w:rPr>
        <w:t xml:space="preserve">Fair Value of Financial Instruments. </w:t>
      </w:r>
      <w:r>
        <w:rPr>
          <w:rFonts w:ascii="Arial" w:cs="Arial" w:eastAsia="Arial" w:hAnsi="Arial"/>
          <w:sz w:val="13"/>
          <w:szCs w:val="13"/>
          <w:color w:val="auto"/>
        </w:rPr>
        <w:t>Our financial instruments consist of cash and cash equivalents, restricted cash, accounts receivable, accounts payable and derivative instruments. Except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derivatives, the carrying amounts of these approximate fair value due to the highly liquid nature of these short-term instruments. The fair values of the Company’s derivative assets and liabilities are based on a third-party industry-standard pricing model that uses market data obtained from third-party sources, including quoted forward prices for oil and gas, discount rates and volatility factors.</w:t>
      </w:r>
    </w:p>
    <w:p>
      <w:pPr>
        <w:spacing w:after="0" w:line="168" w:lineRule="exact"/>
        <w:rPr>
          <w:sz w:val="20"/>
          <w:szCs w:val="20"/>
          <w:color w:val="auto"/>
        </w:rPr>
      </w:pPr>
    </w:p>
    <w:p>
      <w:pPr>
        <w:ind w:right="40" w:firstLine="345"/>
        <w:spacing w:after="0" w:line="261" w:lineRule="auto"/>
        <w:rPr>
          <w:sz w:val="20"/>
          <w:szCs w:val="20"/>
          <w:color w:val="auto"/>
        </w:rPr>
      </w:pPr>
      <w:r>
        <w:rPr>
          <w:rFonts w:ascii="Arial" w:cs="Arial" w:eastAsia="Arial" w:hAnsi="Arial"/>
          <w:sz w:val="14"/>
          <w:szCs w:val="14"/>
          <w:b w:val="1"/>
          <w:bCs w:val="1"/>
          <w:i w:val="1"/>
          <w:iCs w:val="1"/>
          <w:color w:val="auto"/>
        </w:rPr>
        <w:t xml:space="preserve">Stock-based Compensation. </w:t>
      </w:r>
      <w:r>
        <w:rPr>
          <w:rFonts w:ascii="Arial" w:cs="Arial" w:eastAsia="Arial" w:hAnsi="Arial"/>
          <w:sz w:val="14"/>
          <w:szCs w:val="14"/>
          <w:color w:val="auto"/>
        </w:rPr>
        <w:t>We estimate the fair value of stock-based compensation awards on the grant date to provide the basis for future compensation expense. Service-based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performance-based Restricted Stock and Contingent Restricted Stock awards are valued using the market price of our common stock on the grant date. Market-based awards are valued using a Monte Carlo simulation and geometric Brownian motion techniques applied to the historical volatility of the Company's total stock return compared to the historical volatilities of other companies or indices to which we compare our performance. This Monte Carlo simulation also provides an expected vesting period. For service-based awards, stock-based compensation is recognized ratably over the service period. For performance-based awards, stock based compensation is recognized ratably over the expected vesting period when it is deemed probable, for accounting purposes, that the performance goal will be achieved. The expected vesting period may be shorter than the remaining term. For market-based awards, stock-based compensation expense is recognized ratably over the expected vesting period, so long as the award holder remains an employee of the Company. Total compensation expense is independent of vesting or expiration of the awards, except for termination of service.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60"/>
          </w:cols>
          <w:pgMar w:left="220" w:top="297" w:right="219" w:bottom="1440" w:gutter="0" w:footer="0" w:header="0"/>
        </w:sectPr>
      </w:pPr>
    </w:p>
    <w:bookmarkStart w:id="50" w:name="page51"/>
    <w:bookmarkEnd w:id="50"/>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25" w:lineRule="exact"/>
        <w:rPr>
          <w:sz w:val="20"/>
          <w:szCs w:val="20"/>
          <w:color w:val="auto"/>
        </w:rPr>
      </w:pPr>
    </w:p>
    <w:p>
      <w:pPr>
        <w:ind w:right="20" w:firstLine="345"/>
        <w:spacing w:after="0" w:line="261" w:lineRule="auto"/>
        <w:rPr>
          <w:sz w:val="20"/>
          <w:szCs w:val="20"/>
          <w:color w:val="auto"/>
        </w:rPr>
      </w:pPr>
      <w:r>
        <w:rPr>
          <w:rFonts w:ascii="Arial" w:cs="Arial" w:eastAsia="Arial" w:hAnsi="Arial"/>
          <w:sz w:val="14"/>
          <w:szCs w:val="14"/>
          <w:b w:val="1"/>
          <w:bCs w:val="1"/>
          <w:i w:val="1"/>
          <w:iCs w:val="1"/>
          <w:color w:val="auto"/>
        </w:rPr>
        <w:t xml:space="preserve">Revenue Recognition - Oil and Gas. </w:t>
      </w:r>
      <w:r>
        <w:rPr>
          <w:rFonts w:ascii="Arial" w:cs="Arial" w:eastAsia="Arial" w:hAnsi="Arial"/>
          <w:sz w:val="14"/>
          <w:szCs w:val="14"/>
          <w:color w:val="auto"/>
        </w:rPr>
        <w:t>Our revenues are comprised solely of revenues from customers from the sale of crude oil, NGLs and natural gas. The Company believes that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disaggregation of revenue on its consolidated statements of operations into these three major product types appropriately depicts how the nature, amount, timing and uncertainty of revenue and cash flows are affected by economic factors based on our single geographic location. Crude oil, NGL and natural gas revenues are recognized at a point in time when production is sold to a purchaser at an index-based, determinable price, delivery has occurred, control has transferred and collectibility of the revenue is probable. The transaction price used to recognize revenue is a function of the contract billing terms which reference index price sources used by the industry. Revenue is invoiced by calendar month based on volumes at contractually based rates with payment typically required within 30 days for crude oil and 60 days for NGLs after the end of the production month. At the end of each month when the performance obligations have been satisfied, the consideration can be reasonably estimated and amounts due from customers are accrued in “Receivables” in our consolidated balance sheets. As of June 30, 2019 and 2018 receivables from contracts with customers were $3.2 million and $3.9 million, respectively.</w:t>
      </w:r>
    </w:p>
    <w:p>
      <w:pPr>
        <w:spacing w:after="0" w:line="194" w:lineRule="exact"/>
        <w:rPr>
          <w:sz w:val="20"/>
          <w:szCs w:val="20"/>
          <w:color w:val="auto"/>
        </w:rPr>
      </w:pPr>
    </w:p>
    <w:p>
      <w:pPr>
        <w:ind w:right="120" w:firstLine="345"/>
        <w:spacing w:after="0" w:line="267" w:lineRule="auto"/>
        <w:rPr>
          <w:sz w:val="20"/>
          <w:szCs w:val="20"/>
          <w:color w:val="auto"/>
        </w:rPr>
      </w:pPr>
      <w:r>
        <w:rPr>
          <w:rFonts w:ascii="Arial" w:cs="Arial" w:eastAsia="Arial" w:hAnsi="Arial"/>
          <w:sz w:val="14"/>
          <w:szCs w:val="14"/>
          <w:b w:val="1"/>
          <w:bCs w:val="1"/>
          <w:i w:val="1"/>
          <w:iCs w:val="1"/>
          <w:color w:val="auto"/>
        </w:rPr>
        <w:t xml:space="preserve">Depreciation, Depletion and Amortization ("DD&amp;A"). </w:t>
      </w:r>
      <w:r>
        <w:rPr>
          <w:rFonts w:ascii="Arial" w:cs="Arial" w:eastAsia="Arial" w:hAnsi="Arial"/>
          <w:sz w:val="14"/>
          <w:szCs w:val="14"/>
          <w:color w:val="auto"/>
        </w:rPr>
        <w:t>The depreciable base for oil and natural gas properties includes the sum of all capitalized costs net of DD&amp;A, estimated future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development costs and asset retirement costs (net of salvage values) not included in oil and natural gas properties, less costs excluded from amortization. The depreciable base of oil and natural gas properties is amortized using the unit-of-production method over total proved reserves. Other property, consisting of leasehold building improvements, office and computer equipment is depreciated as described above in Other Property and Equipment.</w:t>
      </w:r>
    </w:p>
    <w:p>
      <w:pPr>
        <w:spacing w:after="0" w:line="189" w:lineRule="exact"/>
        <w:rPr>
          <w:sz w:val="20"/>
          <w:szCs w:val="20"/>
          <w:color w:val="auto"/>
        </w:rPr>
      </w:pPr>
    </w:p>
    <w:p>
      <w:pPr>
        <w:ind w:right="20" w:firstLine="345"/>
        <w:spacing w:after="0" w:line="289"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We recognize deferred tax assets and liabilities based on the differences between the tax basis of assets and liabilities and their reported amounts in the financial statements that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may result in taxable or deductible amounts in future years. The measurement of deferred tax assets may be reduced by a valuation allowance based upon management's assessment of available evidence if it is deemed more likely than not some or all of the deferred tax assets will not be realizable. We recognize a tax benefit from an uncertain position when it is more likely than not that the position will be sustained upon examination, based on the technical merits of the position and will record the largest amount of tax benefit that is greater than 50% likely of being realized upon settlement with a taxing authority. The Company classifies any interest and penalties associated with income taxes as income tax expense.</w:t>
      </w:r>
    </w:p>
    <w:p>
      <w:pPr>
        <w:spacing w:after="0" w:line="178" w:lineRule="exact"/>
        <w:rPr>
          <w:sz w:val="20"/>
          <w:szCs w:val="20"/>
          <w:color w:val="auto"/>
        </w:rPr>
      </w:pPr>
    </w:p>
    <w:p>
      <w:pPr>
        <w:ind w:right="20" w:firstLine="345"/>
        <w:spacing w:after="0" w:line="283" w:lineRule="auto"/>
        <w:rPr>
          <w:sz w:val="20"/>
          <w:szCs w:val="20"/>
          <w:color w:val="auto"/>
        </w:rPr>
      </w:pPr>
      <w:r>
        <w:rPr>
          <w:rFonts w:ascii="Arial" w:cs="Arial" w:eastAsia="Arial" w:hAnsi="Arial"/>
          <w:sz w:val="13"/>
          <w:szCs w:val="13"/>
          <w:b w:val="1"/>
          <w:bCs w:val="1"/>
          <w:i w:val="1"/>
          <w:iCs w:val="1"/>
          <w:color w:val="auto"/>
        </w:rPr>
        <w:t xml:space="preserve">Earnings (Loss) Per Share. </w:t>
      </w:r>
      <w:r>
        <w:rPr>
          <w:rFonts w:ascii="Arial" w:cs="Arial" w:eastAsia="Arial" w:hAnsi="Arial"/>
          <w:sz w:val="13"/>
          <w:szCs w:val="13"/>
          <w:color w:val="auto"/>
        </w:rPr>
        <w:t>Basic earnings (loss) per share ("EPS") is computed by dividing earnings or loss available to common stockholders by the weighted-average number of common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shares outstanding during the period. The computation of diluted EPS is similar to the computation of basic EPS, except that the denominator is increased to include the number of additional common shares that would have been outstanding if potentially dilutive common shares had been issued. Potentially dilutive common shares are our outstanding stock options and contingent restricted common stock. We use the treasury stock method to determine the effect of potentially dilutive common shares on diluted EPS, unless the effect would be anti-dilutive. Under this method, exercise of stock options and, under certain conditions, contingent restricted common stock is assumed to have occurred at the beginning of the period (or at time of issuance, if later) and common shares are assumed to have been issued. The proceeds from exercise of stock options and unamortized stock compensation expense related to restricted common stock are assumed to be used to repurchase common stock at the average market price during the period. The incremental shares (the difference between the number of shares assumed issued and the number of shares assumed repurchased) are included in the denominator of the diluted EPS computation. Contingent restricted stock is included in the computation of diluted shares, if dilutive, when the underlying performance conditions either (i) were satisfied as of the end of the reporting period or (ii) would be considered satisfied if the end of the reporting period were the end of the related contingency period.</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Recently Adopted Accounting Pronouncements - Revenue Recognition</w:t>
      </w:r>
    </w:p>
    <w:p>
      <w:pPr>
        <w:spacing w:after="0" w:line="184" w:lineRule="exact"/>
        <w:rPr>
          <w:sz w:val="20"/>
          <w:szCs w:val="20"/>
          <w:color w:val="auto"/>
        </w:rPr>
      </w:pPr>
    </w:p>
    <w:p>
      <w:pPr>
        <w:ind w:firstLine="323"/>
        <w:spacing w:after="0" w:line="262" w:lineRule="auto"/>
        <w:rPr>
          <w:sz w:val="20"/>
          <w:szCs w:val="20"/>
          <w:color w:val="auto"/>
        </w:rPr>
      </w:pPr>
      <w:r>
        <w:rPr>
          <w:rFonts w:ascii="Arial" w:cs="Arial" w:eastAsia="Arial" w:hAnsi="Arial"/>
          <w:sz w:val="14"/>
          <w:szCs w:val="14"/>
          <w:color w:val="auto"/>
        </w:rPr>
        <w:t>Effective July 1, 2018, the Company adopted ASU No. 2014-09, Revenue From Contracts With Customers (Topic 606) (“ASC 606”) using the full retrospective method and has applied the standard to all existing contracts. ASC 606 supersedes previous revenue recognition requirements in ASC 605 - Revenue Recognition (“ASC 605”) and includes a five-step revenue recognition model to depict the transfer of goods or services to customers in an amount that reflects the consideration in exchange for those goods or services. As a result of adopting ASC 606, the Company did not have a cumulative-effect adjustment in retained earnings. The comparative information presented therein for the year ended June 30, 2018 reflects the reclassification on our consolidated statement of operations of $507,685 from “Production Costs” to “Revenue - Natural Gas Liquids” in conformance with ASC 606. These changes to revenue and production costs resulted from the conclusion that the Company did not control the product throughout processing before transferring to the customer. Therefore, costs incurred after the transfer of control are treated as reductions of revenue. Additionally, adoption of ASC 606 did not impact net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60"/>
          </w:cols>
          <w:pgMar w:left="220" w:top="296" w:right="219" w:bottom="1440" w:gutter="0" w:footer="0" w:header="0"/>
        </w:sectPr>
      </w:pPr>
    </w:p>
    <w:bookmarkStart w:id="51" w:name="page52"/>
    <w:bookmarkEnd w:id="51"/>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attributable to common stockholders, current assets, total assets, current liabilities, total liabilities or stockholders’ equity and the Company does not expect that it will do so in future periods.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Other Recently Adopted Accounting Pronouncements</w:t>
      </w:r>
    </w:p>
    <w:p>
      <w:pPr>
        <w:spacing w:after="0" w:line="119" w:lineRule="exact"/>
        <w:rPr>
          <w:sz w:val="20"/>
          <w:szCs w:val="20"/>
          <w:color w:val="auto"/>
        </w:rPr>
      </w:pPr>
    </w:p>
    <w:p>
      <w:pPr>
        <w:ind w:right="80" w:firstLine="323"/>
        <w:spacing w:after="0" w:line="261" w:lineRule="auto"/>
        <w:rPr>
          <w:sz w:val="20"/>
          <w:szCs w:val="20"/>
          <w:color w:val="auto"/>
        </w:rPr>
      </w:pPr>
      <w:r>
        <w:rPr>
          <w:rFonts w:ascii="Arial" w:cs="Arial" w:eastAsia="Arial" w:hAnsi="Arial"/>
          <w:sz w:val="14"/>
          <w:szCs w:val="14"/>
          <w:color w:val="auto"/>
        </w:rPr>
        <w:t>In January 2016, the FASB issued ASU 2016-01, Financial Instruments - Overall: Recognition and Measurement of Financial Assets and Financial Liabilities ("ASU 2016-01"). The pronouncement requires equity investments (except those accounted for under the equity method of accounting, or those that result in consolidation of the investees)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Effective July 1, 2018, the Company prospectively adopted ASU 2016-01 without impact to its consolidated financial position or results of operations. Because its investment in Well Lift Inc. does not have a readily determinable fair value, the Company elected to measure this investment at cost less impairment, if any, plus or minus changes resulting from observable price changes in orderly transactions for the identical or a similar investment of the same issuer, if they were to occur.</w:t>
      </w:r>
    </w:p>
    <w:p>
      <w:pPr>
        <w:spacing w:after="0" w:line="194" w:lineRule="exact"/>
        <w:rPr>
          <w:sz w:val="20"/>
          <w:szCs w:val="20"/>
          <w:color w:val="auto"/>
        </w:rPr>
      </w:pPr>
    </w:p>
    <w:p>
      <w:pPr>
        <w:jc w:val="both"/>
        <w:ind w:right="280" w:firstLine="323"/>
        <w:spacing w:after="0" w:line="302" w:lineRule="auto"/>
        <w:rPr>
          <w:sz w:val="20"/>
          <w:szCs w:val="20"/>
          <w:color w:val="auto"/>
        </w:rPr>
      </w:pPr>
      <w:r>
        <w:rPr>
          <w:rFonts w:ascii="Arial" w:cs="Arial" w:eastAsia="Arial" w:hAnsi="Arial"/>
          <w:sz w:val="13"/>
          <w:szCs w:val="13"/>
          <w:color w:val="auto"/>
        </w:rPr>
        <w:t>Effective July 1, 2018, the Company retrospectively adopted ASU No. 2016-15, Statement of Cash Flows (Topic 230): Classification of Certain Cash Receipts and Cash Payments, which is intended to reduce diversity in practice in how certain transactions are classified in the statement of cash flows. The guidance addresses eight specific cash flow issues for which current GAAP is either unclear or does not include specific guidance. Adoption had no effect on our current period and comparative consolidated statements of cash flows.</w:t>
      </w:r>
    </w:p>
    <w:p>
      <w:pPr>
        <w:spacing w:after="0" w:line="168" w:lineRule="exact"/>
        <w:rPr>
          <w:sz w:val="20"/>
          <w:szCs w:val="20"/>
          <w:color w:val="auto"/>
        </w:rPr>
      </w:pPr>
    </w:p>
    <w:p>
      <w:pPr>
        <w:ind w:right="220" w:firstLine="323"/>
        <w:spacing w:after="0" w:line="272" w:lineRule="auto"/>
        <w:rPr>
          <w:sz w:val="20"/>
          <w:szCs w:val="20"/>
          <w:color w:val="auto"/>
        </w:rPr>
      </w:pPr>
      <w:r>
        <w:rPr>
          <w:rFonts w:ascii="Arial" w:cs="Arial" w:eastAsia="Arial" w:hAnsi="Arial"/>
          <w:sz w:val="14"/>
          <w:szCs w:val="14"/>
          <w:color w:val="auto"/>
        </w:rPr>
        <w:t>Effective July 1, 2018, the Company prospectively adopted ASU No. 2017-01, Business Combinations (Topic 805): Clarifying the Definition of a Business, which clarifies the definition of a business to assist entities with evaluating whether transactions should be accounted for as acquisitions (or disposals) of assets or businesses. The Company will apply the clarified definition of business to future acquistions and divestitures.</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Recently Issued Accounting Pronouncements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February 2016, the FASB issued ASU 2016-02, Leases (Topic 842) (“ASU 2016-02”), which relates to the accounting for leasing transactions. This standard requires a lessee to record on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balance sheet the assets and liabilities for the rights and obligations created by leases with lease terms of more than twelve months. In addition, this standard requires both lessees and lessors to</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disclose certain key information about lease transactions. This standard will be effective for fiscal years beginning after December 15, 2018, including interim periods within those fiscal years. The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Company will adopt ASU 2016-02 effective July 1, 2019, using the modified retrospective approach. The Company will make certain elections allowing it to not reassess contracts that commenced</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prior to adoption, not to recognize right of use ("ROU") assets or lease liabilities for short-term leases, and will not separate lease components from non-lease components for specified asset classes.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As of July 1, 2019, the Company anticipates that the adoption of ASU 2016-02 will result in the recognition of ROU assets and lease liabilities on its consolidated balance sheets of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$165,000 related to office space. Accordingly, the Company does not expect ASU 2016-02 to have a significant impact on its consolidated statements of operations or consolidated statements of cash</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flows. The Company is finalizing its accounting policies, controls, processes, and disclosures that will change as a result of adopting the new standard. As permitted by ASU No. 2018-11, Leases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(Topic 842): Targeted Improvements, the Company does not expect to adjust comparative-period financial statements.</w:t>
      </w:r>
    </w:p>
    <w:p>
      <w:pPr>
        <w:spacing w:after="0" w:line="217" w:lineRule="exact"/>
        <w:rPr>
          <w:sz w:val="20"/>
          <w:szCs w:val="20"/>
          <w:color w:val="auto"/>
        </w:rPr>
      </w:pPr>
    </w:p>
    <w:p>
      <w:pPr>
        <w:ind w:firstLine="323"/>
        <w:spacing w:after="0" w:line="264" w:lineRule="auto"/>
        <w:rPr>
          <w:sz w:val="20"/>
          <w:szCs w:val="20"/>
          <w:color w:val="auto"/>
        </w:rPr>
      </w:pPr>
      <w:r>
        <w:rPr>
          <w:rFonts w:ascii="Arial" w:cs="Arial" w:eastAsia="Arial" w:hAnsi="Arial"/>
          <w:sz w:val="14"/>
          <w:szCs w:val="14"/>
          <w:color w:val="auto"/>
        </w:rPr>
        <w:t>In June 2016, the FASB issued ASU 2016-13, Financial Instruments - Credit Losses (“ASU 2016-13”). ASU 2016-13 changes the impairment model for most financial assets and certain other instruments, including trade and other receivables, and requires the use of a new forward-looking expected loss model that will result in the earlier recognition of allowances for losses. The amendments in this ASU are effective for fiscal years beginning after December 15, 2019, and interim periods within those fiscal years, and early adoption is permitted. Entities must adopt the amendment using a modified retrospective approach to the first reporting period in which the guidance is effective. The adoption of ASU 2016-13 is currently not expected to have a material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60"/>
          </w:cols>
          <w:pgMar w:left="220" w:top="297" w:right="219" w:bottom="1440" w:gutter="0" w:footer="0" w:header="0"/>
        </w:sectPr>
      </w:pPr>
    </w:p>
    <w:bookmarkStart w:id="52" w:name="page53"/>
    <w:bookmarkEnd w:id="52"/>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Enduro Purchase and Sale Agreement and "Stalking Horse" Bid</w:t>
      </w:r>
    </w:p>
    <w:p>
      <w:pPr>
        <w:spacing w:after="0" w:line="231" w:lineRule="exact"/>
        <w:rPr>
          <w:sz w:val="20"/>
          <w:szCs w:val="20"/>
          <w:color w:val="auto"/>
        </w:rPr>
      </w:pPr>
    </w:p>
    <w:p>
      <w:pPr>
        <w:ind w:right="20" w:firstLine="323"/>
        <w:spacing w:after="0" w:line="264" w:lineRule="auto"/>
        <w:rPr>
          <w:sz w:val="20"/>
          <w:szCs w:val="20"/>
          <w:color w:val="auto"/>
        </w:rPr>
      </w:pPr>
      <w:r>
        <w:rPr>
          <w:rFonts w:ascii="Arial" w:cs="Arial" w:eastAsia="Arial" w:hAnsi="Arial"/>
          <w:sz w:val="14"/>
          <w:szCs w:val="14"/>
          <w:color w:val="auto"/>
        </w:rPr>
        <w:t>During the first quarter of fiscal 2019, The Company recorded a $1.1 million break-up fee upon the closing of a higher bidder's purchase transaction. During May 2018, the Company had entered into a Purchase and Sale Agreement ("PSA"), to acquire, as the "stalking horse" bidder, certain oil and gas assets from an affiliate of Enduro Resource Partners LLC ("Enduro") for a purchase price of $27.5 million, subject to the outcome of Enduro's Chapter 11 process. Contemporaneous with executing the PSA, the Company made a $2.75 million deposit to an acquisition escrow account which, together with interest earned, comprised the restricted cash balance on the Company's June 30, 2018 consolidated statement of financial position. Earlier in the first quarter of 2019, the Company was repaid its deposit together with related earned interest when a higher bidder first emerged in the bidding process.</w:t>
      </w:r>
    </w:p>
    <w:p>
      <w:pPr>
        <w:spacing w:after="0" w:line="192" w:lineRule="exact"/>
        <w:rPr>
          <w:sz w:val="20"/>
          <w:szCs w:val="20"/>
          <w:color w:val="auto"/>
        </w:rPr>
      </w:pPr>
    </w:p>
    <w:p>
      <w:pPr>
        <w:ind w:right="60" w:firstLine="323"/>
        <w:spacing w:after="0" w:line="302" w:lineRule="auto"/>
        <w:rPr>
          <w:sz w:val="20"/>
          <w:szCs w:val="20"/>
          <w:color w:val="auto"/>
        </w:rPr>
      </w:pPr>
      <w:r>
        <w:rPr>
          <w:rFonts w:ascii="Arial" w:cs="Arial" w:eastAsia="Arial" w:hAnsi="Arial"/>
          <w:sz w:val="13"/>
          <w:szCs w:val="13"/>
          <w:color w:val="auto"/>
        </w:rPr>
        <w:t>The Company's initial and subsequent bids represented offers under Section 363 of the U.S. Bankruptcy Code in Enduro's Chapter 11 proceeding. Such offers are commonly referred to as “stalking horse” bids and are subject to higher bids, in accordance with the bidding procedures approved by the Bankruptcy Court. In connection with the PSA, the Company incurred third party due diligence expenses of $0.4 million, which have been reflected in the Company's consolidated statement of operations for the year ended June 30, 2018.</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Receivables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June 30, 2019 and June 30, 2018 our receivables consisted of the following:</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w:t>
            </w:r>
          </w:p>
        </w:tc>
        <w:tc>
          <w:tcPr>
            <w:tcW w:w="300" w:type="dxa"/>
            <w:vAlign w:val="bottom"/>
          </w:tcPr>
          <w:p>
            <w:pPr>
              <w:spacing w:after="0"/>
              <w:rPr>
                <w:sz w:val="10"/>
                <w:szCs w:val="10"/>
                <w:color w:val="auto"/>
              </w:rPr>
            </w:pPr>
          </w:p>
        </w:tc>
        <w:tc>
          <w:tcPr>
            <w:tcW w:w="1160" w:type="dxa"/>
            <w:vAlign w:val="bottom"/>
          </w:tcPr>
          <w:p>
            <w:pPr>
              <w:jc w:val="right"/>
              <w:ind w:right="474"/>
              <w:spacing w:after="0"/>
              <w:rPr>
                <w:sz w:val="20"/>
                <w:szCs w:val="20"/>
                <w:color w:val="auto"/>
              </w:rPr>
            </w:pPr>
            <w:r>
              <w:rPr>
                <w:rFonts w:ascii="Arial" w:cs="Arial" w:eastAsia="Arial" w:hAnsi="Arial"/>
                <w:sz w:val="11"/>
                <w:szCs w:val="11"/>
                <w:b w:val="1"/>
                <w:bCs w:val="1"/>
                <w:color w:val="auto"/>
              </w:rPr>
              <w:t>June 30,</w:t>
            </w:r>
          </w:p>
        </w:tc>
      </w:tr>
      <w:tr>
        <w:trPr>
          <w:trHeight w:val="153"/>
        </w:trPr>
        <w:tc>
          <w:tcPr>
            <w:tcW w:w="83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4"/>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2018</w:t>
            </w:r>
          </w:p>
        </w:tc>
      </w:tr>
      <w:tr>
        <w:trPr>
          <w:trHeight w:val="191"/>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Receivables from oil and gas sales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3,168,116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3,940,998</w:t>
            </w:r>
          </w:p>
        </w:tc>
      </w:tr>
      <w:tr>
        <w:trPr>
          <w:trHeight w:val="193"/>
        </w:trPr>
        <w:tc>
          <w:tcPr>
            <w:tcW w:w="8320" w:type="dxa"/>
            <w:vAlign w:val="bottom"/>
          </w:tcPr>
          <w:p>
            <w:pPr>
              <w:ind w:left="2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918</w:t>
            </w:r>
          </w:p>
        </w:tc>
      </w:tr>
      <w:tr>
        <w:trPr>
          <w:trHeight w:val="23"/>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receivables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3,168,116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3,941,916</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There were no losses from uncollectible accounts receivable, nor any allowance for doubtful accounts in any of the periods presented in these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Prepaid Expenses and Other Current Assets</w:t>
      </w:r>
    </w:p>
    <w:p>
      <w:pPr>
        <w:spacing w:after="0" w:line="29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June 30, 2019 and June 30, 2018 our prepaid expenses and other current assets consisted of the following:</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40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w:t>
            </w:r>
          </w:p>
        </w:tc>
        <w:tc>
          <w:tcPr>
            <w:tcW w:w="300" w:type="dxa"/>
            <w:vAlign w:val="bottom"/>
          </w:tcPr>
          <w:p>
            <w:pPr>
              <w:spacing w:after="0"/>
              <w:rPr>
                <w:sz w:val="10"/>
                <w:szCs w:val="10"/>
                <w:color w:val="auto"/>
              </w:rPr>
            </w:pPr>
          </w:p>
        </w:tc>
        <w:tc>
          <w:tcPr>
            <w:tcW w:w="1160" w:type="dxa"/>
            <w:vAlign w:val="bottom"/>
          </w:tcPr>
          <w:p>
            <w:pPr>
              <w:jc w:val="right"/>
              <w:ind w:right="472"/>
              <w:spacing w:after="0"/>
              <w:rPr>
                <w:sz w:val="20"/>
                <w:szCs w:val="20"/>
                <w:color w:val="auto"/>
              </w:rPr>
            </w:pPr>
            <w:r>
              <w:rPr>
                <w:rFonts w:ascii="Arial" w:cs="Arial" w:eastAsia="Arial" w:hAnsi="Arial"/>
                <w:sz w:val="11"/>
                <w:szCs w:val="11"/>
                <w:b w:val="1"/>
                <w:bCs w:val="1"/>
                <w:color w:val="auto"/>
              </w:rPr>
              <w:t>June 30,</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CCEEFF"/>
            </w:tcBorders>
          </w:tcPr>
          <w:p>
            <w:pPr>
              <w:spacing w:after="0"/>
              <w:rPr>
                <w:sz w:val="13"/>
                <w:szCs w:val="13"/>
                <w:color w:val="auto"/>
              </w:rPr>
            </w:pPr>
          </w:p>
        </w:tc>
        <w:tc>
          <w:tcPr>
            <w:tcW w:w="43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91"/>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insurance</w:t>
            </w:r>
          </w:p>
        </w:tc>
        <w:tc>
          <w:tcPr>
            <w:tcW w:w="4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206,198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198,558</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Arial" w:cs="Arial" w:eastAsia="Arial" w:hAnsi="Arial"/>
                <w:sz w:val="14"/>
                <w:szCs w:val="14"/>
                <w:color w:val="auto"/>
              </w:rPr>
              <w:t>Prepaid federal and state income taxes</w:t>
            </w:r>
          </w:p>
        </w:tc>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121,679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231,920</w:t>
            </w:r>
          </w:p>
        </w:tc>
        <w:tc>
          <w:tcPr>
            <w:tcW w:w="0" w:type="dxa"/>
            <w:vAlign w:val="bottom"/>
          </w:tcPr>
          <w:p>
            <w:pPr>
              <w:spacing w:after="0"/>
              <w:rPr>
                <w:sz w:val="1"/>
                <w:szCs w:val="1"/>
                <w:color w:val="auto"/>
              </w:rPr>
            </w:pPr>
          </w:p>
        </w:tc>
      </w:tr>
      <w:tr>
        <w:trPr>
          <w:trHeight w:val="23"/>
        </w:trPr>
        <w:tc>
          <w:tcPr>
            <w:tcW w:w="40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Retainers and deposits</w:t>
            </w:r>
          </w:p>
        </w:tc>
        <w:tc>
          <w:tcPr>
            <w:tcW w:w="4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8,019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11,089</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Arial" w:cs="Arial" w:eastAsia="Arial" w:hAnsi="Arial"/>
                <w:sz w:val="14"/>
                <w:szCs w:val="14"/>
                <w:color w:val="auto"/>
              </w:rPr>
              <w:t>Other prepaid expenses</w:t>
            </w:r>
          </w:p>
        </w:tc>
        <w:tc>
          <w:tcPr>
            <w:tcW w:w="4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122,382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color w:val="auto"/>
              </w:rPr>
              <w:t>82,940</w:t>
            </w:r>
          </w:p>
        </w:tc>
        <w:tc>
          <w:tcPr>
            <w:tcW w:w="0" w:type="dxa"/>
            <w:vAlign w:val="bottom"/>
          </w:tcPr>
          <w:p>
            <w:pPr>
              <w:spacing w:after="0"/>
              <w:rPr>
                <w:sz w:val="1"/>
                <w:szCs w:val="1"/>
                <w:color w:val="auto"/>
              </w:rPr>
            </w:pPr>
          </w:p>
        </w:tc>
      </w:tr>
      <w:tr>
        <w:trPr>
          <w:trHeight w:val="23"/>
        </w:trPr>
        <w:tc>
          <w:tcPr>
            <w:tcW w:w="40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4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458,278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524,507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jc w:val="right"/>
              <w:ind w:right="2488"/>
              <w:spacing w:after="0"/>
              <w:rPr>
                <w:sz w:val="20"/>
                <w:szCs w:val="20"/>
                <w:color w:val="auto"/>
              </w:rPr>
            </w:pPr>
            <w:r>
              <w:rPr>
                <w:rFonts w:ascii="Arial" w:cs="Arial" w:eastAsia="Arial" w:hAnsi="Arial"/>
                <w:sz w:val="14"/>
                <w:szCs w:val="14"/>
                <w:color w:val="auto"/>
              </w:rPr>
              <w:t>47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40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20" w:top="297" w:right="239" w:bottom="1440" w:gutter="0" w:footer="0" w:header="0"/>
        </w:sectPr>
      </w:pPr>
    </w:p>
    <w:bookmarkStart w:id="53" w:name="page54"/>
    <w:bookmarkEnd w:id="53"/>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2019 and June 30, 2018, our oil and natural gas properties and other property and equipment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w:t>
            </w:r>
          </w:p>
        </w:tc>
        <w:tc>
          <w:tcPr>
            <w:tcW w:w="320" w:type="dxa"/>
            <w:vAlign w:val="bottom"/>
          </w:tcPr>
          <w:p>
            <w:pPr>
              <w:spacing w:after="0"/>
              <w:rPr>
                <w:sz w:val="10"/>
                <w:szCs w:val="10"/>
                <w:color w:val="auto"/>
              </w:rPr>
            </w:pPr>
          </w:p>
        </w:tc>
        <w:tc>
          <w:tcPr>
            <w:tcW w:w="1160" w:type="dxa"/>
            <w:vAlign w:val="bottom"/>
          </w:tcPr>
          <w:p>
            <w:pPr>
              <w:jc w:val="right"/>
              <w:ind w:right="471"/>
              <w:spacing w:after="0"/>
              <w:rPr>
                <w:sz w:val="20"/>
                <w:szCs w:val="20"/>
                <w:color w:val="auto"/>
              </w:rPr>
            </w:pPr>
            <w:r>
              <w:rPr>
                <w:rFonts w:ascii="Arial" w:cs="Arial" w:eastAsia="Arial" w:hAnsi="Arial"/>
                <w:sz w:val="11"/>
                <w:szCs w:val="11"/>
                <w:b w:val="1"/>
                <w:bCs w:val="1"/>
                <w:color w:val="auto"/>
              </w:rPr>
              <w:t>June 30,</w:t>
            </w:r>
          </w:p>
        </w:tc>
        <w:tc>
          <w:tcPr>
            <w:tcW w:w="0" w:type="dxa"/>
            <w:vAlign w:val="bottom"/>
          </w:tcPr>
          <w:p>
            <w:pPr>
              <w:spacing w:after="0"/>
              <w:rPr>
                <w:sz w:val="1"/>
                <w:szCs w:val="1"/>
                <w:color w:val="auto"/>
              </w:rPr>
            </w:pPr>
          </w:p>
        </w:tc>
      </w:tr>
      <w:tr>
        <w:trPr>
          <w:trHeight w:val="153"/>
        </w:trPr>
        <w:tc>
          <w:tcPr>
            <w:tcW w:w="83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9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Oil and natural gas properties:</w:t>
            </w: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60" w:type="dxa"/>
            <w:vAlign w:val="bottom"/>
          </w:tcPr>
          <w:p>
            <w:pPr>
              <w:ind w:left="140"/>
              <w:spacing w:after="0"/>
              <w:rPr>
                <w:sz w:val="20"/>
                <w:szCs w:val="20"/>
                <w:color w:val="auto"/>
              </w:rPr>
            </w:pPr>
            <w:r>
              <w:rPr>
                <w:rFonts w:ascii="Arial" w:cs="Arial" w:eastAsia="Arial" w:hAnsi="Arial"/>
                <w:sz w:val="14"/>
                <w:szCs w:val="14"/>
                <w:color w:val="auto"/>
              </w:rPr>
              <w:t>Property costs subject to amortization</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95,622,153</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90,392,918</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Less: Accumulated depreciation, depletion, and amortization</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(35,275,687)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(29,153,172)</w:t>
            </w:r>
          </w:p>
        </w:tc>
        <w:tc>
          <w:tcPr>
            <w:tcW w:w="0" w:type="dxa"/>
            <w:vAlign w:val="bottom"/>
          </w:tcPr>
          <w:p>
            <w:pPr>
              <w:spacing w:after="0"/>
              <w:rPr>
                <w:sz w:val="1"/>
                <w:szCs w:val="1"/>
                <w:color w:val="auto"/>
              </w:rPr>
            </w:pPr>
          </w:p>
        </w:tc>
      </w:tr>
      <w:tr>
        <w:trPr>
          <w:trHeight w:val="193"/>
        </w:trPr>
        <w:tc>
          <w:tcPr>
            <w:tcW w:w="8360" w:type="dxa"/>
            <w:vAlign w:val="bottom"/>
          </w:tcPr>
          <w:p>
            <w:pPr>
              <w:ind w:left="140"/>
              <w:spacing w:after="0"/>
              <w:rPr>
                <w:sz w:val="20"/>
                <w:szCs w:val="20"/>
                <w:color w:val="auto"/>
              </w:rPr>
            </w:pPr>
            <w:r>
              <w:rPr>
                <w:rFonts w:ascii="Arial" w:cs="Arial" w:eastAsia="Arial" w:hAnsi="Arial"/>
                <w:sz w:val="14"/>
                <w:szCs w:val="14"/>
                <w:color w:val="auto"/>
              </w:rPr>
              <w:t>Unproved properties not subject to amortization</w:t>
            </w:r>
          </w:p>
        </w:tc>
        <w:tc>
          <w:tcPr>
            <w:tcW w:w="32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Oil and natural gas properties, net</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60,346,466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61,239,746</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 property and equipment:</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Furniture, fixtures and office equipment, at cost</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154,731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143,223</w:t>
            </w:r>
          </w:p>
        </w:tc>
        <w:tc>
          <w:tcPr>
            <w:tcW w:w="0" w:type="dxa"/>
            <w:vAlign w:val="bottom"/>
          </w:tcPr>
          <w:p>
            <w:pPr>
              <w:spacing w:after="0"/>
              <w:rPr>
                <w:sz w:val="1"/>
                <w:szCs w:val="1"/>
                <w:color w:val="auto"/>
              </w:rPr>
            </w:pPr>
          </w:p>
        </w:tc>
      </w:tr>
      <w:tr>
        <w:trPr>
          <w:trHeight w:val="193"/>
        </w:trPr>
        <w:tc>
          <w:tcPr>
            <w:tcW w:w="8360" w:type="dxa"/>
            <w:vAlign w:val="bottom"/>
          </w:tcPr>
          <w:p>
            <w:pPr>
              <w:ind w:left="140"/>
              <w:spacing w:after="0"/>
              <w:rPr>
                <w:sz w:val="20"/>
                <w:szCs w:val="20"/>
                <w:color w:val="auto"/>
              </w:rPr>
            </w:pPr>
            <w:r>
              <w:rPr>
                <w:rFonts w:ascii="Arial" w:cs="Arial" w:eastAsia="Arial" w:hAnsi="Arial"/>
                <w:sz w:val="14"/>
                <w:szCs w:val="14"/>
                <w:color w:val="auto"/>
              </w:rPr>
              <w:t>Less: Accumulated depreciation</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(128,313)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(112,816)</w:t>
            </w:r>
          </w:p>
        </w:tc>
        <w:tc>
          <w:tcPr>
            <w:tcW w:w="0" w:type="dxa"/>
            <w:vAlign w:val="bottom"/>
          </w:tcPr>
          <w:p>
            <w:pPr>
              <w:spacing w:after="0"/>
              <w:rPr>
                <w:sz w:val="1"/>
                <w:szCs w:val="1"/>
                <w:color w:val="auto"/>
              </w:rPr>
            </w:pP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property and equipment, net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26,418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30,407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2019 and 2018, all oil and gas property costs were being amortized.</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During the years ended June 30, 2019 and 2018, the Company incurred capital expenditures of $5.2 million and $5.4 million, respectively, in the Delhi field.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Other Assets</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As of June 30, 2019 and June 30, 2018 our other assets consisted of the following:</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w:t>
            </w:r>
          </w:p>
        </w:tc>
        <w:tc>
          <w:tcPr>
            <w:tcW w:w="300" w:type="dxa"/>
            <w:vAlign w:val="bottom"/>
          </w:tcPr>
          <w:p>
            <w:pPr>
              <w:spacing w:after="0"/>
              <w:rPr>
                <w:sz w:val="10"/>
                <w:szCs w:val="10"/>
                <w:color w:val="auto"/>
              </w:rPr>
            </w:pPr>
          </w:p>
        </w:tc>
        <w:tc>
          <w:tcPr>
            <w:tcW w:w="1160" w:type="dxa"/>
            <w:vAlign w:val="bottom"/>
          </w:tcPr>
          <w:p>
            <w:pPr>
              <w:jc w:val="right"/>
              <w:ind w:right="471"/>
              <w:spacing w:after="0"/>
              <w:rPr>
                <w:sz w:val="20"/>
                <w:szCs w:val="20"/>
                <w:color w:val="auto"/>
              </w:rPr>
            </w:pPr>
            <w:r>
              <w:rPr>
                <w:rFonts w:ascii="Arial" w:cs="Arial" w:eastAsia="Arial" w:hAnsi="Arial"/>
                <w:sz w:val="11"/>
                <w:szCs w:val="11"/>
                <w:b w:val="1"/>
                <w:bCs w:val="1"/>
                <w:color w:val="auto"/>
              </w:rPr>
              <w:t>June 30,</w:t>
            </w:r>
          </w:p>
        </w:tc>
      </w:tr>
      <w:tr>
        <w:trPr>
          <w:trHeight w:val="153"/>
        </w:trPr>
        <w:tc>
          <w:tcPr>
            <w:tcW w:w="83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2018</w:t>
            </w:r>
          </w:p>
        </w:tc>
      </w:tr>
      <w:tr>
        <w:trPr>
          <w:trHeight w:val="191"/>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Royalty rights</w:t>
            </w: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108,512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108,512</w:t>
            </w:r>
          </w:p>
        </w:tc>
      </w:tr>
      <w:tr>
        <w:trPr>
          <w:trHeight w:val="193"/>
        </w:trPr>
        <w:tc>
          <w:tcPr>
            <w:tcW w:w="8320" w:type="dxa"/>
            <w:vAlign w:val="bottom"/>
          </w:tcPr>
          <w:p>
            <w:pPr>
              <w:ind w:left="20"/>
              <w:spacing w:after="0"/>
              <w:rPr>
                <w:sz w:val="20"/>
                <w:szCs w:val="20"/>
                <w:color w:val="auto"/>
              </w:rPr>
            </w:pPr>
            <w:r>
              <w:rPr>
                <w:rFonts w:ascii="Arial" w:cs="Arial" w:eastAsia="Arial" w:hAnsi="Arial"/>
                <w:sz w:val="14"/>
                <w:szCs w:val="14"/>
                <w:color w:val="auto"/>
              </w:rPr>
              <w:t>Less: Accumulated amortization of royalty rights</w:t>
            </w:r>
          </w:p>
        </w:tc>
        <w:tc>
          <w:tcPr>
            <w:tcW w:w="30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(47,474)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(33,910)</w:t>
            </w:r>
          </w:p>
        </w:tc>
      </w:tr>
      <w:tr>
        <w:trPr>
          <w:trHeight w:val="23"/>
        </w:trPr>
        <w:tc>
          <w:tcPr>
            <w:tcW w:w="8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 Well Lift Inc., at cost</w:t>
            </w: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108,750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108,750</w:t>
            </w:r>
          </w:p>
        </w:tc>
      </w:tr>
      <w:tr>
        <w:trPr>
          <w:trHeight w:val="193"/>
        </w:trPr>
        <w:tc>
          <w:tcPr>
            <w:tcW w:w="8320" w:type="dxa"/>
            <w:vAlign w:val="bottom"/>
          </w:tcPr>
          <w:p>
            <w:pPr>
              <w:ind w:left="20"/>
              <w:spacing w:after="0"/>
              <w:rPr>
                <w:sz w:val="20"/>
                <w:szCs w:val="20"/>
                <w:color w:val="auto"/>
              </w:rPr>
            </w:pPr>
            <w:r>
              <w:rPr>
                <w:rFonts w:ascii="Arial" w:cs="Arial" w:eastAsia="Arial" w:hAnsi="Arial"/>
                <w:sz w:val="14"/>
                <w:szCs w:val="14"/>
                <w:color w:val="auto"/>
              </w:rPr>
              <w:t>Deferred loan costs</w:t>
            </w:r>
          </w:p>
        </w:tc>
        <w:tc>
          <w:tcPr>
            <w:tcW w:w="300" w:type="dxa"/>
            <w:vAlign w:val="bottom"/>
          </w:tcPr>
          <w:p>
            <w:pPr>
              <w:spacing w:after="0"/>
              <w:rPr>
                <w:sz w:val="16"/>
                <w:szCs w:val="16"/>
                <w:color w:val="auto"/>
              </w:rPr>
            </w:pPr>
          </w:p>
        </w:tc>
        <w:tc>
          <w:tcPr>
            <w:tcW w:w="1200" w:type="dxa"/>
            <w:vAlign w:val="bottom"/>
          </w:tcPr>
          <w:p>
            <w:pPr>
              <w:jc w:val="right"/>
              <w:ind w:right="51"/>
              <w:spacing w:after="0"/>
              <w:rPr>
                <w:sz w:val="20"/>
                <w:szCs w:val="20"/>
                <w:color w:val="auto"/>
              </w:rPr>
            </w:pPr>
            <w:r>
              <w:rPr>
                <w:rFonts w:ascii="Arial" w:cs="Arial" w:eastAsia="Arial" w:hAnsi="Arial"/>
                <w:sz w:val="14"/>
                <w:szCs w:val="14"/>
                <w:color w:val="auto"/>
              </w:rPr>
              <w:t>168,972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168,972</w:t>
            </w:r>
          </w:p>
        </w:tc>
      </w:tr>
      <w:tr>
        <w:trPr>
          <w:trHeight w:val="23"/>
        </w:trPr>
        <w:tc>
          <w:tcPr>
            <w:tcW w:w="8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Accumulated amortization of deferred loan costs</w:t>
            </w: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(141,927)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(126,771)</w:t>
            </w:r>
          </w:p>
        </w:tc>
      </w:tr>
      <w:tr>
        <w:trPr>
          <w:trHeight w:val="193"/>
        </w:trPr>
        <w:tc>
          <w:tcPr>
            <w:tcW w:w="8320" w:type="dxa"/>
            <w:vAlign w:val="bottom"/>
          </w:tcPr>
          <w:p>
            <w:pPr>
              <w:ind w:left="20"/>
              <w:spacing w:after="0"/>
              <w:rPr>
                <w:sz w:val="20"/>
                <w:szCs w:val="20"/>
                <w:color w:val="auto"/>
              </w:rPr>
            </w:pPr>
            <w:r>
              <w:rPr>
                <w:rFonts w:ascii="Arial" w:cs="Arial" w:eastAsia="Arial" w:hAnsi="Arial"/>
                <w:sz w:val="14"/>
                <w:szCs w:val="14"/>
                <w:color w:val="auto"/>
              </w:rPr>
              <w:t>Software license</w:t>
            </w:r>
          </w:p>
        </w:tc>
        <w:tc>
          <w:tcPr>
            <w:tcW w:w="300" w:type="dxa"/>
            <w:vAlign w:val="bottom"/>
          </w:tcPr>
          <w:p>
            <w:pPr>
              <w:spacing w:after="0"/>
              <w:rPr>
                <w:sz w:val="16"/>
                <w:szCs w:val="16"/>
                <w:color w:val="auto"/>
              </w:rPr>
            </w:pPr>
          </w:p>
        </w:tc>
        <w:tc>
          <w:tcPr>
            <w:tcW w:w="1200" w:type="dxa"/>
            <w:vAlign w:val="bottom"/>
          </w:tcPr>
          <w:p>
            <w:pPr>
              <w:jc w:val="right"/>
              <w:ind w:right="51"/>
              <w:spacing w:after="0"/>
              <w:rPr>
                <w:sz w:val="20"/>
                <w:szCs w:val="20"/>
                <w:color w:val="auto"/>
              </w:rPr>
            </w:pPr>
            <w:r>
              <w:rPr>
                <w:rFonts w:ascii="Arial" w:cs="Arial" w:eastAsia="Arial" w:hAnsi="Arial"/>
                <w:sz w:val="14"/>
                <w:szCs w:val="14"/>
                <w:color w:val="auto"/>
              </w:rPr>
              <w:t>20,662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20,662</w:t>
            </w:r>
          </w:p>
        </w:tc>
      </w:tr>
      <w:tr>
        <w:trPr>
          <w:trHeight w:val="23"/>
        </w:trPr>
        <w:tc>
          <w:tcPr>
            <w:tcW w:w="8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Accumulated amortization of software license</w:t>
            </w: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(7,462)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(1,380)</w:t>
            </w:r>
          </w:p>
        </w:tc>
      </w:tr>
      <w:tr>
        <w:trPr>
          <w:trHeight w:val="200"/>
        </w:trPr>
        <w:tc>
          <w:tcPr>
            <w:tcW w:w="8320" w:type="dxa"/>
            <w:vAlign w:val="bottom"/>
          </w:tcPr>
          <w:p>
            <w:pPr>
              <w:ind w:left="20"/>
              <w:spacing w:after="0"/>
              <w:rPr>
                <w:sz w:val="20"/>
                <w:szCs w:val="20"/>
                <w:color w:val="auto"/>
              </w:rPr>
            </w:pPr>
            <w:r>
              <w:rPr>
                <w:rFonts w:ascii="Arial" w:cs="Arial" w:eastAsia="Arial" w:hAnsi="Arial"/>
                <w:sz w:val="14"/>
                <w:szCs w:val="14"/>
                <w:color w:val="auto"/>
              </w:rPr>
              <w:t>Other assets, net</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210,033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244,835</w:t>
            </w:r>
          </w:p>
        </w:tc>
      </w:tr>
      <w:tr>
        <w:trPr>
          <w:trHeight w:val="20"/>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right="40" w:firstLine="323"/>
        <w:spacing w:after="0" w:line="264" w:lineRule="auto"/>
        <w:rPr>
          <w:sz w:val="20"/>
          <w:szCs w:val="20"/>
          <w:color w:val="auto"/>
        </w:rPr>
      </w:pPr>
      <w:r>
        <w:rPr>
          <w:rFonts w:ascii="Arial" w:cs="Arial" w:eastAsia="Arial" w:hAnsi="Arial"/>
          <w:sz w:val="14"/>
          <w:szCs w:val="14"/>
          <w:color w:val="auto"/>
        </w:rPr>
        <w:t>Our royalty rights and investment in Well Lift, Inc. ("WLI") resulted from the separation of our artificial lift technology operations in December 2015. We conveyed our patents and other intellectual property to WLI and retained a 5% royalty on future gross revenues associated the technology. We own 17.5% of the common stock of WLI and account for our investment in this private company at cost less impairment, if any, plus or minus changes resulting from observable price changes in orderly transactions for the identical or a similar investment of the same issuer, if such were to occur. The Company evaluates the investment for impairment when it identifies any events or changes in circumstances that might have a significant adverse effect on the fair value of the investment.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60"/>
          </w:cols>
          <w:pgMar w:left="220" w:top="297" w:right="219" w:bottom="1440" w:gutter="0" w:footer="0" w:header="0"/>
        </w:sectPr>
      </w:pPr>
    </w:p>
    <w:bookmarkStart w:id="54" w:name="page55"/>
    <w:bookmarkEnd w:id="54"/>
    <w:p>
      <w:pPr>
        <w:spacing w:after="0"/>
        <w:rPr>
          <w:rFonts w:ascii="Arial" w:cs="Arial" w:eastAsia="Arial" w:hAnsi="Arial"/>
          <w:sz w:val="11"/>
          <w:szCs w:val="11"/>
          <w:u w:val="single" w:color="auto"/>
          <w:color w:val="0000EE"/>
        </w:rPr>
      </w:pPr>
      <w:hyperlink w:anchor="page2">
        <w:r>
          <w:rPr>
            <w:rFonts w:ascii="Arial" w:cs="Arial" w:eastAsia="Arial" w:hAnsi="Arial"/>
            <w:sz w:val="11"/>
            <w:szCs w:val="11"/>
            <w:u w:val="single" w:color="auto"/>
            <w:color w:val="0000EE"/>
          </w:rPr>
          <w:t>Table of Contents</w:t>
        </w:r>
      </w:hyperlink>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Accrued Liabilities and Other</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June 30, 2019 and June 30, 2018 our accrued liabilities and other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w:t>
            </w:r>
          </w:p>
        </w:tc>
        <w:tc>
          <w:tcPr>
            <w:tcW w:w="300" w:type="dxa"/>
            <w:vAlign w:val="bottom"/>
          </w:tcPr>
          <w:p>
            <w:pPr>
              <w:spacing w:after="0"/>
              <w:rPr>
                <w:sz w:val="10"/>
                <w:szCs w:val="10"/>
                <w:color w:val="auto"/>
              </w:rPr>
            </w:pPr>
          </w:p>
        </w:tc>
        <w:tc>
          <w:tcPr>
            <w:tcW w:w="1160" w:type="dxa"/>
            <w:vAlign w:val="bottom"/>
          </w:tcPr>
          <w:p>
            <w:pPr>
              <w:jc w:val="right"/>
              <w:ind w:right="471"/>
              <w:spacing w:after="0"/>
              <w:rPr>
                <w:sz w:val="20"/>
                <w:szCs w:val="20"/>
                <w:color w:val="auto"/>
              </w:rPr>
            </w:pPr>
            <w:r>
              <w:rPr>
                <w:rFonts w:ascii="Arial" w:cs="Arial" w:eastAsia="Arial" w:hAnsi="Arial"/>
                <w:sz w:val="11"/>
                <w:szCs w:val="11"/>
                <w:b w:val="1"/>
                <w:bCs w:val="1"/>
                <w:color w:val="auto"/>
              </w:rPr>
              <w:t>June 30,</w:t>
            </w:r>
          </w:p>
        </w:tc>
      </w:tr>
      <w:tr>
        <w:trPr>
          <w:trHeight w:val="153"/>
        </w:trPr>
        <w:tc>
          <w:tcPr>
            <w:tcW w:w="83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2018</w:t>
            </w:r>
          </w:p>
        </w:tc>
      </w:tr>
      <w:tr>
        <w:trPr>
          <w:trHeight w:val="191"/>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incentive and other compensation</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369,719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415,182</w:t>
            </w:r>
          </w:p>
        </w:tc>
      </w:tr>
      <w:tr>
        <w:trPr>
          <w:trHeight w:val="193"/>
        </w:trPr>
        <w:tc>
          <w:tcPr>
            <w:tcW w:w="8340" w:type="dxa"/>
            <w:vAlign w:val="bottom"/>
          </w:tcPr>
          <w:p>
            <w:pPr>
              <w:ind w:left="20"/>
              <w:spacing w:after="0"/>
              <w:rPr>
                <w:sz w:val="20"/>
                <w:szCs w:val="20"/>
                <w:color w:val="auto"/>
              </w:rPr>
            </w:pPr>
            <w:r>
              <w:rPr>
                <w:rFonts w:ascii="Arial" w:cs="Arial" w:eastAsia="Arial" w:hAnsi="Arial"/>
                <w:sz w:val="14"/>
                <w:szCs w:val="14"/>
                <w:color w:val="auto"/>
              </w:rPr>
              <w:t>Accrued severance</w:t>
            </w:r>
          </w:p>
        </w:tc>
        <w:tc>
          <w:tcPr>
            <w:tcW w:w="32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160,089</w:t>
            </w:r>
          </w:p>
        </w:tc>
      </w:tr>
      <w:tr>
        <w:trPr>
          <w:trHeight w:val="23"/>
        </w:trPr>
        <w:tc>
          <w:tcPr>
            <w:tcW w:w="8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 retirement obligations due within one year</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50,244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35,539</w:t>
            </w:r>
          </w:p>
        </w:tc>
      </w:tr>
      <w:tr>
        <w:trPr>
          <w:trHeight w:val="193"/>
        </w:trPr>
        <w:tc>
          <w:tcPr>
            <w:tcW w:w="8340" w:type="dxa"/>
            <w:vAlign w:val="bottom"/>
          </w:tcPr>
          <w:p>
            <w:pPr>
              <w:ind w:left="20"/>
              <w:spacing w:after="0"/>
              <w:rPr>
                <w:sz w:val="20"/>
                <w:szCs w:val="20"/>
                <w:color w:val="auto"/>
              </w:rPr>
            </w:pPr>
            <w:r>
              <w:rPr>
                <w:rFonts w:ascii="Arial" w:cs="Arial" w:eastAsia="Arial" w:hAnsi="Arial"/>
                <w:sz w:val="14"/>
                <w:szCs w:val="14"/>
                <w:color w:val="auto"/>
              </w:rPr>
              <w:t>Accrued royalties, including suspended accounts</w:t>
            </w:r>
          </w:p>
        </w:tc>
        <w:tc>
          <w:tcPr>
            <w:tcW w:w="3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11,554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11,498</w:t>
            </w:r>
          </w:p>
        </w:tc>
      </w:tr>
      <w:tr>
        <w:trPr>
          <w:trHeight w:val="23"/>
        </w:trPr>
        <w:tc>
          <w:tcPr>
            <w:tcW w:w="8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franchise taxes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5,738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162,805</w:t>
            </w:r>
          </w:p>
        </w:tc>
      </w:tr>
      <w:tr>
        <w:trPr>
          <w:trHeight w:val="193"/>
        </w:trPr>
        <w:tc>
          <w:tcPr>
            <w:tcW w:w="8340" w:type="dxa"/>
            <w:vAlign w:val="bottom"/>
          </w:tcPr>
          <w:p>
            <w:pPr>
              <w:ind w:left="20"/>
              <w:spacing w:after="0"/>
              <w:rPr>
                <w:sz w:val="20"/>
                <w:szCs w:val="20"/>
                <w:color w:val="auto"/>
              </w:rPr>
            </w:pPr>
            <w:r>
              <w:rPr>
                <w:rFonts w:ascii="Arial" w:cs="Arial" w:eastAsia="Arial" w:hAnsi="Arial"/>
                <w:sz w:val="14"/>
                <w:szCs w:val="14"/>
                <w:color w:val="auto"/>
              </w:rPr>
              <w:t>Accrued ad valorem taxes</w:t>
            </w:r>
          </w:p>
        </w:tc>
        <w:tc>
          <w:tcPr>
            <w:tcW w:w="3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100,500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89,773</w:t>
            </w:r>
          </w:p>
        </w:tc>
      </w:tr>
      <w:tr>
        <w:trPr>
          <w:trHeight w:val="23"/>
        </w:trPr>
        <w:tc>
          <w:tcPr>
            <w:tcW w:w="8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liabilities and other</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537,755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874,886</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Asset Retirement Obligations</w:t>
      </w:r>
    </w:p>
    <w:p>
      <w:pPr>
        <w:spacing w:after="0" w:line="231" w:lineRule="exact"/>
        <w:rPr>
          <w:sz w:val="20"/>
          <w:szCs w:val="20"/>
          <w:color w:val="auto"/>
        </w:rPr>
      </w:pPr>
    </w:p>
    <w:p>
      <w:pPr>
        <w:jc w:val="both"/>
        <w:ind w:firstLine="345"/>
        <w:spacing w:after="0" w:line="328" w:lineRule="auto"/>
        <w:rPr>
          <w:sz w:val="20"/>
          <w:szCs w:val="20"/>
          <w:color w:val="auto"/>
        </w:rPr>
      </w:pPr>
      <w:r>
        <w:rPr>
          <w:rFonts w:ascii="Arial" w:cs="Arial" w:eastAsia="Arial" w:hAnsi="Arial"/>
          <w:sz w:val="13"/>
          <w:szCs w:val="13"/>
          <w:color w:val="auto"/>
        </w:rPr>
        <w:t>Our asset retirement obligations represent the estimated present value of the amount we will incur to plug, abandon and remediate our producing properties at the end of their productive lives in accordance with applicable laws. The following is a reconciliation of the beginning and ending asset retirement obligations for the years ended June 30, 2019 and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3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1"/>
                <w:szCs w:val="11"/>
                <w:b w:val="1"/>
                <w:bCs w:val="1"/>
                <w:color w:val="auto"/>
              </w:rPr>
              <w:t>Years Ended</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320" w:type="dxa"/>
            <w:vAlign w:val="bottom"/>
            <w:tcBorders>
              <w:bottom w:val="single" w:sz="8" w:color="CCEEFF"/>
            </w:tcBorders>
          </w:tcPr>
          <w:p>
            <w:pPr>
              <w:spacing w:after="0"/>
              <w:rPr>
                <w:sz w:val="17"/>
                <w:szCs w:val="17"/>
                <w:color w:val="auto"/>
              </w:rPr>
            </w:pPr>
          </w:p>
        </w:tc>
        <w:tc>
          <w:tcPr>
            <w:tcW w:w="36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91"/>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 retirement obligations — beginning of period</w:t>
            </w:r>
          </w:p>
        </w:tc>
        <w:tc>
          <w:tcPr>
            <w:tcW w:w="4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1,422,955</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1,288,743</w:t>
            </w:r>
          </w:p>
        </w:tc>
        <w:tc>
          <w:tcPr>
            <w:tcW w:w="0" w:type="dxa"/>
            <w:vAlign w:val="bottom"/>
          </w:tcPr>
          <w:p>
            <w:pPr>
              <w:spacing w:after="0"/>
              <w:rPr>
                <w:sz w:val="1"/>
                <w:szCs w:val="1"/>
                <w:color w:val="auto"/>
              </w:rPr>
            </w:pPr>
          </w:p>
        </w:tc>
      </w:tr>
      <w:tr>
        <w:trPr>
          <w:trHeight w:val="193"/>
        </w:trPr>
        <w:tc>
          <w:tcPr>
            <w:tcW w:w="4320" w:type="dxa"/>
            <w:vAlign w:val="bottom"/>
          </w:tcPr>
          <w:p>
            <w:pPr>
              <w:ind w:left="20"/>
              <w:spacing w:after="0"/>
              <w:rPr>
                <w:sz w:val="20"/>
                <w:szCs w:val="20"/>
                <w:color w:val="auto"/>
              </w:rPr>
            </w:pPr>
            <w:r>
              <w:rPr>
                <w:rFonts w:ascii="Arial" w:cs="Arial" w:eastAsia="Arial" w:hAnsi="Arial"/>
                <w:sz w:val="14"/>
                <w:szCs w:val="14"/>
                <w:color w:val="auto"/>
              </w:rPr>
              <w:t>Liabilities incurred</w:t>
            </w:r>
          </w:p>
        </w:tc>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31,268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44,700</w:t>
            </w:r>
          </w:p>
        </w:tc>
        <w:tc>
          <w:tcPr>
            <w:tcW w:w="0" w:type="dxa"/>
            <w:vAlign w:val="bottom"/>
          </w:tcPr>
          <w:p>
            <w:pPr>
              <w:spacing w:after="0"/>
              <w:rPr>
                <w:sz w:val="1"/>
                <w:szCs w:val="1"/>
                <w:color w:val="auto"/>
              </w:rPr>
            </w:pPr>
          </w:p>
        </w:tc>
      </w:tr>
      <w:tr>
        <w:trPr>
          <w:trHeight w:val="23"/>
        </w:trPr>
        <w:tc>
          <w:tcPr>
            <w:tcW w:w="4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Accretion of discount</w:t>
            </w:r>
          </w:p>
        </w:tc>
        <w:tc>
          <w:tcPr>
            <w:tcW w:w="3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101,506</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90,290</w:t>
            </w:r>
          </w:p>
        </w:tc>
        <w:tc>
          <w:tcPr>
            <w:tcW w:w="0" w:type="dxa"/>
            <w:vAlign w:val="bottom"/>
          </w:tcPr>
          <w:p>
            <w:pPr>
              <w:spacing w:after="0"/>
              <w:rPr>
                <w:sz w:val="1"/>
                <w:szCs w:val="1"/>
                <w:color w:val="auto"/>
              </w:rPr>
            </w:pPr>
          </w:p>
        </w:tc>
      </w:tr>
      <w:tr>
        <w:trPr>
          <w:trHeight w:val="193"/>
        </w:trPr>
        <w:tc>
          <w:tcPr>
            <w:tcW w:w="4320" w:type="dxa"/>
            <w:vAlign w:val="bottom"/>
          </w:tcPr>
          <w:p>
            <w:pPr>
              <w:ind w:left="20"/>
              <w:spacing w:after="0"/>
              <w:rPr>
                <w:sz w:val="20"/>
                <w:szCs w:val="20"/>
                <w:color w:val="auto"/>
              </w:rPr>
            </w:pPr>
            <w:r>
              <w:rPr>
                <w:rFonts w:ascii="Arial" w:cs="Arial" w:eastAsia="Arial" w:hAnsi="Arial"/>
                <w:sz w:val="14"/>
                <w:szCs w:val="14"/>
                <w:color w:val="auto"/>
              </w:rPr>
              <w:t>Revisions to previous estimates</w:t>
            </w:r>
          </w:p>
        </w:tc>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55,116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 retirement obligations — end of period</w:t>
            </w:r>
          </w:p>
        </w:tc>
        <w:tc>
          <w:tcPr>
            <w:tcW w:w="36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1,610,845</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1,422,955</w:t>
            </w:r>
          </w:p>
        </w:tc>
        <w:tc>
          <w:tcPr>
            <w:tcW w:w="0" w:type="dxa"/>
            <w:vAlign w:val="bottom"/>
          </w:tcPr>
          <w:p>
            <w:pPr>
              <w:spacing w:after="0"/>
              <w:rPr>
                <w:sz w:val="1"/>
                <w:szCs w:val="1"/>
                <w:color w:val="auto"/>
              </w:rPr>
            </w:pPr>
          </w:p>
        </w:tc>
      </w:tr>
      <w:tr>
        <w:trPr>
          <w:trHeight w:val="193"/>
        </w:trPr>
        <w:tc>
          <w:tcPr>
            <w:tcW w:w="4320" w:type="dxa"/>
            <w:vAlign w:val="bottom"/>
          </w:tcPr>
          <w:p>
            <w:pPr>
              <w:ind w:left="20"/>
              <w:spacing w:after="0"/>
              <w:rPr>
                <w:sz w:val="20"/>
                <w:szCs w:val="20"/>
                <w:color w:val="auto"/>
              </w:rPr>
            </w:pPr>
            <w:r>
              <w:rPr>
                <w:rFonts w:ascii="Arial" w:cs="Arial" w:eastAsia="Arial" w:hAnsi="Arial"/>
                <w:sz w:val="14"/>
                <w:szCs w:val="14"/>
                <w:color w:val="auto"/>
              </w:rPr>
              <w:t>Less: current asset retirement obligations</w:t>
            </w:r>
          </w:p>
        </w:tc>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(50,244)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(35,539)</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portion of asset retirement obligations</w:t>
            </w:r>
          </w:p>
        </w:tc>
        <w:tc>
          <w:tcPr>
            <w:tcW w:w="4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1,560,601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1,387,416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108"/>
              <w:spacing w:after="0"/>
              <w:rPr>
                <w:sz w:val="20"/>
                <w:szCs w:val="20"/>
                <w:color w:val="auto"/>
              </w:rPr>
            </w:pPr>
            <w:r>
              <w:rPr>
                <w:rFonts w:ascii="Arial" w:cs="Arial" w:eastAsia="Arial" w:hAnsi="Arial"/>
                <w:sz w:val="14"/>
                <w:szCs w:val="14"/>
                <w:color w:val="auto"/>
              </w:rPr>
              <w:t>49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3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20" w:top="297" w:right="25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Stockholders' Equity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2019, we had 33,183,730 shares of common stock outstanding.</w:t>
      </w:r>
    </w:p>
    <w:p>
      <w:pPr>
        <w:spacing w:after="0" w:line="227" w:lineRule="exact"/>
        <w:rPr>
          <w:sz w:val="20"/>
          <w:szCs w:val="20"/>
          <w:color w:val="auto"/>
        </w:rPr>
      </w:pPr>
    </w:p>
    <w:p>
      <w:pPr>
        <w:jc w:val="both"/>
        <w:ind w:right="260"/>
        <w:spacing w:after="0" w:line="272" w:lineRule="auto"/>
        <w:rPr>
          <w:sz w:val="20"/>
          <w:szCs w:val="20"/>
          <w:color w:val="auto"/>
        </w:rPr>
      </w:pPr>
      <w:r>
        <w:rPr>
          <w:rFonts w:ascii="Arial" w:cs="Arial" w:eastAsia="Arial" w:hAnsi="Arial"/>
          <w:sz w:val="14"/>
          <w:szCs w:val="14"/>
          <w:color w:val="auto"/>
        </w:rPr>
        <w:t>The Company began paying quarterly cash dividends on common stock in December 2013. As of June 30, 2019, we have cumulatively paid $59.4 million in cash dividends. We paid dividends of $13,272,058 and $11,594,541 from retained earnings to our common shareholders during the years ended June 30, 2019 and 2018, respectively. The following table reflects the dividends paid per common share in each quarter within the respective two fiscal years: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160"/>
              <w:spacing w:after="0"/>
              <w:rPr>
                <w:sz w:val="20"/>
                <w:szCs w:val="20"/>
                <w:color w:val="auto"/>
              </w:rPr>
            </w:pPr>
            <w:r>
              <w:rPr>
                <w:rFonts w:ascii="Arial" w:cs="Arial" w:eastAsia="Arial" w:hAnsi="Arial"/>
                <w:sz w:val="11"/>
                <w:szCs w:val="11"/>
                <w:b w:val="1"/>
                <w:bCs w:val="1"/>
                <w:color w:val="auto"/>
              </w:rPr>
              <w:t>Fiscal Year</w:t>
            </w:r>
          </w:p>
        </w:tc>
      </w:tr>
      <w:tr>
        <w:trPr>
          <w:trHeight w:val="206"/>
        </w:trPr>
        <w:tc>
          <w:tcPr>
            <w:tcW w:w="84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ind w:left="271"/>
              <w:spacing w:after="0"/>
              <w:rPr>
                <w:sz w:val="20"/>
                <w:szCs w:val="20"/>
                <w:color w:val="auto"/>
              </w:rPr>
            </w:pPr>
            <w:r>
              <w:rPr>
                <w:rFonts w:ascii="Arial" w:cs="Arial" w:eastAsia="Arial" w:hAnsi="Arial"/>
                <w:sz w:val="11"/>
                <w:szCs w:val="11"/>
                <w:b w:val="1"/>
                <w:bCs w:val="1"/>
                <w:color w:val="auto"/>
                <w:w w:val="97"/>
              </w:rPr>
              <w:t>2019</w:t>
            </w:r>
          </w:p>
        </w:tc>
        <w:tc>
          <w:tcPr>
            <w:tcW w:w="32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2018</w:t>
            </w:r>
          </w:p>
        </w:tc>
      </w:tr>
      <w:tr>
        <w:trPr>
          <w:trHeight w:val="19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Fourth quarter ended June 30,</w:t>
            </w:r>
          </w:p>
        </w:tc>
        <w:tc>
          <w:tcPr>
            <w:tcW w:w="1060" w:type="dxa"/>
            <w:vAlign w:val="bottom"/>
            <w:tcBorders>
              <w:bottom w:val="single" w:sz="8" w:color="CCEEFF"/>
            </w:tcBorders>
            <w:shd w:val="clear" w:color="auto" w:fill="CCEEFF"/>
          </w:tcPr>
          <w:p>
            <w:pPr>
              <w:jc w:val="center"/>
              <w:ind w:left="271"/>
              <w:spacing w:after="0"/>
              <w:rPr>
                <w:sz w:val="20"/>
                <w:szCs w:val="20"/>
                <w:color w:val="auto"/>
              </w:rPr>
            </w:pPr>
            <w:r>
              <w:rPr>
                <w:rFonts w:ascii="Arial" w:cs="Arial" w:eastAsia="Arial" w:hAnsi="Arial"/>
                <w:sz w:val="14"/>
                <w:szCs w:val="14"/>
                <w:color w:val="auto"/>
                <w:w w:val="93"/>
              </w:rPr>
              <w:t>$0.100</w:t>
            </w:r>
          </w:p>
        </w:tc>
        <w:tc>
          <w:tcPr>
            <w:tcW w:w="1920" w:type="dxa"/>
            <w:vAlign w:val="bottom"/>
            <w:tcBorders>
              <w:bottom w:val="single" w:sz="8" w:color="CCEEFF"/>
            </w:tcBorders>
            <w:gridSpan w:val="3"/>
            <w:shd w:val="clear" w:color="auto" w:fill="CCEEFF"/>
          </w:tcPr>
          <w:p>
            <w:pPr>
              <w:jc w:val="center"/>
              <w:ind w:left="491"/>
              <w:spacing w:after="0"/>
              <w:rPr>
                <w:sz w:val="20"/>
                <w:szCs w:val="20"/>
                <w:color w:val="auto"/>
              </w:rPr>
            </w:pPr>
            <w:r>
              <w:rPr>
                <w:rFonts w:ascii="Arial" w:cs="Arial" w:eastAsia="Arial" w:hAnsi="Arial"/>
                <w:sz w:val="14"/>
                <w:szCs w:val="14"/>
                <w:color w:val="auto"/>
                <w:w w:val="93"/>
              </w:rPr>
              <w:t>$0.100</w:t>
            </w:r>
          </w:p>
        </w:tc>
      </w:tr>
      <w:tr>
        <w:trPr>
          <w:trHeight w:val="193"/>
        </w:trPr>
        <w:tc>
          <w:tcPr>
            <w:tcW w:w="8480" w:type="dxa"/>
            <w:vAlign w:val="bottom"/>
          </w:tcPr>
          <w:p>
            <w:pPr>
              <w:ind w:left="20"/>
              <w:spacing w:after="0"/>
              <w:rPr>
                <w:sz w:val="20"/>
                <w:szCs w:val="20"/>
                <w:color w:val="auto"/>
              </w:rPr>
            </w:pPr>
            <w:r>
              <w:rPr>
                <w:rFonts w:ascii="Arial" w:cs="Arial" w:eastAsia="Arial" w:hAnsi="Arial"/>
                <w:sz w:val="14"/>
                <w:szCs w:val="14"/>
                <w:color w:val="auto"/>
              </w:rPr>
              <w:t>Third quarter ended March 31,</w:t>
            </w:r>
          </w:p>
        </w:tc>
        <w:tc>
          <w:tcPr>
            <w:tcW w:w="1060" w:type="dxa"/>
            <w:vAlign w:val="bottom"/>
          </w:tcPr>
          <w:p>
            <w:pPr>
              <w:jc w:val="center"/>
              <w:ind w:left="271"/>
              <w:spacing w:after="0"/>
              <w:rPr>
                <w:sz w:val="20"/>
                <w:szCs w:val="20"/>
                <w:color w:val="auto"/>
              </w:rPr>
            </w:pPr>
            <w:r>
              <w:rPr>
                <w:rFonts w:ascii="Arial" w:cs="Arial" w:eastAsia="Arial" w:hAnsi="Arial"/>
                <w:sz w:val="14"/>
                <w:szCs w:val="14"/>
                <w:color w:val="auto"/>
                <w:w w:val="93"/>
              </w:rPr>
              <w:t>$0.100</w:t>
            </w:r>
          </w:p>
        </w:tc>
        <w:tc>
          <w:tcPr>
            <w:tcW w:w="1920" w:type="dxa"/>
            <w:vAlign w:val="bottom"/>
            <w:gridSpan w:val="3"/>
          </w:tcPr>
          <w:p>
            <w:pPr>
              <w:jc w:val="center"/>
              <w:ind w:left="491"/>
              <w:spacing w:after="0"/>
              <w:rPr>
                <w:sz w:val="20"/>
                <w:szCs w:val="20"/>
                <w:color w:val="auto"/>
              </w:rPr>
            </w:pPr>
            <w:r>
              <w:rPr>
                <w:rFonts w:ascii="Arial" w:cs="Arial" w:eastAsia="Arial" w:hAnsi="Arial"/>
                <w:sz w:val="14"/>
                <w:szCs w:val="14"/>
                <w:color w:val="auto"/>
                <w:w w:val="93"/>
              </w:rPr>
              <w:t>$0.100</w:t>
            </w:r>
          </w:p>
        </w:tc>
      </w:tr>
      <w:tr>
        <w:trPr>
          <w:trHeight w:val="23"/>
        </w:trPr>
        <w:tc>
          <w:tcPr>
            <w:tcW w:w="8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Second quarter ended December 31,</w:t>
            </w:r>
          </w:p>
        </w:tc>
        <w:tc>
          <w:tcPr>
            <w:tcW w:w="1060" w:type="dxa"/>
            <w:vAlign w:val="bottom"/>
            <w:tcBorders>
              <w:bottom w:val="single" w:sz="8" w:color="CCEEFF"/>
            </w:tcBorders>
            <w:shd w:val="clear" w:color="auto" w:fill="CCEEFF"/>
          </w:tcPr>
          <w:p>
            <w:pPr>
              <w:jc w:val="center"/>
              <w:ind w:left="271"/>
              <w:spacing w:after="0"/>
              <w:rPr>
                <w:sz w:val="20"/>
                <w:szCs w:val="20"/>
                <w:color w:val="auto"/>
              </w:rPr>
            </w:pPr>
            <w:r>
              <w:rPr>
                <w:rFonts w:ascii="Arial" w:cs="Arial" w:eastAsia="Arial" w:hAnsi="Arial"/>
                <w:sz w:val="14"/>
                <w:szCs w:val="14"/>
                <w:color w:val="auto"/>
                <w:w w:val="93"/>
              </w:rPr>
              <w:t>$0.100</w:t>
            </w:r>
          </w:p>
        </w:tc>
        <w:tc>
          <w:tcPr>
            <w:tcW w:w="1920" w:type="dxa"/>
            <w:vAlign w:val="bottom"/>
            <w:tcBorders>
              <w:bottom w:val="single" w:sz="8" w:color="CCEEFF"/>
            </w:tcBorders>
            <w:gridSpan w:val="3"/>
            <w:shd w:val="clear" w:color="auto" w:fill="CCEEFF"/>
          </w:tcPr>
          <w:p>
            <w:pPr>
              <w:jc w:val="center"/>
              <w:ind w:left="491"/>
              <w:spacing w:after="0"/>
              <w:rPr>
                <w:sz w:val="20"/>
                <w:szCs w:val="20"/>
                <w:color w:val="auto"/>
              </w:rPr>
            </w:pPr>
            <w:r>
              <w:rPr>
                <w:rFonts w:ascii="Arial" w:cs="Arial" w:eastAsia="Arial" w:hAnsi="Arial"/>
                <w:sz w:val="14"/>
                <w:szCs w:val="14"/>
                <w:color w:val="auto"/>
                <w:w w:val="93"/>
              </w:rPr>
              <w:t>$0.075</w:t>
            </w:r>
          </w:p>
        </w:tc>
      </w:tr>
      <w:tr>
        <w:trPr>
          <w:trHeight w:val="193"/>
        </w:trPr>
        <w:tc>
          <w:tcPr>
            <w:tcW w:w="8480" w:type="dxa"/>
            <w:vAlign w:val="bottom"/>
          </w:tcPr>
          <w:p>
            <w:pPr>
              <w:ind w:left="20"/>
              <w:spacing w:after="0"/>
              <w:rPr>
                <w:sz w:val="20"/>
                <w:szCs w:val="20"/>
                <w:color w:val="auto"/>
              </w:rPr>
            </w:pPr>
            <w:r>
              <w:rPr>
                <w:rFonts w:ascii="Arial" w:cs="Arial" w:eastAsia="Arial" w:hAnsi="Arial"/>
                <w:sz w:val="14"/>
                <w:szCs w:val="14"/>
                <w:color w:val="auto"/>
              </w:rPr>
              <w:t>First quarter ended September 30,</w:t>
            </w:r>
          </w:p>
        </w:tc>
        <w:tc>
          <w:tcPr>
            <w:tcW w:w="1060" w:type="dxa"/>
            <w:vAlign w:val="bottom"/>
          </w:tcPr>
          <w:p>
            <w:pPr>
              <w:jc w:val="center"/>
              <w:ind w:left="271"/>
              <w:spacing w:after="0"/>
              <w:rPr>
                <w:sz w:val="20"/>
                <w:szCs w:val="20"/>
                <w:color w:val="auto"/>
              </w:rPr>
            </w:pPr>
            <w:r>
              <w:rPr>
                <w:rFonts w:ascii="Arial" w:cs="Arial" w:eastAsia="Arial" w:hAnsi="Arial"/>
                <w:sz w:val="14"/>
                <w:szCs w:val="14"/>
                <w:color w:val="auto"/>
                <w:w w:val="93"/>
              </w:rPr>
              <w:t>$0.100</w:t>
            </w:r>
          </w:p>
        </w:tc>
        <w:tc>
          <w:tcPr>
            <w:tcW w:w="1920" w:type="dxa"/>
            <w:vAlign w:val="bottom"/>
            <w:gridSpan w:val="3"/>
          </w:tcPr>
          <w:p>
            <w:pPr>
              <w:jc w:val="center"/>
              <w:ind w:left="491"/>
              <w:spacing w:after="0"/>
              <w:rPr>
                <w:sz w:val="20"/>
                <w:szCs w:val="20"/>
                <w:color w:val="auto"/>
              </w:rPr>
            </w:pPr>
            <w:r>
              <w:rPr>
                <w:rFonts w:ascii="Arial" w:cs="Arial" w:eastAsia="Arial" w:hAnsi="Arial"/>
                <w:sz w:val="14"/>
                <w:szCs w:val="14"/>
                <w:color w:val="auto"/>
                <w:w w:val="93"/>
              </w:rPr>
              <w:t>$0.075</w:t>
            </w:r>
          </w:p>
        </w:tc>
      </w:tr>
    </w:tbl>
    <w:p>
      <w:pPr>
        <w:spacing w:after="0" w:line="228" w:lineRule="exact"/>
        <w:rPr>
          <w:sz w:val="20"/>
          <w:szCs w:val="20"/>
          <w:color w:val="auto"/>
        </w:rPr>
      </w:pPr>
    </w:p>
    <w:p>
      <w:pPr>
        <w:ind w:right="100" w:firstLine="323"/>
        <w:spacing w:after="0" w:line="289" w:lineRule="auto"/>
        <w:rPr>
          <w:sz w:val="20"/>
          <w:szCs w:val="20"/>
          <w:color w:val="auto"/>
        </w:rPr>
      </w:pPr>
      <w:r>
        <w:rPr>
          <w:rFonts w:ascii="Arial" w:cs="Arial" w:eastAsia="Arial" w:hAnsi="Arial"/>
          <w:sz w:val="13"/>
          <w:szCs w:val="13"/>
          <w:color w:val="auto"/>
        </w:rPr>
        <w:t>Repurchases of common shares are initially recorded as treasury stock, then subsequently canceled. On May 12, 2015, the Board of Directors approved a share repurchase program covering up to $5 million of the Company's common stock. Since commencement in June 2015, we have repurchased 266,192 shares at an average price of $6.05 per share, for total cost of $1,611,620. The timing and amount of repurchases depends upon several factors, including financial resources, market and business conditions. There is no fixed termination date for this repurchase program, and it may be suspended or discontinued at any time. We have not repurchased any shares since December 2015 until June 2019 when 430 shares were repurchased at an average price of $6.07 per share. Under the program's terms, shares are repurchased only on the open market and in accordance with the requirements of the Securities and Exchange Commission.</w:t>
      </w:r>
    </w:p>
    <w:p>
      <w:pPr>
        <w:spacing w:after="0" w:line="178" w:lineRule="exact"/>
        <w:rPr>
          <w:sz w:val="20"/>
          <w:szCs w:val="20"/>
          <w:color w:val="auto"/>
        </w:rPr>
      </w:pPr>
    </w:p>
    <w:p>
      <w:pPr>
        <w:ind w:right="580" w:firstLine="323"/>
        <w:spacing w:after="0" w:line="376" w:lineRule="auto"/>
        <w:rPr>
          <w:sz w:val="20"/>
          <w:szCs w:val="20"/>
          <w:color w:val="auto"/>
        </w:rPr>
      </w:pPr>
      <w:r>
        <w:rPr>
          <w:rFonts w:ascii="Arial" w:cs="Arial" w:eastAsia="Arial" w:hAnsi="Arial"/>
          <w:sz w:val="12"/>
          <w:szCs w:val="12"/>
          <w:color w:val="auto"/>
        </w:rPr>
        <w:t>The Company has also acquired treasury stock from holders of newly vested stock-based awards to fund the recipients' payroll tax withholding obligations. The treasury shares were subsequently canceled. Such shares were valued at fair market value on the date of vesting or date of share repurchase. The following summarizes all treasury stock purchases by fiscal year:</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4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1"/>
                <w:szCs w:val="11"/>
                <w:b w:val="1"/>
                <w:bCs w:val="1"/>
                <w:color w:val="auto"/>
              </w:rPr>
              <w:t>Fiscal Year</w:t>
            </w:r>
          </w:p>
        </w:tc>
        <w:tc>
          <w:tcPr>
            <w:tcW w:w="1000" w:type="dxa"/>
            <w:vAlign w:val="bottom"/>
            <w:tcBorders>
              <w:bottom w:val="single" w:sz="8" w:color="auto"/>
            </w:tcBorders>
          </w:tcPr>
          <w:p>
            <w:pPr>
              <w:spacing w:after="0"/>
              <w:rPr>
                <w:sz w:val="13"/>
                <w:szCs w:val="13"/>
                <w:color w:val="auto"/>
              </w:rPr>
            </w:pPr>
          </w:p>
        </w:tc>
      </w:tr>
      <w:tr>
        <w:trPr>
          <w:trHeight w:val="206"/>
        </w:trPr>
        <w:tc>
          <w:tcPr>
            <w:tcW w:w="84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2018</w:t>
            </w:r>
          </w:p>
        </w:tc>
      </w:tr>
      <w:tr>
        <w:trPr>
          <w:trHeight w:val="19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treasury shares acquired</w:t>
            </w: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18,424</w:t>
            </w: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73,208</w:t>
            </w:r>
          </w:p>
        </w:tc>
      </w:tr>
      <w:tr>
        <w:trPr>
          <w:trHeight w:val="193"/>
        </w:trPr>
        <w:tc>
          <w:tcPr>
            <w:tcW w:w="8480" w:type="dxa"/>
            <w:vAlign w:val="bottom"/>
          </w:tcPr>
          <w:p>
            <w:pPr>
              <w:ind w:left="20"/>
              <w:spacing w:after="0"/>
              <w:rPr>
                <w:sz w:val="20"/>
                <w:szCs w:val="20"/>
                <w:color w:val="auto"/>
              </w:rPr>
            </w:pPr>
            <w:r>
              <w:rPr>
                <w:rFonts w:ascii="Arial" w:cs="Arial" w:eastAsia="Arial" w:hAnsi="Arial"/>
                <w:sz w:val="14"/>
                <w:szCs w:val="14"/>
                <w:color w:val="auto"/>
              </w:rPr>
              <w:t>Average cost per share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
              <w:spacing w:after="0"/>
              <w:rPr>
                <w:sz w:val="20"/>
                <w:szCs w:val="20"/>
                <w:color w:val="auto"/>
              </w:rPr>
            </w:pPr>
            <w:r>
              <w:rPr>
                <w:rFonts w:ascii="Arial" w:cs="Arial" w:eastAsia="Arial" w:hAnsi="Arial"/>
                <w:sz w:val="14"/>
                <w:szCs w:val="14"/>
                <w:color w:val="auto"/>
              </w:rPr>
              <w:t>8.51</w:t>
            </w:r>
          </w:p>
        </w:tc>
        <w:tc>
          <w:tcPr>
            <w:tcW w:w="2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7.80</w:t>
            </w:r>
          </w:p>
        </w:tc>
      </w:tr>
      <w:tr>
        <w:trPr>
          <w:trHeight w:val="23"/>
        </w:trPr>
        <w:tc>
          <w:tcPr>
            <w:tcW w:w="8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 of treasury shares acquired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156,791</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571,083</w:t>
            </w:r>
          </w:p>
        </w:tc>
      </w:tr>
      <w:tr>
        <w:trPr>
          <w:trHeight w:val="20"/>
        </w:trPr>
        <w:tc>
          <w:tcPr>
            <w:tcW w:w="8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Treatment of Dividends to Recipients</w:t>
      </w:r>
    </w:p>
    <w:p>
      <w:pPr>
        <w:spacing w:after="0" w:line="227" w:lineRule="exact"/>
        <w:rPr>
          <w:sz w:val="20"/>
          <w:szCs w:val="20"/>
          <w:color w:val="auto"/>
        </w:rPr>
      </w:pPr>
    </w:p>
    <w:p>
      <w:pPr>
        <w:jc w:val="both"/>
        <w:ind w:right="100" w:firstLine="323"/>
        <w:spacing w:after="0" w:line="328" w:lineRule="auto"/>
        <w:rPr>
          <w:sz w:val="20"/>
          <w:szCs w:val="20"/>
          <w:color w:val="auto"/>
        </w:rPr>
      </w:pPr>
      <w:r>
        <w:rPr>
          <w:rFonts w:ascii="Arial" w:cs="Arial" w:eastAsia="Arial" w:hAnsi="Arial"/>
          <w:sz w:val="13"/>
          <w:szCs w:val="13"/>
          <w:color w:val="auto"/>
        </w:rPr>
        <w:t>Based on our current projections for the fiscal year ended June 30, 2019, we expect all common stock dividends for this fiscal year will be treated for tax purposes as qualified dividend income to the recipients. For the fiscal year ended June 30, 2018, all common stock dividends for that fiscal year were treated for tax purposes as qualified dividend income to the recipients.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60"/>
          </w:cols>
          <w:pgMar w:left="220" w:top="340" w:right="21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11—Stock-Based Incentive Plan</w:t>
      </w:r>
    </w:p>
    <w:p>
      <w:pPr>
        <w:spacing w:after="0" w:line="231" w:lineRule="exact"/>
        <w:rPr>
          <w:sz w:val="20"/>
          <w:szCs w:val="20"/>
          <w:color w:val="auto"/>
        </w:rPr>
      </w:pPr>
    </w:p>
    <w:p>
      <w:pPr>
        <w:ind w:right="160" w:firstLine="323"/>
        <w:spacing w:after="0" w:line="263" w:lineRule="auto"/>
        <w:rPr>
          <w:sz w:val="20"/>
          <w:szCs w:val="20"/>
          <w:color w:val="auto"/>
        </w:rPr>
      </w:pPr>
      <w:r>
        <w:rPr>
          <w:rFonts w:ascii="Arial" w:cs="Arial" w:eastAsia="Arial" w:hAnsi="Arial"/>
          <w:sz w:val="14"/>
          <w:szCs w:val="14"/>
          <w:color w:val="auto"/>
        </w:rPr>
        <w:t>At the December 8, 2016 annual meeting, the stockholders approved the adoption of the Evolution Petroleum Corporation 2016 Equity Incentive Plan (the “2016 Plan”), which replaced the Evolution Petroleum Corporation Amended and Restated 2004 Stock Plan (the "2004 Plan"). The 2016 Plan authorizes the issuance of 1,100,000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our common stock, including its appreciation in value. As of June 30, 2019, 852,111 shares remained available for grant under the 2016 Plan.</w:t>
      </w:r>
    </w:p>
    <w:p>
      <w:pPr>
        <w:spacing w:after="0" w:line="84" w:lineRule="exact"/>
        <w:rPr>
          <w:sz w:val="20"/>
          <w:szCs w:val="20"/>
          <w:color w:val="auto"/>
        </w:rPr>
      </w:pPr>
    </w:p>
    <w:p>
      <w:pPr>
        <w:ind w:right="240" w:firstLine="388"/>
        <w:spacing w:after="0" w:line="272" w:lineRule="auto"/>
        <w:rPr>
          <w:sz w:val="20"/>
          <w:szCs w:val="20"/>
          <w:color w:val="auto"/>
        </w:rPr>
      </w:pPr>
      <w:r>
        <w:rPr>
          <w:rFonts w:ascii="Arial" w:cs="Arial" w:eastAsia="Arial" w:hAnsi="Arial"/>
          <w:sz w:val="14"/>
          <w:szCs w:val="14"/>
          <w:color w:val="auto"/>
        </w:rPr>
        <w:t>All outstanding awards granted under the 2004 Plan continue to be subject to the terms and conditions as set forth in the agreements evidencing such awards and the terms of the 2004 Plan. Under these agreements, we have outstanding grants of restricted common stock awards ("Restricted Stock") and contingent restricted common stock awards ("Contingent Restricted Stock") to employees and directors of the Company.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 and Contingent Restricted Stock</w:t>
      </w:r>
    </w:p>
    <w:p>
      <w:pPr>
        <w:spacing w:after="0" w:line="227" w:lineRule="exact"/>
        <w:rPr>
          <w:sz w:val="20"/>
          <w:szCs w:val="20"/>
          <w:color w:val="auto"/>
        </w:rPr>
      </w:pPr>
    </w:p>
    <w:p>
      <w:pPr>
        <w:ind w:right="260" w:firstLine="323"/>
        <w:spacing w:after="0" w:line="267" w:lineRule="auto"/>
        <w:rPr>
          <w:sz w:val="20"/>
          <w:szCs w:val="20"/>
          <w:color w:val="auto"/>
        </w:rPr>
      </w:pPr>
      <w:r>
        <w:rPr>
          <w:rFonts w:ascii="Arial" w:cs="Arial" w:eastAsia="Arial" w:hAnsi="Arial"/>
          <w:sz w:val="14"/>
          <w:szCs w:val="14"/>
          <w:color w:val="auto"/>
        </w:rPr>
        <w:t>The Company may award grants of both Restricted Stock and Contingent Restricted Stock as part of its long-term incentive plan. Such grants, which expire after a maximum of four years if unvested, contain service-based, performance-based and market-based vesting provisions. The common shares underlying the Restricted Stock grants are issued on the date of grant. Contingent Restricted Stock grants vest only upon the attainment of higher performance-based or market-based vesting thresholds and are issued only upon vesting. Shares underlying Contingent Restricted Stock awards are reserved from the Plan under which they were granted under.</w:t>
      </w:r>
    </w:p>
    <w:p>
      <w:pPr>
        <w:spacing w:after="0" w:line="189" w:lineRule="exact"/>
        <w:rPr>
          <w:sz w:val="20"/>
          <w:szCs w:val="20"/>
          <w:color w:val="auto"/>
        </w:rPr>
      </w:pPr>
    </w:p>
    <w:p>
      <w:pPr>
        <w:ind w:right="140" w:firstLine="323"/>
        <w:spacing w:after="0" w:line="294" w:lineRule="auto"/>
        <w:rPr>
          <w:sz w:val="20"/>
          <w:szCs w:val="20"/>
          <w:color w:val="auto"/>
        </w:rPr>
      </w:pPr>
      <w:r>
        <w:rPr>
          <w:rFonts w:ascii="Arial" w:cs="Arial" w:eastAsia="Arial" w:hAnsi="Arial"/>
          <w:sz w:val="13"/>
          <w:szCs w:val="13"/>
          <w:color w:val="auto"/>
        </w:rPr>
        <w:t>Service-based awards vest with continuous employment by the Company, generally in annual installments over a three or four-year period. Certain awards may contain other vesting periods, including quarterly installments and one-year vesting. Restricted Stock grants which vest based on service are valued at the fair market value on the date of grant and amortized over the service period. During the year ended June 30, 2019, we granted 31,777 service-based Restricted Stock awards and 43,990 market-based awards to employees and 35,215 service-based awards to directors, which have a one-year vesting period. We did not grant any performance-based nor any Contingent Restricted Stock awards, during this fiscal year.</w:t>
      </w:r>
    </w:p>
    <w:p>
      <w:pPr>
        <w:spacing w:after="0" w:line="173" w:lineRule="exact"/>
        <w:rPr>
          <w:sz w:val="20"/>
          <w:szCs w:val="20"/>
          <w:color w:val="auto"/>
        </w:rPr>
      </w:pPr>
    </w:p>
    <w:p>
      <w:pPr>
        <w:ind w:right="180" w:firstLine="323"/>
        <w:spacing w:after="0" w:line="267" w:lineRule="auto"/>
        <w:rPr>
          <w:sz w:val="20"/>
          <w:szCs w:val="20"/>
          <w:color w:val="auto"/>
        </w:rPr>
      </w:pPr>
      <w:r>
        <w:rPr>
          <w:rFonts w:ascii="Arial" w:cs="Arial" w:eastAsia="Arial" w:hAnsi="Arial"/>
          <w:sz w:val="14"/>
          <w:szCs w:val="14"/>
          <w:color w:val="auto"/>
        </w:rPr>
        <w:t>Performance-based grants vest upon the attainment of earnings, revenue and other operational goals and require that the recipient remain an employee or director of the Company through the vesting date. The Company recognizes compensation expense for performance-based awards ratably over the expected vesting period based on the grant date fair value when it is deemed probable, for accounting purposes, that the performance criteria will be achieved. The expected vesting period may be deemed to be shorter than the term of the award. As of June 30, 2019, there were no performance-based awards outstanding.</w:t>
      </w:r>
    </w:p>
    <w:p>
      <w:pPr>
        <w:spacing w:after="0" w:line="81" w:lineRule="exact"/>
        <w:rPr>
          <w:sz w:val="20"/>
          <w:szCs w:val="20"/>
          <w:color w:val="auto"/>
        </w:rPr>
      </w:pPr>
    </w:p>
    <w:p>
      <w:pPr>
        <w:ind w:firstLine="388"/>
        <w:spacing w:after="0" w:line="287" w:lineRule="auto"/>
        <w:rPr>
          <w:sz w:val="20"/>
          <w:szCs w:val="20"/>
          <w:color w:val="auto"/>
        </w:rPr>
      </w:pPr>
      <w:r>
        <w:rPr>
          <w:rFonts w:ascii="Arial" w:cs="Arial" w:eastAsia="Arial" w:hAnsi="Arial"/>
          <w:sz w:val="13"/>
          <w:szCs w:val="13"/>
          <w:color w:val="auto"/>
        </w:rPr>
        <w:t>Market-based awards vest if their respective 2- or 3-year trailing total returns on the Company’s common stock exceed the corresponding total returns of various quartiles of indices consisting of either peer companies or a broad market index of companies in our industry. More recent market-based awards vest if the average of the Company's closing stock prices over defined quarterly measurement periods together with accumulated paid dividends exceeds a defined value. The fair values and expected vesting periods of these awards are determined using a Monte Carlo simulation based on the historical volatility of the Company's total return compared to the historical volatilities of the other companies in the index. Compensation expense for market-based awards is recognized over the expected vesting period using the straight-line method, so long as the holder remains an employee or director of the Company. Total compensation expense is based on the fair value of the awards at the date of grant and is independent of vesting or expiration of the awards, except for termination of service.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60"/>
          </w:cols>
          <w:pgMar w:left="220" w:top="340" w:right="21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Assumptions used in the Monte Carlo simulation valuations for the year ended June 30, 2019 follow below. There were no market-based awards granted for the year ended June 30,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75"/>
              <w:spacing w:after="0"/>
              <w:rPr>
                <w:sz w:val="20"/>
                <w:szCs w:val="20"/>
                <w:color w:val="auto"/>
              </w:rPr>
            </w:pPr>
            <w:r>
              <w:rPr>
                <w:rFonts w:ascii="Arial" w:cs="Arial" w:eastAsia="Arial" w:hAnsi="Arial"/>
                <w:sz w:val="11"/>
                <w:szCs w:val="11"/>
                <w:b w:val="1"/>
                <w:bCs w:val="1"/>
                <w:color w:val="auto"/>
                <w:w w:val="92"/>
              </w:rPr>
              <w:t>Year Ended June 30,</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88"/>
        </w:trPr>
        <w:tc>
          <w:tcPr>
            <w:tcW w:w="6000" w:type="dxa"/>
            <w:vAlign w:val="bottom"/>
            <w:gridSpan w:val="3"/>
          </w:tcPr>
          <w:p>
            <w:pPr>
              <w:ind w:left="20"/>
              <w:spacing w:after="0"/>
              <w:rPr>
                <w:sz w:val="20"/>
                <w:szCs w:val="20"/>
                <w:color w:val="auto"/>
              </w:rPr>
            </w:pPr>
            <w:r>
              <w:rPr>
                <w:rFonts w:ascii="Arial" w:cs="Arial" w:eastAsia="Arial" w:hAnsi="Arial"/>
                <w:sz w:val="14"/>
                <w:szCs w:val="14"/>
                <w:color w:val="auto"/>
              </w:rPr>
              <w:t>Weighted average fair value of market-based awards granted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5"/>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23"/>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93"/>
        </w:trPr>
        <w:tc>
          <w:tcPr>
            <w:tcW w:w="6000" w:type="dxa"/>
            <w:vAlign w:val="bottom"/>
            <w:gridSpan w:val="3"/>
          </w:tcPr>
          <w:p>
            <w:pPr>
              <w:ind w:left="20"/>
              <w:spacing w:after="0"/>
              <w:rPr>
                <w:sz w:val="20"/>
                <w:szCs w:val="20"/>
                <w:color w:val="auto"/>
              </w:rPr>
            </w:pPr>
            <w:r>
              <w:rPr>
                <w:rFonts w:ascii="Arial" w:cs="Arial" w:eastAsia="Arial" w:hAnsi="Arial"/>
                <w:sz w:val="14"/>
                <w:szCs w:val="14"/>
                <w:color w:val="auto"/>
              </w:rPr>
              <w:t>Expected life in years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75"/>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3"/>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93"/>
        </w:trPr>
        <w:tc>
          <w:tcPr>
            <w:tcW w:w="6000" w:type="dxa"/>
            <w:vAlign w:val="bottom"/>
            <w:gridSpan w:val="3"/>
          </w:tcPr>
          <w:p>
            <w:pPr>
              <w:ind w:left="20"/>
              <w:spacing w:after="0"/>
              <w:rPr>
                <w:sz w:val="20"/>
                <w:szCs w:val="20"/>
                <w:color w:val="auto"/>
              </w:rPr>
            </w:pPr>
            <w:r>
              <w:rPr>
                <w:rFonts w:ascii="Arial" w:cs="Arial" w:eastAsia="Arial" w:hAnsi="Arial"/>
                <w:sz w:val="14"/>
                <w:szCs w:val="14"/>
                <w:color w:val="auto"/>
              </w:rPr>
              <w:t>Dividend yield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410"/>
        </w:trPr>
        <w:tc>
          <w:tcPr>
            <w:tcW w:w="6000" w:type="dxa"/>
            <w:vAlign w:val="bottom"/>
            <w:gridSpan w:val="3"/>
          </w:tcPr>
          <w:p>
            <w:pPr>
              <w:ind w:left="400"/>
              <w:spacing w:after="0"/>
              <w:rPr>
                <w:sz w:val="20"/>
                <w:szCs w:val="20"/>
                <w:color w:val="auto"/>
              </w:rPr>
            </w:pPr>
            <w:r>
              <w:rPr>
                <w:rFonts w:ascii="Arial" w:cs="Arial" w:eastAsia="Arial" w:hAnsi="Arial"/>
                <w:sz w:val="14"/>
                <w:szCs w:val="14"/>
                <w:color w:val="auto"/>
              </w:rPr>
              <w:t>Unvested Restricted Stock awards at June 30, 2019 consisted of the following:</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vMerge w:val="restart"/>
          </w:tcPr>
          <w:p>
            <w:pPr>
              <w:jc w:val="center"/>
              <w:ind w:right="400"/>
              <w:spacing w:after="0"/>
              <w:rPr>
                <w:sz w:val="20"/>
                <w:szCs w:val="20"/>
                <w:color w:val="auto"/>
              </w:rPr>
            </w:pPr>
            <w:r>
              <w:rPr>
                <w:rFonts w:ascii="Arial" w:cs="Arial" w:eastAsia="Arial" w:hAnsi="Arial"/>
                <w:sz w:val="11"/>
                <w:szCs w:val="11"/>
                <w:b w:val="1"/>
                <w:bCs w:val="1"/>
                <w:color w:val="auto"/>
                <w:w w:val="94"/>
              </w:rPr>
              <w:t>Number of</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115"/>
              <w:spacing w:after="0"/>
              <w:rPr>
                <w:sz w:val="20"/>
                <w:szCs w:val="20"/>
                <w:color w:val="auto"/>
              </w:rPr>
            </w:pPr>
            <w:r>
              <w:rPr>
                <w:rFonts w:ascii="Arial" w:cs="Arial" w:eastAsia="Arial" w:hAnsi="Arial"/>
                <w:sz w:val="11"/>
                <w:szCs w:val="11"/>
                <w:b w:val="1"/>
                <w:bCs w:val="1"/>
                <w:color w:val="auto"/>
                <w:w w:val="92"/>
              </w:rPr>
              <w:t>Weighted</w:t>
            </w: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135"/>
              <w:spacing w:after="0" w:line="119" w:lineRule="exact"/>
              <w:rPr>
                <w:sz w:val="20"/>
                <w:szCs w:val="20"/>
                <w:color w:val="auto"/>
              </w:rPr>
            </w:pPr>
            <w:r>
              <w:rPr>
                <w:rFonts w:ascii="Arial" w:cs="Arial" w:eastAsia="Arial" w:hAnsi="Arial"/>
                <w:sz w:val="11"/>
                <w:szCs w:val="11"/>
                <w:b w:val="1"/>
                <w:bCs w:val="1"/>
                <w:color w:val="auto"/>
                <w:w w:val="92"/>
              </w:rPr>
              <w:t>Average</w:t>
            </w:r>
          </w:p>
        </w:tc>
        <w:tc>
          <w:tcPr>
            <w:tcW w:w="0" w:type="dxa"/>
            <w:vAlign w:val="bottom"/>
          </w:tcPr>
          <w:p>
            <w:pPr>
              <w:spacing w:after="0"/>
              <w:rPr>
                <w:sz w:val="1"/>
                <w:szCs w:val="1"/>
                <w:color w:val="auto"/>
              </w:rPr>
            </w:pPr>
          </w:p>
        </w:tc>
      </w:tr>
      <w:tr>
        <w:trPr>
          <w:trHeight w:val="119"/>
        </w:trPr>
        <w:tc>
          <w:tcPr>
            <w:tcW w:w="6000" w:type="dxa"/>
            <w:vAlign w:val="bottom"/>
            <w:gridSpan w:val="3"/>
            <w:vMerge w:val="restart"/>
          </w:tcPr>
          <w:p>
            <w:pPr>
              <w:ind w:left="4000"/>
              <w:spacing w:after="0"/>
              <w:rPr>
                <w:sz w:val="20"/>
                <w:szCs w:val="20"/>
                <w:color w:val="auto"/>
              </w:rPr>
            </w:pPr>
            <w:r>
              <w:rPr>
                <w:rFonts w:ascii="Arial" w:cs="Arial" w:eastAsia="Arial" w:hAnsi="Arial"/>
                <w:sz w:val="11"/>
                <w:szCs w:val="11"/>
                <w:b w:val="1"/>
                <w:bCs w:val="1"/>
                <w:color w:val="auto"/>
              </w:rPr>
              <w:t>Award Type</w:t>
            </w: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3"/>
          </w:tcPr>
          <w:p>
            <w:pPr>
              <w:jc w:val="center"/>
              <w:ind w:right="420"/>
              <w:spacing w:after="0" w:line="119" w:lineRule="exact"/>
              <w:rPr>
                <w:sz w:val="20"/>
                <w:szCs w:val="20"/>
                <w:color w:val="auto"/>
              </w:rPr>
            </w:pPr>
            <w:r>
              <w:rPr>
                <w:rFonts w:ascii="Arial" w:cs="Arial" w:eastAsia="Arial" w:hAnsi="Arial"/>
                <w:sz w:val="11"/>
                <w:szCs w:val="11"/>
                <w:b w:val="1"/>
                <w:bCs w:val="1"/>
                <w:color w:val="auto"/>
                <w:w w:val="92"/>
              </w:rPr>
              <w:t>Restricted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135"/>
              <w:spacing w:after="0" w:line="119" w:lineRule="exact"/>
              <w:rPr>
                <w:sz w:val="20"/>
                <w:szCs w:val="20"/>
                <w:color w:val="auto"/>
              </w:rPr>
            </w:pPr>
            <w:r>
              <w:rPr>
                <w:rFonts w:ascii="Arial" w:cs="Arial" w:eastAsia="Arial" w:hAnsi="Arial"/>
                <w:sz w:val="11"/>
                <w:szCs w:val="11"/>
                <w:b w:val="1"/>
                <w:bCs w:val="1"/>
                <w:color w:val="auto"/>
                <w:w w:val="98"/>
              </w:rPr>
              <w:t>Grant-Date</w:t>
            </w:r>
          </w:p>
        </w:tc>
        <w:tc>
          <w:tcPr>
            <w:tcW w:w="0" w:type="dxa"/>
            <w:vAlign w:val="bottom"/>
          </w:tcPr>
          <w:p>
            <w:pPr>
              <w:spacing w:after="0"/>
              <w:rPr>
                <w:sz w:val="1"/>
                <w:szCs w:val="1"/>
                <w:color w:val="auto"/>
              </w:rPr>
            </w:pPr>
          </w:p>
        </w:tc>
      </w:tr>
      <w:tr>
        <w:trPr>
          <w:trHeight w:val="153"/>
        </w:trPr>
        <w:tc>
          <w:tcPr>
            <w:tcW w:w="6000" w:type="dxa"/>
            <w:vAlign w:val="bottom"/>
            <w:gridSpan w:val="3"/>
            <w:vMerge w:val="continue"/>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87"/>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135"/>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191"/>
        </w:trPr>
        <w:tc>
          <w:tcPr>
            <w:tcW w:w="6000" w:type="dxa"/>
            <w:vAlign w:val="bottom"/>
            <w:tcBorders>
              <w:top w:val="single" w:sz="8" w:color="auto"/>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Service-based awards</w:t>
            </w: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112,381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193"/>
        </w:trPr>
        <w:tc>
          <w:tcPr>
            <w:tcW w:w="6000" w:type="dxa"/>
            <w:vAlign w:val="bottom"/>
            <w:gridSpan w:val="3"/>
          </w:tcPr>
          <w:p>
            <w:pPr>
              <w:ind w:left="20"/>
              <w:spacing w:after="0"/>
              <w:rPr>
                <w:sz w:val="20"/>
                <w:szCs w:val="20"/>
                <w:color w:val="auto"/>
              </w:rPr>
            </w:pPr>
            <w:r>
              <w:rPr>
                <w:rFonts w:ascii="Arial" w:cs="Arial" w:eastAsia="Arial" w:hAnsi="Arial"/>
                <w:sz w:val="14"/>
                <w:szCs w:val="14"/>
                <w:color w:val="auto"/>
              </w:rPr>
              <w:t>Market-based awards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55"/>
              <w:spacing w:after="0"/>
              <w:rPr>
                <w:sz w:val="20"/>
                <w:szCs w:val="20"/>
                <w:color w:val="auto"/>
              </w:rPr>
            </w:pPr>
            <w:r>
              <w:rPr>
                <w:rFonts w:ascii="Arial" w:cs="Arial" w:eastAsia="Arial" w:hAnsi="Arial"/>
                <w:sz w:val="14"/>
                <w:szCs w:val="14"/>
                <w:color w:val="auto"/>
              </w:rPr>
              <w:t>64,302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5"/>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3"/>
        </w:trPr>
        <w:tc>
          <w:tcPr>
            <w:tcW w:w="5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Unvested at June 30, 2019</w:t>
            </w: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176,683</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ind w:left="400"/>
              <w:spacing w:after="0"/>
              <w:rPr>
                <w:sz w:val="20"/>
                <w:szCs w:val="20"/>
                <w:color w:val="auto"/>
              </w:rPr>
            </w:pPr>
            <w:r>
              <w:rPr>
                <w:rFonts w:ascii="Arial" w:cs="Arial" w:eastAsia="Arial" w:hAnsi="Arial"/>
                <w:sz w:val="14"/>
                <w:szCs w:val="14"/>
                <w:color w:val="auto"/>
                <w:w w:val="92"/>
              </w:rPr>
              <w:t>The following table sets forth the Restricted Stock transactions for the year ended June 30, 2019:</w:t>
            </w: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00" w:type="dxa"/>
            <w:vAlign w:val="bottom"/>
            <w:gridSpan w:val="3"/>
            <w:vMerge w:val="continue"/>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8"/>
              </w:rPr>
              <w:t>Number of</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Weighted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1"/>
                <w:szCs w:val="11"/>
                <w:b w:val="1"/>
                <w:bCs w:val="1"/>
                <w:color w:val="auto"/>
                <w:w w:val="95"/>
              </w:rPr>
              <w:t>Unamortized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restart"/>
          </w:tcPr>
          <w:p>
            <w:pPr>
              <w:jc w:val="center"/>
              <w:ind w:right="135"/>
              <w:spacing w:after="0"/>
              <w:rPr>
                <w:sz w:val="20"/>
                <w:szCs w:val="20"/>
                <w:color w:val="auto"/>
              </w:rPr>
            </w:pPr>
            <w:r>
              <w:rPr>
                <w:rFonts w:ascii="Arial" w:cs="Arial" w:eastAsia="Arial" w:hAnsi="Arial"/>
                <w:sz w:val="11"/>
                <w:szCs w:val="11"/>
                <w:b w:val="1"/>
                <w:bCs w:val="1"/>
                <w:color w:val="auto"/>
                <w:w w:val="91"/>
              </w:rPr>
              <w:t>Weighted Average</w:t>
            </w: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160"/>
              <w:spacing w:after="0" w:line="119" w:lineRule="exact"/>
              <w:rPr>
                <w:sz w:val="20"/>
                <w:szCs w:val="20"/>
                <w:color w:val="auto"/>
              </w:rPr>
            </w:pPr>
            <w:r>
              <w:rPr>
                <w:rFonts w:ascii="Arial" w:cs="Arial" w:eastAsia="Arial" w:hAnsi="Arial"/>
                <w:sz w:val="11"/>
                <w:szCs w:val="11"/>
                <w:b w:val="1"/>
                <w:bCs w:val="1"/>
                <w:color w:val="auto"/>
                <w:w w:val="92"/>
              </w:rPr>
              <w:t>Average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92"/>
              </w:rPr>
              <w:t>Restricted</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180"/>
              <w:spacing w:after="0" w:line="119" w:lineRule="exact"/>
              <w:rPr>
                <w:sz w:val="20"/>
                <w:szCs w:val="20"/>
                <w:color w:val="auto"/>
              </w:rPr>
            </w:pPr>
            <w:r>
              <w:rPr>
                <w:rFonts w:ascii="Arial" w:cs="Arial" w:eastAsia="Arial" w:hAnsi="Arial"/>
                <w:sz w:val="11"/>
                <w:szCs w:val="11"/>
                <w:b w:val="1"/>
                <w:bCs w:val="1"/>
                <w:color w:val="auto"/>
              </w:rPr>
              <w:t>Grant-Date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4"/>
          </w:tcPr>
          <w:p>
            <w:pPr>
              <w:jc w:val="center"/>
              <w:ind w:right="100"/>
              <w:spacing w:after="0" w:line="119" w:lineRule="exact"/>
              <w:rPr>
                <w:sz w:val="20"/>
                <w:szCs w:val="20"/>
                <w:color w:val="auto"/>
              </w:rPr>
            </w:pPr>
            <w:r>
              <w:rPr>
                <w:rFonts w:ascii="Arial" w:cs="Arial" w:eastAsia="Arial" w:hAnsi="Arial"/>
                <w:sz w:val="11"/>
                <w:szCs w:val="11"/>
                <w:b w:val="1"/>
                <w:bCs w:val="1"/>
                <w:color w:val="auto"/>
                <w:w w:val="91"/>
              </w:rPr>
              <w:t>Compensation Expense</w:t>
            </w:r>
          </w:p>
        </w:tc>
        <w:tc>
          <w:tcPr>
            <w:tcW w:w="1360" w:type="dxa"/>
            <w:vAlign w:val="bottom"/>
            <w:gridSpan w:val="3"/>
          </w:tcPr>
          <w:p>
            <w:pPr>
              <w:jc w:val="center"/>
              <w:spacing w:after="0" w:line="119" w:lineRule="exact"/>
              <w:rPr>
                <w:sz w:val="20"/>
                <w:szCs w:val="20"/>
                <w:color w:val="auto"/>
              </w:rPr>
            </w:pPr>
            <w:r>
              <w:rPr>
                <w:rFonts w:ascii="Arial" w:cs="Arial" w:eastAsia="Arial" w:hAnsi="Arial"/>
                <w:sz w:val="11"/>
                <w:szCs w:val="11"/>
                <w:b w:val="1"/>
                <w:bCs w:val="1"/>
                <w:color w:val="auto"/>
                <w:w w:val="96"/>
              </w:rPr>
              <w:t>Remaining Amortization</w:t>
            </w:r>
          </w:p>
        </w:tc>
        <w:tc>
          <w:tcPr>
            <w:tcW w:w="0" w:type="dxa"/>
            <w:vAlign w:val="bottom"/>
          </w:tcPr>
          <w:p>
            <w:pPr>
              <w:spacing w:after="0"/>
              <w:rPr>
                <w:sz w:val="1"/>
                <w:szCs w:val="1"/>
                <w:color w:val="auto"/>
              </w:rPr>
            </w:pPr>
          </w:p>
        </w:tc>
      </w:tr>
      <w:tr>
        <w:trPr>
          <w:trHeight w:val="153"/>
        </w:trPr>
        <w:tc>
          <w:tcPr>
            <w:tcW w:w="56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2"/>
              </w:rPr>
              <w:t>Shares</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8"/>
              </w:rPr>
              <w:t>Fair Value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1"/>
                <w:szCs w:val="11"/>
                <w:b w:val="1"/>
                <w:bCs w:val="1"/>
                <w:color w:val="auto"/>
                <w:w w:val="92"/>
              </w:rPr>
              <w:t>at June 30, 2019</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55"/>
              <w:spacing w:after="0"/>
              <w:rPr>
                <w:sz w:val="20"/>
                <w:szCs w:val="20"/>
                <w:color w:val="auto"/>
              </w:rPr>
            </w:pPr>
            <w:r>
              <w:rPr>
                <w:rFonts w:ascii="Arial" w:cs="Arial" w:eastAsia="Arial" w:hAnsi="Arial"/>
                <w:sz w:val="11"/>
                <w:szCs w:val="11"/>
                <w:b w:val="1"/>
                <w:bCs w:val="1"/>
                <w:color w:val="auto"/>
                <w:w w:val="93"/>
              </w:rPr>
              <w:t>Period (Years)</w:t>
            </w:r>
          </w:p>
        </w:tc>
        <w:tc>
          <w:tcPr>
            <w:tcW w:w="0" w:type="dxa"/>
            <w:vAlign w:val="bottom"/>
          </w:tcPr>
          <w:p>
            <w:pPr>
              <w:spacing w:after="0"/>
              <w:rPr>
                <w:sz w:val="1"/>
                <w:szCs w:val="1"/>
                <w:color w:val="auto"/>
              </w:rPr>
            </w:pPr>
          </w:p>
        </w:tc>
      </w:tr>
      <w:tr>
        <w:trPr>
          <w:trHeight w:val="191"/>
        </w:trPr>
        <w:tc>
          <w:tcPr>
            <w:tcW w:w="6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Unvested at July 1, 2018</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199,477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6.83</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00" w:type="dxa"/>
            <w:vAlign w:val="bottom"/>
            <w:gridSpan w:val="3"/>
          </w:tcPr>
          <w:p>
            <w:pPr>
              <w:ind w:left="140"/>
              <w:spacing w:after="0"/>
              <w:rPr>
                <w:sz w:val="20"/>
                <w:szCs w:val="20"/>
                <w:color w:val="auto"/>
              </w:rPr>
            </w:pPr>
            <w:r>
              <w:rPr>
                <w:rFonts w:ascii="Arial" w:cs="Arial" w:eastAsia="Arial" w:hAnsi="Arial"/>
                <w:sz w:val="14"/>
                <w:szCs w:val="14"/>
                <w:color w:val="auto"/>
              </w:rPr>
              <w:t>Service-based awards granted</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66,992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9.17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Market-based awards granted</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43,990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8.24</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00" w:type="dxa"/>
            <w:vAlign w:val="bottom"/>
            <w:gridSpan w:val="3"/>
          </w:tcPr>
          <w:p>
            <w:pPr>
              <w:ind w:left="140"/>
              <w:spacing w:after="0"/>
              <w:rPr>
                <w:sz w:val="20"/>
                <w:szCs w:val="20"/>
                <w:color w:val="auto"/>
              </w:rPr>
            </w:pPr>
            <w:r>
              <w:rPr>
                <w:rFonts w:ascii="Arial" w:cs="Arial" w:eastAsia="Arial" w:hAnsi="Arial"/>
                <w:sz w:val="14"/>
                <w:szCs w:val="14"/>
                <w:color w:val="auto"/>
              </w:rPr>
              <w:t>Vested</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(133,776)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6.80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Unvested at June 30, 2019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176,683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848,262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000" w:type="dxa"/>
            <w:vAlign w:val="bottom"/>
            <w:gridSpan w:val="3"/>
          </w:tcPr>
          <w:p>
            <w:pPr>
              <w:ind w:left="400"/>
              <w:spacing w:after="0"/>
              <w:rPr>
                <w:sz w:val="20"/>
                <w:szCs w:val="20"/>
                <w:color w:val="auto"/>
              </w:rPr>
            </w:pPr>
            <w:r>
              <w:rPr>
                <w:rFonts w:ascii="Arial" w:cs="Arial" w:eastAsia="Arial" w:hAnsi="Arial"/>
                <w:sz w:val="14"/>
                <w:szCs w:val="14"/>
                <w:color w:val="auto"/>
              </w:rPr>
              <w:t>The following is a summary of Restricted Stock vestings for the last two fiscal years: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835"/>
              <w:spacing w:after="0"/>
              <w:rPr>
                <w:sz w:val="20"/>
                <w:szCs w:val="20"/>
                <w:color w:val="auto"/>
              </w:rPr>
            </w:pPr>
            <w:r>
              <w:rPr>
                <w:rFonts w:ascii="Arial" w:cs="Arial" w:eastAsia="Arial" w:hAnsi="Arial"/>
                <w:sz w:val="11"/>
                <w:szCs w:val="11"/>
                <w:b w:val="1"/>
                <w:bCs w:val="1"/>
                <w:color w:val="auto"/>
              </w:rPr>
              <w:t>Year Ended June 30,</w:t>
            </w:r>
          </w:p>
        </w:tc>
        <w:tc>
          <w:tcPr>
            <w:tcW w:w="0" w:type="dxa"/>
            <w:vAlign w:val="bottom"/>
          </w:tcPr>
          <w:p>
            <w:pPr>
              <w:spacing w:after="0"/>
              <w:rPr>
                <w:sz w:val="1"/>
                <w:szCs w:val="1"/>
                <w:color w:val="auto"/>
              </w:rPr>
            </w:pPr>
          </w:p>
        </w:tc>
      </w:tr>
      <w:tr>
        <w:trPr>
          <w:trHeight w:val="206"/>
        </w:trPr>
        <w:tc>
          <w:tcPr>
            <w:tcW w:w="56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15"/>
              <w:spacing w:after="0"/>
              <w:rPr>
                <w:sz w:val="20"/>
                <w:szCs w:val="20"/>
                <w:color w:val="auto"/>
              </w:rPr>
            </w:pPr>
            <w:r>
              <w:rPr>
                <w:rFonts w:ascii="Arial" w:cs="Arial" w:eastAsia="Arial" w:hAnsi="Arial"/>
                <w:sz w:val="11"/>
                <w:szCs w:val="11"/>
                <w:b w:val="1"/>
                <w:bCs w:val="1"/>
                <w:color w:val="auto"/>
                <w:w w:val="97"/>
              </w:rPr>
              <w:t>2019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5"/>
              <w:spacing w:after="0"/>
              <w:rPr>
                <w:sz w:val="20"/>
                <w:szCs w:val="20"/>
                <w:color w:val="auto"/>
              </w:rPr>
            </w:pPr>
            <w:r>
              <w:rPr>
                <w:rFonts w:ascii="Arial" w:cs="Arial" w:eastAsia="Arial" w:hAnsi="Arial"/>
                <w:sz w:val="11"/>
                <w:szCs w:val="11"/>
                <w:b w:val="1"/>
                <w:bCs w:val="1"/>
                <w:color w:val="auto"/>
                <w:w w:val="97"/>
              </w:rPr>
              <w:t>2018</w:t>
            </w:r>
          </w:p>
        </w:tc>
        <w:tc>
          <w:tcPr>
            <w:tcW w:w="0" w:type="dxa"/>
            <w:vAlign w:val="bottom"/>
          </w:tcPr>
          <w:p>
            <w:pPr>
              <w:spacing w:after="0"/>
              <w:rPr>
                <w:sz w:val="1"/>
                <w:szCs w:val="1"/>
                <w:color w:val="auto"/>
              </w:rPr>
            </w:pPr>
          </w:p>
        </w:tc>
      </w:tr>
      <w:tr>
        <w:trPr>
          <w:trHeight w:val="191"/>
        </w:trPr>
        <w:tc>
          <w:tcPr>
            <w:tcW w:w="6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Vesting-date intrinsic value of Restricted Stock</w:t>
            </w: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1,141,631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1,622,937</w:t>
            </w:r>
          </w:p>
        </w:tc>
        <w:tc>
          <w:tcPr>
            <w:tcW w:w="0" w:type="dxa"/>
            <w:vAlign w:val="bottom"/>
          </w:tcPr>
          <w:p>
            <w:pPr>
              <w:spacing w:after="0"/>
              <w:rPr>
                <w:sz w:val="1"/>
                <w:szCs w:val="1"/>
                <w:color w:val="auto"/>
              </w:rPr>
            </w:pPr>
          </w:p>
        </w:tc>
      </w:tr>
      <w:tr>
        <w:trPr>
          <w:trHeight w:val="193"/>
        </w:trPr>
        <w:tc>
          <w:tcPr>
            <w:tcW w:w="6000" w:type="dxa"/>
            <w:vAlign w:val="bottom"/>
            <w:gridSpan w:val="3"/>
          </w:tcPr>
          <w:p>
            <w:pPr>
              <w:ind w:left="20"/>
              <w:spacing w:after="0"/>
              <w:rPr>
                <w:sz w:val="20"/>
                <w:szCs w:val="20"/>
                <w:color w:val="auto"/>
              </w:rPr>
            </w:pPr>
            <w:r>
              <w:rPr>
                <w:rFonts w:ascii="Arial" w:cs="Arial" w:eastAsia="Arial" w:hAnsi="Arial"/>
                <w:sz w:val="14"/>
                <w:szCs w:val="14"/>
                <w:color w:val="auto"/>
              </w:rPr>
              <w:t>Grant-date fair value of vested Restricted Stock</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35"/>
              <w:spacing w:after="0"/>
              <w:rPr>
                <w:sz w:val="20"/>
                <w:szCs w:val="20"/>
                <w:color w:val="auto"/>
              </w:rPr>
            </w:pPr>
            <w:r>
              <w:rPr>
                <w:rFonts w:ascii="Arial" w:cs="Arial" w:eastAsia="Arial" w:hAnsi="Arial"/>
                <w:sz w:val="14"/>
                <w:szCs w:val="14"/>
                <w:color w:val="auto"/>
              </w:rPr>
              <w:t>909,678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5"/>
              <w:spacing w:after="0"/>
              <w:rPr>
                <w:sz w:val="20"/>
                <w:szCs w:val="20"/>
                <w:color w:val="auto"/>
              </w:rPr>
            </w:pPr>
            <w:r>
              <w:rPr>
                <w:rFonts w:ascii="Arial" w:cs="Arial" w:eastAsia="Arial" w:hAnsi="Arial"/>
                <w:sz w:val="14"/>
                <w:szCs w:val="14"/>
                <w:color w:val="auto"/>
              </w:rPr>
              <w:t>1,427,498</w:t>
            </w:r>
          </w:p>
        </w:tc>
        <w:tc>
          <w:tcPr>
            <w:tcW w:w="0" w:type="dxa"/>
            <w:vAlign w:val="bottom"/>
          </w:tcPr>
          <w:p>
            <w:pPr>
              <w:spacing w:after="0"/>
              <w:rPr>
                <w:sz w:val="1"/>
                <w:szCs w:val="1"/>
                <w:color w:val="auto"/>
              </w:rPr>
            </w:pPr>
          </w:p>
        </w:tc>
      </w:tr>
      <w:tr>
        <w:trPr>
          <w:trHeight w:val="23"/>
        </w:trPr>
        <w:tc>
          <w:tcPr>
            <w:tcW w:w="56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Number of awards vesting</w:t>
            </w: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133,776</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211,960</w:t>
            </w:r>
          </w:p>
        </w:tc>
        <w:tc>
          <w:tcPr>
            <w:tcW w:w="0" w:type="dxa"/>
            <w:vAlign w:val="bottom"/>
          </w:tcPr>
          <w:p>
            <w:pPr>
              <w:spacing w:after="0"/>
              <w:rPr>
                <w:sz w:val="1"/>
                <w:szCs w:val="1"/>
                <w:color w:val="auto"/>
              </w:rPr>
            </w:pPr>
          </w:p>
        </w:tc>
      </w:tr>
      <w:tr>
        <w:trPr>
          <w:trHeight w:val="279"/>
        </w:trPr>
        <w:tc>
          <w:tcPr>
            <w:tcW w:w="6000" w:type="dxa"/>
            <w:vAlign w:val="bottom"/>
            <w:gridSpan w:val="3"/>
          </w:tcPr>
          <w:p>
            <w:pPr>
              <w:ind w:left="400"/>
              <w:spacing w:after="0"/>
              <w:rPr>
                <w:sz w:val="20"/>
                <w:szCs w:val="20"/>
                <w:color w:val="auto"/>
              </w:rPr>
            </w:pPr>
            <w:r>
              <w:rPr>
                <w:rFonts w:ascii="Arial" w:cs="Arial" w:eastAsia="Arial" w:hAnsi="Arial"/>
                <w:sz w:val="14"/>
                <w:szCs w:val="14"/>
                <w:color w:val="auto"/>
              </w:rPr>
              <w:t>The following table summarizes Contingent Restricted Stock activity for fiscal 2019:</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vMerge w:val="restart"/>
          </w:tcPr>
          <w:p>
            <w:pPr>
              <w:jc w:val="center"/>
              <w:ind w:right="500"/>
              <w:spacing w:after="0"/>
              <w:rPr>
                <w:sz w:val="20"/>
                <w:szCs w:val="20"/>
                <w:color w:val="auto"/>
              </w:rPr>
            </w:pPr>
            <w:r>
              <w:rPr>
                <w:rFonts w:ascii="Arial" w:cs="Arial" w:eastAsia="Arial" w:hAnsi="Arial"/>
                <w:sz w:val="11"/>
                <w:szCs w:val="11"/>
                <w:b w:val="1"/>
                <w:bCs w:val="1"/>
                <w:color w:val="auto"/>
                <w:w w:val="98"/>
              </w:rPr>
              <w:t>Number of</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2"/>
              </w:rPr>
              <w:t>Weighted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vMerge w:val="restart"/>
          </w:tcPr>
          <w:p>
            <w:pPr>
              <w:jc w:val="center"/>
              <w:ind w:right="400"/>
              <w:spacing w:after="0"/>
              <w:rPr>
                <w:sz w:val="20"/>
                <w:szCs w:val="20"/>
                <w:color w:val="auto"/>
              </w:rPr>
            </w:pPr>
            <w:r>
              <w:rPr>
                <w:rFonts w:ascii="Arial" w:cs="Arial" w:eastAsia="Arial" w:hAnsi="Arial"/>
                <w:sz w:val="11"/>
                <w:szCs w:val="11"/>
                <w:b w:val="1"/>
                <w:bCs w:val="1"/>
                <w:color w:val="auto"/>
                <w:w w:val="95"/>
              </w:rPr>
              <w:t>Unamortized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restart"/>
          </w:tcPr>
          <w:p>
            <w:pPr>
              <w:jc w:val="center"/>
              <w:ind w:right="135"/>
              <w:spacing w:after="0"/>
              <w:rPr>
                <w:sz w:val="20"/>
                <w:szCs w:val="20"/>
                <w:color w:val="auto"/>
              </w:rPr>
            </w:pPr>
            <w:r>
              <w:rPr>
                <w:rFonts w:ascii="Arial" w:cs="Arial" w:eastAsia="Arial" w:hAnsi="Arial"/>
                <w:sz w:val="11"/>
                <w:szCs w:val="11"/>
                <w:b w:val="1"/>
                <w:bCs w:val="1"/>
                <w:color w:val="auto"/>
                <w:w w:val="91"/>
              </w:rPr>
              <w:t>Weighted Average</w:t>
            </w: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92"/>
              </w:rPr>
              <w:t>Average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jc w:val="center"/>
              <w:ind w:right="500"/>
              <w:spacing w:after="0" w:line="119" w:lineRule="exact"/>
              <w:rPr>
                <w:sz w:val="20"/>
                <w:szCs w:val="20"/>
                <w:color w:val="auto"/>
              </w:rPr>
            </w:pPr>
            <w:r>
              <w:rPr>
                <w:rFonts w:ascii="Arial" w:cs="Arial" w:eastAsia="Arial" w:hAnsi="Arial"/>
                <w:sz w:val="11"/>
                <w:szCs w:val="11"/>
                <w:b w:val="1"/>
                <w:bCs w:val="1"/>
                <w:color w:val="auto"/>
                <w:w w:val="92"/>
              </w:rPr>
              <w:t>Restricted</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98"/>
              </w:rPr>
              <w:t>Grant-Date</w:t>
            </w:r>
          </w:p>
        </w:tc>
        <w:tc>
          <w:tcPr>
            <w:tcW w:w="20" w:type="dxa"/>
            <w:vAlign w:val="bottom"/>
          </w:tcPr>
          <w:p>
            <w:pPr>
              <w:spacing w:after="0"/>
              <w:rPr>
                <w:sz w:val="10"/>
                <w:szCs w:val="10"/>
                <w:color w:val="auto"/>
              </w:rPr>
            </w:pPr>
          </w:p>
        </w:tc>
        <w:tc>
          <w:tcPr>
            <w:tcW w:w="1480" w:type="dxa"/>
            <w:vAlign w:val="bottom"/>
            <w:gridSpan w:val="5"/>
          </w:tcPr>
          <w:p>
            <w:pPr>
              <w:jc w:val="center"/>
              <w:ind w:right="100"/>
              <w:spacing w:after="0" w:line="119" w:lineRule="exact"/>
              <w:rPr>
                <w:sz w:val="20"/>
                <w:szCs w:val="20"/>
                <w:color w:val="auto"/>
              </w:rPr>
            </w:pPr>
            <w:r>
              <w:rPr>
                <w:rFonts w:ascii="Arial" w:cs="Arial" w:eastAsia="Arial" w:hAnsi="Arial"/>
                <w:sz w:val="11"/>
                <w:szCs w:val="11"/>
                <w:b w:val="1"/>
                <w:bCs w:val="1"/>
                <w:color w:val="auto"/>
                <w:w w:val="91"/>
              </w:rPr>
              <w:t>Compensation Expense at</w:t>
            </w:r>
          </w:p>
        </w:tc>
        <w:tc>
          <w:tcPr>
            <w:tcW w:w="1360" w:type="dxa"/>
            <w:vAlign w:val="bottom"/>
            <w:gridSpan w:val="3"/>
          </w:tcPr>
          <w:p>
            <w:pPr>
              <w:jc w:val="center"/>
              <w:spacing w:after="0" w:line="119" w:lineRule="exact"/>
              <w:rPr>
                <w:sz w:val="20"/>
                <w:szCs w:val="20"/>
                <w:color w:val="auto"/>
              </w:rPr>
            </w:pPr>
            <w:r>
              <w:rPr>
                <w:rFonts w:ascii="Arial" w:cs="Arial" w:eastAsia="Arial" w:hAnsi="Arial"/>
                <w:sz w:val="11"/>
                <w:szCs w:val="11"/>
                <w:b w:val="1"/>
                <w:bCs w:val="1"/>
                <w:color w:val="auto"/>
                <w:w w:val="96"/>
              </w:rPr>
              <w:t>Remaining Amortization</w:t>
            </w:r>
          </w:p>
        </w:tc>
        <w:tc>
          <w:tcPr>
            <w:tcW w:w="0" w:type="dxa"/>
            <w:vAlign w:val="bottom"/>
          </w:tcPr>
          <w:p>
            <w:pPr>
              <w:spacing w:after="0"/>
              <w:rPr>
                <w:sz w:val="1"/>
                <w:szCs w:val="1"/>
                <w:color w:val="auto"/>
              </w:rPr>
            </w:pPr>
          </w:p>
        </w:tc>
      </w:tr>
      <w:tr>
        <w:trPr>
          <w:trHeight w:val="153"/>
        </w:trPr>
        <w:tc>
          <w:tcPr>
            <w:tcW w:w="56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14"/>
              <w:spacing w:after="0"/>
              <w:rPr>
                <w:sz w:val="20"/>
                <w:szCs w:val="20"/>
                <w:color w:val="auto"/>
              </w:rPr>
            </w:pPr>
            <w:r>
              <w:rPr>
                <w:rFonts w:ascii="Arial" w:cs="Arial" w:eastAsia="Arial" w:hAnsi="Arial"/>
                <w:sz w:val="11"/>
                <w:szCs w:val="11"/>
                <w:b w:val="1"/>
                <w:bCs w:val="1"/>
                <w:color w:val="auto"/>
                <w:w w:val="95"/>
              </w:rPr>
              <w:t>Stock Units</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55"/>
              <w:spacing w:after="0"/>
              <w:rPr>
                <w:sz w:val="20"/>
                <w:szCs w:val="20"/>
                <w:color w:val="auto"/>
              </w:rPr>
            </w:pPr>
            <w:r>
              <w:rPr>
                <w:rFonts w:ascii="Arial" w:cs="Arial" w:eastAsia="Arial" w:hAnsi="Arial"/>
                <w:sz w:val="11"/>
                <w:szCs w:val="11"/>
                <w:b w:val="1"/>
                <w:bCs w:val="1"/>
                <w:color w:val="auto"/>
                <w:w w:val="94"/>
              </w:rPr>
              <w:t>Fair Value</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1"/>
                <w:szCs w:val="11"/>
                <w:b w:val="1"/>
                <w:bCs w:val="1"/>
                <w:color w:val="auto"/>
                <w:w w:val="92"/>
              </w:rPr>
              <w:t>June 30, 2019</w:t>
            </w:r>
          </w:p>
        </w:tc>
        <w:tc>
          <w:tcPr>
            <w:tcW w:w="120" w:type="dxa"/>
            <w:vAlign w:val="bottom"/>
            <w:tcBorders>
              <w:bottom w:val="single" w:sz="8" w:color="CCEEFF"/>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55"/>
              <w:spacing w:after="0"/>
              <w:rPr>
                <w:sz w:val="20"/>
                <w:szCs w:val="20"/>
                <w:color w:val="auto"/>
              </w:rPr>
            </w:pPr>
            <w:r>
              <w:rPr>
                <w:rFonts w:ascii="Arial" w:cs="Arial" w:eastAsia="Arial" w:hAnsi="Arial"/>
                <w:sz w:val="11"/>
                <w:szCs w:val="11"/>
                <w:b w:val="1"/>
                <w:bCs w:val="1"/>
                <w:color w:val="auto"/>
                <w:w w:val="93"/>
              </w:rPr>
              <w:t>Period (Years)</w:t>
            </w:r>
          </w:p>
        </w:tc>
        <w:tc>
          <w:tcPr>
            <w:tcW w:w="0" w:type="dxa"/>
            <w:vAlign w:val="bottom"/>
          </w:tcPr>
          <w:p>
            <w:pPr>
              <w:spacing w:after="0"/>
              <w:rPr>
                <w:sz w:val="1"/>
                <w:szCs w:val="1"/>
                <w:color w:val="auto"/>
              </w:rPr>
            </w:pPr>
          </w:p>
        </w:tc>
      </w:tr>
      <w:tr>
        <w:trPr>
          <w:trHeight w:val="191"/>
        </w:trPr>
        <w:tc>
          <w:tcPr>
            <w:tcW w:w="6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Unvested at July 1, 2018</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28,562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6.06</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00" w:type="dxa"/>
            <w:vAlign w:val="bottom"/>
            <w:gridSpan w:val="3"/>
          </w:tcPr>
          <w:p>
            <w:pPr>
              <w:ind w:left="20"/>
              <w:spacing w:after="0"/>
              <w:rPr>
                <w:sz w:val="20"/>
                <w:szCs w:val="20"/>
                <w:color w:val="auto"/>
              </w:rPr>
            </w:pPr>
            <w:r>
              <w:rPr>
                <w:rFonts w:ascii="Arial" w:cs="Arial" w:eastAsia="Arial" w:hAnsi="Arial"/>
                <w:sz w:val="14"/>
                <w:szCs w:val="14"/>
                <w:color w:val="auto"/>
              </w:rPr>
              <w:t>Expired</w:t>
            </w:r>
          </w:p>
        </w:tc>
        <w:tc>
          <w:tcPr>
            <w:tcW w:w="1000" w:type="dxa"/>
            <w:vAlign w:val="bottom"/>
          </w:tcPr>
          <w:p>
            <w:pPr>
              <w:jc w:val="right"/>
              <w:ind w:right="14"/>
              <w:spacing w:after="0"/>
              <w:rPr>
                <w:sz w:val="20"/>
                <w:szCs w:val="20"/>
                <w:color w:val="auto"/>
              </w:rPr>
            </w:pPr>
            <w:r>
              <w:rPr>
                <w:rFonts w:ascii="Arial" w:cs="Arial" w:eastAsia="Arial" w:hAnsi="Arial"/>
                <w:sz w:val="14"/>
                <w:szCs w:val="14"/>
                <w:color w:val="auto"/>
              </w:rPr>
              <w:t>(7,777)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5"/>
              <w:spacing w:after="0"/>
              <w:rPr>
                <w:sz w:val="20"/>
                <w:szCs w:val="20"/>
                <w:color w:val="auto"/>
              </w:rPr>
            </w:pPr>
            <w:r>
              <w:rPr>
                <w:rFonts w:ascii="Arial" w:cs="Arial" w:eastAsia="Arial" w:hAnsi="Arial"/>
                <w:sz w:val="14"/>
                <w:szCs w:val="14"/>
                <w:color w:val="auto"/>
              </w:rPr>
              <w:t>10.05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380" w:type="dxa"/>
            <w:vAlign w:val="bottom"/>
            <w:tcBorders>
              <w:bottom w:val="single" w:sz="8" w:color="CCEEFF"/>
            </w:tcBorders>
            <w:gridSpan w:val="2"/>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(10,629)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5.67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620" w:type="dxa"/>
            <w:vAlign w:val="bottom"/>
          </w:tcPr>
          <w:p>
            <w:pPr>
              <w:ind w:left="20"/>
              <w:spacing w:after="0"/>
              <w:rPr>
                <w:sz w:val="20"/>
                <w:szCs w:val="20"/>
                <w:color w:val="auto"/>
              </w:rPr>
            </w:pPr>
            <w:r>
              <w:rPr>
                <w:rFonts w:ascii="Arial" w:cs="Arial" w:eastAsia="Arial" w:hAnsi="Arial"/>
                <w:sz w:val="14"/>
                <w:szCs w:val="14"/>
                <w:color w:val="auto"/>
              </w:rPr>
              <w:t>Unvested at June 30, 2019</w:t>
            </w:r>
          </w:p>
        </w:tc>
        <w:tc>
          <w:tcPr>
            <w:tcW w:w="380" w:type="dxa"/>
            <w:vAlign w:val="bottom"/>
            <w:tcBorders>
              <w:top w:val="single" w:sz="8" w:color="auto"/>
            </w:tcBorders>
            <w:gridSpan w:val="2"/>
          </w:tcPr>
          <w:p>
            <w:pPr>
              <w:spacing w:after="0"/>
              <w:rPr>
                <w:sz w:val="15"/>
                <w:szCs w:val="15"/>
                <w:color w:val="auto"/>
              </w:rPr>
            </w:pP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10,156</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3"/>
        </w:trPr>
        <w:tc>
          <w:tcPr>
            <w:tcW w:w="562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000" w:type="dxa"/>
            <w:vAlign w:val="bottom"/>
            <w:gridSpan w:val="3"/>
          </w:tcPr>
          <w:p>
            <w:pPr>
              <w:ind w:left="5660"/>
              <w:spacing w:after="0"/>
              <w:rPr>
                <w:sz w:val="20"/>
                <w:szCs w:val="20"/>
                <w:color w:val="auto"/>
              </w:rPr>
            </w:pPr>
            <w:r>
              <w:rPr>
                <w:rFonts w:ascii="Arial" w:cs="Arial" w:eastAsia="Arial" w:hAnsi="Arial"/>
                <w:sz w:val="14"/>
                <w:szCs w:val="14"/>
                <w:color w:val="auto"/>
              </w:rPr>
              <w:t>52</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40" w:right="21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All of these outstanding awards at June 30, 2019 are market-based awards.</w:t>
      </w:r>
    </w:p>
    <w:p>
      <w:pPr>
        <w:spacing w:after="0" w:line="24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is a summary of Contingent Restricted Stock vestings for the last two fiscal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June 30,</w:t>
            </w:r>
          </w:p>
        </w:tc>
        <w:tc>
          <w:tcPr>
            <w:tcW w:w="820" w:type="dxa"/>
            <w:vAlign w:val="bottom"/>
            <w:tcBorders>
              <w:bottom w:val="single" w:sz="8" w:color="auto"/>
            </w:tcBorders>
          </w:tcPr>
          <w:p>
            <w:pPr>
              <w:spacing w:after="0"/>
              <w:rPr>
                <w:sz w:val="13"/>
                <w:szCs w:val="13"/>
                <w:color w:val="auto"/>
              </w:rPr>
            </w:pPr>
          </w:p>
        </w:tc>
      </w:tr>
      <w:tr>
        <w:trPr>
          <w:trHeight w:val="206"/>
        </w:trPr>
        <w:tc>
          <w:tcPr>
            <w:tcW w:w="86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w w:val="97"/>
              </w:rPr>
              <w:t>2018</w:t>
            </w:r>
          </w:p>
        </w:tc>
      </w:tr>
      <w:tr>
        <w:trPr>
          <w:trHeight w:val="191"/>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Vest-date intrinsic value of Contingent Restricted Stock</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105,227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347,852</w:t>
            </w:r>
          </w:p>
        </w:tc>
      </w:tr>
      <w:tr>
        <w:trPr>
          <w:trHeight w:val="193"/>
        </w:trPr>
        <w:tc>
          <w:tcPr>
            <w:tcW w:w="8600" w:type="dxa"/>
            <w:vAlign w:val="bottom"/>
          </w:tcPr>
          <w:p>
            <w:pPr>
              <w:ind w:left="20"/>
              <w:spacing w:after="0"/>
              <w:rPr>
                <w:sz w:val="20"/>
                <w:szCs w:val="20"/>
                <w:color w:val="auto"/>
              </w:rPr>
            </w:pPr>
            <w:r>
              <w:rPr>
                <w:rFonts w:ascii="Arial" w:cs="Arial" w:eastAsia="Arial" w:hAnsi="Arial"/>
                <w:sz w:val="14"/>
                <w:szCs w:val="14"/>
                <w:color w:val="auto"/>
              </w:rPr>
              <w:t>Grant-date fair value of vested Contingent Restricted Stock</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4"/>
              <w:spacing w:after="0"/>
              <w:rPr>
                <w:sz w:val="20"/>
                <w:szCs w:val="20"/>
                <w:color w:val="auto"/>
              </w:rPr>
            </w:pPr>
            <w:r>
              <w:rPr>
                <w:rFonts w:ascii="Arial" w:cs="Arial" w:eastAsia="Arial" w:hAnsi="Arial"/>
                <w:sz w:val="14"/>
                <w:szCs w:val="14"/>
                <w:color w:val="auto"/>
              </w:rPr>
              <w:t>60,266</w:t>
            </w:r>
          </w:p>
        </w:tc>
        <w:tc>
          <w:tcPr>
            <w:tcW w:w="10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155,744</w:t>
            </w:r>
          </w:p>
        </w:tc>
      </w:tr>
      <w:tr>
        <w:trPr>
          <w:trHeight w:val="23"/>
        </w:trPr>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3"/>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awards vesting</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10,629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46,630</w:t>
            </w:r>
          </w:p>
        </w:tc>
      </w:tr>
      <w:tr>
        <w:trPr>
          <w:trHeight w:val="23"/>
        </w:trPr>
        <w:tc>
          <w:tcPr>
            <w:tcW w:w="86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22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For the years ended June 30, 2019, and 2018, we recognized stock-based compensation expense related to Restricted Stock and Contingent Restricted Stock grants of $888,162 and $1,366,764.</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Supplemental Disclosure of Cash Flow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supplemental disclosures of cash flow information for the years ended June 30, 2019 and 2018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1"/>
                <w:szCs w:val="11"/>
                <w:b w:val="1"/>
                <w:bCs w:val="1"/>
                <w:color w:val="auto"/>
              </w:rPr>
              <w:t>June 30,</w:t>
            </w:r>
          </w:p>
        </w:tc>
        <w:tc>
          <w:tcPr>
            <w:tcW w:w="1100" w:type="dxa"/>
            <w:vAlign w:val="bottom"/>
            <w:tcBorders>
              <w:bottom w:val="single" w:sz="8" w:color="auto"/>
            </w:tcBorders>
          </w:tcPr>
          <w:p>
            <w:pPr>
              <w:spacing w:after="0"/>
              <w:rPr>
                <w:sz w:val="13"/>
                <w:szCs w:val="13"/>
                <w:color w:val="auto"/>
              </w:rPr>
            </w:pPr>
          </w:p>
        </w:tc>
      </w:tr>
      <w:tr>
        <w:trPr>
          <w:trHeight w:val="206"/>
        </w:trPr>
        <w:tc>
          <w:tcPr>
            <w:tcW w:w="83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2018</w:t>
            </w:r>
          </w:p>
        </w:tc>
      </w:tr>
      <w:tr>
        <w:trPr>
          <w:trHeight w:val="19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taxes paid</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2,762,919</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1,826,754</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Non-cash transactions:</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8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accrued purchases of property and equipment</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(1,603,290)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1,695,218</w:t>
            </w:r>
          </w:p>
        </w:tc>
      </w:tr>
      <w:tr>
        <w:trPr>
          <w:trHeight w:val="193"/>
        </w:trPr>
        <w:tc>
          <w:tcPr>
            <w:tcW w:w="8360" w:type="dxa"/>
            <w:vAlign w:val="bottom"/>
          </w:tcPr>
          <w:p>
            <w:pPr>
              <w:ind w:left="140"/>
              <w:spacing w:after="0"/>
              <w:rPr>
                <w:sz w:val="20"/>
                <w:szCs w:val="20"/>
                <w:color w:val="auto"/>
              </w:rPr>
            </w:pPr>
            <w:r>
              <w:rPr>
                <w:rFonts w:ascii="Arial" w:cs="Arial" w:eastAsia="Arial" w:hAnsi="Arial"/>
                <w:sz w:val="14"/>
                <w:szCs w:val="14"/>
                <w:color w:val="auto"/>
              </w:rPr>
              <w:t>Oil and natural gas property costs attributable to the recognition of asset retirement obligations</w:t>
            </w:r>
          </w:p>
        </w:tc>
        <w:tc>
          <w:tcPr>
            <w:tcW w:w="380" w:type="dxa"/>
            <w:vAlign w:val="bottom"/>
          </w:tcPr>
          <w:p>
            <w:pPr>
              <w:spacing w:after="0"/>
              <w:rPr>
                <w:sz w:val="16"/>
                <w:szCs w:val="16"/>
                <w:color w:val="auto"/>
              </w:rPr>
            </w:pPr>
          </w:p>
        </w:tc>
        <w:tc>
          <w:tcPr>
            <w:tcW w:w="1120" w:type="dxa"/>
            <w:vAlign w:val="bottom"/>
          </w:tcPr>
          <w:p>
            <w:pPr>
              <w:jc w:val="right"/>
              <w:ind w:right="54"/>
              <w:spacing w:after="0"/>
              <w:rPr>
                <w:sz w:val="20"/>
                <w:szCs w:val="20"/>
                <w:color w:val="auto"/>
              </w:rPr>
            </w:pPr>
            <w:r>
              <w:rPr>
                <w:rFonts w:ascii="Arial" w:cs="Arial" w:eastAsia="Arial" w:hAnsi="Arial"/>
                <w:sz w:val="14"/>
                <w:szCs w:val="14"/>
                <w:color w:val="auto"/>
              </w:rPr>
              <w:t>86,384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43,922</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file a consolidated federal income tax return in the United States and various combined and separate filings in several state and local jurisdictions.</w:t>
      </w:r>
    </w:p>
    <w:p>
      <w:pPr>
        <w:spacing w:after="0" w:line="227" w:lineRule="exact"/>
        <w:rPr>
          <w:sz w:val="20"/>
          <w:szCs w:val="20"/>
          <w:color w:val="auto"/>
        </w:rPr>
      </w:pPr>
    </w:p>
    <w:p>
      <w:pPr>
        <w:ind w:firstLine="345"/>
        <w:spacing w:after="0" w:line="264" w:lineRule="auto"/>
        <w:rPr>
          <w:sz w:val="20"/>
          <w:szCs w:val="20"/>
          <w:color w:val="auto"/>
        </w:rPr>
      </w:pPr>
      <w:r>
        <w:rPr>
          <w:rFonts w:ascii="Arial" w:cs="Arial" w:eastAsia="Arial" w:hAnsi="Arial"/>
          <w:sz w:val="14"/>
          <w:szCs w:val="14"/>
          <w:color w:val="auto"/>
        </w:rPr>
        <w:t>There were no unrecognized tax benefits nor any accrued interest or penalties associated with unrecognized tax benefits during the years ended June 30, 2019 and 2018. We believe that we have appropriate support for the income tax positions taken and to be taken on the Company's tax returns and that the accruals for tax liabilities are adequate for all open years based on our assessment of many factors including past experience and interpretations of tax law applied to the facts of each matter. The Company’s federal and state income tax returns are open to audit under the statute of limitations for the years ended June 30, 2015 through June 30, 2018 for federal tax purposes and for the years ended June 30, 2016 through June 30, 2018 for state tax purposes. To the extent we utilize net operating losses generated in earlier years, such earlier years may also be subject to audit.</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components of our income tax provision (benefit)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2019</w:t>
            </w:r>
          </w:p>
        </w:tc>
        <w:tc>
          <w:tcPr>
            <w:tcW w:w="260" w:type="dxa"/>
            <w:vAlign w:val="bottom"/>
          </w:tcPr>
          <w:p>
            <w:pPr>
              <w:spacing w:after="0"/>
              <w:rPr>
                <w:sz w:val="13"/>
                <w:szCs w:val="13"/>
                <w:color w:val="auto"/>
              </w:rPr>
            </w:pPr>
          </w:p>
        </w:tc>
        <w:tc>
          <w:tcPr>
            <w:tcW w:w="1220" w:type="dxa"/>
            <w:vAlign w:val="bottom"/>
          </w:tcPr>
          <w:p>
            <w:pPr>
              <w:jc w:val="right"/>
              <w:ind w:right="330"/>
              <w:spacing w:after="0"/>
              <w:rPr>
                <w:sz w:val="20"/>
                <w:szCs w:val="20"/>
                <w:color w:val="auto"/>
              </w:rPr>
            </w:pPr>
            <w:r>
              <w:rPr>
                <w:rFonts w:ascii="Arial" w:cs="Arial" w:eastAsia="Arial" w:hAnsi="Arial"/>
                <w:sz w:val="11"/>
                <w:szCs w:val="11"/>
                <w:b w:val="1"/>
                <w:bCs w:val="1"/>
                <w:color w:val="auto"/>
              </w:rPr>
              <w:t>June 30, 2018</w:t>
            </w:r>
          </w:p>
        </w:tc>
        <w:tc>
          <w:tcPr>
            <w:tcW w:w="0" w:type="dxa"/>
            <w:vAlign w:val="bottom"/>
          </w:tcPr>
          <w:p>
            <w:pPr>
              <w:spacing w:after="0"/>
              <w:rPr>
                <w:sz w:val="1"/>
                <w:szCs w:val="1"/>
                <w:color w:val="auto"/>
              </w:rPr>
            </w:pPr>
          </w:p>
        </w:tc>
      </w:tr>
      <w:tr>
        <w:trPr>
          <w:trHeight w:val="191"/>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40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80" w:type="dxa"/>
            <w:vAlign w:val="bottom"/>
          </w:tcPr>
          <w:p>
            <w:pPr>
              <w:ind w:left="140"/>
              <w:spacing w:after="0"/>
              <w:rPr>
                <w:sz w:val="20"/>
                <w:szCs w:val="20"/>
                <w:color w:val="auto"/>
              </w:rPr>
            </w:pPr>
            <w:r>
              <w:rPr>
                <w:rFonts w:ascii="Arial" w:cs="Arial" w:eastAsia="Arial" w:hAnsi="Arial"/>
                <w:sz w:val="14"/>
                <w:szCs w:val="14"/>
                <w:color w:val="auto"/>
              </w:rPr>
              <w:t>Federal</w:t>
            </w:r>
          </w:p>
        </w:tc>
        <w:tc>
          <w:tcPr>
            <w:tcW w:w="4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2,343,512</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1,186,649</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State</w:t>
            </w:r>
          </w:p>
        </w:tc>
        <w:tc>
          <w:tcPr>
            <w:tcW w:w="4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371,593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652,238</w:t>
            </w:r>
          </w:p>
        </w:tc>
        <w:tc>
          <w:tcPr>
            <w:tcW w:w="0" w:type="dxa"/>
            <w:vAlign w:val="bottom"/>
          </w:tcPr>
          <w:p>
            <w:pPr>
              <w:spacing w:after="0"/>
              <w:rPr>
                <w:sz w:val="1"/>
                <w:szCs w:val="1"/>
                <w:color w:val="auto"/>
              </w:rPr>
            </w:pPr>
          </w:p>
        </w:tc>
      </w:tr>
      <w:tr>
        <w:trPr>
          <w:trHeight w:val="184"/>
        </w:trPr>
        <w:tc>
          <w:tcPr>
            <w:tcW w:w="4280" w:type="dxa"/>
            <w:vAlign w:val="bottom"/>
          </w:tcPr>
          <w:p>
            <w:pPr>
              <w:ind w:left="300"/>
              <w:spacing w:after="0"/>
              <w:rPr>
                <w:sz w:val="20"/>
                <w:szCs w:val="20"/>
                <w:color w:val="auto"/>
              </w:rPr>
            </w:pPr>
            <w:r>
              <w:rPr>
                <w:rFonts w:ascii="Arial" w:cs="Arial" w:eastAsia="Arial" w:hAnsi="Arial"/>
                <w:sz w:val="14"/>
                <w:szCs w:val="14"/>
                <w:color w:val="auto"/>
              </w:rPr>
              <w:t>Total current income tax provision</w:t>
            </w:r>
          </w:p>
        </w:tc>
        <w:tc>
          <w:tcPr>
            <w:tcW w:w="40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2,715,105</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1,838,887</w:t>
            </w:r>
          </w:p>
        </w:tc>
        <w:tc>
          <w:tcPr>
            <w:tcW w:w="0" w:type="dxa"/>
            <w:vAlign w:val="bottom"/>
          </w:tcPr>
          <w:p>
            <w:pPr>
              <w:spacing w:after="0"/>
              <w:rPr>
                <w:sz w:val="1"/>
                <w:szCs w:val="1"/>
                <w:color w:val="auto"/>
              </w:rPr>
            </w:pPr>
          </w:p>
        </w:tc>
      </w:tr>
      <w:tr>
        <w:trPr>
          <w:trHeight w:val="23"/>
        </w:trPr>
        <w:tc>
          <w:tcPr>
            <w:tcW w:w="428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w:t>
            </w:r>
          </w:p>
        </w:tc>
        <w:tc>
          <w:tcPr>
            <w:tcW w:w="40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80" w:type="dxa"/>
            <w:vAlign w:val="bottom"/>
          </w:tcPr>
          <w:p>
            <w:pPr>
              <w:ind w:left="140"/>
              <w:spacing w:after="0"/>
              <w:rPr>
                <w:sz w:val="20"/>
                <w:szCs w:val="20"/>
                <w:color w:val="auto"/>
              </w:rPr>
            </w:pPr>
            <w:r>
              <w:rPr>
                <w:rFonts w:ascii="Arial" w:cs="Arial" w:eastAsia="Arial" w:hAnsi="Arial"/>
                <w:sz w:val="14"/>
                <w:szCs w:val="14"/>
                <w:color w:val="auto"/>
              </w:rPr>
              <w:t>Federal</w:t>
            </w:r>
          </w:p>
        </w:tc>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387,541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(5,498,890)</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State</w:t>
            </w:r>
          </w:p>
        </w:tc>
        <w:tc>
          <w:tcPr>
            <w:tcW w:w="4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379,715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228,034</w:t>
            </w:r>
          </w:p>
        </w:tc>
        <w:tc>
          <w:tcPr>
            <w:tcW w:w="0" w:type="dxa"/>
            <w:vAlign w:val="bottom"/>
          </w:tcPr>
          <w:p>
            <w:pPr>
              <w:spacing w:after="0"/>
              <w:rPr>
                <w:sz w:val="1"/>
                <w:szCs w:val="1"/>
                <w:color w:val="auto"/>
              </w:rPr>
            </w:pPr>
          </w:p>
        </w:tc>
      </w:tr>
      <w:tr>
        <w:trPr>
          <w:trHeight w:val="184"/>
        </w:trPr>
        <w:tc>
          <w:tcPr>
            <w:tcW w:w="4280" w:type="dxa"/>
            <w:vAlign w:val="bottom"/>
          </w:tcPr>
          <w:p>
            <w:pPr>
              <w:ind w:left="300"/>
              <w:spacing w:after="0"/>
              <w:rPr>
                <w:sz w:val="20"/>
                <w:szCs w:val="20"/>
                <w:color w:val="auto"/>
              </w:rPr>
            </w:pPr>
            <w:r>
              <w:rPr>
                <w:rFonts w:ascii="Arial" w:cs="Arial" w:eastAsia="Arial" w:hAnsi="Arial"/>
                <w:sz w:val="14"/>
                <w:szCs w:val="14"/>
                <w:color w:val="auto"/>
              </w:rPr>
              <w:t>Total deferred income tax provision (benefit)</w:t>
            </w:r>
          </w:p>
        </w:tc>
        <w:tc>
          <w:tcPr>
            <w:tcW w:w="40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767,256</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(5,270,856)</w:t>
            </w:r>
          </w:p>
        </w:tc>
        <w:tc>
          <w:tcPr>
            <w:tcW w:w="0" w:type="dxa"/>
            <w:vAlign w:val="bottom"/>
          </w:tcPr>
          <w:p>
            <w:pPr>
              <w:spacing w:after="0"/>
              <w:rPr>
                <w:sz w:val="1"/>
                <w:szCs w:val="1"/>
                <w:color w:val="auto"/>
              </w:rPr>
            </w:pPr>
          </w:p>
        </w:tc>
      </w:tr>
      <w:tr>
        <w:trPr>
          <w:trHeight w:val="23"/>
        </w:trPr>
        <w:tc>
          <w:tcPr>
            <w:tcW w:w="428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4280" w:type="dxa"/>
            <w:vAlign w:val="bottom"/>
            <w:tcBorders>
              <w:bottom w:val="single" w:sz="8" w:color="CCEEFF"/>
            </w:tcBorders>
            <w:shd w:val="clear" w:color="auto" w:fill="CCEEFF"/>
          </w:tcPr>
          <w:p>
            <w:pPr>
              <w:spacing w:after="0"/>
              <w:rPr>
                <w:sz w:val="17"/>
                <w:szCs w:val="17"/>
                <w:color w:val="auto"/>
              </w:rPr>
            </w:pPr>
          </w:p>
        </w:tc>
        <w:tc>
          <w:tcPr>
            <w:tcW w:w="4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3,482,361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(3,431,969)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488"/>
              <w:spacing w:after="0"/>
              <w:rPr>
                <w:sz w:val="20"/>
                <w:szCs w:val="20"/>
                <w:color w:val="auto"/>
              </w:rPr>
            </w:pPr>
            <w:r>
              <w:rPr>
                <w:rFonts w:ascii="Arial" w:cs="Arial" w:eastAsia="Arial" w:hAnsi="Arial"/>
                <w:sz w:val="14"/>
                <w:szCs w:val="14"/>
                <w:color w:val="auto"/>
              </w:rPr>
              <w:t>53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2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40" w:right="219" w:bottom="1440" w:gutter="0" w:footer="0" w:header="0"/>
        </w:sectPr>
      </w:pPr>
    </w:p>
    <w:bookmarkStart w:id="59" w:name="page60"/>
    <w:bookmarkEnd w:id="59"/>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20" w:firstLine="388"/>
        <w:spacing w:after="0" w:line="262" w:lineRule="auto"/>
        <w:rPr>
          <w:sz w:val="20"/>
          <w:szCs w:val="20"/>
          <w:color w:val="auto"/>
        </w:rPr>
      </w:pPr>
      <w:r>
        <w:rPr>
          <w:rFonts w:ascii="Arial" w:cs="Arial" w:eastAsia="Arial" w:hAnsi="Arial"/>
          <w:sz w:val="14"/>
          <w:szCs w:val="14"/>
          <w:color w:val="auto"/>
        </w:rPr>
        <w:t>For the years ended June 30, 2019 and 2018, respectively, we recognized income tax expense of $3.5 million and an income tax benefit of $(3.4) million reflecting corresponding effective tax rates of 18.5% and (21.2)%. The fiscal 2018 benefit included a one-time $(6.1) million tax benefit, resulting from adjustments of our deferred income tax liabilities in fiscal 2018 due to the enactment of the Tax Cut and Jobs Act (the "Tax Act") during December of 2017. Our effective tax rate will typically differ from the statutory federal rate as a result of state income taxes, primarily in the State of Louisiana, and differences related to percentage depletion in excess of basis, stock-based compensation and other permanent differences. For the years ended June 30, 2019 and 2018, our respective statutory federal tax rates were 21% and 27.55%, as we used a blended rate in the prior fiscal year when the Tax Act was enacted. Depletion in excess of basis had less of an impact on our effective rate in the current year as we utilized all of our depletion carryover in fiscal 2018. The following table presents the reconciliation of our income taxes calculated at the statutory federal tax rate to the income tax provision (benefit) in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 of Income</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8"/>
              </w:rPr>
              <w:t>% of Income</w:t>
            </w:r>
          </w:p>
        </w:tc>
        <w:tc>
          <w:tcPr>
            <w:tcW w:w="0" w:type="dxa"/>
            <w:vAlign w:val="bottom"/>
          </w:tcPr>
          <w:p>
            <w:pPr>
              <w:spacing w:after="0"/>
              <w:rPr>
                <w:sz w:val="1"/>
                <w:szCs w:val="1"/>
                <w:color w:val="auto"/>
              </w:rPr>
            </w:pPr>
          </w:p>
        </w:tc>
      </w:tr>
      <w:tr>
        <w:trPr>
          <w:trHeight w:val="119"/>
        </w:trPr>
        <w:tc>
          <w:tcPr>
            <w:tcW w:w="6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June 30, 2019</w:t>
            </w:r>
          </w:p>
        </w:tc>
        <w:tc>
          <w:tcPr>
            <w:tcW w:w="10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1"/>
              </w:rPr>
              <w:t>Before Income</w:t>
            </w:r>
          </w:p>
        </w:tc>
        <w:tc>
          <w:tcPr>
            <w:tcW w:w="20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June 30, 2018</w:t>
            </w:r>
          </w:p>
        </w:tc>
        <w:tc>
          <w:tcPr>
            <w:tcW w:w="9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Before Income</w:t>
            </w:r>
          </w:p>
        </w:tc>
        <w:tc>
          <w:tcPr>
            <w:tcW w:w="0" w:type="dxa"/>
            <w:vAlign w:val="bottom"/>
          </w:tcPr>
          <w:p>
            <w:pPr>
              <w:spacing w:after="0"/>
              <w:rPr>
                <w:sz w:val="1"/>
                <w:szCs w:val="1"/>
                <w:color w:val="auto"/>
              </w:rPr>
            </w:pPr>
          </w:p>
        </w:tc>
      </w:tr>
      <w:tr>
        <w:trPr>
          <w:trHeight w:val="153"/>
        </w:trPr>
        <w:tc>
          <w:tcPr>
            <w:tcW w:w="6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Taxes</w:t>
            </w: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89"/>
              </w:rPr>
              <w:t>Taxes</w:t>
            </w:r>
          </w:p>
        </w:tc>
        <w:tc>
          <w:tcPr>
            <w:tcW w:w="0" w:type="dxa"/>
            <w:vAlign w:val="bottom"/>
          </w:tcPr>
          <w:p>
            <w:pPr>
              <w:spacing w:after="0"/>
              <w:rPr>
                <w:sz w:val="1"/>
                <w:szCs w:val="1"/>
                <w:color w:val="auto"/>
              </w:rPr>
            </w:pPr>
          </w:p>
        </w:tc>
      </w:tr>
      <w:tr>
        <w:trPr>
          <w:trHeight w:val="180"/>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tax provision (benefit) computed at the statutory federal rate:</w:t>
            </w:r>
          </w:p>
        </w:tc>
        <w:tc>
          <w:tcPr>
            <w:tcW w:w="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3,960,480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4,459,940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27.6 %</w:t>
            </w:r>
          </w:p>
        </w:tc>
        <w:tc>
          <w:tcPr>
            <w:tcW w:w="0" w:type="dxa"/>
            <w:vAlign w:val="bottom"/>
          </w:tcPr>
          <w:p>
            <w:pPr>
              <w:spacing w:after="0"/>
              <w:rPr>
                <w:sz w:val="1"/>
                <w:szCs w:val="1"/>
                <w:color w:val="auto"/>
              </w:rPr>
            </w:pPr>
          </w:p>
        </w:tc>
      </w:tr>
      <w:tr>
        <w:trPr>
          <w:trHeight w:val="189"/>
        </w:trPr>
        <w:tc>
          <w:tcPr>
            <w:tcW w:w="6720" w:type="dxa"/>
            <w:vAlign w:val="bottom"/>
          </w:tcPr>
          <w:p>
            <w:pPr>
              <w:ind w:left="20"/>
              <w:spacing w:after="0"/>
              <w:rPr>
                <w:sz w:val="20"/>
                <w:szCs w:val="20"/>
                <w:color w:val="auto"/>
              </w:rPr>
            </w:pPr>
            <w:r>
              <w:rPr>
                <w:rFonts w:ascii="Arial" w:cs="Arial" w:eastAsia="Arial" w:hAnsi="Arial"/>
                <w:sz w:val="13"/>
                <w:szCs w:val="13"/>
                <w:color w:val="auto"/>
              </w:rPr>
              <w:t>Reconciling items: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Adjustment of deferred income liability for the Tax Act's lower statutory federal tax rate</w:t>
            </w: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3"/>
                <w:szCs w:val="13"/>
                <w:color w:val="auto"/>
              </w:rPr>
              <w:t>— %</w:t>
            </w: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(5,949,389)</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89"/>
        </w:trPr>
        <w:tc>
          <w:tcPr>
            <w:tcW w:w="6720" w:type="dxa"/>
            <w:vAlign w:val="bottom"/>
          </w:tcPr>
          <w:p>
            <w:pPr>
              <w:ind w:left="140"/>
              <w:spacing w:after="0"/>
              <w:rPr>
                <w:sz w:val="20"/>
                <w:szCs w:val="20"/>
                <w:color w:val="auto"/>
              </w:rPr>
            </w:pPr>
            <w:r>
              <w:rPr>
                <w:rFonts w:ascii="Arial" w:cs="Arial" w:eastAsia="Arial" w:hAnsi="Arial"/>
                <w:sz w:val="13"/>
                <w:szCs w:val="13"/>
                <w:color w:val="auto"/>
              </w:rPr>
              <w:t>Change in valuation allowance due to enactment of the Tax Act</w:t>
            </w: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680"/>
              <w:spacing w:after="0"/>
              <w:rPr>
                <w:sz w:val="20"/>
                <w:szCs w:val="20"/>
                <w:color w:val="auto"/>
              </w:rPr>
            </w:pPr>
            <w:r>
              <w:rPr>
                <w:rFonts w:ascii="Arial" w:cs="Arial" w:eastAsia="Arial" w:hAnsi="Arial"/>
                <w:sz w:val="13"/>
                <w:szCs w:val="13"/>
                <w:color w:val="auto"/>
              </w:rPr>
              <w:t>— %</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(111,818)</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Expiration of Section 382 tax loss carryforwards</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127,410</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0.70 %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9"/>
        </w:trPr>
        <w:tc>
          <w:tcPr>
            <w:tcW w:w="6720" w:type="dxa"/>
            <w:vAlign w:val="bottom"/>
          </w:tcPr>
          <w:p>
            <w:pPr>
              <w:ind w:left="140"/>
              <w:spacing w:after="0"/>
              <w:rPr>
                <w:sz w:val="20"/>
                <w:szCs w:val="20"/>
                <w:color w:val="auto"/>
              </w:rPr>
            </w:pPr>
            <w:r>
              <w:rPr>
                <w:rFonts w:ascii="Arial" w:cs="Arial" w:eastAsia="Arial" w:hAnsi="Arial"/>
                <w:sz w:val="13"/>
                <w:szCs w:val="13"/>
                <w:color w:val="auto"/>
              </w:rPr>
              <w:t>Change in valuation allowance for Section 382 tax loss carryforwards</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(127,410)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Depletion in excess of tax basis</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(982,302)</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(2,433,530)</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89"/>
        </w:trPr>
        <w:tc>
          <w:tcPr>
            <w:tcW w:w="6720" w:type="dxa"/>
            <w:vAlign w:val="bottom"/>
          </w:tcPr>
          <w:p>
            <w:pPr>
              <w:ind w:left="140"/>
              <w:spacing w:after="0"/>
              <w:rPr>
                <w:sz w:val="20"/>
                <w:szCs w:val="20"/>
                <w:color w:val="auto"/>
              </w:rPr>
            </w:pPr>
            <w:r>
              <w:rPr>
                <w:rFonts w:ascii="Arial" w:cs="Arial" w:eastAsia="Arial" w:hAnsi="Arial"/>
                <w:sz w:val="13"/>
                <w:szCs w:val="13"/>
                <w:color w:val="auto"/>
              </w:rPr>
              <w:t>State income taxes, net of federal tax benefit</w:t>
            </w:r>
          </w:p>
        </w:tc>
        <w:tc>
          <w:tcPr>
            <w:tcW w:w="18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593,533</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718,337</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4.4 %</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Permanent differences related to stock-based compensation</w:t>
            </w:r>
          </w:p>
        </w:tc>
        <w:tc>
          <w:tcPr>
            <w:tcW w:w="1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(73,671)</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(139,333)</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89"/>
        </w:trPr>
        <w:tc>
          <w:tcPr>
            <w:tcW w:w="6720" w:type="dxa"/>
            <w:vAlign w:val="bottom"/>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(15,679)</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23,824</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0.1 %</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Income tax provision (benefit)</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3,482,361</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18.5 %</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(3,431,969)</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60"/>
          </w:cols>
          <w:pgMar w:left="220" w:top="340" w:right="219" w:bottom="1440" w:gutter="0" w:footer="0" w:header="0"/>
        </w:sectPr>
      </w:pPr>
    </w:p>
    <w:bookmarkStart w:id="60" w:name="page61"/>
    <w:bookmarkEnd w:id="60"/>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20" w:firstLine="323"/>
        <w:spacing w:after="0" w:line="288" w:lineRule="auto"/>
        <w:rPr>
          <w:sz w:val="20"/>
          <w:szCs w:val="20"/>
          <w:color w:val="auto"/>
        </w:rPr>
      </w:pPr>
      <w:r>
        <w:rPr>
          <w:rFonts w:ascii="Arial" w:cs="Arial" w:eastAsia="Arial" w:hAnsi="Arial"/>
          <w:sz w:val="14"/>
          <w:szCs w:val="14"/>
          <w:color w:val="auto"/>
        </w:rPr>
        <w:t>Deferred income taxes primarily represent the net tax effect of temporary differences between the carrying amounts of assets and liabilities for financial reporting purposes and the amounts used for income tax purposes.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Asset (Liability)</w:t>
            </w:r>
          </w:p>
        </w:tc>
        <w:tc>
          <w:tcPr>
            <w:tcW w:w="1100" w:type="dxa"/>
            <w:vAlign w:val="bottom"/>
            <w:tcBorders>
              <w:bottom w:val="single" w:sz="8" w:color="auto"/>
            </w:tcBorders>
          </w:tcPr>
          <w:p>
            <w:pPr>
              <w:spacing w:after="0"/>
              <w:rPr>
                <w:sz w:val="13"/>
                <w:szCs w:val="13"/>
                <w:color w:val="auto"/>
              </w:rPr>
            </w:pPr>
          </w:p>
        </w:tc>
      </w:tr>
      <w:tr>
        <w:trPr>
          <w:trHeight w:val="206"/>
        </w:trPr>
        <w:tc>
          <w:tcPr>
            <w:tcW w:w="8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2019</w:t>
            </w:r>
          </w:p>
        </w:tc>
        <w:tc>
          <w:tcPr>
            <w:tcW w:w="380" w:type="dxa"/>
            <w:vAlign w:val="bottom"/>
          </w:tcPr>
          <w:p>
            <w:pPr>
              <w:spacing w:after="0"/>
              <w:rPr>
                <w:sz w:val="17"/>
                <w:szCs w:val="17"/>
                <w:color w:val="auto"/>
              </w:rPr>
            </w:pPr>
          </w:p>
        </w:tc>
        <w:tc>
          <w:tcPr>
            <w:tcW w:w="1100" w:type="dxa"/>
            <w:vAlign w:val="bottom"/>
          </w:tcPr>
          <w:p>
            <w:pPr>
              <w:jc w:val="right"/>
              <w:ind w:right="333"/>
              <w:spacing w:after="0"/>
              <w:rPr>
                <w:sz w:val="20"/>
                <w:szCs w:val="20"/>
                <w:color w:val="auto"/>
              </w:rPr>
            </w:pPr>
            <w:r>
              <w:rPr>
                <w:rFonts w:ascii="Arial" w:cs="Arial" w:eastAsia="Arial" w:hAnsi="Arial"/>
                <w:sz w:val="11"/>
                <w:szCs w:val="11"/>
                <w:b w:val="1"/>
                <w:bCs w:val="1"/>
                <w:color w:val="auto"/>
                <w:w w:val="94"/>
              </w:rPr>
              <w:t>June 30, 2018</w:t>
            </w:r>
          </w:p>
        </w:tc>
      </w:tr>
      <w:tr>
        <w:trPr>
          <w:trHeight w:val="191"/>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91"/>
        </w:trPr>
        <w:tc>
          <w:tcPr>
            <w:tcW w:w="8360" w:type="dxa"/>
            <w:vAlign w:val="bottom"/>
          </w:tcPr>
          <w:p>
            <w:pPr>
              <w:ind w:left="140"/>
              <w:spacing w:after="0"/>
              <w:rPr>
                <w:sz w:val="20"/>
                <w:szCs w:val="20"/>
                <w:color w:val="auto"/>
              </w:rPr>
            </w:pPr>
            <w:r>
              <w:rPr>
                <w:rFonts w:ascii="Arial" w:cs="Arial" w:eastAsia="Arial" w:hAnsi="Arial"/>
                <w:sz w:val="14"/>
                <w:szCs w:val="14"/>
                <w:color w:val="auto"/>
              </w:rPr>
              <w:t>Non-qualified stock-based compensation</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54"/>
              <w:spacing w:after="0"/>
              <w:rPr>
                <w:sz w:val="20"/>
                <w:szCs w:val="20"/>
                <w:color w:val="auto"/>
              </w:rPr>
            </w:pPr>
            <w:r>
              <w:rPr>
                <w:rFonts w:ascii="Arial" w:cs="Arial" w:eastAsia="Arial" w:hAnsi="Arial"/>
                <w:sz w:val="14"/>
                <w:szCs w:val="14"/>
                <w:color w:val="auto"/>
              </w:rPr>
              <w:t>159,090</w:t>
            </w:r>
          </w:p>
        </w:tc>
        <w:tc>
          <w:tcPr>
            <w:tcW w:w="120" w:type="dxa"/>
            <w:vAlign w:val="bottom"/>
          </w:tcPr>
          <w:p>
            <w:pPr>
              <w:spacing w:after="0"/>
              <w:rPr>
                <w:sz w:val="16"/>
                <w:szCs w:val="16"/>
                <w:color w:val="auto"/>
              </w:rPr>
            </w:pPr>
          </w:p>
        </w:tc>
        <w:tc>
          <w:tcPr>
            <w:tcW w:w="38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144,956</w:t>
            </w:r>
          </w:p>
        </w:tc>
      </w:tr>
      <w:tr>
        <w:trPr>
          <w:trHeight w:val="25"/>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1"/>
        </w:trPr>
        <w:tc>
          <w:tcPr>
            <w:tcW w:w="8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operating loss carry-forwards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496,082</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680,186</w:t>
            </w:r>
          </w:p>
        </w:tc>
      </w:tr>
      <w:tr>
        <w:trPr>
          <w:trHeight w:val="240"/>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20,713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24,207</w:t>
            </w:r>
          </w:p>
        </w:tc>
      </w:tr>
      <w:tr>
        <w:trPr>
          <w:trHeight w:val="171"/>
        </w:trPr>
        <w:tc>
          <w:tcPr>
            <w:tcW w:w="8360" w:type="dxa"/>
            <w:vAlign w:val="bottom"/>
          </w:tcPr>
          <w:p>
            <w:pPr>
              <w:ind w:left="300"/>
              <w:spacing w:after="0"/>
              <w:rPr>
                <w:sz w:val="20"/>
                <w:szCs w:val="20"/>
                <w:color w:val="auto"/>
              </w:rPr>
            </w:pPr>
            <w:r>
              <w:rPr>
                <w:rFonts w:ascii="Arial" w:cs="Arial" w:eastAsia="Arial" w:hAnsi="Arial"/>
                <w:sz w:val="14"/>
                <w:szCs w:val="14"/>
                <w:i w:val="1"/>
                <w:iCs w:val="1"/>
                <w:color w:val="auto"/>
              </w:rPr>
              <w:t>Gross deferred tax assets</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675,885</w:t>
            </w: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849,349</w:t>
            </w:r>
          </w:p>
        </w:tc>
      </w:tr>
      <w:tr>
        <w:trPr>
          <w:trHeight w:val="25"/>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Valuation allowance</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(53,218)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(180,628)</w:t>
            </w:r>
          </w:p>
        </w:tc>
      </w:tr>
      <w:tr>
        <w:trPr>
          <w:trHeight w:val="171"/>
        </w:trPr>
        <w:tc>
          <w:tcPr>
            <w:tcW w:w="8360" w:type="dxa"/>
            <w:vAlign w:val="bottom"/>
          </w:tcPr>
          <w:p>
            <w:pPr>
              <w:ind w:left="300"/>
              <w:spacing w:after="0"/>
              <w:rPr>
                <w:sz w:val="20"/>
                <w:szCs w:val="20"/>
                <w:color w:val="auto"/>
              </w:rPr>
            </w:pPr>
            <w:r>
              <w:rPr>
                <w:rFonts w:ascii="Arial" w:cs="Arial" w:eastAsia="Arial" w:hAnsi="Arial"/>
                <w:sz w:val="14"/>
                <w:szCs w:val="14"/>
                <w:i w:val="1"/>
                <w:iCs w:val="1"/>
                <w:color w:val="auto"/>
              </w:rPr>
              <w:t>Total deferred tax assets</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622,667</w:t>
            </w: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668,721</w:t>
            </w:r>
          </w:p>
        </w:tc>
      </w:tr>
      <w:tr>
        <w:trPr>
          <w:trHeight w:val="25"/>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liability:</w:t>
            </w: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1"/>
        </w:trPr>
        <w:tc>
          <w:tcPr>
            <w:tcW w:w="8360" w:type="dxa"/>
            <w:vAlign w:val="bottom"/>
          </w:tcPr>
          <w:p>
            <w:pPr>
              <w:ind w:left="140"/>
              <w:spacing w:after="0"/>
              <w:rPr>
                <w:sz w:val="20"/>
                <w:szCs w:val="20"/>
                <w:color w:val="auto"/>
              </w:rPr>
            </w:pPr>
            <w:r>
              <w:rPr>
                <w:rFonts w:ascii="Arial" w:cs="Arial" w:eastAsia="Arial" w:hAnsi="Arial"/>
                <w:sz w:val="14"/>
                <w:szCs w:val="14"/>
                <w:color w:val="auto"/>
              </w:rPr>
              <w:t>Oil and natural gas properties</w:t>
            </w: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(11,945,358)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(11,224,156)</w:t>
            </w:r>
          </w:p>
        </w:tc>
      </w:tr>
      <w:tr>
        <w:trPr>
          <w:trHeight w:val="25"/>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i w:val="1"/>
                <w:iCs w:val="1"/>
                <w:color w:val="auto"/>
              </w:rPr>
              <w:t>Total deferred tax liability</w:t>
            </w: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(11,945,358)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(11,224,156)</w:t>
            </w: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Net deferred tax liability</w:t>
            </w:r>
          </w:p>
        </w:tc>
        <w:tc>
          <w:tcPr>
            <w:tcW w:w="2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(11,322,691)</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(10,555,435)</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40" w:firstLine="323"/>
        <w:spacing w:after="0" w:line="302" w:lineRule="auto"/>
        <w:rPr>
          <w:sz w:val="20"/>
          <w:szCs w:val="20"/>
          <w:color w:val="auto"/>
        </w:rPr>
      </w:pPr>
      <w:r>
        <w:rPr>
          <w:rFonts w:ascii="Arial" w:cs="Arial" w:eastAsia="Arial" w:hAnsi="Arial"/>
          <w:sz w:val="13"/>
          <w:szCs w:val="13"/>
          <w:color w:val="auto"/>
        </w:rPr>
        <w:t>As of June 30, 2019, we had a federal tax loss carryforward of approximately $0.6 million that we acquired through the reverse merger in May 2004. The majority of the tax loss carryforwards from the reverse merger expired without being utilized. We will be able to utilize a maximum of $0.2 million of these carryforwards in equal annual amounts of $39,648 through 2023 and the balance is not able to be utilized based on the provisions of IRC Section 382. We have recorded a valuation allowance for the portion of our net operating loss that is limited by IRC Section 382.</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Net Income Per Share</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the computation of basic and diluted net income per share: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1"/>
                <w:szCs w:val="11"/>
                <w:b w:val="1"/>
                <w:bCs w:val="1"/>
                <w:color w:val="auto"/>
              </w:rPr>
              <w:t>June 30,</w:t>
            </w:r>
          </w:p>
        </w:tc>
        <w:tc>
          <w:tcPr>
            <w:tcW w:w="1100" w:type="dxa"/>
            <w:vAlign w:val="bottom"/>
            <w:tcBorders>
              <w:bottom w:val="single" w:sz="8" w:color="auto"/>
            </w:tcBorders>
          </w:tcPr>
          <w:p>
            <w:pPr>
              <w:spacing w:after="0"/>
              <w:rPr>
                <w:sz w:val="13"/>
                <w:szCs w:val="13"/>
                <w:color w:val="auto"/>
              </w:rPr>
            </w:pPr>
          </w:p>
        </w:tc>
      </w:tr>
      <w:tr>
        <w:trPr>
          <w:trHeight w:val="206"/>
        </w:trPr>
        <w:tc>
          <w:tcPr>
            <w:tcW w:w="83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2018</w:t>
            </w:r>
          </w:p>
        </w:tc>
      </w:tr>
      <w:tr>
        <w:trPr>
          <w:trHeight w:val="19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Numerator</w:t>
            </w:r>
          </w:p>
        </w:tc>
        <w:tc>
          <w:tcPr>
            <w:tcW w:w="3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5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attributable to common shareholders</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15,377,066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19,618,484</w:t>
            </w:r>
          </w:p>
        </w:tc>
      </w:tr>
      <w:tr>
        <w:trPr>
          <w:trHeight w:val="174"/>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Denominator</w:t>
            </w:r>
          </w:p>
        </w:tc>
        <w:tc>
          <w:tcPr>
            <w:tcW w:w="3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25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 Basic</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33,160,283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33,126,469</w:t>
            </w:r>
          </w:p>
        </w:tc>
      </w:tr>
      <w:tr>
        <w:trPr>
          <w:trHeight w:val="174"/>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dilutive securities:</w:t>
            </w:r>
          </w:p>
        </w:tc>
        <w:tc>
          <w:tcPr>
            <w:tcW w:w="3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3"/>
        </w:trPr>
        <w:tc>
          <w:tcPr>
            <w:tcW w:w="8360" w:type="dxa"/>
            <w:vAlign w:val="bottom"/>
          </w:tcPr>
          <w:p>
            <w:pPr>
              <w:ind w:left="140"/>
              <w:spacing w:after="0"/>
              <w:rPr>
                <w:sz w:val="20"/>
                <w:szCs w:val="20"/>
                <w:color w:val="auto"/>
              </w:rPr>
            </w:pPr>
            <w:r>
              <w:rPr>
                <w:rFonts w:ascii="Arial" w:cs="Arial" w:eastAsia="Arial" w:hAnsi="Arial"/>
                <w:sz w:val="14"/>
                <w:szCs w:val="14"/>
                <w:color w:val="auto"/>
              </w:rPr>
              <w:t>Contingent restricted stock grants</w:t>
            </w:r>
          </w:p>
        </w:tc>
        <w:tc>
          <w:tcPr>
            <w:tcW w:w="38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9,435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52,066</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and dilutive potential common shares used in diluted EPS</w:t>
            </w: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33,169,718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33,178,535</w:t>
            </w:r>
          </w:p>
        </w:tc>
      </w:tr>
      <w:tr>
        <w:trPr>
          <w:trHeight w:val="20"/>
        </w:trPr>
        <w:tc>
          <w:tcPr>
            <w:tcW w:w="8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1"/>
        </w:trPr>
        <w:tc>
          <w:tcPr>
            <w:tcW w:w="8360" w:type="dxa"/>
            <w:vAlign w:val="bottom"/>
          </w:tcPr>
          <w:p>
            <w:pPr>
              <w:ind w:left="20"/>
              <w:spacing w:after="0"/>
              <w:rPr>
                <w:sz w:val="20"/>
                <w:szCs w:val="20"/>
                <w:color w:val="auto"/>
              </w:rPr>
            </w:pPr>
            <w:r>
              <w:rPr>
                <w:rFonts w:ascii="Arial" w:cs="Arial" w:eastAsia="Arial" w:hAnsi="Arial"/>
                <w:sz w:val="14"/>
                <w:szCs w:val="14"/>
                <w:color w:val="auto"/>
              </w:rPr>
              <w:t>Net income per common share – Basic</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0.46</w:t>
            </w:r>
          </w:p>
        </w:tc>
        <w:tc>
          <w:tcPr>
            <w:tcW w:w="120" w:type="dxa"/>
            <w:vAlign w:val="bottom"/>
          </w:tcPr>
          <w:p>
            <w:pPr>
              <w:spacing w:after="0"/>
              <w:rPr>
                <w:sz w:val="14"/>
                <w:szCs w:val="1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0.59</w:t>
            </w:r>
          </w:p>
        </w:tc>
      </w:tr>
      <w:tr>
        <w:trPr>
          <w:trHeight w:val="23"/>
        </w:trPr>
        <w:tc>
          <w:tcPr>
            <w:tcW w:w="8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common share – Diluted</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0.46</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0.59</w:t>
            </w:r>
          </w:p>
        </w:tc>
      </w:tr>
      <w:tr>
        <w:trPr>
          <w:trHeight w:val="23"/>
        </w:trPr>
        <w:tc>
          <w:tcPr>
            <w:tcW w:w="83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were reflected in the calculation of diluted earnings per share in their respective fiscal years: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Weighted</w:t>
            </w:r>
          </w:p>
        </w:tc>
        <w:tc>
          <w:tcPr>
            <w:tcW w:w="1360" w:type="dxa"/>
            <w:vAlign w:val="bottom"/>
            <w:gridSpan w:val="2"/>
            <w:vMerge w:val="restart"/>
          </w:tcPr>
          <w:p>
            <w:pPr>
              <w:jc w:val="center"/>
              <w:ind w:right="20"/>
              <w:spacing w:after="0"/>
              <w:rPr>
                <w:sz w:val="20"/>
                <w:szCs w:val="20"/>
                <w:color w:val="auto"/>
              </w:rPr>
            </w:pPr>
            <w:r>
              <w:rPr>
                <w:rFonts w:ascii="Arial" w:cs="Arial" w:eastAsia="Arial" w:hAnsi="Arial"/>
                <w:sz w:val="11"/>
                <w:szCs w:val="11"/>
                <w:b w:val="1"/>
                <w:bCs w:val="1"/>
                <w:color w:val="auto"/>
                <w:w w:val="95"/>
              </w:rPr>
              <w:t>Outstanding at</w:t>
            </w:r>
          </w:p>
        </w:tc>
        <w:tc>
          <w:tcPr>
            <w:tcW w:w="0" w:type="dxa"/>
            <w:vAlign w:val="bottom"/>
          </w:tcPr>
          <w:p>
            <w:pPr>
              <w:spacing w:after="0"/>
              <w:rPr>
                <w:sz w:val="1"/>
                <w:szCs w:val="1"/>
                <w:color w:val="auto"/>
              </w:rPr>
            </w:pPr>
          </w:p>
        </w:tc>
      </w:tr>
      <w:tr>
        <w:trPr>
          <w:trHeight w:val="119"/>
        </w:trPr>
        <w:tc>
          <w:tcPr>
            <w:tcW w:w="3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Outstanding Potential Dilutive Securities</w:t>
            </w:r>
          </w:p>
        </w:tc>
        <w:tc>
          <w:tcPr>
            <w:tcW w:w="4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220"/>
              <w:spacing w:after="0" w:line="119" w:lineRule="exact"/>
              <w:rPr>
                <w:sz w:val="20"/>
                <w:szCs w:val="20"/>
                <w:color w:val="auto"/>
              </w:rPr>
            </w:pPr>
            <w:r>
              <w:rPr>
                <w:rFonts w:ascii="Arial" w:cs="Arial" w:eastAsia="Arial" w:hAnsi="Arial"/>
                <w:sz w:val="11"/>
                <w:szCs w:val="11"/>
                <w:b w:val="1"/>
                <w:bCs w:val="1"/>
                <w:color w:val="auto"/>
                <w:w w:val="92"/>
              </w:rPr>
              <w:t>Average</w:t>
            </w: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40" w:type="dxa"/>
            <w:vAlign w:val="bottom"/>
            <w:tcBorders>
              <w:bottom w:val="single" w:sz="8" w:color="CCEEFF"/>
            </w:tcBorders>
            <w:vMerge w:val="continue"/>
          </w:tcPr>
          <w:p>
            <w:pPr>
              <w:spacing w:after="0"/>
              <w:rPr>
                <w:sz w:val="13"/>
                <w:szCs w:val="13"/>
                <w:color w:val="auto"/>
              </w:rPr>
            </w:pPr>
          </w:p>
        </w:tc>
        <w:tc>
          <w:tcPr>
            <w:tcW w:w="4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1"/>
                <w:szCs w:val="11"/>
                <w:b w:val="1"/>
                <w:bCs w:val="1"/>
                <w:color w:val="auto"/>
                <w:w w:val="90"/>
              </w:rPr>
              <w:t>Exercise Price</w:t>
            </w:r>
          </w:p>
        </w:tc>
        <w:tc>
          <w:tcPr>
            <w:tcW w:w="1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4"/>
              </w:rPr>
              <w:t>June 30, 2019</w:t>
            </w:r>
          </w:p>
        </w:tc>
        <w:tc>
          <w:tcPr>
            <w:tcW w:w="0" w:type="dxa"/>
            <w:vAlign w:val="bottom"/>
          </w:tcPr>
          <w:p>
            <w:pPr>
              <w:spacing w:after="0"/>
              <w:rPr>
                <w:sz w:val="1"/>
                <w:szCs w:val="1"/>
                <w:color w:val="auto"/>
              </w:rPr>
            </w:pPr>
          </w:p>
        </w:tc>
      </w:tr>
      <w:tr>
        <w:trPr>
          <w:trHeight w:val="19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Restricted Stock grants</w:t>
            </w:r>
          </w:p>
        </w:tc>
        <w:tc>
          <w:tcPr>
            <w:tcW w:w="4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10,156</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38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1"/>
                <w:szCs w:val="11"/>
                <w:b w:val="1"/>
                <w:bCs w:val="1"/>
                <w:color w:val="auto"/>
                <w:w w:val="92"/>
              </w:rPr>
              <w:t>Weighted</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5"/>
              </w:rPr>
              <w:t>Outstanding at</w:t>
            </w:r>
          </w:p>
        </w:tc>
        <w:tc>
          <w:tcPr>
            <w:tcW w:w="0" w:type="dxa"/>
            <w:vAlign w:val="bottom"/>
          </w:tcPr>
          <w:p>
            <w:pPr>
              <w:spacing w:after="0"/>
              <w:rPr>
                <w:sz w:val="1"/>
                <w:szCs w:val="1"/>
                <w:color w:val="auto"/>
              </w:rPr>
            </w:pPr>
          </w:p>
        </w:tc>
      </w:tr>
      <w:tr>
        <w:trPr>
          <w:trHeight w:val="119"/>
        </w:trPr>
        <w:tc>
          <w:tcPr>
            <w:tcW w:w="3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Outstanding Potential Dilutive Securities</w:t>
            </w:r>
          </w:p>
        </w:tc>
        <w:tc>
          <w:tcPr>
            <w:tcW w:w="4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620"/>
              <w:spacing w:after="0" w:line="119" w:lineRule="exact"/>
              <w:rPr>
                <w:sz w:val="20"/>
                <w:szCs w:val="20"/>
                <w:color w:val="auto"/>
              </w:rPr>
            </w:pPr>
            <w:r>
              <w:rPr>
                <w:rFonts w:ascii="Arial" w:cs="Arial" w:eastAsia="Arial" w:hAnsi="Arial"/>
                <w:sz w:val="11"/>
                <w:szCs w:val="11"/>
                <w:b w:val="1"/>
                <w:bCs w:val="1"/>
                <w:color w:val="auto"/>
                <w:w w:val="92"/>
              </w:rPr>
              <w:t>Average</w:t>
            </w: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840" w:type="dxa"/>
            <w:vAlign w:val="bottom"/>
            <w:vMerge w:val="continue"/>
          </w:tcPr>
          <w:p>
            <w:pPr>
              <w:spacing w:after="0"/>
              <w:rPr>
                <w:sz w:val="13"/>
                <w:szCs w:val="13"/>
                <w:color w:val="auto"/>
              </w:rPr>
            </w:pPr>
          </w:p>
        </w:tc>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1"/>
                <w:szCs w:val="11"/>
                <w:b w:val="1"/>
                <w:bCs w:val="1"/>
                <w:color w:val="auto"/>
                <w:w w:val="92"/>
              </w:rPr>
              <w:t>Exercise Price</w:t>
            </w:r>
          </w:p>
        </w:tc>
        <w:tc>
          <w:tcPr>
            <w:tcW w:w="13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2"/>
              </w:rPr>
              <w:t>June 30, 2018</w:t>
            </w:r>
          </w:p>
        </w:tc>
        <w:tc>
          <w:tcPr>
            <w:tcW w:w="0" w:type="dxa"/>
            <w:vAlign w:val="bottom"/>
          </w:tcPr>
          <w:p>
            <w:pPr>
              <w:spacing w:after="0"/>
              <w:rPr>
                <w:sz w:val="1"/>
                <w:szCs w:val="1"/>
                <w:color w:val="auto"/>
              </w:rPr>
            </w:pPr>
          </w:p>
        </w:tc>
      </w:tr>
      <w:tr>
        <w:trPr>
          <w:trHeight w:val="20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Contingent Restricted Stock grants</w:t>
            </w:r>
          </w:p>
        </w:tc>
        <w:tc>
          <w:tcPr>
            <w:tcW w:w="47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4"/>
                <w:szCs w:val="14"/>
                <w:color w:val="auto"/>
              </w:rPr>
              <w:t>28,562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3840" w:type="dxa"/>
            <w:vAlign w:val="bottom"/>
          </w:tcPr>
          <w:p>
            <w:pPr>
              <w:spacing w:after="0"/>
              <w:rPr>
                <w:sz w:val="24"/>
                <w:szCs w:val="24"/>
                <w:color w:val="auto"/>
              </w:rPr>
            </w:pPr>
          </w:p>
        </w:tc>
        <w:tc>
          <w:tcPr>
            <w:tcW w:w="4760" w:type="dxa"/>
            <w:vAlign w:val="bottom"/>
          </w:tcPr>
          <w:p>
            <w:pPr>
              <w:jc w:val="right"/>
              <w:ind w:right="27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40" w:right="21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Credit Agreements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Senior Secured Credit Agreement</w:t>
      </w:r>
    </w:p>
    <w:p>
      <w:pPr>
        <w:spacing w:after="0" w:line="231" w:lineRule="exact"/>
        <w:rPr>
          <w:sz w:val="20"/>
          <w:szCs w:val="20"/>
          <w:color w:val="auto"/>
        </w:rPr>
      </w:pPr>
    </w:p>
    <w:p>
      <w:pPr>
        <w:ind w:right="180" w:firstLine="323"/>
        <w:spacing w:after="0" w:line="272" w:lineRule="auto"/>
        <w:rPr>
          <w:sz w:val="20"/>
          <w:szCs w:val="20"/>
          <w:color w:val="auto"/>
        </w:rPr>
      </w:pPr>
      <w:r>
        <w:rPr>
          <w:rFonts w:ascii="Arial" w:cs="Arial" w:eastAsia="Arial" w:hAnsi="Arial"/>
          <w:sz w:val="14"/>
          <w:szCs w:val="14"/>
          <w:color w:val="auto"/>
        </w:rPr>
        <w:t>On April 11, 2016, the Company entered into a three-year, senior secured reserve-based credit facility ("Facility") in an amount up to $50 million. On May 25, 2018, we entered into the third amendment to our credit agreement governing the revolving credit facility to, among other things, extend the maturity date to April 11, 2021. On December 31, 2018, we entered into the fourth amendment to our credit agreement governing the revolving credit facility to broaden the definition for the Use of Proceeds.</w:t>
      </w:r>
    </w:p>
    <w:p>
      <w:pPr>
        <w:spacing w:after="0" w:line="78" w:lineRule="exact"/>
        <w:rPr>
          <w:sz w:val="20"/>
          <w:szCs w:val="20"/>
          <w:color w:val="auto"/>
        </w:rPr>
      </w:pPr>
    </w:p>
    <w:p>
      <w:pPr>
        <w:ind w:right="260" w:firstLine="388"/>
        <w:spacing w:after="0" w:line="288" w:lineRule="auto"/>
        <w:rPr>
          <w:sz w:val="20"/>
          <w:szCs w:val="20"/>
          <w:color w:val="auto"/>
        </w:rPr>
      </w:pPr>
      <w:r>
        <w:rPr>
          <w:rFonts w:ascii="Arial" w:cs="Arial" w:eastAsia="Arial" w:hAnsi="Arial"/>
          <w:sz w:val="14"/>
          <w:szCs w:val="14"/>
          <w:color w:val="auto"/>
        </w:rPr>
        <w:t>As of June 30, 2019, the Company's elected commitment and borrowing base were $40 million, we were in compliance with all financial covenants and there were no amounts outstanding under the Facility, which is secured by substantially all of the Company’s assets.</w:t>
      </w:r>
    </w:p>
    <w:p>
      <w:pPr>
        <w:spacing w:after="0" w:line="66" w:lineRule="exact"/>
        <w:rPr>
          <w:sz w:val="20"/>
          <w:szCs w:val="20"/>
          <w:color w:val="auto"/>
        </w:rPr>
      </w:pPr>
    </w:p>
    <w:p>
      <w:pPr>
        <w:ind w:right="500" w:firstLine="388"/>
        <w:spacing w:after="0" w:line="288" w:lineRule="auto"/>
        <w:rPr>
          <w:sz w:val="20"/>
          <w:szCs w:val="20"/>
          <w:color w:val="auto"/>
        </w:rPr>
      </w:pPr>
      <w:r>
        <w:rPr>
          <w:rFonts w:ascii="Arial" w:cs="Arial" w:eastAsia="Arial" w:hAnsi="Arial"/>
          <w:sz w:val="14"/>
          <w:szCs w:val="14"/>
          <w:color w:val="auto"/>
        </w:rPr>
        <w:t>Under the Facility the borrowing base shall be determined semiannually as of every May 15 and November 15 during the term of the Facility. During the fourth fiscal quarter, the bank performed its periodic spring redetermination of the borrowing base and confirmed our elected amount of $40 million.</w:t>
      </w:r>
    </w:p>
    <w:p>
      <w:pPr>
        <w:spacing w:after="0" w:line="66" w:lineRule="exact"/>
        <w:rPr>
          <w:sz w:val="20"/>
          <w:szCs w:val="20"/>
          <w:color w:val="auto"/>
        </w:rPr>
      </w:pPr>
    </w:p>
    <w:p>
      <w:pPr>
        <w:ind w:right="40" w:firstLine="388"/>
        <w:spacing w:after="0" w:line="288" w:lineRule="auto"/>
        <w:rPr>
          <w:sz w:val="20"/>
          <w:szCs w:val="20"/>
          <w:color w:val="auto"/>
        </w:rPr>
      </w:pPr>
      <w:r>
        <w:rPr>
          <w:rFonts w:ascii="Arial" w:cs="Arial" w:eastAsia="Arial" w:hAnsi="Arial"/>
          <w:sz w:val="14"/>
          <w:szCs w:val="14"/>
          <w:color w:val="auto"/>
        </w:rPr>
        <w:t>Borrowings from the Facility may be used for the acquisition and development of oil and gas properties, investments in cash flow generating assets complimentary to the production of oil and gas, and for letters of credit and other general corporate purposes.</w:t>
      </w:r>
    </w:p>
    <w:p>
      <w:pPr>
        <w:spacing w:after="0" w:line="174" w:lineRule="exact"/>
        <w:rPr>
          <w:sz w:val="20"/>
          <w:szCs w:val="20"/>
          <w:color w:val="auto"/>
        </w:rPr>
      </w:pPr>
    </w:p>
    <w:p>
      <w:pPr>
        <w:ind w:right="120" w:firstLine="323"/>
        <w:spacing w:after="0" w:line="267" w:lineRule="auto"/>
        <w:rPr>
          <w:sz w:val="20"/>
          <w:szCs w:val="20"/>
          <w:color w:val="auto"/>
        </w:rPr>
      </w:pPr>
      <w:r>
        <w:rPr>
          <w:rFonts w:ascii="Arial" w:cs="Arial" w:eastAsia="Arial" w:hAnsi="Arial"/>
          <w:sz w:val="14"/>
          <w:szCs w:val="14"/>
          <w:color w:val="auto"/>
        </w:rPr>
        <w:t>The Facility carries a commitment fee of 0.25% per annum on the undrawn portion of the borrowing base. Any borrowings under the Facility will bear interest, at the Company’s option, at either Libor plus 2.75% or the Prime Rate, as defined, plus 1.00%. The Facility contains financial covenants including a requirement that the Company maintain, as of the last day of each fiscal quarter, (a) a maximum total leverage ratio of not more than 3.00 to 1.00, (b) a debt service coverage ratio of not less than 1.10 to 1.00, and (c) a consolidated tangible net worth of not less than $50 million, all as defined under the Facility.</w:t>
      </w:r>
    </w:p>
    <w:p>
      <w:pPr>
        <w:spacing w:after="0" w:line="189" w:lineRule="exact"/>
        <w:rPr>
          <w:sz w:val="20"/>
          <w:szCs w:val="20"/>
          <w:color w:val="auto"/>
        </w:rPr>
      </w:pPr>
    </w:p>
    <w:p>
      <w:pPr>
        <w:ind w:right="220" w:firstLine="323"/>
        <w:spacing w:after="0" w:line="288" w:lineRule="auto"/>
        <w:rPr>
          <w:sz w:val="20"/>
          <w:szCs w:val="20"/>
          <w:color w:val="auto"/>
        </w:rPr>
      </w:pPr>
      <w:r>
        <w:rPr>
          <w:rFonts w:ascii="Arial" w:cs="Arial" w:eastAsia="Arial" w:hAnsi="Arial"/>
          <w:sz w:val="14"/>
          <w:szCs w:val="14"/>
          <w:color w:val="auto"/>
        </w:rPr>
        <w:t>In connection with this agreement, the Company incurred $168,972 of debt issuance costs. Such costs were capitalized in Other Assets and are being amortized to expense. The unamortized balance in debt issuance costs related to the Facility was $27,045 as of June 30, 2019.</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Commitments and Contingencies</w:t>
      </w:r>
    </w:p>
    <w:p>
      <w:pPr>
        <w:spacing w:after="0" w:line="123" w:lineRule="exact"/>
        <w:rPr>
          <w:sz w:val="20"/>
          <w:szCs w:val="20"/>
          <w:color w:val="auto"/>
        </w:rPr>
      </w:pPr>
    </w:p>
    <w:p>
      <w:pPr>
        <w:ind w:right="160" w:firstLine="388"/>
        <w:spacing w:after="0" w:line="289" w:lineRule="auto"/>
        <w:rPr>
          <w:sz w:val="20"/>
          <w:szCs w:val="20"/>
          <w:color w:val="auto"/>
        </w:rPr>
      </w:pPr>
      <w:r>
        <w:rPr>
          <w:rFonts w:ascii="Arial" w:cs="Arial" w:eastAsia="Arial" w:hAnsi="Arial"/>
          <w:sz w:val="13"/>
          <w:szCs w:val="13"/>
          <w:color w:val="auto"/>
        </w:rPr>
        <w:t>We are subject to various claims and contingencies in the normal course of business. In addition, from time to time, we receive communications from government or regulatory agencies concerning investigations or allegations of noncompliance with laws or regulations in jurisdictions in which we operate. At a minimum, we disclose such matters if we believe it is reasonably possible that a future event or events will confirm a loss through impairment of an asset or the incurrence of a liability. We accrue a loss if we believe it is probable that a future event or events will confirm a loss and we can reasonably estimate such loss and we do not accrue future legal costs related to that loss. Furthermore, we will disclose any matter that is unasserted if we consider it probable that a claim will be asserted and there is a reasonable possibility that the outcome will be unfavorable. We expense legal defense costs as they are incurred.</w:t>
      </w:r>
    </w:p>
    <w:p>
      <w:pPr>
        <w:spacing w:after="0" w:line="70" w:lineRule="exact"/>
        <w:rPr>
          <w:sz w:val="20"/>
          <w:szCs w:val="20"/>
          <w:color w:val="auto"/>
        </w:rPr>
      </w:pPr>
    </w:p>
    <w:p>
      <w:pPr>
        <w:ind w:right="220" w:firstLine="345"/>
        <w:spacing w:after="0" w:line="288" w:lineRule="auto"/>
        <w:rPr>
          <w:sz w:val="20"/>
          <w:szCs w:val="20"/>
          <w:color w:val="auto"/>
        </w:rPr>
      </w:pPr>
      <w:r>
        <w:rPr>
          <w:rFonts w:ascii="Arial" w:cs="Arial" w:eastAsia="Arial" w:hAnsi="Arial"/>
          <w:sz w:val="14"/>
          <w:szCs w:val="14"/>
          <w:b w:val="1"/>
          <w:bCs w:val="1"/>
          <w:i w:val="1"/>
          <w:iCs w:val="1"/>
          <w:color w:val="auto"/>
        </w:rPr>
        <w:t xml:space="preserve">Lease Commitments. </w:t>
      </w:r>
      <w:r>
        <w:rPr>
          <w:rFonts w:ascii="Arial" w:cs="Arial" w:eastAsia="Arial" w:hAnsi="Arial"/>
          <w:sz w:val="14"/>
          <w:szCs w:val="14"/>
          <w:color w:val="auto"/>
        </w:rPr>
        <w:t>We have a non-cancelable office space whose term ends in November 2022. Future minimum lease commitments as of June 30, 2019 under this operating lease is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3"/>
              </w:rPr>
              <w:t>For the Years Ended June 30,</w:t>
            </w:r>
          </w:p>
        </w:tc>
        <w:tc>
          <w:tcPr>
            <w:tcW w:w="8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02"/>
        </w:trPr>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4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34,322</w:t>
            </w:r>
          </w:p>
        </w:tc>
      </w:tr>
      <w:tr>
        <w:trPr>
          <w:trHeight w:val="193"/>
        </w:trPr>
        <w:tc>
          <w:tcPr>
            <w:tcW w:w="148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8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59,945</w:t>
            </w:r>
          </w:p>
        </w:tc>
      </w:tr>
      <w:tr>
        <w:trPr>
          <w:trHeight w:val="23"/>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1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84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61,843</w:t>
            </w:r>
          </w:p>
        </w:tc>
      </w:tr>
      <w:tr>
        <w:trPr>
          <w:trHeight w:val="193"/>
        </w:trPr>
        <w:tc>
          <w:tcPr>
            <w:tcW w:w="1480" w:type="dxa"/>
            <w:vAlign w:val="bottom"/>
            <w:gridSpan w:val="2"/>
          </w:tcPr>
          <w:p>
            <w:pPr>
              <w:ind w:left="20"/>
              <w:spacing w:after="0"/>
              <w:rPr>
                <w:sz w:val="20"/>
                <w:szCs w:val="20"/>
                <w:color w:val="auto"/>
              </w:rPr>
            </w:pPr>
            <w:r>
              <w:rPr>
                <w:rFonts w:ascii="Arial" w:cs="Arial" w:eastAsia="Arial" w:hAnsi="Arial"/>
                <w:sz w:val="14"/>
                <w:szCs w:val="14"/>
                <w:color w:val="auto"/>
              </w:rPr>
              <w:t>2023</w:t>
            </w:r>
          </w:p>
        </w:tc>
        <w:tc>
          <w:tcPr>
            <w:tcW w:w="8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26,098</w:t>
            </w:r>
          </w:p>
        </w:tc>
      </w:tr>
      <w:tr>
        <w:trPr>
          <w:trHeight w:val="23"/>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0"/>
        </w:trPr>
        <w:tc>
          <w:tcPr>
            <w:tcW w:w="20" w:type="dxa"/>
            <w:vAlign w:val="bottom"/>
            <w:tcBorders>
              <w:bottom w:val="single" w:sz="8" w:color="CCEEFF"/>
            </w:tcBorders>
            <w:shd w:val="clear" w:color="auto" w:fill="CCEEFF"/>
          </w:tcPr>
          <w:p>
            <w:pPr>
              <w:spacing w:after="0"/>
              <w:rPr>
                <w:sz w:val="17"/>
                <w:szCs w:val="17"/>
                <w:color w:val="auto"/>
              </w:rPr>
            </w:pPr>
          </w:p>
        </w:tc>
        <w:tc>
          <w:tcPr>
            <w:tcW w:w="9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182,208</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Rent expense for the years ended June 30, 2019 and 2018 was $73,289 and $76,666, respectively.</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20" w:top="340" w:right="25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Concentrations of Credit Risk</w:t>
      </w:r>
    </w:p>
    <w:p>
      <w:pPr>
        <w:spacing w:after="0" w:line="231" w:lineRule="exact"/>
        <w:rPr>
          <w:sz w:val="20"/>
          <w:szCs w:val="20"/>
          <w:color w:val="auto"/>
        </w:rPr>
      </w:pPr>
    </w:p>
    <w:p>
      <w:pPr>
        <w:ind w:right="60" w:firstLine="323"/>
        <w:spacing w:after="0" w:line="263" w:lineRule="auto"/>
        <w:rPr>
          <w:sz w:val="20"/>
          <w:szCs w:val="20"/>
          <w:color w:val="auto"/>
        </w:rPr>
      </w:pPr>
      <w:r>
        <w:rPr>
          <w:rFonts w:ascii="Arial" w:cs="Arial" w:eastAsia="Arial" w:hAnsi="Arial"/>
          <w:sz w:val="14"/>
          <w:szCs w:val="14"/>
          <w:b w:val="1"/>
          <w:bCs w:val="1"/>
          <w:i w:val="1"/>
          <w:iCs w:val="1"/>
          <w:color w:val="auto"/>
        </w:rPr>
        <w:t xml:space="preserve">Major Customers. </w:t>
      </w:r>
      <w:r>
        <w:rPr>
          <w:rFonts w:ascii="Arial" w:cs="Arial" w:eastAsia="Arial" w:hAnsi="Arial"/>
          <w:sz w:val="14"/>
          <w:szCs w:val="14"/>
          <w:color w:val="auto"/>
        </w:rPr>
        <w:t>We market all of our oil and natural gas production from the properties we operate. We do not currently market our share of crude oil or natural gas liquids production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Delhi. Although we have the right to take our working interest production at Delhi in-kind, we are currently selling our oil under the Delhi operator's agreement with Plains Marketing L.P. for the delivery of our oil to a pipeline at the field. The majority of our operated gas, oil and condensate production is sold to purchasers under short-term (less than 12 months) contracts at market-based prices. The following table identifies customers from whom we derived 10 percent or more of our net oil and natural gas revenues during the years ended June 30, 2019 and 2018. The loss of our purchaser at the Delhi field or disruption to pipeline transportation from the field could adversely affect our net realized pricing and potentially our near-term production levels. The loss of any of our other purchasers would not be expected to have a material adverse effect on our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560" w:type="dxa"/>
            <w:vAlign w:val="bottom"/>
          </w:tcPr>
          <w:p>
            <w:pPr>
              <w:spacing w:after="0"/>
              <w:rPr>
                <w:sz w:val="13"/>
                <w:szCs w:val="13"/>
                <w:color w:val="auto"/>
              </w:rPr>
            </w:pPr>
          </w:p>
        </w:tc>
        <w:tc>
          <w:tcPr>
            <w:tcW w:w="2020" w:type="dxa"/>
            <w:vAlign w:val="bottom"/>
            <w:tcBorders>
              <w:bottom w:val="single" w:sz="8" w:color="auto"/>
            </w:tcBorders>
            <w:gridSpan w:val="3"/>
          </w:tcPr>
          <w:p>
            <w:pPr>
              <w:ind w:left="960"/>
              <w:spacing w:after="0"/>
              <w:rPr>
                <w:sz w:val="20"/>
                <w:szCs w:val="20"/>
                <w:color w:val="auto"/>
              </w:rPr>
            </w:pPr>
            <w:r>
              <w:rPr>
                <w:rFonts w:ascii="Arial" w:cs="Arial" w:eastAsia="Arial" w:hAnsi="Arial"/>
                <w:sz w:val="11"/>
                <w:szCs w:val="11"/>
                <w:b w:val="1"/>
                <w:bCs w:val="1"/>
                <w:color w:val="auto"/>
                <w:w w:val="96"/>
              </w:rPr>
              <w:t>Year Ended June 30,</w:t>
            </w:r>
          </w:p>
        </w:tc>
        <w:tc>
          <w:tcPr>
            <w:tcW w:w="880" w:type="dxa"/>
            <w:vAlign w:val="bottom"/>
            <w:tcBorders>
              <w:bottom w:val="single" w:sz="8" w:color="auto"/>
            </w:tcBorders>
          </w:tcPr>
          <w:p>
            <w:pPr>
              <w:spacing w:after="0"/>
              <w:rPr>
                <w:sz w:val="13"/>
                <w:szCs w:val="13"/>
                <w:color w:val="auto"/>
              </w:rPr>
            </w:pPr>
          </w:p>
        </w:tc>
      </w:tr>
      <w:tr>
        <w:trPr>
          <w:trHeight w:val="206"/>
        </w:trPr>
        <w:tc>
          <w:tcPr>
            <w:tcW w:w="8560" w:type="dxa"/>
            <w:vAlign w:val="bottom"/>
          </w:tcPr>
          <w:p>
            <w:pPr>
              <w:ind w:left="20"/>
              <w:spacing w:after="0"/>
              <w:rPr>
                <w:sz w:val="20"/>
                <w:szCs w:val="20"/>
                <w:color w:val="auto"/>
              </w:rPr>
            </w:pPr>
            <w:r>
              <w:rPr>
                <w:rFonts w:ascii="Arial" w:cs="Arial" w:eastAsia="Arial" w:hAnsi="Arial"/>
                <w:sz w:val="11"/>
                <w:szCs w:val="11"/>
                <w:b w:val="1"/>
                <w:bCs w:val="1"/>
                <w:color w:val="auto"/>
              </w:rPr>
              <w:t>Customer</w:t>
            </w:r>
          </w:p>
        </w:tc>
        <w:tc>
          <w:tcPr>
            <w:tcW w:w="1400" w:type="dxa"/>
            <w:vAlign w:val="bottom"/>
          </w:tcPr>
          <w:p>
            <w:pPr>
              <w:jc w:val="right"/>
              <w:ind w:right="53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jc w:val="right"/>
              <w:ind w:right="511"/>
              <w:spacing w:after="0"/>
              <w:rPr>
                <w:sz w:val="20"/>
                <w:szCs w:val="20"/>
                <w:color w:val="auto"/>
              </w:rPr>
            </w:pPr>
            <w:r>
              <w:rPr>
                <w:rFonts w:ascii="Arial" w:cs="Arial" w:eastAsia="Arial" w:hAnsi="Arial"/>
                <w:sz w:val="11"/>
                <w:szCs w:val="11"/>
                <w:b w:val="1"/>
                <w:bCs w:val="1"/>
                <w:color w:val="auto"/>
              </w:rPr>
              <w:t>2018</w:t>
            </w:r>
          </w:p>
        </w:tc>
      </w:tr>
      <w:tr>
        <w:trPr>
          <w:trHeight w:val="20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Plains Marketing L.P. (Oil sales from Delhi)</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93"/>
        </w:trPr>
        <w:tc>
          <w:tcPr>
            <w:tcW w:w="8560" w:type="dxa"/>
            <w:vAlign w:val="bottom"/>
          </w:tcPr>
          <w:p>
            <w:pPr>
              <w:ind w:left="20"/>
              <w:spacing w:after="0"/>
              <w:rPr>
                <w:sz w:val="20"/>
                <w:szCs w:val="20"/>
                <w:color w:val="auto"/>
              </w:rPr>
            </w:pPr>
            <w:r>
              <w:rPr>
                <w:rFonts w:ascii="Arial" w:cs="Arial" w:eastAsia="Arial" w:hAnsi="Arial"/>
                <w:sz w:val="14"/>
                <w:szCs w:val="14"/>
                <w:color w:val="auto"/>
              </w:rPr>
              <w:t>American Midstream Gas Solutions. L.P. (NGL sales from Delhi)</w:t>
            </w:r>
          </w:p>
        </w:tc>
        <w:tc>
          <w:tcPr>
            <w:tcW w:w="14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3"/>
        </w:trPr>
        <w:tc>
          <w:tcPr>
            <w:tcW w:w="8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 others</w:t>
            </w:r>
          </w:p>
        </w:tc>
        <w:tc>
          <w:tcPr>
            <w:tcW w:w="202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8560" w:type="dxa"/>
            <w:vAlign w:val="bottom"/>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85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40" w:firstLine="345"/>
        <w:spacing w:after="0" w:line="288" w:lineRule="auto"/>
        <w:rPr>
          <w:sz w:val="20"/>
          <w:szCs w:val="20"/>
          <w:color w:val="auto"/>
        </w:rPr>
      </w:pPr>
      <w:r>
        <w:rPr>
          <w:rFonts w:ascii="Arial" w:cs="Arial" w:eastAsia="Arial" w:hAnsi="Arial"/>
          <w:sz w:val="14"/>
          <w:szCs w:val="14"/>
          <w:b w:val="1"/>
          <w:bCs w:val="1"/>
          <w:i w:val="1"/>
          <w:iCs w:val="1"/>
          <w:color w:val="auto"/>
        </w:rPr>
        <w:t xml:space="preserve">Accounts Receivable. </w:t>
      </w:r>
      <w:r>
        <w:rPr>
          <w:rFonts w:ascii="Arial" w:cs="Arial" w:eastAsia="Arial" w:hAnsi="Arial"/>
          <w:sz w:val="14"/>
          <w:szCs w:val="14"/>
          <w:color w:val="auto"/>
        </w:rPr>
        <w:t>Substantially all of our accounts receivable result from oil and natural gas sales to third parties in the oil and natural gas industry. Our concentration of customers in this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industry may impact our overall credit risk.</w:t>
      </w:r>
    </w:p>
    <w:p>
      <w:pPr>
        <w:spacing w:after="0" w:line="174" w:lineRule="exact"/>
        <w:rPr>
          <w:sz w:val="20"/>
          <w:szCs w:val="20"/>
          <w:color w:val="auto"/>
        </w:rPr>
      </w:pPr>
    </w:p>
    <w:p>
      <w:pPr>
        <w:ind w:right="260" w:firstLine="345"/>
        <w:spacing w:after="0" w:line="288" w:lineRule="auto"/>
        <w:rPr>
          <w:sz w:val="20"/>
          <w:szCs w:val="20"/>
          <w:color w:val="auto"/>
        </w:rPr>
      </w:pPr>
      <w:r>
        <w:rPr>
          <w:rFonts w:ascii="Arial" w:cs="Arial" w:eastAsia="Arial" w:hAnsi="Arial"/>
          <w:sz w:val="14"/>
          <w:szCs w:val="14"/>
          <w:b w:val="1"/>
          <w:bCs w:val="1"/>
          <w:i w:val="1"/>
          <w:iCs w:val="1"/>
          <w:color w:val="auto"/>
        </w:rPr>
        <w:t xml:space="preserve">Cash and Cash Equivalents. </w:t>
      </w:r>
      <w:r>
        <w:rPr>
          <w:rFonts w:ascii="Arial" w:cs="Arial" w:eastAsia="Arial" w:hAnsi="Arial"/>
          <w:sz w:val="14"/>
          <w:szCs w:val="14"/>
          <w:color w:val="auto"/>
        </w:rPr>
        <w:t>We are subject to concentrations of credit risk with respect to our cash and cash equivalents, which we attempt to minimize by maintaining our cash and cash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equivalents in high quality money market funds. At times, cash balances may exceed limits federally insured by the Federal Deposit Insurance Corporation ("FDIC").</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 Retirement Plan</w:t>
      </w:r>
    </w:p>
    <w:p>
      <w:pPr>
        <w:spacing w:after="0" w:line="231" w:lineRule="exact"/>
        <w:rPr>
          <w:sz w:val="20"/>
          <w:szCs w:val="20"/>
          <w:color w:val="auto"/>
        </w:rPr>
      </w:pPr>
    </w:p>
    <w:p>
      <w:pPr>
        <w:ind w:right="140" w:firstLine="345"/>
        <w:spacing w:after="0" w:line="272" w:lineRule="auto"/>
        <w:rPr>
          <w:sz w:val="20"/>
          <w:szCs w:val="20"/>
          <w:color w:val="auto"/>
        </w:rPr>
      </w:pPr>
      <w:r>
        <w:rPr>
          <w:rFonts w:ascii="Arial" w:cs="Arial" w:eastAsia="Arial" w:hAnsi="Arial"/>
          <w:sz w:val="14"/>
          <w:szCs w:val="14"/>
          <w:color w:val="auto"/>
        </w:rPr>
        <w:t>We have a Company sponsored 401(k) Retirement Plan ("Plan") which covers all full-time employees. We currently match 100% of employees' contributions to the Plan, to a maximum of the first 6% of each participant's eligible compensation, with Company contributions fully vested when made. Our matching contributions to the Plan totaled $52,809 and $43,134 for the years ended June 30, 2019 and 2018, respectively.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60"/>
          </w:cols>
          <w:pgMar w:left="220" w:top="340" w:right="219" w:bottom="1440" w:gutter="0" w:footer="0" w:header="0"/>
        </w:sectPr>
      </w:pPr>
    </w:p>
    <w:bookmarkStart w:id="63" w:name="page64"/>
    <w:bookmarkEnd w:id="63"/>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 – Fair Value Measurement</w:t>
      </w:r>
    </w:p>
    <w:p>
      <w:pPr>
        <w:spacing w:after="0" w:line="231" w:lineRule="exact"/>
        <w:rPr>
          <w:sz w:val="20"/>
          <w:szCs w:val="20"/>
          <w:color w:val="auto"/>
        </w:rPr>
      </w:pPr>
    </w:p>
    <w:p>
      <w:pPr>
        <w:ind w:right="220" w:firstLine="345"/>
        <w:spacing w:after="0" w:line="288" w:lineRule="auto"/>
        <w:rPr>
          <w:sz w:val="20"/>
          <w:szCs w:val="20"/>
          <w:color w:val="auto"/>
        </w:rPr>
      </w:pPr>
      <w:r>
        <w:rPr>
          <w:rFonts w:ascii="Arial" w:cs="Arial" w:eastAsia="Arial" w:hAnsi="Arial"/>
          <w:sz w:val="14"/>
          <w:szCs w:val="14"/>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three levels are defined as follows:</w:t>
      </w:r>
    </w:p>
    <w:p>
      <w:pPr>
        <w:spacing w:after="0" w:line="22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Level 1—Observable inputs such as quoted prices in active markets at the measurement date for identical, unrestricted assets or liabilities.</w:t>
      </w:r>
    </w:p>
    <w:p>
      <w:pPr>
        <w:spacing w:after="0" w:line="227" w:lineRule="exact"/>
        <w:rPr>
          <w:sz w:val="20"/>
          <w:szCs w:val="20"/>
          <w:color w:val="auto"/>
        </w:rPr>
      </w:pPr>
    </w:p>
    <w:p>
      <w:pPr>
        <w:ind w:right="620" w:firstLine="571"/>
        <w:spacing w:after="0" w:line="288" w:lineRule="auto"/>
        <w:rPr>
          <w:sz w:val="20"/>
          <w:szCs w:val="20"/>
          <w:color w:val="auto"/>
        </w:rPr>
      </w:pPr>
      <w:r>
        <w:rPr>
          <w:rFonts w:ascii="Arial" w:cs="Arial" w:eastAsia="Arial" w:hAnsi="Arial"/>
          <w:sz w:val="14"/>
          <w:szCs w:val="14"/>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3"/>
          <w:szCs w:val="13"/>
          <w:color w:val="auto"/>
        </w:rPr>
        <w:t>Level 3—Unobservable inputs for which there is little or no market data and which the Company makes its own assumptions about how market participants would price the assets and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liabilities.</w:t>
      </w:r>
    </w:p>
    <w:p>
      <w:pPr>
        <w:spacing w:after="0" w:line="217" w:lineRule="exact"/>
        <w:rPr>
          <w:sz w:val="20"/>
          <w:szCs w:val="20"/>
          <w:color w:val="auto"/>
        </w:rPr>
      </w:pPr>
    </w:p>
    <w:p>
      <w:pPr>
        <w:ind w:right="180" w:firstLine="345"/>
        <w:spacing w:after="0" w:line="288" w:lineRule="auto"/>
        <w:rPr>
          <w:sz w:val="20"/>
          <w:szCs w:val="20"/>
          <w:color w:val="auto"/>
        </w:rPr>
      </w:pPr>
      <w:r>
        <w:rPr>
          <w:rFonts w:ascii="Arial" w:cs="Arial" w:eastAsia="Arial" w:hAnsi="Arial"/>
          <w:sz w:val="14"/>
          <w:szCs w:val="14"/>
          <w:i w:val="1"/>
          <w:iCs w:val="1"/>
          <w:color w:val="auto"/>
        </w:rPr>
        <w:t xml:space="preserve">Fair Value of Financial Instruments. </w:t>
      </w:r>
      <w:r>
        <w:rPr>
          <w:rFonts w:ascii="Arial" w:cs="Arial" w:eastAsia="Arial" w:hAnsi="Arial"/>
          <w:sz w:val="14"/>
          <w:szCs w:val="14"/>
          <w:color w:val="auto"/>
        </w:rPr>
        <w:t>The Company's other financial instruments consist of cash, cash equivalents, and restricted cash, receivables and payables. The carrying amounts of cash</w:t>
      </w:r>
      <w:r>
        <w:rPr>
          <w:rFonts w:ascii="Arial" w:cs="Arial" w:eastAsia="Arial" w:hAnsi="Arial"/>
          <w:sz w:val="14"/>
          <w:szCs w:val="14"/>
          <w:i w:val="1"/>
          <w:iCs w:val="1"/>
          <w:color w:val="auto"/>
        </w:rPr>
        <w:t xml:space="preserve"> </w:t>
      </w:r>
      <w:r>
        <w:rPr>
          <w:rFonts w:ascii="Arial" w:cs="Arial" w:eastAsia="Arial" w:hAnsi="Arial"/>
          <w:sz w:val="14"/>
          <w:szCs w:val="14"/>
          <w:color w:val="auto"/>
        </w:rPr>
        <w:t>and cash equivalents, receivables and payables approximate fair value due to the highly liquid or short-term nature of these instruments.</w:t>
      </w:r>
    </w:p>
    <w:p>
      <w:pPr>
        <w:spacing w:after="0" w:line="174" w:lineRule="exact"/>
        <w:rPr>
          <w:sz w:val="20"/>
          <w:szCs w:val="20"/>
          <w:color w:val="auto"/>
        </w:rPr>
      </w:pPr>
    </w:p>
    <w:p>
      <w:pPr>
        <w:jc w:val="both"/>
        <w:ind w:right="40" w:firstLine="345"/>
        <w:spacing w:after="0" w:line="272" w:lineRule="auto"/>
        <w:rPr>
          <w:sz w:val="20"/>
          <w:szCs w:val="20"/>
          <w:color w:val="auto"/>
        </w:rPr>
      </w:pPr>
      <w:r>
        <w:rPr>
          <w:rFonts w:ascii="Arial" w:cs="Arial" w:eastAsia="Arial" w:hAnsi="Arial"/>
          <w:sz w:val="14"/>
          <w:szCs w:val="14"/>
          <w:i w:val="1"/>
          <w:iCs w:val="1"/>
          <w:color w:val="auto"/>
        </w:rPr>
        <w:t xml:space="preserve">Other Fair Value Measurements. </w:t>
      </w:r>
      <w:r>
        <w:rPr>
          <w:rFonts w:ascii="Arial" w:cs="Arial" w:eastAsia="Arial" w:hAnsi="Arial"/>
          <w:sz w:val="14"/>
          <w:szCs w:val="14"/>
          <w:color w:val="auto"/>
        </w:rPr>
        <w:t>The initial measurement and any subsequent revision of asset retirement obligations at fair value are calculated using discounted future cash flows of internally</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costs. Significant Level 3 inputs used in the calculation of asset retirement obligations include the costs of plugging and abandoning wells, surface restoration and reserve lives. Subsequent to initial recognition, revisions to estimated asset retirement obligations are made when changes occur for input values.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 Supplemental Disclosures about Oil and Natural Gas Producing Properties (unaudited)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incurred for oil and natural gas property acquisition, exploration and development activities</w:t>
      </w:r>
    </w:p>
    <w:p>
      <w:pPr>
        <w:spacing w:after="0" w:line="227" w:lineRule="exact"/>
        <w:rPr>
          <w:sz w:val="20"/>
          <w:szCs w:val="20"/>
          <w:color w:val="auto"/>
        </w:rPr>
      </w:pPr>
    </w:p>
    <w:p>
      <w:pPr>
        <w:ind w:right="20" w:firstLine="345"/>
        <w:spacing w:after="0" w:line="289" w:lineRule="auto"/>
        <w:rPr>
          <w:sz w:val="20"/>
          <w:szCs w:val="20"/>
          <w:color w:val="auto"/>
        </w:rPr>
      </w:pPr>
      <w:r>
        <w:rPr>
          <w:rFonts w:ascii="Arial" w:cs="Arial" w:eastAsia="Arial" w:hAnsi="Arial"/>
          <w:sz w:val="13"/>
          <w:szCs w:val="13"/>
          <w:color w:val="auto"/>
        </w:rPr>
        <w:t>The following table summarizes costs incurred and capitalized in oil and natural gas property acquisition, exploration and development activities. Property acquisition costs are those costs incurred to lease property, including both undeveloped leasehold and the purchase of reserves in place. Exploration costs include costs of identifying areas that may warrant examination and examining specific areas that are considered to have prospects containing oil and natural gas reserves, including costs of drilling exploratory wells, geological and geophysical costs and carrying costs on undeveloped properties. Development costs are incurred to obtain access to proved reserves, including the cost of drilling. Exploration and development costs also include amounts incurred due to the recognition of asset retirement obligations of $86,384 and $43,922 during the years ended June 30, 2019 and 2018, respectively.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1"/>
                <w:szCs w:val="11"/>
                <w:b w:val="1"/>
                <w:bCs w:val="1"/>
                <w:color w:val="auto"/>
              </w:rPr>
              <w:t>For the Years Ended June 30,</w:t>
            </w:r>
          </w:p>
        </w:tc>
      </w:tr>
      <w:tr>
        <w:trPr>
          <w:trHeight w:val="152"/>
        </w:trPr>
        <w:tc>
          <w:tcPr>
            <w:tcW w:w="83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2018</w:t>
            </w:r>
          </w:p>
        </w:tc>
      </w:tr>
      <w:tr>
        <w:trPr>
          <w:trHeight w:val="19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and Natural Gas Activities</w:t>
            </w:r>
          </w:p>
        </w:tc>
        <w:tc>
          <w:tcPr>
            <w:tcW w:w="3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3"/>
        </w:trPr>
        <w:tc>
          <w:tcPr>
            <w:tcW w:w="8360" w:type="dxa"/>
            <w:vAlign w:val="bottom"/>
          </w:tcPr>
          <w:p>
            <w:pPr>
              <w:ind w:left="140"/>
              <w:spacing w:after="0"/>
              <w:rPr>
                <w:sz w:val="20"/>
                <w:szCs w:val="20"/>
                <w:color w:val="auto"/>
              </w:rPr>
            </w:pPr>
            <w:r>
              <w:rPr>
                <w:rFonts w:ascii="Arial" w:cs="Arial" w:eastAsia="Arial" w:hAnsi="Arial"/>
                <w:sz w:val="14"/>
                <w:szCs w:val="14"/>
                <w:color w:val="auto"/>
              </w:rPr>
              <w:t>Property acquisition costs:</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8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Proved property</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193"/>
        </w:trPr>
        <w:tc>
          <w:tcPr>
            <w:tcW w:w="8360" w:type="dxa"/>
            <w:vAlign w:val="bottom"/>
          </w:tcPr>
          <w:p>
            <w:pPr>
              <w:ind w:left="300"/>
              <w:spacing w:after="0"/>
              <w:rPr>
                <w:sz w:val="20"/>
                <w:szCs w:val="20"/>
                <w:color w:val="auto"/>
              </w:rPr>
            </w:pPr>
            <w:r>
              <w:rPr>
                <w:rFonts w:ascii="Arial" w:cs="Arial" w:eastAsia="Arial" w:hAnsi="Arial"/>
                <w:sz w:val="14"/>
                <w:szCs w:val="14"/>
                <w:color w:val="auto"/>
              </w:rPr>
              <w:t>Unproved property (a)</w:t>
            </w:r>
          </w:p>
        </w:tc>
        <w:tc>
          <w:tcPr>
            <w:tcW w:w="38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3"/>
        </w:trPr>
        <w:tc>
          <w:tcPr>
            <w:tcW w:w="8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Exploration costs</w:t>
            </w:r>
          </w:p>
        </w:tc>
        <w:tc>
          <w:tcPr>
            <w:tcW w:w="3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193"/>
        </w:trPr>
        <w:tc>
          <w:tcPr>
            <w:tcW w:w="8360" w:type="dxa"/>
            <w:vAlign w:val="bottom"/>
          </w:tcPr>
          <w:p>
            <w:pPr>
              <w:ind w:left="140"/>
              <w:spacing w:after="0"/>
              <w:rPr>
                <w:sz w:val="20"/>
                <w:szCs w:val="20"/>
                <w:color w:val="auto"/>
              </w:rPr>
            </w:pPr>
            <w:r>
              <w:rPr>
                <w:rFonts w:ascii="Arial" w:cs="Arial" w:eastAsia="Arial" w:hAnsi="Arial"/>
                <w:sz w:val="14"/>
                <w:szCs w:val="14"/>
                <w:color w:val="auto"/>
              </w:rPr>
              <w:t>Development costs</w:t>
            </w:r>
          </w:p>
        </w:tc>
        <w:tc>
          <w:tcPr>
            <w:tcW w:w="38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5,229,235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5,429,985</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0"/>
        </w:trPr>
        <w:tc>
          <w:tcPr>
            <w:tcW w:w="8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costs incurred for oil and natural gas activities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5,229,235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5,429,985</w:t>
            </w:r>
          </w:p>
        </w:tc>
      </w:tr>
      <w:tr>
        <w:trPr>
          <w:trHeight w:val="20"/>
        </w:trPr>
        <w:tc>
          <w:tcPr>
            <w:tcW w:w="8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Estimated Net Quantities of Proved Oil and Natural Gas Reserves</w:t>
      </w:r>
    </w:p>
    <w:p>
      <w:pPr>
        <w:spacing w:after="0" w:line="119" w:lineRule="exact"/>
        <w:rPr>
          <w:sz w:val="20"/>
          <w:szCs w:val="20"/>
          <w:color w:val="auto"/>
        </w:rPr>
      </w:pPr>
    </w:p>
    <w:p>
      <w:pPr>
        <w:ind w:right="260" w:firstLine="345"/>
        <w:spacing w:after="0" w:line="288" w:lineRule="auto"/>
        <w:rPr>
          <w:sz w:val="20"/>
          <w:szCs w:val="20"/>
          <w:color w:val="auto"/>
        </w:rPr>
      </w:pPr>
      <w:r>
        <w:rPr>
          <w:rFonts w:ascii="Arial" w:cs="Arial" w:eastAsia="Arial" w:hAnsi="Arial"/>
          <w:sz w:val="14"/>
          <w:szCs w:val="14"/>
          <w:color w:val="auto"/>
        </w:rPr>
        <w:t>The following estimates of the net proved oil and natural gas reserves of our oil and gas properties located entirely within the United States of America are based on evaluations prepared by third-party reservoir engineers. Reserve volumes and values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460"/>
          </w:cols>
          <w:pgMar w:left="220" w:top="340" w:right="21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40"/>
        <w:spacing w:after="0" w:line="328" w:lineRule="auto"/>
        <w:rPr>
          <w:sz w:val="20"/>
          <w:szCs w:val="20"/>
          <w:color w:val="auto"/>
        </w:rPr>
      </w:pPr>
      <w:r>
        <w:rPr>
          <w:rFonts w:ascii="Arial" w:cs="Arial" w:eastAsia="Arial" w:hAnsi="Arial"/>
          <w:sz w:val="13"/>
          <w:szCs w:val="13"/>
          <w:color w:val="auto"/>
        </w:rPr>
        <w:t>were determined under the method prescribed by the SEC for our fiscal years ended June 30, 2019 and 2018, which requires the application of the previous 12 months unweighted arithmetic average first-day-of-the-month price, and current costs held constant throughout the projected reserve life, when estimating whether reserve quantities are economical to produce.</w:t>
      </w:r>
    </w:p>
    <w:p>
      <w:pPr>
        <w:spacing w:after="0" w:line="152" w:lineRule="exact"/>
        <w:rPr>
          <w:sz w:val="20"/>
          <w:szCs w:val="20"/>
          <w:color w:val="auto"/>
        </w:rPr>
      </w:pPr>
    </w:p>
    <w:p>
      <w:pPr>
        <w:ind w:right="80" w:firstLine="345"/>
        <w:spacing w:after="0" w:line="294" w:lineRule="auto"/>
        <w:rPr>
          <w:sz w:val="20"/>
          <w:szCs w:val="20"/>
          <w:color w:val="auto"/>
        </w:rPr>
      </w:pPr>
      <w:r>
        <w:rPr>
          <w:rFonts w:ascii="Arial" w:cs="Arial" w:eastAsia="Arial" w:hAnsi="Arial"/>
          <w:sz w:val="13"/>
          <w:szCs w:val="13"/>
          <w:color w:val="auto"/>
        </w:rPr>
        <w:t>Proved oil and natural gas reserves are estimated quantities of crude oil, natural gas and natural gas liquids that geological and engineering data demonstrate with reasonable certainty to be recoverable in future years from known reservoirs under existing economic and operating conditions. Proved developed oil and natural gas reserves are reserves that can be expected to be recovered through existing wells with existing equipment and operating methods. There are uncertainties inherent in estimating quantities of proved oil and natural gas reserves, projecting future production rates, and timing of development expenditures. Accordingly, reserve estimates often differ from the quantities of oil and natural gas that are ultimately recovered.</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Estimated quantities of proved oil and natural gas reserves and changes in quantities of proved developed and undeveloped reserves for each of the periods indicated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60" w:type="dxa"/>
            <w:vAlign w:val="bottom"/>
          </w:tcPr>
          <w:p>
            <w:pPr>
              <w:spacing w:after="0"/>
              <w:rPr>
                <w:sz w:val="10"/>
                <w:szCs w:val="10"/>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Crude Oil</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Natural Gas</w:t>
            </w:r>
          </w:p>
        </w:tc>
        <w:tc>
          <w:tcPr>
            <w:tcW w:w="1600" w:type="dxa"/>
            <w:vAlign w:val="bottom"/>
            <w:gridSpan w:val="2"/>
            <w:vMerge w:val="restart"/>
          </w:tcPr>
          <w:p>
            <w:pPr>
              <w:ind w:left="440"/>
              <w:spacing w:after="0"/>
              <w:rPr>
                <w:sz w:val="20"/>
                <w:szCs w:val="20"/>
                <w:color w:val="auto"/>
              </w:rPr>
            </w:pPr>
            <w:r>
              <w:rPr>
                <w:rFonts w:ascii="Arial" w:cs="Arial" w:eastAsia="Arial" w:hAnsi="Arial"/>
                <w:sz w:val="11"/>
                <w:szCs w:val="11"/>
                <w:b w:val="1"/>
                <w:bCs w:val="1"/>
                <w:color w:val="auto"/>
              </w:rPr>
              <w:t>Natural Gas</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580" w:type="dxa"/>
            <w:vAlign w:val="bottom"/>
            <w:gridSpan w:val="2"/>
          </w:tcPr>
          <w:p>
            <w:pPr>
              <w:jc w:val="center"/>
              <w:ind w:right="120"/>
              <w:spacing w:after="0" w:line="119" w:lineRule="exact"/>
              <w:rPr>
                <w:sz w:val="20"/>
                <w:szCs w:val="20"/>
                <w:color w:val="auto"/>
              </w:rPr>
            </w:pPr>
            <w:r>
              <w:rPr>
                <w:rFonts w:ascii="Arial" w:cs="Arial" w:eastAsia="Arial" w:hAnsi="Arial"/>
                <w:sz w:val="11"/>
                <w:szCs w:val="11"/>
                <w:b w:val="1"/>
                <w:bCs w:val="1"/>
                <w:color w:val="auto"/>
                <w:w w:val="97"/>
              </w:rPr>
              <w:t>Liquids</w:t>
            </w:r>
          </w:p>
        </w:tc>
        <w:tc>
          <w:tcPr>
            <w:tcW w:w="1600" w:type="dxa"/>
            <w:vAlign w:val="bottom"/>
            <w:gridSpan w:val="2"/>
            <w:vMerge w:val="continue"/>
          </w:tcPr>
          <w:p>
            <w:pPr>
              <w:spacing w:after="0"/>
              <w:rPr>
                <w:sz w:val="10"/>
                <w:szCs w:val="10"/>
                <w:color w:val="auto"/>
              </w:rPr>
            </w:pPr>
          </w:p>
        </w:tc>
        <w:tc>
          <w:tcPr>
            <w:tcW w:w="1460" w:type="dxa"/>
            <w:vAlign w:val="bottom"/>
            <w:vMerge w:val="restart"/>
          </w:tcPr>
          <w:p>
            <w:pPr>
              <w:jc w:val="right"/>
              <w:ind w:right="529"/>
              <w:spacing w:after="0"/>
              <w:rPr>
                <w:sz w:val="20"/>
                <w:szCs w:val="20"/>
                <w:color w:val="auto"/>
              </w:rPr>
            </w:pPr>
            <w:r>
              <w:rPr>
                <w:rFonts w:ascii="Arial" w:cs="Arial" w:eastAsia="Arial" w:hAnsi="Arial"/>
                <w:sz w:val="11"/>
                <w:szCs w:val="11"/>
                <w:b w:val="1"/>
                <w:bCs w:val="1"/>
                <w:color w:val="auto"/>
              </w:rPr>
              <w:t>BOE</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(Bbls)</w:t>
            </w:r>
          </w:p>
        </w:tc>
        <w:tc>
          <w:tcPr>
            <w:tcW w:w="1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(Bbls)</w:t>
            </w:r>
          </w:p>
        </w:tc>
        <w:tc>
          <w:tcPr>
            <w:tcW w:w="1600" w:type="dxa"/>
            <w:vAlign w:val="bottom"/>
            <w:gridSpan w:val="2"/>
          </w:tcPr>
          <w:p>
            <w:pPr>
              <w:ind w:left="620"/>
              <w:spacing w:after="0"/>
              <w:rPr>
                <w:sz w:val="20"/>
                <w:szCs w:val="20"/>
                <w:color w:val="auto"/>
              </w:rPr>
            </w:pPr>
            <w:r>
              <w:rPr>
                <w:rFonts w:ascii="Arial" w:cs="Arial" w:eastAsia="Arial" w:hAnsi="Arial"/>
                <w:sz w:val="11"/>
                <w:szCs w:val="11"/>
                <w:b w:val="1"/>
                <w:bCs w:val="1"/>
                <w:color w:val="auto"/>
              </w:rPr>
              <w:t>(Mcf)</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Proved developed and undeveloped reserves:</w:t>
            </w:r>
          </w:p>
        </w:tc>
        <w:tc>
          <w:tcPr>
            <w:tcW w:w="150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160" w:type="dxa"/>
            <w:vAlign w:val="bottom"/>
          </w:tcPr>
          <w:p>
            <w:pPr>
              <w:ind w:left="20"/>
              <w:spacing w:after="0"/>
              <w:rPr>
                <w:sz w:val="20"/>
                <w:szCs w:val="20"/>
                <w:color w:val="auto"/>
              </w:rPr>
            </w:pPr>
            <w:r>
              <w:rPr>
                <w:rFonts w:ascii="Arial" w:cs="Arial" w:eastAsia="Arial" w:hAnsi="Arial"/>
                <w:sz w:val="14"/>
                <w:szCs w:val="14"/>
                <w:color w:val="auto"/>
              </w:rPr>
              <w:t>June 30, 2017</w:t>
            </w:r>
          </w:p>
        </w:tc>
        <w:tc>
          <w:tcPr>
            <w:tcW w:w="15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8,372,150</w:t>
            </w:r>
          </w:p>
        </w:tc>
        <w:tc>
          <w:tcPr>
            <w:tcW w:w="120" w:type="dxa"/>
            <w:vAlign w:val="bottom"/>
          </w:tcPr>
          <w:p>
            <w:pPr>
              <w:spacing w:after="0"/>
              <w:rPr>
                <w:sz w:val="15"/>
                <w:szCs w:val="15"/>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1,686,228</w:t>
            </w:r>
          </w:p>
        </w:tc>
        <w:tc>
          <w:tcPr>
            <w:tcW w:w="100" w:type="dxa"/>
            <w:vAlign w:val="bottom"/>
          </w:tcPr>
          <w:p>
            <w:pPr>
              <w:spacing w:after="0"/>
              <w:rPr>
                <w:sz w:val="15"/>
                <w:szCs w:val="15"/>
                <w:color w:val="auto"/>
              </w:rPr>
            </w:pPr>
          </w:p>
        </w:tc>
        <w:tc>
          <w:tcPr>
            <w:tcW w:w="1480" w:type="dxa"/>
            <w:vAlign w:val="bottom"/>
            <w:tcBorders>
              <w:top w:val="single" w:sz="8" w:color="auto"/>
            </w:tcBorders>
          </w:tcPr>
          <w:p>
            <w:pPr>
              <w:ind w:left="1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10,058,378</w:t>
            </w: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Revisions of previous estimates (a)</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369,971</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(315,090)</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54,881</w:t>
            </w:r>
          </w:p>
        </w:tc>
        <w:tc>
          <w:tcPr>
            <w:tcW w:w="0" w:type="dxa"/>
            <w:vAlign w:val="bottom"/>
          </w:tcPr>
          <w:p>
            <w:pPr>
              <w:spacing w:after="0"/>
              <w:rPr>
                <w:sz w:val="1"/>
                <w:szCs w:val="1"/>
                <w:color w:val="auto"/>
              </w:rPr>
            </w:pP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Improved recovery, extensions and discoveries</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Sales of minerals in place</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Production (sales volumes)</w:t>
            </w:r>
          </w:p>
        </w:tc>
        <w:tc>
          <w:tcPr>
            <w:tcW w:w="1500" w:type="dxa"/>
            <w:vAlign w:val="bottom"/>
          </w:tcPr>
          <w:p>
            <w:pPr>
              <w:jc w:val="right"/>
              <w:ind w:right="10"/>
              <w:spacing w:after="0"/>
              <w:rPr>
                <w:sz w:val="20"/>
                <w:szCs w:val="20"/>
                <w:color w:val="auto"/>
              </w:rPr>
            </w:pPr>
            <w:r>
              <w:rPr>
                <w:rFonts w:ascii="Arial" w:cs="Arial" w:eastAsia="Arial" w:hAnsi="Arial"/>
                <w:sz w:val="14"/>
                <w:szCs w:val="14"/>
                <w:color w:val="auto"/>
              </w:rPr>
              <w:t>(651,931)</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(93,366)</w:t>
            </w:r>
          </w:p>
        </w:tc>
        <w:tc>
          <w:tcPr>
            <w:tcW w:w="100" w:type="dxa"/>
            <w:vAlign w:val="bottom"/>
          </w:tcPr>
          <w:p>
            <w:pPr>
              <w:spacing w:after="0"/>
              <w:rPr>
                <w:sz w:val="16"/>
                <w:szCs w:val="16"/>
                <w:color w:val="auto"/>
              </w:rPr>
            </w:pPr>
          </w:p>
        </w:tc>
        <w:tc>
          <w:tcPr>
            <w:tcW w:w="160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(745,297)</w:t>
            </w:r>
          </w:p>
        </w:tc>
        <w:tc>
          <w:tcPr>
            <w:tcW w:w="0" w:type="dxa"/>
            <w:vAlign w:val="bottom"/>
          </w:tcPr>
          <w:p>
            <w:pPr>
              <w:spacing w:after="0"/>
              <w:rPr>
                <w:sz w:val="1"/>
                <w:szCs w:val="1"/>
                <w:color w:val="auto"/>
              </w:rPr>
            </w:pP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June 30, 2018</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8,090,190</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1,277,772</w:t>
            </w: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9,367,962</w:t>
            </w:r>
          </w:p>
        </w:tc>
        <w:tc>
          <w:tcPr>
            <w:tcW w:w="0" w:type="dxa"/>
            <w:vAlign w:val="bottom"/>
          </w:tcPr>
          <w:p>
            <w:pPr>
              <w:spacing w:after="0"/>
              <w:rPr>
                <w:sz w:val="1"/>
                <w:szCs w:val="1"/>
                <w:color w:val="auto"/>
              </w:rPr>
            </w:pP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Revisions of previous estimates (b)</w:t>
            </w: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152,420</w:t>
            </w:r>
          </w:p>
        </w:tc>
        <w:tc>
          <w:tcPr>
            <w:tcW w:w="120" w:type="dxa"/>
            <w:vAlign w:val="bottom"/>
          </w:tcPr>
          <w:p>
            <w:pPr>
              <w:spacing w:after="0"/>
              <w:rPr>
                <w:sz w:val="16"/>
                <w:szCs w:val="16"/>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199,078</w:t>
            </w:r>
          </w:p>
        </w:tc>
        <w:tc>
          <w:tcPr>
            <w:tcW w:w="100" w:type="dxa"/>
            <w:vAlign w:val="bottom"/>
          </w:tcPr>
          <w:p>
            <w:pPr>
              <w:spacing w:after="0"/>
              <w:rPr>
                <w:sz w:val="16"/>
                <w:szCs w:val="16"/>
                <w:color w:val="auto"/>
              </w:rPr>
            </w:pPr>
          </w:p>
        </w:tc>
        <w:tc>
          <w:tcPr>
            <w:tcW w:w="160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351,498</w:t>
            </w: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Improved recovery, extensions and discoveries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140"/>
              <w:spacing w:after="0"/>
              <w:rPr>
                <w:sz w:val="20"/>
                <w:szCs w:val="20"/>
                <w:color w:val="auto"/>
              </w:rPr>
            </w:pPr>
            <w:r>
              <w:rPr>
                <w:rFonts w:ascii="Arial" w:cs="Arial" w:eastAsia="Arial" w:hAnsi="Arial"/>
                <w:sz w:val="14"/>
                <w:szCs w:val="14"/>
                <w:color w:val="auto"/>
              </w:rPr>
              <w:t>Sales of minerals in place</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Production (sales volumes)</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(626,879)</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(112,089)</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(738,968)</w:t>
            </w:r>
          </w:p>
        </w:tc>
        <w:tc>
          <w:tcPr>
            <w:tcW w:w="0" w:type="dxa"/>
            <w:vAlign w:val="bottom"/>
          </w:tcPr>
          <w:p>
            <w:pPr>
              <w:spacing w:after="0"/>
              <w:rPr>
                <w:sz w:val="1"/>
                <w:szCs w:val="1"/>
                <w:color w:val="auto"/>
              </w:rPr>
            </w:pPr>
          </w:p>
        </w:tc>
      </w:tr>
      <w:tr>
        <w:trPr>
          <w:trHeight w:val="24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June 30, 2019</w:t>
            </w:r>
          </w:p>
        </w:tc>
        <w:tc>
          <w:tcPr>
            <w:tcW w:w="1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7,615,731</w:t>
            </w:r>
          </w:p>
        </w:tc>
        <w:tc>
          <w:tcPr>
            <w:tcW w:w="120" w:type="dxa"/>
            <w:vAlign w:val="bottom"/>
            <w:tcBorders>
              <w:bottom w:val="single" w:sz="8" w:color="CCEEFF"/>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1,364,761</w:t>
            </w:r>
          </w:p>
        </w:tc>
        <w:tc>
          <w:tcPr>
            <w:tcW w:w="100" w:type="dxa"/>
            <w:vAlign w:val="bottom"/>
            <w:tcBorders>
              <w:bottom w:val="single" w:sz="8" w:color="CCEEFF"/>
            </w:tcBorders>
          </w:tcPr>
          <w:p>
            <w:pPr>
              <w:spacing w:after="0"/>
              <w:rPr>
                <w:sz w:val="20"/>
                <w:szCs w:val="20"/>
                <w:color w:val="auto"/>
              </w:rPr>
            </w:pPr>
          </w:p>
        </w:tc>
        <w:tc>
          <w:tcPr>
            <w:tcW w:w="148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8,980,492</w:t>
            </w:r>
          </w:p>
        </w:tc>
        <w:tc>
          <w:tcPr>
            <w:tcW w:w="0" w:type="dxa"/>
            <w:vAlign w:val="bottom"/>
          </w:tcPr>
          <w:p>
            <w:pPr>
              <w:spacing w:after="0"/>
              <w:rPr>
                <w:sz w:val="1"/>
                <w:szCs w:val="1"/>
                <w:color w:val="auto"/>
              </w:rPr>
            </w:pPr>
          </w:p>
        </w:tc>
      </w:tr>
      <w:tr>
        <w:trPr>
          <w:trHeight w:val="17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Proved developed reserves:</w:t>
            </w: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June 30, 2017</w:t>
            </w: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6,617,389</w:t>
            </w:r>
          </w:p>
        </w:tc>
        <w:tc>
          <w:tcPr>
            <w:tcW w:w="120" w:type="dxa"/>
            <w:vAlign w:val="bottom"/>
          </w:tcPr>
          <w:p>
            <w:pPr>
              <w:spacing w:after="0"/>
              <w:rPr>
                <w:sz w:val="16"/>
                <w:szCs w:val="16"/>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1,332,803</w:t>
            </w:r>
          </w:p>
        </w:tc>
        <w:tc>
          <w:tcPr>
            <w:tcW w:w="100" w:type="dxa"/>
            <w:vAlign w:val="bottom"/>
          </w:tcPr>
          <w:p>
            <w:pPr>
              <w:spacing w:after="0"/>
              <w:rPr>
                <w:sz w:val="16"/>
                <w:szCs w:val="16"/>
                <w:color w:val="auto"/>
              </w:rPr>
            </w:pPr>
          </w:p>
        </w:tc>
        <w:tc>
          <w:tcPr>
            <w:tcW w:w="160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7,950,192</w:t>
            </w: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June 30, 2018</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6,291,850</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993,741</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7,285,591</w:t>
            </w: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June 30, 2019</w:t>
            </w: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6,273,907</w:t>
            </w:r>
          </w:p>
        </w:tc>
        <w:tc>
          <w:tcPr>
            <w:tcW w:w="120" w:type="dxa"/>
            <w:vAlign w:val="bottom"/>
          </w:tcPr>
          <w:p>
            <w:pPr>
              <w:spacing w:after="0"/>
              <w:rPr>
                <w:sz w:val="16"/>
                <w:szCs w:val="16"/>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1,124,302</w:t>
            </w:r>
          </w:p>
        </w:tc>
        <w:tc>
          <w:tcPr>
            <w:tcW w:w="100" w:type="dxa"/>
            <w:vAlign w:val="bottom"/>
          </w:tcPr>
          <w:p>
            <w:pPr>
              <w:spacing w:after="0"/>
              <w:rPr>
                <w:sz w:val="16"/>
                <w:szCs w:val="16"/>
                <w:color w:val="auto"/>
              </w:rPr>
            </w:pPr>
          </w:p>
        </w:tc>
        <w:tc>
          <w:tcPr>
            <w:tcW w:w="160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7,398,209</w:t>
            </w: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Proved undeveloped reserves:</w:t>
            </w:r>
          </w:p>
        </w:tc>
        <w:tc>
          <w:tcPr>
            <w:tcW w:w="1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June 30, 2017</w:t>
            </w: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1,754,761</w:t>
            </w:r>
          </w:p>
        </w:tc>
        <w:tc>
          <w:tcPr>
            <w:tcW w:w="120" w:type="dxa"/>
            <w:vAlign w:val="bottom"/>
          </w:tcPr>
          <w:p>
            <w:pPr>
              <w:spacing w:after="0"/>
              <w:rPr>
                <w:sz w:val="16"/>
                <w:szCs w:val="16"/>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353,425</w:t>
            </w:r>
          </w:p>
        </w:tc>
        <w:tc>
          <w:tcPr>
            <w:tcW w:w="100" w:type="dxa"/>
            <w:vAlign w:val="bottom"/>
          </w:tcPr>
          <w:p>
            <w:pPr>
              <w:spacing w:after="0"/>
              <w:rPr>
                <w:sz w:val="16"/>
                <w:szCs w:val="16"/>
                <w:color w:val="auto"/>
              </w:rPr>
            </w:pPr>
          </w:p>
        </w:tc>
        <w:tc>
          <w:tcPr>
            <w:tcW w:w="160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2,108,186</w:t>
            </w: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June 30, 2018</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1,798,340</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284,031</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2,082,371</w:t>
            </w: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June 30, 2019</w:t>
            </w: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1,341,824</w:t>
            </w:r>
          </w:p>
        </w:tc>
        <w:tc>
          <w:tcPr>
            <w:tcW w:w="120" w:type="dxa"/>
            <w:vAlign w:val="bottom"/>
          </w:tcPr>
          <w:p>
            <w:pPr>
              <w:spacing w:after="0"/>
              <w:rPr>
                <w:sz w:val="16"/>
                <w:szCs w:val="16"/>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240,459</w:t>
            </w:r>
          </w:p>
        </w:tc>
        <w:tc>
          <w:tcPr>
            <w:tcW w:w="100" w:type="dxa"/>
            <w:vAlign w:val="bottom"/>
          </w:tcPr>
          <w:p>
            <w:pPr>
              <w:spacing w:after="0"/>
              <w:rPr>
                <w:sz w:val="16"/>
                <w:szCs w:val="16"/>
                <w:color w:val="auto"/>
              </w:rPr>
            </w:pPr>
          </w:p>
        </w:tc>
        <w:tc>
          <w:tcPr>
            <w:tcW w:w="160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1,582,283</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320" w:right="360" w:firstLine="10"/>
        <w:spacing w:after="0" w:line="288" w:lineRule="auto"/>
        <w:tabs>
          <w:tab w:leader="none" w:pos="515"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positive crude oil revision resulted from better production performance during fiscal 2018. The negative NGL revision results primarily from lower expectations for ultimate NGL recoveries from the plant based on production data subsequent to the commencement of plant production.</w:t>
      </w:r>
    </w:p>
    <w:p>
      <w:pPr>
        <w:spacing w:after="0" w:line="130" w:lineRule="exact"/>
        <w:rPr>
          <w:rFonts w:ascii="Arial" w:cs="Arial" w:eastAsia="Arial" w:hAnsi="Arial"/>
          <w:sz w:val="14"/>
          <w:szCs w:val="14"/>
          <w:color w:val="auto"/>
        </w:rPr>
      </w:pPr>
    </w:p>
    <w:p>
      <w:pPr>
        <w:ind w:left="540" w:hanging="210"/>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positive crude oil and NGL revisions were the result of improvements in well and NGL plant performance respectively.</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Standardized Measure of Discounted Future Net Cash Flows</w:t>
      </w:r>
    </w:p>
    <w:p>
      <w:pPr>
        <w:spacing w:after="0" w:line="119" w:lineRule="exact"/>
        <w:rPr>
          <w:sz w:val="20"/>
          <w:szCs w:val="20"/>
          <w:color w:val="auto"/>
        </w:rPr>
      </w:pPr>
    </w:p>
    <w:p>
      <w:pPr>
        <w:jc w:val="both"/>
        <w:ind w:right="80" w:firstLine="323"/>
        <w:spacing w:after="0" w:line="272" w:lineRule="auto"/>
        <w:rPr>
          <w:sz w:val="20"/>
          <w:szCs w:val="20"/>
          <w:color w:val="auto"/>
        </w:rPr>
      </w:pPr>
      <w:r>
        <w:rPr>
          <w:rFonts w:ascii="Arial" w:cs="Arial" w:eastAsia="Arial" w:hAnsi="Arial"/>
          <w:sz w:val="14"/>
          <w:szCs w:val="14"/>
          <w:color w:val="auto"/>
        </w:rPr>
        <w:t>Future oil and natural gas sales and production and development costs have been estimated using prices and costs in effect at the end of the years indicated, as required by ASC 932, Extractive Activities - Oil and Gas ("ASC 932"). ASC 932 requires that net cash flow amounts be discounted at 10%. Future production and development costs are computed by estimating the expenditures to be incurred in developing and producing our proved oil and natural gas reserves and asset retirement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20" w:top="340"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382" w:lineRule="exact"/>
        <w:rPr>
          <w:sz w:val="20"/>
          <w:szCs w:val="20"/>
          <w:color w:val="auto"/>
        </w:rPr>
      </w:pPr>
    </w:p>
    <w:p>
      <w:pPr>
        <w:ind w:right="120"/>
        <w:spacing w:after="0" w:line="294" w:lineRule="auto"/>
        <w:rPr>
          <w:sz w:val="20"/>
          <w:szCs w:val="20"/>
          <w:color w:val="auto"/>
        </w:rPr>
      </w:pPr>
      <w:r>
        <w:rPr>
          <w:rFonts w:ascii="Arial" w:cs="Arial" w:eastAsia="Arial" w:hAnsi="Arial"/>
          <w:sz w:val="13"/>
          <w:szCs w:val="13"/>
          <w:color w:val="auto"/>
        </w:rPr>
        <w:t>obligations assuming continuation of existing economic conditions. Future income tax expenses are computed by applying the appropriate period-end statutory tax rates to the future pretax net cash flow relating to our proved oil and natural gas reserves, less the tax basis of the related properties. The future income tax expenses do not give effect to tax credits, allowances, or the impact of general and administrative costs of ongoing operations relating to the Company's proved oil and natural gas reserves. Changes in the demand for oil and natural gas, inflation, and other factors make such estimates inherently imprecise and subject to substantial revision. The table below should not be construed to be an estimate of the current market value of our proved reserves.</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standardized measure of discounted future net cash flows related to proved oil and natural gas reserves as of June 30, 2019 and 2018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1"/>
                <w:szCs w:val="11"/>
                <w:b w:val="1"/>
                <w:bCs w:val="1"/>
                <w:color w:val="auto"/>
              </w:rPr>
              <w:t>As of June 30,</w:t>
            </w:r>
          </w:p>
        </w:tc>
        <w:tc>
          <w:tcPr>
            <w:tcW w:w="1040" w:type="dxa"/>
            <w:vAlign w:val="bottom"/>
            <w:tcBorders>
              <w:bottom w:val="single" w:sz="8" w:color="auto"/>
            </w:tcBorders>
          </w:tcPr>
          <w:p>
            <w:pPr>
              <w:spacing w:after="0"/>
              <w:rPr>
                <w:sz w:val="13"/>
                <w:szCs w:val="13"/>
                <w:color w:val="auto"/>
              </w:rPr>
            </w:pPr>
          </w:p>
        </w:tc>
      </w:tr>
      <w:tr>
        <w:trPr>
          <w:trHeight w:val="206"/>
        </w:trPr>
        <w:tc>
          <w:tcPr>
            <w:tcW w:w="8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2018</w:t>
            </w:r>
          </w:p>
        </w:tc>
      </w:tr>
      <w:tr>
        <w:trPr>
          <w:trHeight w:val="19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Future cash inflows</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524,037,200</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521,533,765</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Future production costs and severance taxes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(208,539,679)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(228,478,119)</w:t>
            </w:r>
          </w:p>
        </w:tc>
      </w:tr>
      <w:tr>
        <w:trPr>
          <w:trHeight w:val="23"/>
        </w:trPr>
        <w:tc>
          <w:tcPr>
            <w:tcW w:w="8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Future development costs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(18,395,252)</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(22,213,269)</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Future income tax expenses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(55,881,997)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(50,810,883)</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Future net cash flows</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241,220,272</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220,031,494</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10% annual discount for estimated timing of cash flows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(114,488,230)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(101,073,080)</w:t>
            </w:r>
          </w:p>
        </w:tc>
      </w:tr>
      <w:tr>
        <w:trPr>
          <w:trHeight w:val="23"/>
        </w:trPr>
        <w:tc>
          <w:tcPr>
            <w:tcW w:w="8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0"/>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Standardized measure of discounted future net cash flows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126,732,042</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118,958,414</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right="180" w:firstLine="323"/>
        <w:spacing w:after="0" w:line="288" w:lineRule="auto"/>
        <w:rPr>
          <w:sz w:val="20"/>
          <w:szCs w:val="20"/>
          <w:color w:val="auto"/>
        </w:rPr>
      </w:pPr>
      <w:r>
        <w:rPr>
          <w:rFonts w:ascii="Arial" w:cs="Arial" w:eastAsia="Arial" w:hAnsi="Arial"/>
          <w:sz w:val="14"/>
          <w:szCs w:val="14"/>
          <w:color w:val="auto"/>
        </w:rPr>
        <w:t>Future cash inflows represent expected revenues from production of period-end quantities of proved reserves based on the previous 12 months unweighted arithmetic average first-day-of-the-month commodity prices for each year and reflect adjustments for lease quality, transportation fees, energy content and regional price differentials.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558"/>
              <w:spacing w:after="0"/>
              <w:rPr>
                <w:sz w:val="20"/>
                <w:szCs w:val="20"/>
                <w:color w:val="auto"/>
              </w:rPr>
            </w:pPr>
            <w:r>
              <w:rPr>
                <w:rFonts w:ascii="Arial" w:cs="Arial" w:eastAsia="Arial" w:hAnsi="Arial"/>
                <w:sz w:val="11"/>
                <w:szCs w:val="11"/>
                <w:b w:val="1"/>
                <w:bCs w:val="1"/>
                <w:color w:val="auto"/>
              </w:rPr>
              <w:t>For the Years Ended June 30,</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206"/>
        </w:trPr>
        <w:tc>
          <w:tcPr>
            <w:tcW w:w="5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2019</w:t>
            </w: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218"/>
              <w:spacing w:after="0"/>
              <w:rPr>
                <w:sz w:val="20"/>
                <w:szCs w:val="20"/>
                <w:color w:val="auto"/>
              </w:rPr>
            </w:pPr>
            <w:r>
              <w:rPr>
                <w:rFonts w:ascii="Arial" w:cs="Arial" w:eastAsia="Arial" w:hAnsi="Arial"/>
                <w:sz w:val="11"/>
                <w:szCs w:val="11"/>
                <w:b w:val="1"/>
                <w:bCs w:val="1"/>
                <w:color w:val="auto"/>
              </w:rPr>
              <w:t>2018</w:t>
            </w:r>
          </w:p>
        </w:tc>
      </w:tr>
      <w:tr>
        <w:trPr>
          <w:trHeight w:val="118"/>
        </w:trPr>
        <w:tc>
          <w:tcPr>
            <w:tcW w:w="5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gridSpan w:val="3"/>
          </w:tcPr>
          <w:p>
            <w:pPr>
              <w:jc w:val="center"/>
              <w:ind w:right="700"/>
              <w:spacing w:after="0" w:line="119" w:lineRule="exact"/>
              <w:rPr>
                <w:sz w:val="20"/>
                <w:szCs w:val="20"/>
                <w:color w:val="auto"/>
              </w:rPr>
            </w:pPr>
            <w:r>
              <w:rPr>
                <w:rFonts w:ascii="Arial" w:cs="Arial" w:eastAsia="Arial" w:hAnsi="Arial"/>
                <w:sz w:val="11"/>
                <w:szCs w:val="11"/>
                <w:b w:val="1"/>
                <w:bCs w:val="1"/>
                <w:color w:val="auto"/>
              </w:rPr>
              <w:t>Oil</w:t>
            </w:r>
          </w:p>
        </w:tc>
        <w:tc>
          <w:tcPr>
            <w:tcW w:w="1580" w:type="dxa"/>
            <w:vAlign w:val="bottom"/>
            <w:gridSpan w:val="3"/>
          </w:tcPr>
          <w:p>
            <w:pPr>
              <w:jc w:val="center"/>
              <w:ind w:right="700"/>
              <w:spacing w:after="0" w:line="119" w:lineRule="exact"/>
              <w:rPr>
                <w:sz w:val="20"/>
                <w:szCs w:val="20"/>
                <w:color w:val="auto"/>
              </w:rPr>
            </w:pPr>
            <w:r>
              <w:rPr>
                <w:rFonts w:ascii="Arial" w:cs="Arial" w:eastAsia="Arial" w:hAnsi="Arial"/>
                <w:sz w:val="11"/>
                <w:szCs w:val="11"/>
                <w:b w:val="1"/>
                <w:bCs w:val="1"/>
                <w:color w:val="auto"/>
                <w:w w:val="95"/>
              </w:rPr>
              <w:t>Gas</w:t>
            </w:r>
          </w:p>
        </w:tc>
        <w:tc>
          <w:tcPr>
            <w:tcW w:w="940" w:type="dxa"/>
            <w:vAlign w:val="bottom"/>
          </w:tcPr>
          <w:p>
            <w:pPr>
              <w:jc w:val="center"/>
              <w:ind w:right="198"/>
              <w:spacing w:after="0" w:line="119" w:lineRule="exact"/>
              <w:rPr>
                <w:sz w:val="20"/>
                <w:szCs w:val="20"/>
                <w:color w:val="auto"/>
              </w:rPr>
            </w:pPr>
            <w:r>
              <w:rPr>
                <w:rFonts w:ascii="Arial" w:cs="Arial" w:eastAsia="Arial" w:hAnsi="Arial"/>
                <w:sz w:val="11"/>
                <w:szCs w:val="11"/>
                <w:b w:val="1"/>
                <w:bCs w:val="1"/>
                <w:color w:val="auto"/>
              </w:rPr>
              <w:t>Oil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Gas</w:t>
            </w:r>
          </w:p>
        </w:tc>
      </w:tr>
      <w:tr>
        <w:trPr>
          <w:trHeight w:val="153"/>
        </w:trPr>
        <w:tc>
          <w:tcPr>
            <w:tcW w:w="56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279"/>
              <w:spacing w:after="0"/>
              <w:rPr>
                <w:sz w:val="20"/>
                <w:szCs w:val="20"/>
                <w:color w:val="auto"/>
              </w:rPr>
            </w:pPr>
            <w:r>
              <w:rPr>
                <w:rFonts w:ascii="Arial" w:cs="Arial" w:eastAsia="Arial" w:hAnsi="Arial"/>
                <w:sz w:val="11"/>
                <w:szCs w:val="11"/>
                <w:b w:val="1"/>
                <w:bCs w:val="1"/>
                <w:color w:val="auto"/>
                <w:w w:val="95"/>
              </w:rPr>
              <w:t>(Bbl)</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1"/>
                <w:szCs w:val="11"/>
                <w:b w:val="1"/>
                <w:bCs w:val="1"/>
                <w:color w:val="auto"/>
              </w:rPr>
              <w:t>(MMBtu)</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78"/>
              <w:spacing w:after="0"/>
              <w:rPr>
                <w:sz w:val="20"/>
                <w:szCs w:val="20"/>
                <w:color w:val="auto"/>
              </w:rPr>
            </w:pPr>
            <w:r>
              <w:rPr>
                <w:rFonts w:ascii="Arial" w:cs="Arial" w:eastAsia="Arial" w:hAnsi="Arial"/>
                <w:sz w:val="11"/>
                <w:szCs w:val="11"/>
                <w:b w:val="1"/>
                <w:bCs w:val="1"/>
                <w:color w:val="auto"/>
              </w:rPr>
              <w:t>(Bbl)</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(MMBtu)</w:t>
            </w:r>
          </w:p>
        </w:tc>
      </w:tr>
      <w:tr>
        <w:trPr>
          <w:trHeight w:val="188"/>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NYMEX prices used in determining future cash flows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4"/>
                <w:szCs w:val="14"/>
                <w:color w:val="auto"/>
              </w:rPr>
              <w:t>61.62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ind w:left="940"/>
              <w:spacing w:after="0"/>
              <w:rPr>
                <w:sz w:val="20"/>
                <w:szCs w:val="20"/>
                <w:color w:val="auto"/>
              </w:rPr>
            </w:pPr>
            <w:r>
              <w:rPr>
                <w:rFonts w:ascii="Arial" w:cs="Arial" w:eastAsia="Arial" w:hAnsi="Arial"/>
                <w:sz w:val="14"/>
                <w:szCs w:val="14"/>
                <w:color w:val="auto"/>
              </w:rPr>
              <w:t>n/a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23"/>
        </w:trPr>
        <w:tc>
          <w:tcPr>
            <w:tcW w:w="56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r>
    </w:tbl>
    <w:p>
      <w:pPr>
        <w:spacing w:after="0" w:line="205" w:lineRule="exact"/>
        <w:rPr>
          <w:sz w:val="20"/>
          <w:szCs w:val="20"/>
          <w:color w:val="auto"/>
        </w:rPr>
      </w:pPr>
    </w:p>
    <w:p>
      <w:pPr>
        <w:ind w:right="220" w:firstLine="345"/>
        <w:spacing w:after="0" w:line="288" w:lineRule="auto"/>
        <w:rPr>
          <w:sz w:val="20"/>
          <w:szCs w:val="20"/>
          <w:color w:val="auto"/>
        </w:rPr>
      </w:pPr>
      <w:r>
        <w:rPr>
          <w:rFonts w:ascii="Arial" w:cs="Arial" w:eastAsia="Arial" w:hAnsi="Arial"/>
          <w:sz w:val="14"/>
          <w:szCs w:val="14"/>
          <w:color w:val="auto"/>
        </w:rPr>
        <w:t>There were no natural gas reserves in 2019 and 2018. The NGL prices utilized for future cash inflows were based on historical prices received, where available. For the Delhi NGL plant, we utilized historical prices for the expected mix and net pricing of natural gas liquid products projected to be produced by the plant.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60"/>
          </w:cols>
          <w:pgMar w:left="220" w:top="340" w:right="219"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color w:val="auto"/>
        </w:rPr>
        <w:t>EVOLUTION PETROLEUM CORPORATION AND SUBSIDIARIES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left="360"/>
        <w:spacing w:after="0"/>
        <w:rPr>
          <w:sz w:val="20"/>
          <w:szCs w:val="20"/>
          <w:color w:val="auto"/>
        </w:rPr>
      </w:pPr>
      <w:r>
        <w:rPr>
          <w:rFonts w:ascii="Arial" w:cs="Arial" w:eastAsia="Arial" w:hAnsi="Arial"/>
          <w:sz w:val="13"/>
          <w:szCs w:val="13"/>
          <w:color w:val="auto"/>
        </w:rPr>
        <w:t>A summary of the changes in the standardized measure of discounted future net cash flows applicable to proved crude oil, natural gas liquids, and natural gas reserves is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6"/>
          </w:tcPr>
          <w:p>
            <w:pPr>
              <w:ind w:left="460"/>
              <w:spacing w:after="0"/>
              <w:rPr>
                <w:sz w:val="20"/>
                <w:szCs w:val="20"/>
                <w:color w:val="auto"/>
              </w:rPr>
            </w:pPr>
            <w:r>
              <w:rPr>
                <w:rFonts w:ascii="Arial" w:cs="Arial" w:eastAsia="Arial" w:hAnsi="Arial"/>
                <w:sz w:val="11"/>
                <w:szCs w:val="11"/>
                <w:b w:val="1"/>
                <w:bCs w:val="1"/>
                <w:color w:val="auto"/>
              </w:rPr>
              <w:t>For the Years Ended June 30,</w:t>
            </w:r>
          </w:p>
        </w:tc>
        <w:tc>
          <w:tcPr>
            <w:tcW w:w="0" w:type="dxa"/>
            <w:vAlign w:val="bottom"/>
          </w:tcPr>
          <w:p>
            <w:pPr>
              <w:spacing w:after="0"/>
              <w:rPr>
                <w:sz w:val="1"/>
                <w:szCs w:val="1"/>
                <w:color w:val="auto"/>
              </w:rPr>
            </w:pPr>
          </w:p>
        </w:tc>
      </w:tr>
      <w:tr>
        <w:trPr>
          <w:trHeight w:val="206"/>
        </w:trPr>
        <w:tc>
          <w:tcPr>
            <w:tcW w:w="51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90"/>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2018</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beginning of the fiscal year</w:t>
            </w: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118,958,414</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82,937,553</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Net changes in sales prices and production costs related to future production</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23,753,518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62,011,112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estimated future development costs</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833,494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267,547</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Sales of oil and gas produced during the period, net of production costs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(28,962,837)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(29,087,710)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due to extensions, discoveries, and improved recovery</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Net change due to revisions in quantity estimates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6,129,847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888,896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due to sales of minerals in place</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Development costs incurred during the period</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2,089,139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Accretion of discount</w:t>
            </w: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14,604,387</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11,089,455</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Net change in discounted income taxes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(2,795,183)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871,540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changes in timing of production and other</w:t>
            </w: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(7,878,737)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(10,019,979)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60" w:type="dxa"/>
            <w:vAlign w:val="bottom"/>
          </w:tcPr>
          <w:p>
            <w:pPr>
              <w:ind w:left="20"/>
              <w:spacing w:after="0"/>
              <w:rPr>
                <w:sz w:val="20"/>
                <w:szCs w:val="20"/>
                <w:color w:val="auto"/>
              </w:rPr>
            </w:pPr>
            <w:r>
              <w:rPr>
                <w:rFonts w:ascii="Arial" w:cs="Arial" w:eastAsia="Arial" w:hAnsi="Arial"/>
                <w:sz w:val="14"/>
                <w:szCs w:val="14"/>
                <w:color w:val="auto"/>
              </w:rPr>
              <w:t>Balance, end of the fiscal year</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126,732,042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118,958,414</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Note 21 – Selected Quarterly Financial Data (Unaudited)</w:t>
            </w: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360" w:type="dxa"/>
            <w:vAlign w:val="bottom"/>
            <w:gridSpan w:val="7"/>
          </w:tcPr>
          <w:p>
            <w:pPr>
              <w:ind w:left="360"/>
              <w:spacing w:after="0"/>
              <w:rPr>
                <w:sz w:val="20"/>
                <w:szCs w:val="20"/>
                <w:color w:val="auto"/>
              </w:rPr>
            </w:pPr>
            <w:r>
              <w:rPr>
                <w:rFonts w:ascii="Arial" w:cs="Arial" w:eastAsia="Arial" w:hAnsi="Arial"/>
                <w:sz w:val="14"/>
                <w:szCs w:val="14"/>
                <w:color w:val="auto"/>
              </w:rPr>
              <w:t>The following table presents summarized quarterly financial information for the fiscal years ended June 30, 2019 and 2018:</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2019</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First (1)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Second</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290"/>
              <w:spacing w:after="0"/>
              <w:rPr>
                <w:sz w:val="20"/>
                <w:szCs w:val="20"/>
                <w:color w:val="auto"/>
              </w:rPr>
            </w:pPr>
            <w:r>
              <w:rPr>
                <w:rFonts w:ascii="Arial" w:cs="Arial" w:eastAsia="Arial" w:hAnsi="Arial"/>
                <w:sz w:val="11"/>
                <w:szCs w:val="11"/>
                <w:b w:val="1"/>
                <w:bCs w:val="1"/>
                <w:color w:val="auto"/>
              </w:rPr>
              <w:t>Third</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Fourth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12,307,079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11,048,118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9,501,028</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10,373,396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5,994,927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4,733,747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2,952,955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3,955,194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available to common shareholders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5,795,801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3,904,565</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2,398,875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3,277,825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Basic net income per share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0.12</w:t>
            </w:r>
          </w:p>
        </w:tc>
        <w:tc>
          <w:tcPr>
            <w:tcW w:w="80" w:type="dxa"/>
            <w:vAlign w:val="bottom"/>
          </w:tcPr>
          <w:p>
            <w:pPr>
              <w:spacing w:after="0"/>
              <w:rPr>
                <w:sz w:val="16"/>
                <w:szCs w:val="16"/>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0.10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net income per share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0.17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0.12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0.10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1"/>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2018</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First</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Second (2)</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290"/>
              <w:spacing w:after="0"/>
              <w:rPr>
                <w:sz w:val="20"/>
                <w:szCs w:val="20"/>
                <w:color w:val="auto"/>
              </w:rPr>
            </w:pPr>
            <w:r>
              <w:rPr>
                <w:rFonts w:ascii="Arial" w:cs="Arial" w:eastAsia="Arial" w:hAnsi="Arial"/>
                <w:sz w:val="11"/>
                <w:szCs w:val="11"/>
                <w:b w:val="1"/>
                <w:bCs w:val="1"/>
                <w:color w:val="auto"/>
              </w:rPr>
              <w:t>Third</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1"/>
                <w:szCs w:val="11"/>
                <w:b w:val="1"/>
                <w:bCs w:val="1"/>
                <w:color w:val="auto"/>
              </w:rPr>
              <w:t>Fourth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8,537,871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11,066,911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10,249,566</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11,426,864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2,536,459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4,829,252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3,663,267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5,182,663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available to common shareholders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2,140,532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9,876,848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3,068,354</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4,532,750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Basic net income per share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51"/>
              <w:spacing w:after="0"/>
              <w:rPr>
                <w:sz w:val="20"/>
                <w:szCs w:val="20"/>
                <w:color w:val="auto"/>
              </w:rPr>
            </w:pPr>
            <w:r>
              <w:rPr>
                <w:rFonts w:ascii="Arial" w:cs="Arial" w:eastAsia="Arial" w:hAnsi="Arial"/>
                <w:sz w:val="14"/>
                <w:szCs w:val="14"/>
                <w:color w:val="auto"/>
              </w:rPr>
              <w:t>0.30</w:t>
            </w:r>
          </w:p>
        </w:tc>
        <w:tc>
          <w:tcPr>
            <w:tcW w:w="80" w:type="dxa"/>
            <w:vAlign w:val="bottom"/>
          </w:tcPr>
          <w:p>
            <w:pPr>
              <w:spacing w:after="0"/>
              <w:rPr>
                <w:sz w:val="16"/>
                <w:szCs w:val="16"/>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0.14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net income per share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0.30</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00" w:hanging="194"/>
        <w:spacing w:after="0"/>
        <w:tabs>
          <w:tab w:leader="none" w:pos="2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first quarter of fiscal 2019 included other income of $1.1 million for the Enduro transaction breakup fee.</w:t>
      </w:r>
    </w:p>
    <w:p>
      <w:pPr>
        <w:spacing w:after="0" w:line="65" w:lineRule="exact"/>
        <w:rPr>
          <w:rFonts w:ascii="Arial" w:cs="Arial" w:eastAsia="Arial" w:hAnsi="Arial"/>
          <w:sz w:val="14"/>
          <w:szCs w:val="14"/>
          <w:color w:val="auto"/>
        </w:rPr>
      </w:pPr>
    </w:p>
    <w:p>
      <w:pPr>
        <w:ind w:left="200" w:hanging="194"/>
        <w:spacing w:after="0"/>
        <w:tabs>
          <w:tab w:leader="none" w:pos="2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second quarter of fiscal 2018 was impacted by a $6 million tax benefit attributable to the Tax Cut and Jobs Act enacted during December 2017.</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60"/>
          </w:cols>
          <w:pgMar w:left="220" w:top="340" w:right="21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11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220" w:lineRule="exact"/>
        <w:rPr>
          <w:sz w:val="20"/>
          <w:szCs w:val="20"/>
          <w:color w:val="auto"/>
        </w:rPr>
      </w:pPr>
    </w:p>
    <w:p>
      <w:pPr>
        <w:ind w:right="80" w:firstLine="345"/>
        <w:spacing w:after="0" w:line="272" w:lineRule="auto"/>
        <w:rPr>
          <w:sz w:val="20"/>
          <w:szCs w:val="20"/>
          <w:color w:val="auto"/>
        </w:rPr>
      </w:pPr>
      <w:r>
        <w:rPr>
          <w:rFonts w:ascii="Arial" w:cs="Arial" w:eastAsia="Arial" w:hAnsi="Arial"/>
          <w:sz w:val="14"/>
          <w:szCs w:val="14"/>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this Company's management, including our interim Chief Executive Officer and Chief Financial Officer, as appropriate to allow for timely decisions regarding required disclosure.</w:t>
      </w:r>
    </w:p>
    <w:p>
      <w:pPr>
        <w:spacing w:after="0" w:line="164" w:lineRule="exact"/>
        <w:rPr>
          <w:sz w:val="20"/>
          <w:szCs w:val="20"/>
          <w:color w:val="auto"/>
        </w:rPr>
      </w:pPr>
    </w:p>
    <w:p>
      <w:pPr>
        <w:ind w:right="140" w:firstLine="345"/>
        <w:spacing w:after="0" w:line="264" w:lineRule="auto"/>
        <w:rPr>
          <w:sz w:val="20"/>
          <w:szCs w:val="20"/>
          <w:color w:val="auto"/>
        </w:rPr>
      </w:pPr>
      <w:r>
        <w:rPr>
          <w:rFonts w:ascii="Arial" w:cs="Arial" w:eastAsia="Arial" w:hAnsi="Arial"/>
          <w:sz w:val="14"/>
          <w:szCs w:val="14"/>
          <w:color w:val="auto"/>
        </w:rPr>
        <w:t>As required by Securities and Exchange Commission Rule 13a-15(b), we carried out an evaluation, under the supervision and with the participation of the Company's management, including our interim Chief Executive Officer and Chief Financial Officer, of the effectiveness of the design and operation of our disclosure controls and procedures as of the end of the period covered by this report. Based on this evaluation, our interim Chief Executive Officer and Chief Financial Officer concluded that our disclosure controls and procedures are effective in ensuring that the information required to be disclosed in our reports filed or submitted under the Exchange Act is recorded, processed, summarized and reported within the time periods specified in the Securities and Exchange Commission rules and forms.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20" w:lineRule="exact"/>
        <w:rPr>
          <w:sz w:val="20"/>
          <w:szCs w:val="20"/>
          <w:color w:val="auto"/>
        </w:rPr>
      </w:pPr>
    </w:p>
    <w:p>
      <w:pPr>
        <w:ind w:right="20" w:firstLine="345"/>
        <w:spacing w:after="0" w:line="267" w:lineRule="auto"/>
        <w:rPr>
          <w:sz w:val="20"/>
          <w:szCs w:val="20"/>
          <w:color w:val="auto"/>
        </w:rPr>
      </w:pPr>
      <w:r>
        <w:rPr>
          <w:rFonts w:ascii="Arial" w:cs="Arial" w:eastAsia="Arial" w:hAnsi="Arial"/>
          <w:sz w:val="14"/>
          <w:szCs w:val="14"/>
          <w:color w:val="auto"/>
        </w:rPr>
        <w:t>The Company's management is responsible for establishing and maintaining adequate internal control over financial reporting (as defined in Rules 13a-15(f) and 15d-15(f) of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70" w:lineRule="exact"/>
        <w:rPr>
          <w:sz w:val="20"/>
          <w:szCs w:val="20"/>
          <w:color w:val="auto"/>
        </w:rPr>
      </w:pPr>
    </w:p>
    <w:p>
      <w:pPr>
        <w:ind w:left="520" w:hanging="255"/>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w:t>
      </w:r>
    </w:p>
    <w:p>
      <w:pPr>
        <w:spacing w:after="0" w:line="20" w:lineRule="exact"/>
        <w:rPr>
          <w:rFonts w:ascii="Arial" w:cs="Arial" w:eastAsia="Arial" w:hAnsi="Arial"/>
          <w:sz w:val="14"/>
          <w:szCs w:val="14"/>
          <w:color w:val="auto"/>
        </w:rPr>
      </w:pPr>
    </w:p>
    <w:p>
      <w:pPr>
        <w:ind w:left="520" w:right="340" w:hanging="255"/>
        <w:spacing w:after="0" w:line="299" w:lineRule="auto"/>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 w:lineRule="exact"/>
        <w:rPr>
          <w:rFonts w:ascii="Arial" w:cs="Arial" w:eastAsia="Arial" w:hAnsi="Arial"/>
          <w:sz w:val="12"/>
          <w:szCs w:val="12"/>
          <w:color w:val="auto"/>
        </w:rPr>
      </w:pPr>
    </w:p>
    <w:p>
      <w:pPr>
        <w:ind w:left="520" w:hanging="255"/>
        <w:spacing w:after="0" w:line="274"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ind w:right="40" w:firstLine="345"/>
        <w:spacing w:after="0" w:line="263" w:lineRule="auto"/>
        <w:rPr>
          <w:sz w:val="20"/>
          <w:szCs w:val="20"/>
          <w:color w:val="auto"/>
        </w:rPr>
      </w:pPr>
      <w:r>
        <w:rPr>
          <w:rFonts w:ascii="Arial" w:cs="Arial" w:eastAsia="Arial" w:hAnsi="Arial"/>
          <w:sz w:val="14"/>
          <w:szCs w:val="14"/>
          <w:color w:val="auto"/>
        </w:rPr>
        <w:t xml:space="preserve">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risk that controls may become inadequate because of changes in conditions, or that the degree of compliance with the policies or procedures may deteriorate. Under the supervision and with the participation of management, including the Chief Executive Officer and the Chief Financial Officer, an evaluation was conducted on the effectiveness of the Company's internal control over financial reporting based on criteria established in the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in 2013. Management concluded that the Company maintained effective internal control over financial reporting as of June 30, 2019.</w:t>
      </w:r>
    </w:p>
    <w:p>
      <w:pPr>
        <w:spacing w:after="0" w:line="170" w:lineRule="exact"/>
        <w:rPr>
          <w:sz w:val="20"/>
          <w:szCs w:val="20"/>
          <w:color w:val="auto"/>
        </w:rPr>
      </w:pPr>
    </w:p>
    <w:p>
      <w:pPr>
        <w:ind w:right="60" w:firstLine="345"/>
        <w:spacing w:after="0" w:line="272" w:lineRule="auto"/>
        <w:rPr>
          <w:sz w:val="20"/>
          <w:szCs w:val="20"/>
          <w:color w:val="auto"/>
        </w:rPr>
      </w:pPr>
      <w:r>
        <w:rPr>
          <w:rFonts w:ascii="Arial" w:cs="Arial" w:eastAsia="Arial" w:hAnsi="Arial"/>
          <w:sz w:val="14"/>
          <w:szCs w:val="14"/>
          <w:color w:val="auto"/>
        </w:rPr>
        <w:t xml:space="preserve">The effectiveness of our internal control over financial reporting at June 30, 2019 has been audited by Moss Adams LLP, the independent registered public accounting firm that also audited our financial statements. Their report is included in </w:t>
      </w:r>
      <w:r>
        <w:rPr>
          <w:rFonts w:ascii="Arial" w:cs="Arial" w:eastAsia="Arial" w:hAnsi="Arial"/>
          <w:sz w:val="14"/>
          <w:szCs w:val="14"/>
          <w:i w:val="1"/>
          <w:iCs w:val="1"/>
          <w:color w:val="auto"/>
        </w:rPr>
        <w:t>Item 8. "Financial Statements"</w:t>
      </w:r>
      <w:r>
        <w:rPr>
          <w:rFonts w:ascii="Arial" w:cs="Arial" w:eastAsia="Arial" w:hAnsi="Arial"/>
          <w:sz w:val="14"/>
          <w:szCs w:val="14"/>
          <w:color w:val="auto"/>
        </w:rPr>
        <w:t xml:space="preserve"> of this Annual Report on form 10-K under the heading Report of Independent Registered Public Accounting Firm on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231" w:lineRule="exact"/>
        <w:rPr>
          <w:sz w:val="20"/>
          <w:szCs w:val="20"/>
          <w:color w:val="auto"/>
        </w:rPr>
      </w:pPr>
    </w:p>
    <w:p>
      <w:pPr>
        <w:ind w:right="520" w:firstLine="345"/>
        <w:spacing w:after="0" w:line="288" w:lineRule="auto"/>
        <w:rPr>
          <w:sz w:val="20"/>
          <w:szCs w:val="20"/>
          <w:color w:val="auto"/>
        </w:rPr>
      </w:pPr>
      <w:r>
        <w:rPr>
          <w:rFonts w:ascii="Arial" w:cs="Arial" w:eastAsia="Arial" w:hAnsi="Arial"/>
          <w:sz w:val="14"/>
          <w:szCs w:val="14"/>
          <w:color w:val="auto"/>
        </w:rPr>
        <w:t>There has been no change in the Company's internal control over financial reporting during the fourth quarter ended June 30, 2019 that has materially affected, or is reasonably likely to materially affect, the Company's internal control over financial reporting.</w:t>
      </w:r>
    </w:p>
    <w:p>
      <w:pPr>
        <w:spacing w:after="0" w:line="62"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60"/>
          </w:cols>
          <w:pgMar w:left="220" w:top="129" w:right="21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PART III</w:t>
      </w:r>
    </w:p>
    <w:p>
      <w:pPr>
        <w:spacing w:after="0" w:line="22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color w:val="auto"/>
        </w:rPr>
        <w:t>Directors, Executive Officers And Corporate Governance</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Incorporated by reference to the Company's Proxy Statement to be filed with the Commission pursuant to Regulation 14A within 120 days of the end of the Company's 2019 fiscal year.</w:t>
      </w:r>
    </w:p>
    <w:p>
      <w:pPr>
        <w:spacing w:after="0" w:line="234"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Incorporated by reference to the Company's Proxy Statement to be filed with the Commission pursuant to Regulation 14A within 120 days of the end of the Company's 2019 fiscal year.</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color w:val="auto"/>
        </w:rPr>
        <w:t>Security Ownership of Certain Beneficial Owners and Management and Related Stockholder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Incorporated by reference to the Company's Proxy Statement to be filed with the Commission pursuant to Regulation 14A within 120 days of the end of the Company's 2019 fiscal year.</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Director Independence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Incorporated by reference to the Company's Proxy Statement to be filed with the Commission pursuant to Regulation 14A within 120 days of the end of the Company's 2019 fiscal year.</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color w:val="auto"/>
        </w:rPr>
        <w:t>Principal Accountant Fees and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Incorporated by reference to the Company's Proxy Statement to be filed with the Commission pursuant to Regulation 14A within 120 days of the end of the Company's 2019 fiscal year.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140"/>
          </w:cols>
          <w:pgMar w:left="220" w:top="129" w:right="5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PART IV.</w:t>
      </w:r>
    </w:p>
    <w:p>
      <w:pPr>
        <w:spacing w:after="0" w:line="227"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documents are filed as part of this report:</w:t>
      </w:r>
    </w:p>
    <w:p>
      <w:pPr>
        <w:spacing w:after="0" w:line="223" w:lineRule="exact"/>
        <w:rPr>
          <w:sz w:val="20"/>
          <w:szCs w:val="20"/>
          <w:color w:val="auto"/>
        </w:rPr>
      </w:pPr>
    </w:p>
    <w:p>
      <w:pPr>
        <w:ind w:left="540" w:hanging="254"/>
        <w:spacing w:after="0"/>
        <w:tabs>
          <w:tab w:leader="none" w:pos="54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Statements.</w:t>
      </w:r>
    </w:p>
    <w:p>
      <w:pPr>
        <w:spacing w:after="0" w:line="119" w:lineRule="exact"/>
        <w:rPr>
          <w:rFonts w:ascii="Arial" w:cs="Arial" w:eastAsia="Arial" w:hAnsi="Arial"/>
          <w:sz w:val="14"/>
          <w:szCs w:val="14"/>
          <w:b w:val="1"/>
          <w:bCs w:val="1"/>
          <w:color w:val="auto"/>
        </w:rPr>
      </w:pPr>
    </w:p>
    <w:p>
      <w:pPr>
        <w:ind w:left="5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Our consolidated financial statements are included in Part II, Item 8 of this report:</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Reports of Independent Registered Public Accounting Firm</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Consolidated Balance Sheets</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Consolidated Statements of Operations</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Consolidated Statements of Cash Flows</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Consolidated Statements of Changes in Stockholders' Equity</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Notes to the Consolidated Financial Statements</w:t>
      </w:r>
    </w:p>
    <w:p>
      <w:pPr>
        <w:spacing w:after="0" w:line="223" w:lineRule="exact"/>
        <w:rPr>
          <w:sz w:val="20"/>
          <w:szCs w:val="20"/>
          <w:color w:val="auto"/>
        </w:rPr>
      </w:pPr>
    </w:p>
    <w:p>
      <w:pPr>
        <w:ind w:left="860" w:right="5300" w:hanging="574"/>
        <w:spacing w:after="0" w:line="454" w:lineRule="auto"/>
        <w:tabs>
          <w:tab w:leader="none" w:pos="529"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Financial Statements Schedules and supplementary information required to be submitted: </w:t>
      </w:r>
      <w:r>
        <w:rPr>
          <w:rFonts w:ascii="Arial" w:cs="Arial" w:eastAsia="Arial" w:hAnsi="Arial"/>
          <w:sz w:val="14"/>
          <w:szCs w:val="14"/>
          <w:color w:val="auto"/>
        </w:rPr>
        <w:t>None.</w:t>
      </w:r>
    </w:p>
    <w:p>
      <w:pPr>
        <w:spacing w:after="0" w:line="59" w:lineRule="exact"/>
        <w:rPr>
          <w:rFonts w:ascii="Arial" w:cs="Arial" w:eastAsia="Arial" w:hAnsi="Arial"/>
          <w:sz w:val="14"/>
          <w:szCs w:val="14"/>
          <w:b w:val="1"/>
          <w:bCs w:val="1"/>
          <w:color w:val="auto"/>
        </w:rPr>
      </w:pPr>
    </w:p>
    <w:p>
      <w:pPr>
        <w:ind w:left="540" w:hanging="254"/>
        <w:spacing w:after="0"/>
        <w:tabs>
          <w:tab w:leader="none" w:pos="54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Exhibits</w:t>
      </w:r>
    </w:p>
    <w:p>
      <w:pPr>
        <w:spacing w:after="0" w:line="123" w:lineRule="exact"/>
        <w:rPr>
          <w:rFonts w:ascii="Arial" w:cs="Arial" w:eastAsia="Arial" w:hAnsi="Arial"/>
          <w:sz w:val="14"/>
          <w:szCs w:val="14"/>
          <w:b w:val="1"/>
          <w:bCs w:val="1"/>
          <w:color w:val="auto"/>
        </w:rPr>
      </w:pPr>
    </w:p>
    <w:p>
      <w:pPr>
        <w:ind w:left="520"/>
        <w:spacing w:after="0" w:line="328" w:lineRule="auto"/>
        <w:rPr>
          <w:rFonts w:ascii="Arial" w:cs="Arial" w:eastAsia="Arial" w:hAnsi="Arial"/>
          <w:sz w:val="14"/>
          <w:szCs w:val="14"/>
          <w:b w:val="1"/>
          <w:bCs w:val="1"/>
          <w:color w:val="auto"/>
        </w:rPr>
      </w:pPr>
      <w:r>
        <w:rPr>
          <w:rFonts w:ascii="Arial" w:cs="Arial" w:eastAsia="Arial" w:hAnsi="Arial"/>
          <w:sz w:val="13"/>
          <w:szCs w:val="13"/>
          <w:color w:val="auto"/>
        </w:rPr>
        <w:t>A list of the exhibits filed or furnished with this report on Form 10-K (or incorporated by reference to exhibits previously filed or furnished by us) is provided in the Master Exhibit Index of this report. Those exhibits incorporated by reference herein are indicated as such by the information supplied in the parenthetical thereafter. Otherwise, the exhibits are filed herewith.</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360"/>
          </w:cols>
          <w:pgMar w:left="220" w:top="129" w:right="31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200" w:lineRule="exact"/>
        <w:rPr>
          <w:sz w:val="20"/>
          <w:szCs w:val="20"/>
          <w:color w:val="auto"/>
        </w:rPr>
      </w:pPr>
    </w:p>
    <w:p>
      <w:pPr>
        <w:spacing w:after="0" w:line="203" w:lineRule="exact"/>
        <w:rPr>
          <w:sz w:val="20"/>
          <w:szCs w:val="20"/>
          <w:color w:val="auto"/>
        </w:rPr>
      </w:pPr>
    </w:p>
    <w:p>
      <w:pPr>
        <w:ind w:right="180" w:firstLine="345"/>
        <w:spacing w:after="0" w:line="288" w:lineRule="auto"/>
        <w:rPr>
          <w:sz w:val="20"/>
          <w:szCs w:val="20"/>
          <w:color w:val="auto"/>
        </w:rPr>
      </w:pPr>
      <w:r>
        <w:rPr>
          <w:rFonts w:ascii="Arial" w:cs="Arial" w:eastAsia="Arial" w:hAnsi="Arial"/>
          <w:sz w:val="14"/>
          <w:szCs w:val="14"/>
          <w:color w:val="auto"/>
        </w:rPr>
        <w:t>In accordance with Section 13 or 15(d) of the Securities Exchange Act of 1934, the registrant caused this report to be signed on its behalf by the undersigned, thereunto duly authorized in the City of Houston, Texas, on the date indicated.</w:t>
      </w:r>
    </w:p>
    <w:p>
      <w:pPr>
        <w:spacing w:after="0" w:line="364"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Evolution Petroleum Corporation</w:t>
      </w:r>
    </w:p>
    <w:p>
      <w:pPr>
        <w:sectPr>
          <w:pgSz w:w="11900" w:h="16838" w:orient="portrait"/>
          <w:cols w:equalWidth="0" w:num="1">
            <w:col w:w="11460"/>
          </w:cols>
          <w:pgMar w:left="220" w:top="129" w:right="21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 September 12, 2019</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1320"/>
        <w:spacing w:after="0"/>
        <w:rPr>
          <w:sz w:val="20"/>
          <w:szCs w:val="20"/>
          <w:color w:val="auto"/>
        </w:rPr>
      </w:pPr>
      <w:r>
        <w:rPr>
          <w:rFonts w:ascii="Arial" w:cs="Arial" w:eastAsia="Arial" w:hAnsi="Arial"/>
          <w:sz w:val="14"/>
          <w:szCs w:val="14"/>
          <w:color w:val="auto"/>
        </w:rPr>
        <w:t>/s/ JASON E. BROWN</w:t>
      </w:r>
    </w:p>
    <w:p>
      <w:pPr>
        <w:spacing w:after="0" w:line="21" w:lineRule="exact"/>
        <w:rPr>
          <w:sz w:val="20"/>
          <w:szCs w:val="20"/>
          <w:color w:val="auto"/>
        </w:rPr>
      </w:pPr>
    </w:p>
    <w:p>
      <w:pPr>
        <w:jc w:val="center"/>
        <w:ind w:right="1320"/>
        <w:spacing w:after="0"/>
        <w:rPr>
          <w:sz w:val="20"/>
          <w:szCs w:val="20"/>
          <w:color w:val="auto"/>
        </w:rPr>
      </w:pPr>
      <w:r>
        <w:rPr>
          <w:rFonts w:ascii="Arial" w:cs="Arial" w:eastAsia="Arial" w:hAnsi="Arial"/>
          <w:sz w:val="14"/>
          <w:szCs w:val="14"/>
          <w:i w:val="1"/>
          <w:iCs w:val="1"/>
          <w:color w:val="auto"/>
        </w:rPr>
        <w:t>Jason E. Brown</w:t>
      </w:r>
    </w:p>
    <w:p>
      <w:pPr>
        <w:spacing w:after="0" w:line="11" w:lineRule="exact"/>
        <w:rPr>
          <w:sz w:val="20"/>
          <w:szCs w:val="20"/>
          <w:color w:val="auto"/>
        </w:rPr>
      </w:pPr>
    </w:p>
    <w:p>
      <w:pPr>
        <w:jc w:val="center"/>
        <w:ind w:right="132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4"/>
          <w:szCs w:val="14"/>
          <w:i w:val="1"/>
          <w:iCs w:val="1"/>
          <w:color w:val="auto"/>
        </w:rPr>
        <w:t>(Principal Executive Officer)</w:t>
      </w:r>
    </w:p>
    <w:p>
      <w:pPr>
        <w:spacing w:after="0" w:line="200" w:lineRule="exact"/>
        <w:rPr>
          <w:sz w:val="20"/>
          <w:szCs w:val="20"/>
          <w:color w:val="auto"/>
        </w:rPr>
      </w:pPr>
    </w:p>
    <w:p>
      <w:pPr>
        <w:sectPr>
          <w:pgSz w:w="11900" w:h="16838" w:orient="portrait"/>
          <w:cols w:equalWidth="0" w:num="3">
            <w:col w:w="4940" w:space="720"/>
            <w:col w:w="1580" w:space="720"/>
            <w:col w:w="3500"/>
          </w:cols>
          <w:pgMar w:left="220" w:top="129" w:right="219" w:bottom="1440" w:gutter="0" w:footer="0" w:header="0"/>
          <w:type w:val="continuous"/>
        </w:sectPr>
      </w:pPr>
    </w:p>
    <w:p>
      <w:pPr>
        <w:spacing w:after="0" w:line="10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In accordance with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780" w:type="dxa"/>
            <w:vAlign w:val="bottom"/>
          </w:tcPr>
          <w:p>
            <w:pPr>
              <w:jc w:val="center"/>
              <w:ind w:right="410"/>
              <w:spacing w:after="0"/>
              <w:rPr>
                <w:sz w:val="20"/>
                <w:szCs w:val="20"/>
                <w:color w:val="auto"/>
              </w:rPr>
            </w:pPr>
            <w:r>
              <w:rPr>
                <w:rFonts w:ascii="Arial" w:cs="Arial" w:eastAsia="Arial" w:hAnsi="Arial"/>
                <w:sz w:val="11"/>
                <w:szCs w:val="11"/>
                <w:b w:val="1"/>
                <w:bCs w:val="1"/>
                <w:color w:val="auto"/>
                <w:w w:val="92"/>
              </w:rPr>
              <w:t>Date</w:t>
            </w:r>
          </w:p>
        </w:tc>
        <w:tc>
          <w:tcPr>
            <w:tcW w:w="2740" w:type="dxa"/>
            <w:vAlign w:val="bottom"/>
          </w:tcPr>
          <w:p>
            <w:pPr>
              <w:jc w:val="center"/>
              <w:ind w:left="829"/>
              <w:spacing w:after="0"/>
              <w:rPr>
                <w:sz w:val="20"/>
                <w:szCs w:val="20"/>
                <w:color w:val="auto"/>
              </w:rPr>
            </w:pPr>
            <w:r>
              <w:rPr>
                <w:rFonts w:ascii="Arial" w:cs="Arial" w:eastAsia="Arial" w:hAnsi="Arial"/>
                <w:sz w:val="11"/>
                <w:szCs w:val="11"/>
                <w:b w:val="1"/>
                <w:bCs w:val="1"/>
                <w:color w:val="auto"/>
                <w:w w:val="94"/>
              </w:rPr>
              <w:t>Signature</w:t>
            </w:r>
          </w:p>
        </w:tc>
        <w:tc>
          <w:tcPr>
            <w:tcW w:w="5940" w:type="dxa"/>
            <w:vAlign w:val="bottom"/>
          </w:tcPr>
          <w:p>
            <w:pPr>
              <w:jc w:val="center"/>
              <w:ind w:left="1289"/>
              <w:spacing w:after="0"/>
              <w:rPr>
                <w:sz w:val="20"/>
                <w:szCs w:val="20"/>
                <w:color w:val="auto"/>
              </w:rPr>
            </w:pPr>
            <w:r>
              <w:rPr>
                <w:rFonts w:ascii="Arial" w:cs="Arial" w:eastAsia="Arial" w:hAnsi="Arial"/>
                <w:sz w:val="11"/>
                <w:szCs w:val="11"/>
                <w:b w:val="1"/>
                <w:bCs w:val="1"/>
                <w:color w:val="auto"/>
                <w:w w:val="97"/>
              </w:rPr>
              <w:t>Title</w:t>
            </w:r>
          </w:p>
        </w:tc>
        <w:tc>
          <w:tcPr>
            <w:tcW w:w="0" w:type="dxa"/>
            <w:vAlign w:val="bottom"/>
          </w:tcPr>
          <w:p>
            <w:pPr>
              <w:spacing w:after="0"/>
              <w:rPr>
                <w:sz w:val="1"/>
                <w:szCs w:val="1"/>
                <w:color w:val="auto"/>
              </w:rPr>
            </w:pPr>
          </w:p>
        </w:tc>
      </w:tr>
      <w:tr>
        <w:trPr>
          <w:trHeight w:val="268"/>
        </w:trPr>
        <w:tc>
          <w:tcPr>
            <w:tcW w:w="27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2780" w:type="dxa"/>
            <w:vAlign w:val="bottom"/>
            <w:vMerge w:val="restart"/>
            <w:shd w:val="clear" w:color="auto" w:fill="CCEEFF"/>
          </w:tcPr>
          <w:p>
            <w:pPr>
              <w:jc w:val="center"/>
              <w:ind w:right="390"/>
              <w:spacing w:after="0"/>
              <w:rPr>
                <w:sz w:val="20"/>
                <w:szCs w:val="20"/>
                <w:color w:val="auto"/>
              </w:rPr>
            </w:pPr>
            <w:r>
              <w:rPr>
                <w:rFonts w:ascii="Arial" w:cs="Arial" w:eastAsia="Arial" w:hAnsi="Arial"/>
                <w:sz w:val="14"/>
                <w:szCs w:val="14"/>
                <w:color w:val="auto"/>
                <w:w w:val="91"/>
              </w:rPr>
              <w:t>September 12, 2019</w:t>
            </w:r>
          </w:p>
        </w:tc>
        <w:tc>
          <w:tcPr>
            <w:tcW w:w="274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w w:val="96"/>
              </w:rPr>
              <w:t>/s/ ROBERT S. HERLIN</w:t>
            </w:r>
          </w:p>
        </w:tc>
        <w:tc>
          <w:tcPr>
            <w:tcW w:w="5940" w:type="dxa"/>
            <w:vAlign w:val="bottom"/>
            <w:vMerge w:val="restart"/>
            <w:shd w:val="clear" w:color="auto" w:fill="CCEEFF"/>
          </w:tcPr>
          <w:p>
            <w:pPr>
              <w:jc w:val="center"/>
              <w:ind w:left="1309"/>
              <w:spacing w:after="0"/>
              <w:rPr>
                <w:sz w:val="20"/>
                <w:szCs w:val="20"/>
                <w:color w:val="auto"/>
              </w:rPr>
            </w:pPr>
            <w:r>
              <w:rPr>
                <w:rFonts w:ascii="Arial" w:cs="Arial" w:eastAsia="Arial" w:hAnsi="Arial"/>
                <w:sz w:val="14"/>
                <w:szCs w:val="14"/>
                <w:color w:val="auto"/>
                <w:w w:val="93"/>
              </w:rPr>
              <w:t>Chairman of the Board</w:t>
            </w:r>
          </w:p>
        </w:tc>
        <w:tc>
          <w:tcPr>
            <w:tcW w:w="0" w:type="dxa"/>
            <w:vAlign w:val="bottom"/>
          </w:tcPr>
          <w:p>
            <w:pPr>
              <w:spacing w:after="0"/>
              <w:rPr>
                <w:sz w:val="1"/>
                <w:szCs w:val="1"/>
                <w:color w:val="auto"/>
              </w:rPr>
            </w:pPr>
          </w:p>
        </w:tc>
      </w:tr>
      <w:tr>
        <w:trPr>
          <w:trHeight w:val="96"/>
        </w:trPr>
        <w:tc>
          <w:tcPr>
            <w:tcW w:w="2780" w:type="dxa"/>
            <w:vAlign w:val="bottom"/>
            <w:vMerge w:val="continue"/>
            <w:shd w:val="clear" w:color="auto" w:fill="CCEEFF"/>
          </w:tcPr>
          <w:p>
            <w:pPr>
              <w:spacing w:after="0"/>
              <w:rPr>
                <w:sz w:val="8"/>
                <w:szCs w:val="8"/>
                <w:color w:val="auto"/>
              </w:rPr>
            </w:pPr>
          </w:p>
        </w:tc>
        <w:tc>
          <w:tcPr>
            <w:tcW w:w="2740" w:type="dxa"/>
            <w:vAlign w:val="bottom"/>
            <w:vMerge w:val="restart"/>
            <w:shd w:val="clear" w:color="auto" w:fill="CCEEFF"/>
          </w:tcPr>
          <w:p>
            <w:pPr>
              <w:jc w:val="center"/>
              <w:ind w:left="809"/>
              <w:spacing w:after="0"/>
              <w:rPr>
                <w:sz w:val="20"/>
                <w:szCs w:val="20"/>
                <w:color w:val="auto"/>
              </w:rPr>
            </w:pPr>
            <w:r>
              <w:rPr>
                <w:rFonts w:ascii="Arial" w:cs="Arial" w:eastAsia="Arial" w:hAnsi="Arial"/>
                <w:sz w:val="14"/>
                <w:szCs w:val="14"/>
                <w:color w:val="auto"/>
                <w:w w:val="94"/>
              </w:rPr>
              <w:t>Robert S. Herlin</w:t>
            </w:r>
          </w:p>
        </w:tc>
        <w:tc>
          <w:tcPr>
            <w:tcW w:w="5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780" w:type="dxa"/>
            <w:vAlign w:val="bottom"/>
            <w:tcBorders>
              <w:bottom w:val="single" w:sz="8" w:color="CCEEFF"/>
            </w:tcBorders>
            <w:shd w:val="clear" w:color="auto" w:fill="CCEEFF"/>
          </w:tcPr>
          <w:p>
            <w:pPr>
              <w:spacing w:after="0"/>
              <w:rPr>
                <w:sz w:val="7"/>
                <w:szCs w:val="7"/>
                <w:color w:val="auto"/>
              </w:rPr>
            </w:pPr>
          </w:p>
        </w:tc>
        <w:tc>
          <w:tcPr>
            <w:tcW w:w="2740" w:type="dxa"/>
            <w:vAlign w:val="bottom"/>
            <w:tcBorders>
              <w:bottom w:val="single" w:sz="8" w:color="CCEEFF"/>
            </w:tcBorders>
            <w:vMerge w:val="continue"/>
            <w:shd w:val="clear" w:color="auto" w:fill="CCEEFF"/>
          </w:tcPr>
          <w:p>
            <w:pPr>
              <w:spacing w:after="0"/>
              <w:rPr>
                <w:sz w:val="7"/>
                <w:szCs w:val="7"/>
                <w:color w:val="auto"/>
              </w:rPr>
            </w:pPr>
          </w:p>
        </w:tc>
        <w:tc>
          <w:tcPr>
            <w:tcW w:w="59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780" w:type="dxa"/>
            <w:vAlign w:val="bottom"/>
            <w:vMerge w:val="restart"/>
          </w:tcPr>
          <w:p>
            <w:pPr>
              <w:jc w:val="center"/>
              <w:ind w:right="390"/>
              <w:spacing w:after="0"/>
              <w:rPr>
                <w:sz w:val="20"/>
                <w:szCs w:val="20"/>
                <w:color w:val="auto"/>
              </w:rPr>
            </w:pPr>
            <w:r>
              <w:rPr>
                <w:rFonts w:ascii="Arial" w:cs="Arial" w:eastAsia="Arial" w:hAnsi="Arial"/>
                <w:sz w:val="14"/>
                <w:szCs w:val="14"/>
                <w:color w:val="auto"/>
                <w:w w:val="91"/>
              </w:rPr>
              <w:t>September 12, 2019</w:t>
            </w:r>
          </w:p>
        </w:tc>
        <w:tc>
          <w:tcPr>
            <w:tcW w:w="2740" w:type="dxa"/>
            <w:vAlign w:val="bottom"/>
          </w:tcPr>
          <w:p>
            <w:pPr>
              <w:jc w:val="center"/>
              <w:ind w:left="829"/>
              <w:spacing w:after="0"/>
              <w:rPr>
                <w:sz w:val="20"/>
                <w:szCs w:val="20"/>
                <w:color w:val="auto"/>
              </w:rPr>
            </w:pPr>
            <w:r>
              <w:rPr>
                <w:rFonts w:ascii="Arial" w:cs="Arial" w:eastAsia="Arial" w:hAnsi="Arial"/>
                <w:sz w:val="14"/>
                <w:szCs w:val="14"/>
                <w:color w:val="auto"/>
                <w:w w:val="97"/>
              </w:rPr>
              <w:t>/s/ JASON E. BROWN</w:t>
            </w:r>
          </w:p>
        </w:tc>
        <w:tc>
          <w:tcPr>
            <w:tcW w:w="5940" w:type="dxa"/>
            <w:vAlign w:val="bottom"/>
          </w:tcPr>
          <w:p>
            <w:pPr>
              <w:jc w:val="center"/>
              <w:ind w:left="1289"/>
              <w:spacing w:after="0"/>
              <w:rPr>
                <w:sz w:val="20"/>
                <w:szCs w:val="20"/>
                <w:color w:val="auto"/>
              </w:rPr>
            </w:pPr>
            <w:r>
              <w:rPr>
                <w:rFonts w:ascii="Arial" w:cs="Arial" w:eastAsia="Arial" w:hAnsi="Arial"/>
                <w:sz w:val="14"/>
                <w:szCs w:val="14"/>
                <w:color w:val="auto"/>
                <w:w w:val="93"/>
              </w:rPr>
              <w:t>President and Chief Executive Officer</w:t>
            </w:r>
          </w:p>
        </w:tc>
        <w:tc>
          <w:tcPr>
            <w:tcW w:w="0" w:type="dxa"/>
            <w:vAlign w:val="bottom"/>
          </w:tcPr>
          <w:p>
            <w:pPr>
              <w:spacing w:after="0"/>
              <w:rPr>
                <w:sz w:val="1"/>
                <w:szCs w:val="1"/>
                <w:color w:val="auto"/>
              </w:rPr>
            </w:pPr>
          </w:p>
        </w:tc>
      </w:tr>
      <w:tr>
        <w:trPr>
          <w:trHeight w:val="96"/>
        </w:trPr>
        <w:tc>
          <w:tcPr>
            <w:tcW w:w="2780" w:type="dxa"/>
            <w:vAlign w:val="bottom"/>
            <w:vMerge w:val="continue"/>
          </w:tcPr>
          <w:p>
            <w:pPr>
              <w:spacing w:after="0"/>
              <w:rPr>
                <w:sz w:val="8"/>
                <w:szCs w:val="8"/>
                <w:color w:val="auto"/>
              </w:rPr>
            </w:pPr>
          </w:p>
        </w:tc>
        <w:tc>
          <w:tcPr>
            <w:tcW w:w="2740" w:type="dxa"/>
            <w:vAlign w:val="bottom"/>
            <w:vMerge w:val="restart"/>
          </w:tcPr>
          <w:p>
            <w:pPr>
              <w:jc w:val="center"/>
              <w:ind w:left="829"/>
              <w:spacing w:after="0"/>
              <w:rPr>
                <w:sz w:val="20"/>
                <w:szCs w:val="20"/>
                <w:color w:val="auto"/>
              </w:rPr>
            </w:pPr>
            <w:r>
              <w:rPr>
                <w:rFonts w:ascii="Arial" w:cs="Arial" w:eastAsia="Arial" w:hAnsi="Arial"/>
                <w:sz w:val="14"/>
                <w:szCs w:val="14"/>
                <w:color w:val="auto"/>
                <w:w w:val="93"/>
              </w:rPr>
              <w:t>Jason E. Brown</w:t>
            </w:r>
          </w:p>
        </w:tc>
        <w:tc>
          <w:tcPr>
            <w:tcW w:w="5940" w:type="dxa"/>
            <w:vAlign w:val="bottom"/>
            <w:vMerge w:val="restart"/>
          </w:tcPr>
          <w:p>
            <w:pPr>
              <w:jc w:val="center"/>
              <w:ind w:left="1289"/>
              <w:spacing w:after="0"/>
              <w:rPr>
                <w:sz w:val="20"/>
                <w:szCs w:val="20"/>
                <w:color w:val="auto"/>
              </w:rPr>
            </w:pPr>
            <w:r>
              <w:rPr>
                <w:rFonts w:ascii="Arial" w:cs="Arial" w:eastAsia="Arial" w:hAnsi="Arial"/>
                <w:sz w:val="14"/>
                <w:szCs w:val="14"/>
                <w:color w:val="auto"/>
                <w:w w:val="96"/>
              </w:rPr>
              <w:t>(Principal Executive Officer)</w:t>
            </w:r>
          </w:p>
        </w:tc>
        <w:tc>
          <w:tcPr>
            <w:tcW w:w="0" w:type="dxa"/>
            <w:vAlign w:val="bottom"/>
          </w:tcPr>
          <w:p>
            <w:pPr>
              <w:spacing w:after="0"/>
              <w:rPr>
                <w:sz w:val="1"/>
                <w:szCs w:val="1"/>
                <w:color w:val="auto"/>
              </w:rPr>
            </w:pPr>
          </w:p>
        </w:tc>
      </w:tr>
      <w:tr>
        <w:trPr>
          <w:trHeight w:val="86"/>
        </w:trPr>
        <w:tc>
          <w:tcPr>
            <w:tcW w:w="278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5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vMerge w:val="restart"/>
            <w:shd w:val="clear" w:color="auto" w:fill="CCEEFF"/>
          </w:tcPr>
          <w:p>
            <w:pPr>
              <w:jc w:val="center"/>
              <w:ind w:right="390"/>
              <w:spacing w:after="0"/>
              <w:rPr>
                <w:sz w:val="20"/>
                <w:szCs w:val="20"/>
                <w:color w:val="auto"/>
              </w:rPr>
            </w:pPr>
            <w:r>
              <w:rPr>
                <w:rFonts w:ascii="Arial" w:cs="Arial" w:eastAsia="Arial" w:hAnsi="Arial"/>
                <w:sz w:val="14"/>
                <w:szCs w:val="14"/>
                <w:color w:val="auto"/>
                <w:w w:val="91"/>
              </w:rPr>
              <w:t>September 12, 2019</w:t>
            </w:r>
          </w:p>
        </w:tc>
        <w:tc>
          <w:tcPr>
            <w:tcW w:w="274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97"/>
              </w:rPr>
              <w:t>/s/ DAVID JOE</w:t>
            </w:r>
          </w:p>
        </w:tc>
        <w:tc>
          <w:tcPr>
            <w:tcW w:w="5940" w:type="dxa"/>
            <w:vAlign w:val="bottom"/>
            <w:shd w:val="clear" w:color="auto" w:fill="CCEEFF"/>
          </w:tcPr>
          <w:p>
            <w:pPr>
              <w:jc w:val="center"/>
              <w:ind w:left="1309"/>
              <w:spacing w:after="0"/>
              <w:rPr>
                <w:sz w:val="20"/>
                <w:szCs w:val="20"/>
                <w:color w:val="auto"/>
              </w:rPr>
            </w:pPr>
            <w:r>
              <w:rPr>
                <w:rFonts w:ascii="Arial" w:cs="Arial" w:eastAsia="Arial" w:hAnsi="Arial"/>
                <w:sz w:val="14"/>
                <w:szCs w:val="14"/>
                <w:color w:val="auto"/>
                <w:w w:val="93"/>
              </w:rPr>
              <w:t>Senior Vice President, Chief Financial Officer and Treasurer (Principal</w:t>
            </w:r>
          </w:p>
        </w:tc>
        <w:tc>
          <w:tcPr>
            <w:tcW w:w="0" w:type="dxa"/>
            <w:vAlign w:val="bottom"/>
          </w:tcPr>
          <w:p>
            <w:pPr>
              <w:spacing w:after="0"/>
              <w:rPr>
                <w:sz w:val="1"/>
                <w:szCs w:val="1"/>
                <w:color w:val="auto"/>
              </w:rPr>
            </w:pPr>
          </w:p>
        </w:tc>
      </w:tr>
      <w:tr>
        <w:trPr>
          <w:trHeight w:val="96"/>
        </w:trPr>
        <w:tc>
          <w:tcPr>
            <w:tcW w:w="2780" w:type="dxa"/>
            <w:vAlign w:val="bottom"/>
            <w:vMerge w:val="continue"/>
            <w:shd w:val="clear" w:color="auto" w:fill="CCEEFF"/>
          </w:tcPr>
          <w:p>
            <w:pPr>
              <w:spacing w:after="0"/>
              <w:rPr>
                <w:sz w:val="8"/>
                <w:szCs w:val="8"/>
                <w:color w:val="auto"/>
              </w:rPr>
            </w:pPr>
          </w:p>
        </w:tc>
        <w:tc>
          <w:tcPr>
            <w:tcW w:w="2740" w:type="dxa"/>
            <w:vAlign w:val="bottom"/>
            <w:vMerge w:val="restart"/>
            <w:shd w:val="clear" w:color="auto" w:fill="CCEEFF"/>
          </w:tcPr>
          <w:p>
            <w:pPr>
              <w:jc w:val="center"/>
              <w:ind w:left="809"/>
              <w:spacing w:after="0"/>
              <w:rPr>
                <w:sz w:val="20"/>
                <w:szCs w:val="20"/>
                <w:color w:val="auto"/>
              </w:rPr>
            </w:pPr>
            <w:r>
              <w:rPr>
                <w:rFonts w:ascii="Arial" w:cs="Arial" w:eastAsia="Arial" w:hAnsi="Arial"/>
                <w:sz w:val="14"/>
                <w:szCs w:val="14"/>
                <w:color w:val="auto"/>
                <w:w w:val="93"/>
              </w:rPr>
              <w:t>David Joe</w:t>
            </w:r>
          </w:p>
        </w:tc>
        <w:tc>
          <w:tcPr>
            <w:tcW w:w="5940" w:type="dxa"/>
            <w:vAlign w:val="bottom"/>
            <w:vMerge w:val="restart"/>
            <w:shd w:val="clear" w:color="auto" w:fill="CCEEFF"/>
          </w:tcPr>
          <w:p>
            <w:pPr>
              <w:jc w:val="center"/>
              <w:ind w:left="1289"/>
              <w:spacing w:after="0"/>
              <w:rPr>
                <w:sz w:val="20"/>
                <w:szCs w:val="20"/>
                <w:color w:val="auto"/>
              </w:rPr>
            </w:pPr>
            <w:r>
              <w:rPr>
                <w:rFonts w:ascii="Arial" w:cs="Arial" w:eastAsia="Arial" w:hAnsi="Arial"/>
                <w:sz w:val="14"/>
                <w:szCs w:val="14"/>
                <w:color w:val="auto"/>
                <w:w w:val="96"/>
              </w:rPr>
              <w:t>Financial Officer)</w:t>
            </w:r>
          </w:p>
        </w:tc>
        <w:tc>
          <w:tcPr>
            <w:tcW w:w="0" w:type="dxa"/>
            <w:vAlign w:val="bottom"/>
          </w:tcPr>
          <w:p>
            <w:pPr>
              <w:spacing w:after="0"/>
              <w:rPr>
                <w:sz w:val="1"/>
                <w:szCs w:val="1"/>
                <w:color w:val="auto"/>
              </w:rPr>
            </w:pPr>
          </w:p>
        </w:tc>
      </w:tr>
      <w:tr>
        <w:trPr>
          <w:trHeight w:val="89"/>
        </w:trPr>
        <w:tc>
          <w:tcPr>
            <w:tcW w:w="2780" w:type="dxa"/>
            <w:vAlign w:val="bottom"/>
            <w:tcBorders>
              <w:bottom w:val="single" w:sz="8" w:color="CCEEFF"/>
            </w:tcBorders>
            <w:shd w:val="clear" w:color="auto" w:fill="CCEEFF"/>
          </w:tcPr>
          <w:p>
            <w:pPr>
              <w:spacing w:after="0"/>
              <w:rPr>
                <w:sz w:val="7"/>
                <w:szCs w:val="7"/>
                <w:color w:val="auto"/>
              </w:rPr>
            </w:pPr>
          </w:p>
        </w:tc>
        <w:tc>
          <w:tcPr>
            <w:tcW w:w="2740" w:type="dxa"/>
            <w:vAlign w:val="bottom"/>
            <w:tcBorders>
              <w:bottom w:val="single" w:sz="8" w:color="CCEEFF"/>
            </w:tcBorders>
            <w:vMerge w:val="continue"/>
            <w:shd w:val="clear" w:color="auto" w:fill="CCEEFF"/>
          </w:tcPr>
          <w:p>
            <w:pPr>
              <w:spacing w:after="0"/>
              <w:rPr>
                <w:sz w:val="7"/>
                <w:szCs w:val="7"/>
                <w:color w:val="auto"/>
              </w:rPr>
            </w:pPr>
          </w:p>
        </w:tc>
        <w:tc>
          <w:tcPr>
            <w:tcW w:w="594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780" w:type="dxa"/>
            <w:vAlign w:val="bottom"/>
            <w:vMerge w:val="restart"/>
          </w:tcPr>
          <w:p>
            <w:pPr>
              <w:jc w:val="center"/>
              <w:ind w:right="390"/>
              <w:spacing w:after="0"/>
              <w:rPr>
                <w:sz w:val="20"/>
                <w:szCs w:val="20"/>
                <w:color w:val="auto"/>
              </w:rPr>
            </w:pPr>
            <w:r>
              <w:rPr>
                <w:rFonts w:ascii="Arial" w:cs="Arial" w:eastAsia="Arial" w:hAnsi="Arial"/>
                <w:sz w:val="14"/>
                <w:szCs w:val="14"/>
                <w:color w:val="auto"/>
                <w:w w:val="91"/>
              </w:rPr>
              <w:t>September 12, 2019</w:t>
            </w:r>
          </w:p>
        </w:tc>
        <w:tc>
          <w:tcPr>
            <w:tcW w:w="2740" w:type="dxa"/>
            <w:vAlign w:val="bottom"/>
          </w:tcPr>
          <w:p>
            <w:pPr>
              <w:jc w:val="center"/>
              <w:ind w:left="829"/>
              <w:spacing w:after="0"/>
              <w:rPr>
                <w:sz w:val="20"/>
                <w:szCs w:val="20"/>
                <w:color w:val="auto"/>
              </w:rPr>
            </w:pPr>
            <w:r>
              <w:rPr>
                <w:rFonts w:ascii="Arial" w:cs="Arial" w:eastAsia="Arial" w:hAnsi="Arial"/>
                <w:sz w:val="14"/>
                <w:szCs w:val="14"/>
                <w:color w:val="auto"/>
                <w:w w:val="97"/>
              </w:rPr>
              <w:t>/s/ R. STEVEN HICKS</w:t>
            </w:r>
          </w:p>
        </w:tc>
        <w:tc>
          <w:tcPr>
            <w:tcW w:w="5940" w:type="dxa"/>
            <w:vAlign w:val="bottom"/>
            <w:vMerge w:val="restart"/>
          </w:tcPr>
          <w:p>
            <w:pPr>
              <w:jc w:val="center"/>
              <w:ind w:left="1289"/>
              <w:spacing w:after="0"/>
              <w:rPr>
                <w:sz w:val="20"/>
                <w:szCs w:val="20"/>
                <w:color w:val="auto"/>
              </w:rPr>
            </w:pPr>
            <w:r>
              <w:rPr>
                <w:rFonts w:ascii="Arial" w:cs="Arial" w:eastAsia="Arial" w:hAnsi="Arial"/>
                <w:sz w:val="14"/>
                <w:szCs w:val="14"/>
                <w:color w:val="auto"/>
                <w:w w:val="92"/>
              </w:rPr>
              <w:t>Senior Vice President, Engineering and Business Development</w:t>
            </w:r>
          </w:p>
        </w:tc>
        <w:tc>
          <w:tcPr>
            <w:tcW w:w="0" w:type="dxa"/>
            <w:vAlign w:val="bottom"/>
          </w:tcPr>
          <w:p>
            <w:pPr>
              <w:spacing w:after="0"/>
              <w:rPr>
                <w:sz w:val="1"/>
                <w:szCs w:val="1"/>
                <w:color w:val="auto"/>
              </w:rPr>
            </w:pPr>
          </w:p>
        </w:tc>
      </w:tr>
      <w:tr>
        <w:trPr>
          <w:trHeight w:val="96"/>
        </w:trPr>
        <w:tc>
          <w:tcPr>
            <w:tcW w:w="2780" w:type="dxa"/>
            <w:vAlign w:val="bottom"/>
            <w:vMerge w:val="continue"/>
          </w:tcPr>
          <w:p>
            <w:pPr>
              <w:spacing w:after="0"/>
              <w:rPr>
                <w:sz w:val="8"/>
                <w:szCs w:val="8"/>
                <w:color w:val="auto"/>
              </w:rPr>
            </w:pPr>
          </w:p>
        </w:tc>
        <w:tc>
          <w:tcPr>
            <w:tcW w:w="2740" w:type="dxa"/>
            <w:vAlign w:val="bottom"/>
            <w:vMerge w:val="restart"/>
          </w:tcPr>
          <w:p>
            <w:pPr>
              <w:jc w:val="center"/>
              <w:ind w:left="829"/>
              <w:spacing w:after="0"/>
              <w:rPr>
                <w:sz w:val="20"/>
                <w:szCs w:val="20"/>
                <w:color w:val="auto"/>
              </w:rPr>
            </w:pPr>
            <w:r>
              <w:rPr>
                <w:rFonts w:ascii="Arial" w:cs="Arial" w:eastAsia="Arial" w:hAnsi="Arial"/>
                <w:sz w:val="14"/>
                <w:szCs w:val="14"/>
                <w:color w:val="auto"/>
                <w:w w:val="92"/>
              </w:rPr>
              <w:t>R. Steven Hicks</w:t>
            </w: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78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vMerge w:val="restart"/>
            <w:shd w:val="clear" w:color="auto" w:fill="CCEEFF"/>
          </w:tcPr>
          <w:p>
            <w:pPr>
              <w:jc w:val="center"/>
              <w:ind w:right="390"/>
              <w:spacing w:after="0"/>
              <w:rPr>
                <w:sz w:val="20"/>
                <w:szCs w:val="20"/>
                <w:color w:val="auto"/>
              </w:rPr>
            </w:pPr>
            <w:r>
              <w:rPr>
                <w:rFonts w:ascii="Arial" w:cs="Arial" w:eastAsia="Arial" w:hAnsi="Arial"/>
                <w:sz w:val="14"/>
                <w:szCs w:val="14"/>
                <w:color w:val="auto"/>
                <w:w w:val="91"/>
              </w:rPr>
              <w:t>September 12, 2019</w:t>
            </w:r>
          </w:p>
        </w:tc>
        <w:tc>
          <w:tcPr>
            <w:tcW w:w="274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98"/>
              </w:rPr>
              <w:t>/s/ RODERICK SCHULTZ</w:t>
            </w:r>
          </w:p>
        </w:tc>
        <w:tc>
          <w:tcPr>
            <w:tcW w:w="5940" w:type="dxa"/>
            <w:vAlign w:val="bottom"/>
            <w:vMerge w:val="restart"/>
            <w:shd w:val="clear" w:color="auto" w:fill="CCEEFF"/>
          </w:tcPr>
          <w:p>
            <w:pPr>
              <w:jc w:val="center"/>
              <w:ind w:left="1289"/>
              <w:spacing w:after="0"/>
              <w:rPr>
                <w:sz w:val="20"/>
                <w:szCs w:val="20"/>
                <w:color w:val="auto"/>
              </w:rPr>
            </w:pPr>
            <w:r>
              <w:rPr>
                <w:rFonts w:ascii="Arial" w:cs="Arial" w:eastAsia="Arial" w:hAnsi="Arial"/>
                <w:sz w:val="14"/>
                <w:szCs w:val="14"/>
                <w:color w:val="auto"/>
                <w:w w:val="96"/>
              </w:rPr>
              <w:t>Vice President, Chief Accounting Officer (Principal Accounting Officer)</w:t>
            </w:r>
          </w:p>
        </w:tc>
        <w:tc>
          <w:tcPr>
            <w:tcW w:w="0" w:type="dxa"/>
            <w:vAlign w:val="bottom"/>
          </w:tcPr>
          <w:p>
            <w:pPr>
              <w:spacing w:after="0"/>
              <w:rPr>
                <w:sz w:val="1"/>
                <w:szCs w:val="1"/>
                <w:color w:val="auto"/>
              </w:rPr>
            </w:pPr>
          </w:p>
        </w:tc>
      </w:tr>
      <w:tr>
        <w:trPr>
          <w:trHeight w:val="96"/>
        </w:trPr>
        <w:tc>
          <w:tcPr>
            <w:tcW w:w="2780" w:type="dxa"/>
            <w:vAlign w:val="bottom"/>
            <w:vMerge w:val="continue"/>
            <w:shd w:val="clear" w:color="auto" w:fill="CCEEFF"/>
          </w:tcPr>
          <w:p>
            <w:pPr>
              <w:spacing w:after="0"/>
              <w:rPr>
                <w:sz w:val="8"/>
                <w:szCs w:val="8"/>
                <w:color w:val="auto"/>
              </w:rPr>
            </w:pPr>
          </w:p>
        </w:tc>
        <w:tc>
          <w:tcPr>
            <w:tcW w:w="2740" w:type="dxa"/>
            <w:vAlign w:val="bottom"/>
            <w:vMerge w:val="restart"/>
            <w:shd w:val="clear" w:color="auto" w:fill="CCEEFF"/>
          </w:tcPr>
          <w:p>
            <w:pPr>
              <w:jc w:val="center"/>
              <w:ind w:left="829"/>
              <w:spacing w:after="0"/>
              <w:rPr>
                <w:sz w:val="20"/>
                <w:szCs w:val="20"/>
                <w:color w:val="auto"/>
              </w:rPr>
            </w:pPr>
            <w:r>
              <w:rPr>
                <w:rFonts w:ascii="Arial" w:cs="Arial" w:eastAsia="Arial" w:hAnsi="Arial"/>
                <w:sz w:val="14"/>
                <w:szCs w:val="14"/>
                <w:color w:val="auto"/>
                <w:w w:val="95"/>
              </w:rPr>
              <w:t>Roderick Schultz</w:t>
            </w:r>
          </w:p>
        </w:tc>
        <w:tc>
          <w:tcPr>
            <w:tcW w:w="5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780" w:type="dxa"/>
            <w:vAlign w:val="bottom"/>
            <w:tcBorders>
              <w:bottom w:val="single" w:sz="8" w:color="CCEEFF"/>
            </w:tcBorders>
            <w:shd w:val="clear" w:color="auto" w:fill="CCEEFF"/>
          </w:tcPr>
          <w:p>
            <w:pPr>
              <w:spacing w:after="0"/>
              <w:rPr>
                <w:sz w:val="7"/>
                <w:szCs w:val="7"/>
                <w:color w:val="auto"/>
              </w:rPr>
            </w:pPr>
          </w:p>
        </w:tc>
        <w:tc>
          <w:tcPr>
            <w:tcW w:w="2740" w:type="dxa"/>
            <w:vAlign w:val="bottom"/>
            <w:tcBorders>
              <w:bottom w:val="single" w:sz="8" w:color="CCEEFF"/>
            </w:tcBorders>
            <w:vMerge w:val="continue"/>
            <w:shd w:val="clear" w:color="auto" w:fill="CCEEFF"/>
          </w:tcPr>
          <w:p>
            <w:pPr>
              <w:spacing w:after="0"/>
              <w:rPr>
                <w:sz w:val="7"/>
                <w:szCs w:val="7"/>
                <w:color w:val="auto"/>
              </w:rPr>
            </w:pPr>
          </w:p>
        </w:tc>
        <w:tc>
          <w:tcPr>
            <w:tcW w:w="59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780" w:type="dxa"/>
            <w:vAlign w:val="bottom"/>
            <w:vMerge w:val="restart"/>
          </w:tcPr>
          <w:p>
            <w:pPr>
              <w:jc w:val="center"/>
              <w:ind w:right="390"/>
              <w:spacing w:after="0"/>
              <w:rPr>
                <w:sz w:val="20"/>
                <w:szCs w:val="20"/>
                <w:color w:val="auto"/>
              </w:rPr>
            </w:pPr>
            <w:r>
              <w:rPr>
                <w:rFonts w:ascii="Arial" w:cs="Arial" w:eastAsia="Arial" w:hAnsi="Arial"/>
                <w:sz w:val="14"/>
                <w:szCs w:val="14"/>
                <w:color w:val="auto"/>
                <w:w w:val="91"/>
              </w:rPr>
              <w:t>September 12, 2019</w:t>
            </w:r>
          </w:p>
        </w:tc>
        <w:tc>
          <w:tcPr>
            <w:tcW w:w="2740" w:type="dxa"/>
            <w:vAlign w:val="bottom"/>
          </w:tcPr>
          <w:p>
            <w:pPr>
              <w:jc w:val="center"/>
              <w:ind w:left="829"/>
              <w:spacing w:after="0"/>
              <w:rPr>
                <w:sz w:val="20"/>
                <w:szCs w:val="20"/>
                <w:color w:val="auto"/>
              </w:rPr>
            </w:pPr>
            <w:r>
              <w:rPr>
                <w:rFonts w:ascii="Arial" w:cs="Arial" w:eastAsia="Arial" w:hAnsi="Arial"/>
                <w:sz w:val="14"/>
                <w:szCs w:val="14"/>
                <w:color w:val="auto"/>
                <w:w w:val="96"/>
              </w:rPr>
              <w:t>/s/ EDWARD J. DIPAOLO</w:t>
            </w:r>
          </w:p>
        </w:tc>
        <w:tc>
          <w:tcPr>
            <w:tcW w:w="5940" w:type="dxa"/>
            <w:vAlign w:val="bottom"/>
            <w:vMerge w:val="restart"/>
          </w:tcPr>
          <w:p>
            <w:pPr>
              <w:jc w:val="center"/>
              <w:ind w:left="1309"/>
              <w:spacing w:after="0"/>
              <w:rPr>
                <w:sz w:val="20"/>
                <w:szCs w:val="20"/>
                <w:color w:val="auto"/>
              </w:rPr>
            </w:pPr>
            <w:r>
              <w:rPr>
                <w:rFonts w:ascii="Arial" w:cs="Arial" w:eastAsia="Arial" w:hAnsi="Arial"/>
                <w:sz w:val="14"/>
                <w:szCs w:val="14"/>
                <w:color w:val="auto"/>
                <w:w w:val="95"/>
              </w:rPr>
              <w:t>Lead Director</w:t>
            </w:r>
          </w:p>
        </w:tc>
        <w:tc>
          <w:tcPr>
            <w:tcW w:w="0" w:type="dxa"/>
            <w:vAlign w:val="bottom"/>
          </w:tcPr>
          <w:p>
            <w:pPr>
              <w:spacing w:after="0"/>
              <w:rPr>
                <w:sz w:val="1"/>
                <w:szCs w:val="1"/>
                <w:color w:val="auto"/>
              </w:rPr>
            </w:pPr>
          </w:p>
        </w:tc>
      </w:tr>
      <w:tr>
        <w:trPr>
          <w:trHeight w:val="96"/>
        </w:trPr>
        <w:tc>
          <w:tcPr>
            <w:tcW w:w="2780" w:type="dxa"/>
            <w:vAlign w:val="bottom"/>
            <w:vMerge w:val="continue"/>
          </w:tcPr>
          <w:p>
            <w:pPr>
              <w:spacing w:after="0"/>
              <w:rPr>
                <w:sz w:val="8"/>
                <w:szCs w:val="8"/>
                <w:color w:val="auto"/>
              </w:rPr>
            </w:pPr>
          </w:p>
        </w:tc>
        <w:tc>
          <w:tcPr>
            <w:tcW w:w="2740" w:type="dxa"/>
            <w:vAlign w:val="bottom"/>
            <w:vMerge w:val="restart"/>
          </w:tcPr>
          <w:p>
            <w:pPr>
              <w:jc w:val="center"/>
              <w:ind w:left="829"/>
              <w:spacing w:after="0"/>
              <w:rPr>
                <w:sz w:val="20"/>
                <w:szCs w:val="20"/>
                <w:color w:val="auto"/>
              </w:rPr>
            </w:pPr>
            <w:r>
              <w:rPr>
                <w:rFonts w:ascii="Arial" w:cs="Arial" w:eastAsia="Arial" w:hAnsi="Arial"/>
                <w:sz w:val="14"/>
                <w:szCs w:val="14"/>
                <w:color w:val="auto"/>
                <w:w w:val="93"/>
              </w:rPr>
              <w:t>Edward J. DiPaolo</w:t>
            </w: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78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vMerge w:val="restart"/>
            <w:shd w:val="clear" w:color="auto" w:fill="CCEEFF"/>
          </w:tcPr>
          <w:p>
            <w:pPr>
              <w:jc w:val="center"/>
              <w:ind w:right="390"/>
              <w:spacing w:after="0"/>
              <w:rPr>
                <w:sz w:val="20"/>
                <w:szCs w:val="20"/>
                <w:color w:val="auto"/>
              </w:rPr>
            </w:pPr>
            <w:r>
              <w:rPr>
                <w:rFonts w:ascii="Arial" w:cs="Arial" w:eastAsia="Arial" w:hAnsi="Arial"/>
                <w:sz w:val="14"/>
                <w:szCs w:val="14"/>
                <w:color w:val="auto"/>
                <w:w w:val="91"/>
              </w:rPr>
              <w:t>September 12, 2019</w:t>
            </w:r>
          </w:p>
        </w:tc>
        <w:tc>
          <w:tcPr>
            <w:tcW w:w="2740" w:type="dxa"/>
            <w:vAlign w:val="bottom"/>
            <w:shd w:val="clear" w:color="auto" w:fill="CCEEFF"/>
          </w:tcPr>
          <w:p>
            <w:pPr>
              <w:jc w:val="center"/>
              <w:ind w:left="829"/>
              <w:spacing w:after="0"/>
              <w:rPr>
                <w:sz w:val="20"/>
                <w:szCs w:val="20"/>
                <w:color w:val="auto"/>
              </w:rPr>
            </w:pPr>
            <w:r>
              <w:rPr>
                <w:rFonts w:ascii="Arial" w:cs="Arial" w:eastAsia="Arial" w:hAnsi="Arial"/>
                <w:sz w:val="14"/>
                <w:szCs w:val="14"/>
                <w:color w:val="auto"/>
              </w:rPr>
              <w:t>/s/ WILLIAM DOZIER</w:t>
            </w:r>
          </w:p>
        </w:tc>
        <w:tc>
          <w:tcPr>
            <w:tcW w:w="5940" w:type="dxa"/>
            <w:vAlign w:val="bottom"/>
            <w:vMerge w:val="restart"/>
            <w:shd w:val="clear" w:color="auto" w:fill="CCEEFF"/>
          </w:tcPr>
          <w:p>
            <w:pPr>
              <w:jc w:val="center"/>
              <w:ind w:left="1309"/>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96"/>
        </w:trPr>
        <w:tc>
          <w:tcPr>
            <w:tcW w:w="2780" w:type="dxa"/>
            <w:vAlign w:val="bottom"/>
            <w:vMerge w:val="continue"/>
            <w:shd w:val="clear" w:color="auto" w:fill="CCEEFF"/>
          </w:tcPr>
          <w:p>
            <w:pPr>
              <w:spacing w:after="0"/>
              <w:rPr>
                <w:sz w:val="8"/>
                <w:szCs w:val="8"/>
                <w:color w:val="auto"/>
              </w:rPr>
            </w:pPr>
          </w:p>
        </w:tc>
        <w:tc>
          <w:tcPr>
            <w:tcW w:w="2740" w:type="dxa"/>
            <w:vAlign w:val="bottom"/>
            <w:vMerge w:val="restart"/>
            <w:shd w:val="clear" w:color="auto" w:fill="CCEEFF"/>
          </w:tcPr>
          <w:p>
            <w:pPr>
              <w:jc w:val="center"/>
              <w:ind w:left="829"/>
              <w:spacing w:after="0"/>
              <w:rPr>
                <w:sz w:val="20"/>
                <w:szCs w:val="20"/>
                <w:color w:val="auto"/>
              </w:rPr>
            </w:pPr>
            <w:r>
              <w:rPr>
                <w:rFonts w:ascii="Arial" w:cs="Arial" w:eastAsia="Arial" w:hAnsi="Arial"/>
                <w:sz w:val="14"/>
                <w:szCs w:val="14"/>
                <w:color w:val="auto"/>
                <w:w w:val="98"/>
              </w:rPr>
              <w:t>William Dozier</w:t>
            </w:r>
          </w:p>
        </w:tc>
        <w:tc>
          <w:tcPr>
            <w:tcW w:w="5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780" w:type="dxa"/>
            <w:vAlign w:val="bottom"/>
            <w:tcBorders>
              <w:bottom w:val="single" w:sz="8" w:color="CCEEFF"/>
            </w:tcBorders>
            <w:shd w:val="clear" w:color="auto" w:fill="CCEEFF"/>
          </w:tcPr>
          <w:p>
            <w:pPr>
              <w:spacing w:after="0"/>
              <w:rPr>
                <w:sz w:val="7"/>
                <w:szCs w:val="7"/>
                <w:color w:val="auto"/>
              </w:rPr>
            </w:pPr>
          </w:p>
        </w:tc>
        <w:tc>
          <w:tcPr>
            <w:tcW w:w="2740" w:type="dxa"/>
            <w:vAlign w:val="bottom"/>
            <w:tcBorders>
              <w:bottom w:val="single" w:sz="8" w:color="CCEEFF"/>
            </w:tcBorders>
            <w:vMerge w:val="continue"/>
            <w:shd w:val="clear" w:color="auto" w:fill="CCEEFF"/>
          </w:tcPr>
          <w:p>
            <w:pPr>
              <w:spacing w:after="0"/>
              <w:rPr>
                <w:sz w:val="7"/>
                <w:szCs w:val="7"/>
                <w:color w:val="auto"/>
              </w:rPr>
            </w:pPr>
          </w:p>
        </w:tc>
        <w:tc>
          <w:tcPr>
            <w:tcW w:w="59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780" w:type="dxa"/>
            <w:vAlign w:val="bottom"/>
            <w:vMerge w:val="restart"/>
          </w:tcPr>
          <w:p>
            <w:pPr>
              <w:jc w:val="center"/>
              <w:ind w:right="390"/>
              <w:spacing w:after="0"/>
              <w:rPr>
                <w:sz w:val="20"/>
                <w:szCs w:val="20"/>
                <w:color w:val="auto"/>
              </w:rPr>
            </w:pPr>
            <w:r>
              <w:rPr>
                <w:rFonts w:ascii="Arial" w:cs="Arial" w:eastAsia="Arial" w:hAnsi="Arial"/>
                <w:sz w:val="14"/>
                <w:szCs w:val="14"/>
                <w:color w:val="auto"/>
                <w:w w:val="91"/>
              </w:rPr>
              <w:t>September 12, 2019</w:t>
            </w:r>
          </w:p>
        </w:tc>
        <w:tc>
          <w:tcPr>
            <w:tcW w:w="2740" w:type="dxa"/>
            <w:vAlign w:val="bottom"/>
          </w:tcPr>
          <w:p>
            <w:pPr>
              <w:jc w:val="center"/>
              <w:ind w:left="809"/>
              <w:spacing w:after="0"/>
              <w:rPr>
                <w:sz w:val="20"/>
                <w:szCs w:val="20"/>
                <w:color w:val="auto"/>
              </w:rPr>
            </w:pPr>
            <w:r>
              <w:rPr>
                <w:rFonts w:ascii="Arial" w:cs="Arial" w:eastAsia="Arial" w:hAnsi="Arial"/>
                <w:sz w:val="14"/>
                <w:szCs w:val="14"/>
                <w:color w:val="auto"/>
              </w:rPr>
              <w:t>/s/ KELLY W. LOYD</w:t>
            </w:r>
          </w:p>
        </w:tc>
        <w:tc>
          <w:tcPr>
            <w:tcW w:w="5940" w:type="dxa"/>
            <w:vAlign w:val="bottom"/>
            <w:vMerge w:val="restart"/>
          </w:tcPr>
          <w:p>
            <w:pPr>
              <w:jc w:val="center"/>
              <w:ind w:left="1309"/>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96"/>
        </w:trPr>
        <w:tc>
          <w:tcPr>
            <w:tcW w:w="2780" w:type="dxa"/>
            <w:vAlign w:val="bottom"/>
            <w:vMerge w:val="continue"/>
          </w:tcPr>
          <w:p>
            <w:pPr>
              <w:spacing w:after="0"/>
              <w:rPr>
                <w:sz w:val="8"/>
                <w:szCs w:val="8"/>
                <w:color w:val="auto"/>
              </w:rPr>
            </w:pPr>
          </w:p>
        </w:tc>
        <w:tc>
          <w:tcPr>
            <w:tcW w:w="2740" w:type="dxa"/>
            <w:vAlign w:val="bottom"/>
            <w:vMerge w:val="restart"/>
          </w:tcPr>
          <w:p>
            <w:pPr>
              <w:jc w:val="center"/>
              <w:ind w:left="829"/>
              <w:spacing w:after="0"/>
              <w:rPr>
                <w:sz w:val="20"/>
                <w:szCs w:val="20"/>
                <w:color w:val="auto"/>
              </w:rPr>
            </w:pPr>
            <w:r>
              <w:rPr>
                <w:rFonts w:ascii="Arial" w:cs="Arial" w:eastAsia="Arial" w:hAnsi="Arial"/>
                <w:sz w:val="14"/>
                <w:szCs w:val="14"/>
                <w:color w:val="auto"/>
                <w:w w:val="98"/>
              </w:rPr>
              <w:t>Kelly W. Loyd</w:t>
            </w:r>
          </w:p>
        </w:tc>
        <w:tc>
          <w:tcPr>
            <w:tcW w:w="5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78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5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vMerge w:val="restart"/>
            <w:shd w:val="clear" w:color="auto" w:fill="CCEEFF"/>
          </w:tcPr>
          <w:p>
            <w:pPr>
              <w:jc w:val="center"/>
              <w:ind w:right="390"/>
              <w:spacing w:after="0"/>
              <w:rPr>
                <w:sz w:val="20"/>
                <w:szCs w:val="20"/>
                <w:color w:val="auto"/>
              </w:rPr>
            </w:pPr>
            <w:r>
              <w:rPr>
                <w:rFonts w:ascii="Arial" w:cs="Arial" w:eastAsia="Arial" w:hAnsi="Arial"/>
                <w:sz w:val="14"/>
                <w:szCs w:val="14"/>
                <w:color w:val="auto"/>
                <w:w w:val="91"/>
              </w:rPr>
              <w:t>September 12, 2019</w:t>
            </w:r>
          </w:p>
        </w:tc>
        <w:tc>
          <w:tcPr>
            <w:tcW w:w="274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99"/>
              </w:rPr>
              <w:t>/s/ MARRAN J. OGILVIE</w:t>
            </w:r>
          </w:p>
        </w:tc>
        <w:tc>
          <w:tcPr>
            <w:tcW w:w="5940" w:type="dxa"/>
            <w:vAlign w:val="bottom"/>
            <w:vMerge w:val="restart"/>
            <w:shd w:val="clear" w:color="auto" w:fill="CCEEFF"/>
          </w:tcPr>
          <w:p>
            <w:pPr>
              <w:jc w:val="center"/>
              <w:ind w:left="1309"/>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96"/>
        </w:trPr>
        <w:tc>
          <w:tcPr>
            <w:tcW w:w="2780" w:type="dxa"/>
            <w:vAlign w:val="bottom"/>
            <w:vMerge w:val="continue"/>
            <w:shd w:val="clear" w:color="auto" w:fill="CCEEFF"/>
          </w:tcPr>
          <w:p>
            <w:pPr>
              <w:spacing w:after="0"/>
              <w:rPr>
                <w:sz w:val="8"/>
                <w:szCs w:val="8"/>
                <w:color w:val="auto"/>
              </w:rPr>
            </w:pPr>
          </w:p>
        </w:tc>
        <w:tc>
          <w:tcPr>
            <w:tcW w:w="2740" w:type="dxa"/>
            <w:vAlign w:val="bottom"/>
            <w:vMerge w:val="restart"/>
            <w:shd w:val="clear" w:color="auto" w:fill="CCEEFF"/>
          </w:tcPr>
          <w:p>
            <w:pPr>
              <w:jc w:val="center"/>
              <w:ind w:left="809"/>
              <w:spacing w:after="0"/>
              <w:rPr>
                <w:sz w:val="20"/>
                <w:szCs w:val="20"/>
                <w:color w:val="auto"/>
              </w:rPr>
            </w:pPr>
            <w:r>
              <w:rPr>
                <w:rFonts w:ascii="Arial" w:cs="Arial" w:eastAsia="Arial" w:hAnsi="Arial"/>
                <w:sz w:val="14"/>
                <w:szCs w:val="14"/>
                <w:color w:val="auto"/>
                <w:w w:val="96"/>
              </w:rPr>
              <w:t>Marran J. Ogilvie</w:t>
            </w:r>
          </w:p>
        </w:tc>
        <w:tc>
          <w:tcPr>
            <w:tcW w:w="5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780" w:type="dxa"/>
            <w:vAlign w:val="bottom"/>
            <w:tcBorders>
              <w:bottom w:val="single" w:sz="8" w:color="CCEEFF"/>
            </w:tcBorders>
            <w:shd w:val="clear" w:color="auto" w:fill="CCEEFF"/>
          </w:tcPr>
          <w:p>
            <w:pPr>
              <w:spacing w:after="0"/>
              <w:rPr>
                <w:sz w:val="7"/>
                <w:szCs w:val="7"/>
                <w:color w:val="auto"/>
              </w:rPr>
            </w:pPr>
          </w:p>
        </w:tc>
        <w:tc>
          <w:tcPr>
            <w:tcW w:w="2740" w:type="dxa"/>
            <w:vAlign w:val="bottom"/>
            <w:tcBorders>
              <w:bottom w:val="single" w:sz="8" w:color="CCEEFF"/>
            </w:tcBorders>
            <w:vMerge w:val="continue"/>
            <w:shd w:val="clear" w:color="auto" w:fill="CCEEFF"/>
          </w:tcPr>
          <w:p>
            <w:pPr>
              <w:spacing w:after="0"/>
              <w:rPr>
                <w:sz w:val="7"/>
                <w:szCs w:val="7"/>
                <w:color w:val="auto"/>
              </w:rPr>
            </w:pPr>
          </w:p>
        </w:tc>
        <w:tc>
          <w:tcPr>
            <w:tcW w:w="59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538"/>
        </w:trPr>
        <w:tc>
          <w:tcPr>
            <w:tcW w:w="2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940" w:type="dxa"/>
            <w:vAlign w:val="bottom"/>
          </w:tcPr>
          <w:p>
            <w:pPr>
              <w:jc w:val="right"/>
              <w:ind w:right="5589"/>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INDEX OF EXHIBITS</w:t>
      </w:r>
    </w:p>
    <w:p>
      <w:pPr>
        <w:spacing w:after="0" w:line="227"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3940" w:type="dxa"/>
            <w:vAlign w:val="bottom"/>
          </w:tcPr>
          <w:p>
            <w:pPr>
              <w:ind w:left="2040"/>
              <w:spacing w:after="0"/>
              <w:rPr>
                <w:sz w:val="20"/>
                <w:szCs w:val="20"/>
                <w:color w:val="auto"/>
              </w:rPr>
            </w:pPr>
            <w:r>
              <w:rPr>
                <w:rFonts w:ascii="Arial" w:cs="Arial" w:eastAsia="Arial" w:hAnsi="Arial"/>
                <w:sz w:val="14"/>
                <w:szCs w:val="14"/>
                <w:b w:val="1"/>
                <w:bCs w:val="1"/>
                <w:color w:val="auto"/>
              </w:rPr>
              <w:t>MASTER EXHIBIT INDEX</w:t>
            </w:r>
          </w:p>
        </w:tc>
        <w:tc>
          <w:tcPr>
            <w:tcW w:w="0" w:type="dxa"/>
            <w:vAlign w:val="bottom"/>
          </w:tcPr>
          <w:p>
            <w:pPr>
              <w:spacing w:after="0"/>
              <w:rPr>
                <w:sz w:val="1"/>
                <w:szCs w:val="1"/>
                <w:color w:val="auto"/>
              </w:rPr>
            </w:pPr>
          </w:p>
        </w:tc>
      </w:tr>
      <w:tr>
        <w:trPr>
          <w:trHeight w:val="339"/>
        </w:trPr>
        <w:tc>
          <w:tcPr>
            <w:tcW w:w="2560" w:type="dxa"/>
            <w:vAlign w:val="bottom"/>
          </w:tcPr>
          <w:p>
            <w:pPr>
              <w:ind w:left="20"/>
              <w:spacing w:after="0"/>
              <w:rPr>
                <w:sz w:val="20"/>
                <w:szCs w:val="20"/>
                <w:color w:val="auto"/>
              </w:rPr>
            </w:pPr>
            <w:r>
              <w:rPr>
                <w:rFonts w:ascii="Arial" w:cs="Arial" w:eastAsia="Arial" w:hAnsi="Arial"/>
                <w:sz w:val="11"/>
                <w:szCs w:val="11"/>
                <w:b w:val="1"/>
                <w:bCs w:val="1"/>
                <w:color w:val="auto"/>
              </w:rPr>
              <w:t>EXHIBIT</w:t>
            </w:r>
          </w:p>
        </w:tc>
        <w:tc>
          <w:tcPr>
            <w:tcW w:w="3940" w:type="dxa"/>
            <w:vAlign w:val="bottom"/>
            <w:vMerge w:val="restart"/>
          </w:tcPr>
          <w:p>
            <w:pPr>
              <w:ind w:left="314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3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274560" cy="143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143510"/>
                    </a:xfrm>
                    <a:prstGeom prst="rect">
                      <a:avLst/>
                    </a:prstGeom>
                    <a:noFill/>
                  </pic:spPr>
                </pic:pic>
              </a:graphicData>
            </a:graphic>
          </wp:anchor>
        </w:drawing>
      </w:r>
    </w:p>
    <w:p>
      <w:pPr>
        <w:spacing w:after="0" w:line="11" w:lineRule="exact"/>
        <w:rPr>
          <w:sz w:val="20"/>
          <w:szCs w:val="20"/>
          <w:color w:val="auto"/>
        </w:rPr>
      </w:pPr>
    </w:p>
    <w:p>
      <w:pPr>
        <w:ind w:left="76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3.1</w:t>
      </w:r>
      <w:r>
        <w:rPr>
          <w:sz w:val="20"/>
          <w:szCs w:val="20"/>
          <w:color w:val="auto"/>
        </w:rPr>
        <w:tab/>
      </w:r>
      <w:hyperlink r:id="rId15">
        <w:r>
          <w:rPr>
            <w:rFonts w:ascii="Arial" w:cs="Arial" w:eastAsia="Arial" w:hAnsi="Arial"/>
            <w:sz w:val="13"/>
            <w:szCs w:val="13"/>
            <w:u w:val="single" w:color="auto"/>
            <w:color w:val="0000FF"/>
          </w:rPr>
          <w:t>Articles of Incorporation (previously filed as an exhibit to Form 8-K on February 7, 2002)</w:t>
        </w:r>
      </w:hyperlink>
    </w:p>
    <w:p>
      <w:pPr>
        <w:spacing w:after="0" w:line="55" w:lineRule="exact"/>
        <w:rPr>
          <w:sz w:val="20"/>
          <w:szCs w:val="20"/>
          <w:color w:val="auto"/>
        </w:rPr>
      </w:pPr>
    </w:p>
    <w:p>
      <w:pPr>
        <w:ind w:left="76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3.2</w:t>
      </w:r>
      <w:r>
        <w:rPr>
          <w:sz w:val="20"/>
          <w:szCs w:val="20"/>
          <w:color w:val="auto"/>
        </w:rPr>
        <w:tab/>
      </w:r>
      <w:hyperlink r:id="rId16">
        <w:r>
          <w:rPr>
            <w:rFonts w:ascii="Arial" w:cs="Arial" w:eastAsia="Arial" w:hAnsi="Arial"/>
            <w:sz w:val="13"/>
            <w:szCs w:val="13"/>
            <w:u w:val="single" w:color="auto"/>
            <w:color w:val="0000FF"/>
          </w:rPr>
          <w:t>Certificate of Amendment to Articles of Incorporation (previously filed as an exhibit to Form 8-K on February 7,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76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3.3</w:t>
      </w:r>
      <w:r>
        <w:rPr>
          <w:sz w:val="20"/>
          <w:szCs w:val="20"/>
          <w:color w:val="auto"/>
        </w:rPr>
        <w:tab/>
      </w:r>
      <w:hyperlink r:id="rId18">
        <w:r>
          <w:rPr>
            <w:rFonts w:ascii="Arial" w:cs="Arial" w:eastAsia="Arial" w:hAnsi="Arial"/>
            <w:sz w:val="13"/>
            <w:szCs w:val="13"/>
            <w:u w:val="single" w:color="auto"/>
            <w:color w:val="0000FF"/>
          </w:rPr>
          <w:t>Certificate of Amendment to Articles of Incorporation (previously filed as an exhibit to Form SB 2/A on October 19, 2005)</w:t>
        </w:r>
      </w:hyperlink>
    </w:p>
    <w:p>
      <w:pPr>
        <w:spacing w:after="0" w:line="55" w:lineRule="exact"/>
        <w:rPr>
          <w:sz w:val="20"/>
          <w:szCs w:val="20"/>
          <w:color w:val="auto"/>
        </w:rPr>
      </w:pPr>
    </w:p>
    <w:p>
      <w:pPr>
        <w:ind w:left="76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3.4</w:t>
      </w:r>
      <w:r>
        <w:rPr>
          <w:sz w:val="20"/>
          <w:szCs w:val="20"/>
          <w:color w:val="auto"/>
        </w:rPr>
        <w:tab/>
      </w:r>
      <w:hyperlink r:id="rId19">
        <w:r>
          <w:rPr>
            <w:rFonts w:ascii="Arial" w:cs="Arial" w:eastAsia="Arial" w:hAnsi="Arial"/>
            <w:sz w:val="13"/>
            <w:szCs w:val="13"/>
            <w:u w:val="single" w:color="auto"/>
            <w:color w:val="0000FF"/>
          </w:rPr>
          <w:t>Certificate of Designation of Rights and Preferences for 8.5% Series A Cumulative Preferred Stock (previously filed as an exhibit to Form 8-K on June 29,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76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3.5</w:t>
      </w:r>
      <w:r>
        <w:rPr>
          <w:sz w:val="20"/>
          <w:szCs w:val="20"/>
          <w:color w:val="auto"/>
        </w:rPr>
        <w:tab/>
      </w:r>
      <w:hyperlink r:id="rId21">
        <w:r>
          <w:rPr>
            <w:rFonts w:ascii="Arial" w:cs="Arial" w:eastAsia="Arial" w:hAnsi="Arial"/>
            <w:sz w:val="13"/>
            <w:szCs w:val="13"/>
            <w:u w:val="single" w:color="auto"/>
            <w:color w:val="0000FF"/>
          </w:rPr>
          <w:t>Amended Bylaws (previously filed as Exhibit 2.1 to Form 10KSB on March 31, 2004)</w:t>
        </w:r>
      </w:hyperlink>
    </w:p>
    <w:p>
      <w:pPr>
        <w:spacing w:after="0" w:line="55" w:lineRule="exact"/>
        <w:rPr>
          <w:sz w:val="20"/>
          <w:szCs w:val="20"/>
          <w:color w:val="auto"/>
        </w:rPr>
      </w:pPr>
    </w:p>
    <w:p>
      <w:pPr>
        <w:ind w:left="76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4.1</w:t>
      </w:r>
      <w:r>
        <w:rPr>
          <w:sz w:val="20"/>
          <w:szCs w:val="20"/>
          <w:color w:val="auto"/>
        </w:rPr>
        <w:tab/>
      </w:r>
      <w:hyperlink r:id="rId22">
        <w:r>
          <w:rPr>
            <w:rFonts w:ascii="Arial" w:cs="Arial" w:eastAsia="Arial" w:hAnsi="Arial"/>
            <w:sz w:val="13"/>
            <w:szCs w:val="13"/>
            <w:u w:val="single" w:color="auto"/>
            <w:color w:val="0000FF"/>
          </w:rPr>
          <w:t>Specimen form of the Company's Common Stock Certificate (previously filed as an exhibit to Form S-3 on June 19,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76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4.2</w:t>
      </w:r>
      <w:r>
        <w:rPr>
          <w:sz w:val="20"/>
          <w:szCs w:val="20"/>
          <w:color w:val="auto"/>
        </w:rPr>
        <w:tab/>
      </w:r>
      <w:hyperlink r:id="rId24">
        <w:r>
          <w:rPr>
            <w:rFonts w:ascii="Arial" w:cs="Arial" w:eastAsia="Arial" w:hAnsi="Arial"/>
            <w:sz w:val="13"/>
            <w:szCs w:val="13"/>
            <w:u w:val="single" w:color="auto"/>
            <w:color w:val="0000FF"/>
          </w:rPr>
          <w:t>2004 Stock Plan (previously filed as an exhibit to the Company's Definitive Information Statement on Schedule 14C on August 9, 2004)</w:t>
        </w:r>
      </w:hyperlink>
    </w:p>
    <w:p>
      <w:pPr>
        <w:spacing w:after="0" w:line="55" w:lineRule="exact"/>
        <w:rPr>
          <w:sz w:val="20"/>
          <w:szCs w:val="20"/>
          <w:color w:val="auto"/>
        </w:rPr>
      </w:pPr>
    </w:p>
    <w:p>
      <w:pPr>
        <w:ind w:left="1280" w:right="300" w:hanging="534"/>
        <w:spacing w:after="0" w:line="288" w:lineRule="auto"/>
        <w:tabs>
          <w:tab w:leader="none" w:pos="1260" w:val="left"/>
        </w:tabs>
        <w:rPr>
          <w:rFonts w:ascii="Arial" w:cs="Arial" w:eastAsia="Arial" w:hAnsi="Arial"/>
          <w:sz w:val="14"/>
          <w:szCs w:val="14"/>
          <w:u w:val="single" w:color="auto"/>
          <w:color w:val="0000FF"/>
        </w:rPr>
      </w:pPr>
      <w:r>
        <w:rPr>
          <w:rFonts w:ascii="Arial" w:cs="Arial" w:eastAsia="Arial" w:hAnsi="Arial"/>
          <w:sz w:val="14"/>
          <w:szCs w:val="14"/>
          <w:color w:val="auto"/>
        </w:rPr>
        <w:t>4.3</w:t>
      </w:r>
      <w:r>
        <w:rPr>
          <w:sz w:val="20"/>
          <w:szCs w:val="20"/>
          <w:color w:val="auto"/>
        </w:rPr>
        <w:tab/>
      </w:r>
      <w:hyperlink r:id="rId25">
        <w:r>
          <w:rPr>
            <w:rFonts w:ascii="Arial" w:cs="Arial" w:eastAsia="Arial" w:hAnsi="Arial"/>
            <w:sz w:val="14"/>
            <w:szCs w:val="14"/>
            <w:u w:val="single" w:color="auto"/>
            <w:color w:val="0000FF"/>
          </w:rPr>
          <w:t>Amended and Restated 2004 Stock Plan, adopted December 4, 2007 (previously filed as Annex A to the Company's Definitive Information Statement on Schedule 14A on</w:t>
        </w:r>
      </w:hyperlink>
      <w:r>
        <w:rPr>
          <w:rFonts w:ascii="Arial" w:cs="Arial" w:eastAsia="Arial" w:hAnsi="Arial"/>
          <w:sz w:val="14"/>
          <w:szCs w:val="14"/>
          <w:u w:val="single" w:color="auto"/>
          <w:color w:val="0000FF"/>
        </w:rPr>
        <w:t xml:space="preserve"> </w:t>
      </w:r>
      <w:hyperlink r:id="rId25">
        <w:r>
          <w:rPr>
            <w:rFonts w:ascii="Arial" w:cs="Arial" w:eastAsia="Arial" w:hAnsi="Arial"/>
            <w:sz w:val="14"/>
            <w:szCs w:val="14"/>
            <w:u w:val="single" w:color="auto"/>
            <w:color w:val="0000FF"/>
          </w:rPr>
          <w:t>October 29,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274560" cy="246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274560" cy="246380"/>
                    </a:xfrm>
                    <a:prstGeom prst="rect">
                      <a:avLst/>
                    </a:prstGeom>
                    <a:noFill/>
                  </pic:spPr>
                </pic:pic>
              </a:graphicData>
            </a:graphic>
          </wp:anchor>
        </w:drawing>
      </w:r>
    </w:p>
    <w:p>
      <w:pPr>
        <w:ind w:left="1280" w:right="440" w:hanging="534"/>
        <w:spacing w:after="0" w:line="288" w:lineRule="auto"/>
        <w:tabs>
          <w:tab w:leader="none" w:pos="1260" w:val="left"/>
        </w:tabs>
        <w:rPr>
          <w:rFonts w:ascii="Arial" w:cs="Arial" w:eastAsia="Arial" w:hAnsi="Arial"/>
          <w:sz w:val="14"/>
          <w:szCs w:val="14"/>
          <w:u w:val="single" w:color="auto"/>
          <w:color w:val="0000FF"/>
        </w:rPr>
      </w:pPr>
      <w:r>
        <w:rPr>
          <w:rFonts w:ascii="Arial" w:cs="Arial" w:eastAsia="Arial" w:hAnsi="Arial"/>
          <w:sz w:val="14"/>
          <w:szCs w:val="14"/>
          <w:color w:val="auto"/>
        </w:rPr>
        <w:t>4.4</w:t>
      </w:r>
      <w:r>
        <w:rPr>
          <w:sz w:val="20"/>
          <w:szCs w:val="20"/>
          <w:color w:val="auto"/>
        </w:rPr>
        <w:tab/>
      </w:r>
      <w:hyperlink r:id="rId27">
        <w:r>
          <w:rPr>
            <w:rFonts w:ascii="Arial" w:cs="Arial" w:eastAsia="Arial" w:hAnsi="Arial"/>
            <w:sz w:val="14"/>
            <w:szCs w:val="14"/>
            <w:u w:val="single" w:color="auto"/>
            <w:color w:val="0000FF"/>
          </w:rPr>
          <w:t>Amendment to Amended and Restated 2004 Stock Plan, adopted December 5, 2011 (previously filed as Annex A to the Company's Definitive Information Statement on</w:t>
        </w:r>
      </w:hyperlink>
      <w:r>
        <w:rPr>
          <w:rFonts w:ascii="Arial" w:cs="Arial" w:eastAsia="Arial" w:hAnsi="Arial"/>
          <w:sz w:val="14"/>
          <w:szCs w:val="14"/>
          <w:u w:val="single" w:color="auto"/>
          <w:color w:val="0000FF"/>
        </w:rPr>
        <w:t xml:space="preserve"> </w:t>
      </w:r>
      <w:hyperlink r:id="rId27">
        <w:r>
          <w:rPr>
            <w:rFonts w:ascii="Arial" w:cs="Arial" w:eastAsia="Arial" w:hAnsi="Arial"/>
            <w:sz w:val="14"/>
            <w:szCs w:val="14"/>
            <w:u w:val="single" w:color="auto"/>
            <w:color w:val="0000FF"/>
          </w:rPr>
          <w:t>Schedule 14A on October 28, 2011)</w:t>
        </w:r>
      </w:hyperlink>
    </w:p>
    <w:p>
      <w:pPr>
        <w:spacing w:after="0" w:line="2" w:lineRule="exact"/>
        <w:rPr>
          <w:sz w:val="20"/>
          <w:szCs w:val="20"/>
          <w:color w:val="auto"/>
        </w:rPr>
      </w:pPr>
    </w:p>
    <w:p>
      <w:pPr>
        <w:ind w:left="76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4.5</w:t>
      </w:r>
      <w:r>
        <w:rPr>
          <w:sz w:val="20"/>
          <w:szCs w:val="20"/>
          <w:color w:val="auto"/>
        </w:rPr>
        <w:tab/>
      </w:r>
      <w:hyperlink r:id="rId28">
        <w:r>
          <w:rPr>
            <w:rFonts w:ascii="Arial" w:cs="Arial" w:eastAsia="Arial" w:hAnsi="Arial"/>
            <w:sz w:val="13"/>
            <w:szCs w:val="13"/>
            <w:u w:val="single" w:color="auto"/>
            <w:color w:val="0000FF"/>
          </w:rPr>
          <w:t>Form of Stock Option Agreement for the Natural Gas Systems 2004 Stock Plan (previously filed as an exhibit to Form 8-K on April 8, 2005)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76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4.6</w:t>
      </w:r>
      <w:r>
        <w:rPr>
          <w:sz w:val="20"/>
          <w:szCs w:val="20"/>
          <w:color w:val="auto"/>
        </w:rPr>
        <w:tab/>
      </w:r>
      <w:hyperlink r:id="rId30">
        <w:r>
          <w:rPr>
            <w:rFonts w:ascii="Arial" w:cs="Arial" w:eastAsia="Arial" w:hAnsi="Arial"/>
            <w:sz w:val="13"/>
            <w:szCs w:val="13"/>
            <w:u w:val="single" w:color="auto"/>
            <w:color w:val="0000FF"/>
          </w:rPr>
          <w:t>Form of Restricted Stock Agreement (previously filed as an exhibit to Form SC TO-I on May 15, 2009)</w:t>
        </w:r>
      </w:hyperlink>
    </w:p>
    <w:p>
      <w:pPr>
        <w:spacing w:after="0" w:line="55" w:lineRule="exact"/>
        <w:rPr>
          <w:sz w:val="20"/>
          <w:szCs w:val="20"/>
          <w:color w:val="auto"/>
        </w:rPr>
      </w:pPr>
    </w:p>
    <w:p>
      <w:pPr>
        <w:ind w:left="76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4.7</w:t>
      </w:r>
      <w:r>
        <w:rPr>
          <w:sz w:val="20"/>
          <w:szCs w:val="20"/>
          <w:color w:val="auto"/>
        </w:rPr>
        <w:tab/>
      </w:r>
      <w:hyperlink r:id="rId31">
        <w:r>
          <w:rPr>
            <w:rFonts w:ascii="Arial" w:cs="Arial" w:eastAsia="Arial" w:hAnsi="Arial"/>
            <w:sz w:val="13"/>
            <w:szCs w:val="13"/>
            <w:u w:val="single" w:color="auto"/>
            <w:color w:val="0000FF"/>
          </w:rPr>
          <w:t>Form of Contingent Performance Stock Grant under the Amended and Restated 2004 Stock Plan (previously filed as an exhibit to Form 10-Q on November 7, 2014 )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76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4.8</w:t>
      </w:r>
      <w:r>
        <w:rPr>
          <w:sz w:val="20"/>
          <w:szCs w:val="20"/>
          <w:color w:val="auto"/>
        </w:rPr>
        <w:tab/>
      </w:r>
      <w:hyperlink r:id="rId33">
        <w:r>
          <w:rPr>
            <w:rFonts w:ascii="Arial" w:cs="Arial" w:eastAsia="Arial" w:hAnsi="Arial"/>
            <w:sz w:val="13"/>
            <w:szCs w:val="13"/>
            <w:u w:val="single" w:color="auto"/>
            <w:color w:val="0000FF"/>
          </w:rPr>
          <w:t>2016 Equity Incentive Plan (previously filed as an exhibit to the Company's Form 10-Q on February 8, 2017)</w:t>
        </w:r>
      </w:hyperlink>
    </w:p>
    <w:p>
      <w:pPr>
        <w:spacing w:after="0" w:line="55" w:lineRule="exact"/>
        <w:rPr>
          <w:sz w:val="20"/>
          <w:szCs w:val="20"/>
          <w:color w:val="auto"/>
        </w:rPr>
      </w:pPr>
    </w:p>
    <w:p>
      <w:pPr>
        <w:ind w:left="76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4.9</w:t>
      </w:r>
      <w:r>
        <w:rPr>
          <w:sz w:val="20"/>
          <w:szCs w:val="20"/>
          <w:color w:val="auto"/>
        </w:rPr>
        <w:tab/>
      </w:r>
      <w:hyperlink r:id="rId34">
        <w:r>
          <w:rPr>
            <w:rFonts w:ascii="Arial" w:cs="Arial" w:eastAsia="Arial" w:hAnsi="Arial"/>
            <w:sz w:val="13"/>
            <w:szCs w:val="13"/>
            <w:u w:val="single" w:color="auto"/>
            <w:color w:val="0000FF"/>
          </w:rPr>
          <w:t>Majority Voting Policy for Directors (previously filed as an exhibit to the Company's Current Report on Form 8-K on October 31,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68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4.10</w:t>
      </w:r>
      <w:r>
        <w:rPr>
          <w:sz w:val="20"/>
          <w:szCs w:val="20"/>
          <w:color w:val="auto"/>
        </w:rPr>
        <w:tab/>
      </w:r>
      <w:hyperlink r:id="rId36">
        <w:r>
          <w:rPr>
            <w:rFonts w:ascii="Arial" w:cs="Arial" w:eastAsia="Arial" w:hAnsi="Arial"/>
            <w:sz w:val="13"/>
            <w:szCs w:val="13"/>
            <w:u w:val="single" w:color="auto"/>
            <w:color w:val="0000FF"/>
          </w:rPr>
          <w:t>Form of Restricted Stock Agreement under 2016 Equity Incentive Plan (previously filed as an exhibit to Form 10-Q on February 8, 2018)</w:t>
        </w:r>
      </w:hyperlink>
    </w:p>
    <w:p>
      <w:pPr>
        <w:spacing w:after="0" w:line="55" w:lineRule="exact"/>
        <w:rPr>
          <w:sz w:val="20"/>
          <w:szCs w:val="20"/>
          <w:color w:val="auto"/>
        </w:rPr>
      </w:pPr>
    </w:p>
    <w:p>
      <w:pPr>
        <w:ind w:left="68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4.11</w:t>
      </w:r>
      <w:r>
        <w:rPr>
          <w:sz w:val="20"/>
          <w:szCs w:val="20"/>
          <w:color w:val="auto"/>
        </w:rPr>
        <w:tab/>
      </w:r>
      <w:hyperlink r:id="rId37">
        <w:r>
          <w:rPr>
            <w:rFonts w:ascii="Arial" w:cs="Arial" w:eastAsia="Arial" w:hAnsi="Arial"/>
            <w:sz w:val="13"/>
            <w:szCs w:val="13"/>
            <w:u w:val="single" w:color="auto"/>
            <w:color w:val="0000FF"/>
          </w:rPr>
          <w:t>Form of Contingent Restricted Stock Agreement under 2016 Equity Incentive Plan (previously filed as an exhibit to Form 10-Q on February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68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4.12</w:t>
      </w:r>
      <w:r>
        <w:rPr>
          <w:sz w:val="20"/>
          <w:szCs w:val="20"/>
          <w:color w:val="auto"/>
        </w:rPr>
        <w:tab/>
      </w:r>
      <w:hyperlink w:anchor="page74">
        <w:r>
          <w:rPr>
            <w:rFonts w:ascii="Arial" w:cs="Arial" w:eastAsia="Arial" w:hAnsi="Arial"/>
            <w:sz w:val="13"/>
            <w:szCs w:val="13"/>
            <w:u w:val="single" w:color="auto"/>
            <w:color w:val="0000FF"/>
          </w:rPr>
          <w:t>Form of Restricted Stock Agreement under 2016 Equity Incentive Plan as Revised on July 9, 2019 (filed herein)</w:t>
        </w:r>
      </w:hyperlink>
    </w:p>
    <w:p>
      <w:pPr>
        <w:spacing w:after="0" w:line="55" w:lineRule="exact"/>
        <w:rPr>
          <w:sz w:val="20"/>
          <w:szCs w:val="20"/>
          <w:color w:val="auto"/>
        </w:rPr>
      </w:pPr>
    </w:p>
    <w:p>
      <w:pPr>
        <w:ind w:left="68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4.13</w:t>
      </w:r>
      <w:r>
        <w:rPr>
          <w:sz w:val="20"/>
          <w:szCs w:val="20"/>
          <w:color w:val="auto"/>
        </w:rPr>
        <w:tab/>
      </w:r>
      <w:hyperlink w:anchor="page81">
        <w:r>
          <w:rPr>
            <w:rFonts w:ascii="Arial" w:cs="Arial" w:eastAsia="Arial" w:hAnsi="Arial"/>
            <w:sz w:val="13"/>
            <w:szCs w:val="13"/>
            <w:u w:val="single" w:color="auto"/>
            <w:color w:val="0000FF"/>
          </w:rPr>
          <w:t>Form of Performance Share Unit Award Agreement under 2016 Equity Incentive Plan as Revised on July 9, 2019 (filed 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68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10.1</w:t>
      </w:r>
      <w:r>
        <w:rPr>
          <w:sz w:val="20"/>
          <w:szCs w:val="20"/>
          <w:color w:val="auto"/>
        </w:rPr>
        <w:tab/>
      </w:r>
      <w:hyperlink r:id="rId40">
        <w:r>
          <w:rPr>
            <w:rFonts w:ascii="Arial" w:cs="Arial" w:eastAsia="Arial" w:hAnsi="Arial"/>
            <w:sz w:val="13"/>
            <w:szCs w:val="13"/>
            <w:u w:val="single" w:color="auto"/>
            <w:color w:val="0000FF"/>
          </w:rPr>
          <w:t>Purchase and Sale Agreement I, by and between NGS Sub Corp. and Denbury Onshore, LLC, dated May 8, 2006 (previously filed as an exhibit to Form 8-K on June 16, 2006)</w:t>
        </w:r>
      </w:hyperlink>
    </w:p>
    <w:p>
      <w:pPr>
        <w:spacing w:after="0" w:line="55" w:lineRule="exact"/>
        <w:rPr>
          <w:sz w:val="20"/>
          <w:szCs w:val="20"/>
          <w:color w:val="auto"/>
        </w:rPr>
      </w:pPr>
    </w:p>
    <w:p>
      <w:pPr>
        <w:ind w:left="68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10.2</w:t>
      </w:r>
      <w:r>
        <w:rPr>
          <w:sz w:val="20"/>
          <w:szCs w:val="20"/>
          <w:color w:val="auto"/>
        </w:rPr>
        <w:tab/>
      </w:r>
      <w:hyperlink r:id="rId41">
        <w:r>
          <w:rPr>
            <w:rFonts w:ascii="Arial" w:cs="Arial" w:eastAsia="Arial" w:hAnsi="Arial"/>
            <w:sz w:val="13"/>
            <w:szCs w:val="13"/>
            <w:u w:val="single" w:color="auto"/>
            <w:color w:val="0000FF"/>
          </w:rPr>
          <w:t>Purchase and Sale Agreement II, by and between NGS Sub Corp. and Denbury Onshore, LLC, dated May 8, 2006 (previously filed as an exhibit to Form 8-K on June 16,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68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10.3</w:t>
      </w:r>
      <w:r>
        <w:rPr>
          <w:sz w:val="20"/>
          <w:szCs w:val="20"/>
          <w:color w:val="auto"/>
        </w:rPr>
        <w:tab/>
      </w:r>
      <w:hyperlink r:id="rId43">
        <w:r>
          <w:rPr>
            <w:rFonts w:ascii="Arial" w:cs="Arial" w:eastAsia="Arial" w:hAnsi="Arial"/>
            <w:sz w:val="13"/>
            <w:szCs w:val="13"/>
            <w:u w:val="single" w:color="auto"/>
            <w:color w:val="0000FF"/>
          </w:rPr>
          <w:t>Unit Operating Agreement, by and between NGS Sub Corp. and Denbury Onshore, LLC, dated May 8, 2006 (previously filed as an exhibit to Form 8-K on June 16, 2006)</w:t>
        </w:r>
      </w:hyperlink>
    </w:p>
    <w:p>
      <w:pPr>
        <w:spacing w:after="0" w:line="55" w:lineRule="exact"/>
        <w:rPr>
          <w:sz w:val="20"/>
          <w:szCs w:val="20"/>
          <w:color w:val="auto"/>
        </w:rPr>
      </w:pPr>
    </w:p>
    <w:p>
      <w:pPr>
        <w:ind w:left="1280" w:right="440" w:hanging="606"/>
        <w:spacing w:after="0" w:line="288" w:lineRule="auto"/>
        <w:tabs>
          <w:tab w:leader="none" w:pos="1260" w:val="left"/>
        </w:tabs>
        <w:rPr>
          <w:rFonts w:ascii="Arial" w:cs="Arial" w:eastAsia="Arial" w:hAnsi="Arial"/>
          <w:sz w:val="14"/>
          <w:szCs w:val="14"/>
          <w:u w:val="single" w:color="auto"/>
          <w:color w:val="0000FF"/>
        </w:rPr>
      </w:pPr>
      <w:r>
        <w:rPr>
          <w:rFonts w:ascii="Arial" w:cs="Arial" w:eastAsia="Arial" w:hAnsi="Arial"/>
          <w:sz w:val="14"/>
          <w:szCs w:val="14"/>
          <w:color w:val="auto"/>
        </w:rPr>
        <w:t>10.4</w:t>
      </w:r>
      <w:r>
        <w:rPr>
          <w:sz w:val="20"/>
          <w:szCs w:val="20"/>
          <w:color w:val="auto"/>
        </w:rPr>
        <w:tab/>
      </w:r>
      <w:hyperlink r:id="rId44">
        <w:r>
          <w:rPr>
            <w:rFonts w:ascii="Arial" w:cs="Arial" w:eastAsia="Arial" w:hAnsi="Arial"/>
            <w:sz w:val="14"/>
            <w:szCs w:val="14"/>
            <w:u w:val="single" w:color="auto"/>
            <w:color w:val="0000FF"/>
          </w:rPr>
          <w:t>Conveyance, Assignment and Bill of Sale Agreement, by and between NGS Sub Corp. and Denbury Onshore, LLC, dated May 8, 2006 (previously filed as an exhibit to</w:t>
        </w:r>
      </w:hyperlink>
      <w:r>
        <w:rPr>
          <w:rFonts w:ascii="Arial" w:cs="Arial" w:eastAsia="Arial" w:hAnsi="Arial"/>
          <w:sz w:val="14"/>
          <w:szCs w:val="14"/>
          <w:u w:val="single" w:color="auto"/>
          <w:color w:val="0000FF"/>
        </w:rPr>
        <w:t xml:space="preserve"> </w:t>
      </w:r>
      <w:hyperlink r:id="rId44">
        <w:r>
          <w:rPr>
            <w:rFonts w:ascii="Arial" w:cs="Arial" w:eastAsia="Arial" w:hAnsi="Arial"/>
            <w:sz w:val="14"/>
            <w:szCs w:val="14"/>
            <w:u w:val="single" w:color="auto"/>
            <w:color w:val="0000FF"/>
          </w:rPr>
          <w:t>Form 8-K on June 16,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274560" cy="246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7274560" cy="246380"/>
                    </a:xfrm>
                    <a:prstGeom prst="rect">
                      <a:avLst/>
                    </a:prstGeom>
                    <a:noFill/>
                  </pic:spPr>
                </pic:pic>
              </a:graphicData>
            </a:graphic>
          </wp:anchor>
        </w:drawing>
      </w:r>
    </w:p>
    <w:p>
      <w:pPr>
        <w:ind w:left="1280" w:right="40" w:hanging="606"/>
        <w:spacing w:after="0" w:line="288" w:lineRule="auto"/>
        <w:tabs>
          <w:tab w:leader="none" w:pos="1260" w:val="left"/>
        </w:tabs>
        <w:rPr>
          <w:rFonts w:ascii="Arial" w:cs="Arial" w:eastAsia="Arial" w:hAnsi="Arial"/>
          <w:sz w:val="14"/>
          <w:szCs w:val="14"/>
          <w:u w:val="single" w:color="auto"/>
          <w:color w:val="0000FF"/>
        </w:rPr>
      </w:pPr>
      <w:r>
        <w:rPr>
          <w:rFonts w:ascii="Arial" w:cs="Arial" w:eastAsia="Arial" w:hAnsi="Arial"/>
          <w:sz w:val="14"/>
          <w:szCs w:val="14"/>
          <w:color w:val="auto"/>
        </w:rPr>
        <w:t>10.5</w:t>
      </w:r>
      <w:r>
        <w:rPr>
          <w:sz w:val="20"/>
          <w:szCs w:val="20"/>
          <w:color w:val="auto"/>
        </w:rPr>
        <w:tab/>
      </w:r>
      <w:hyperlink r:id="rId46">
        <w:r>
          <w:rPr>
            <w:rFonts w:ascii="Arial" w:cs="Arial" w:eastAsia="Arial" w:hAnsi="Arial"/>
            <w:sz w:val="14"/>
            <w:szCs w:val="14"/>
            <w:u w:val="single" w:color="auto"/>
            <w:color w:val="0000FF"/>
          </w:rPr>
          <w:t>Settlement Agreement, dated June 24, 2016, by and among Denbury Onshore, LLC, Denbury Resources Inc., NGS Sub Corp., Tertiaire Resources Company, and the Company</w:t>
        </w:r>
      </w:hyperlink>
      <w:r>
        <w:rPr>
          <w:rFonts w:ascii="Arial" w:cs="Arial" w:eastAsia="Arial" w:hAnsi="Arial"/>
          <w:sz w:val="14"/>
          <w:szCs w:val="14"/>
          <w:u w:val="single" w:color="auto"/>
          <w:color w:val="0000FF"/>
        </w:rPr>
        <w:t xml:space="preserve"> </w:t>
      </w:r>
      <w:hyperlink r:id="rId46">
        <w:r>
          <w:rPr>
            <w:rFonts w:ascii="Arial" w:cs="Arial" w:eastAsia="Arial" w:hAnsi="Arial"/>
            <w:sz w:val="14"/>
            <w:szCs w:val="14"/>
            <w:u w:val="single" w:color="auto"/>
            <w:color w:val="0000FF"/>
          </w:rPr>
          <w:t>(previously filed as an exhibit to Form 10-K on September 9, 2016)</w:t>
        </w:r>
      </w:hyperlink>
    </w:p>
    <w:p>
      <w:pPr>
        <w:spacing w:after="0" w:line="2" w:lineRule="exact"/>
        <w:rPr>
          <w:sz w:val="20"/>
          <w:szCs w:val="20"/>
          <w:color w:val="auto"/>
        </w:rPr>
      </w:pPr>
    </w:p>
    <w:p>
      <w:pPr>
        <w:ind w:left="68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10.6</w:t>
      </w:r>
      <w:r>
        <w:rPr>
          <w:sz w:val="20"/>
          <w:szCs w:val="20"/>
          <w:color w:val="auto"/>
        </w:rPr>
        <w:tab/>
      </w:r>
      <w:hyperlink r:id="rId47">
        <w:r>
          <w:rPr>
            <w:rFonts w:ascii="Arial" w:cs="Arial" w:eastAsia="Arial" w:hAnsi="Arial"/>
            <w:sz w:val="13"/>
            <w:szCs w:val="13"/>
            <w:u w:val="single" w:color="auto"/>
            <w:color w:val="0000FF"/>
          </w:rPr>
          <w:t>Form of Indemnification Agreement for Officers and Directors, as adopted on September 20, 2006 (previously filed as an exhibit to Form 8-K on September 22, 2006)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745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extLst>
                    </a:blip>
                    <a:srcRect/>
                    <a:stretch>
                      <a:fillRect/>
                    </a:stretch>
                  </pic:blipFill>
                  <pic:spPr bwMode="auto">
                    <a:xfrm>
                      <a:off x="0" y="0"/>
                      <a:ext cx="7274560" cy="137160"/>
                    </a:xfrm>
                    <a:prstGeom prst="rect">
                      <a:avLst/>
                    </a:prstGeom>
                    <a:noFill/>
                  </pic:spPr>
                </pic:pic>
              </a:graphicData>
            </a:graphic>
          </wp:anchor>
        </w:drawing>
      </w:r>
    </w:p>
    <w:p>
      <w:pPr>
        <w:spacing w:after="0" w:line="35" w:lineRule="exact"/>
        <w:rPr>
          <w:sz w:val="20"/>
          <w:szCs w:val="20"/>
          <w:color w:val="auto"/>
        </w:rPr>
      </w:pPr>
    </w:p>
    <w:p>
      <w:pPr>
        <w:ind w:left="680"/>
        <w:spacing w:after="0"/>
        <w:tabs>
          <w:tab w:leader="none" w:pos="1260" w:val="left"/>
        </w:tabs>
        <w:rPr>
          <w:rFonts w:ascii="Arial" w:cs="Arial" w:eastAsia="Arial" w:hAnsi="Arial"/>
          <w:sz w:val="13"/>
          <w:szCs w:val="13"/>
          <w:u w:val="single" w:color="auto"/>
          <w:color w:val="0000FF"/>
        </w:rPr>
      </w:pPr>
      <w:r>
        <w:rPr>
          <w:rFonts w:ascii="Arial" w:cs="Arial" w:eastAsia="Arial" w:hAnsi="Arial"/>
          <w:sz w:val="14"/>
          <w:szCs w:val="14"/>
          <w:color w:val="auto"/>
        </w:rPr>
        <w:t>10.7</w:t>
      </w:r>
      <w:r>
        <w:rPr>
          <w:sz w:val="20"/>
          <w:szCs w:val="20"/>
          <w:color w:val="auto"/>
        </w:rPr>
        <w:tab/>
      </w:r>
      <w:hyperlink r:id="rId49">
        <w:r>
          <w:rPr>
            <w:rFonts w:ascii="Arial" w:cs="Arial" w:eastAsia="Arial" w:hAnsi="Arial"/>
            <w:sz w:val="13"/>
            <w:szCs w:val="13"/>
            <w:u w:val="single" w:color="auto"/>
            <w:color w:val="0000FF"/>
          </w:rPr>
          <w:t>Credit Agreement dated April 11, 2016 between Evolution Petroleum Corporation and MidFirst Bank (previously filed as an exhibit to Form 8-K on April 15, 2016)</w:t>
        </w:r>
      </w:hyperlink>
    </w:p>
    <w:p>
      <w:pPr>
        <w:spacing w:after="0" w:line="55" w:lineRule="exact"/>
        <w:rPr>
          <w:sz w:val="20"/>
          <w:szCs w:val="20"/>
          <w:color w:val="auto"/>
        </w:rPr>
      </w:pPr>
    </w:p>
    <w:p>
      <w:pPr>
        <w:ind w:left="1280" w:right="200" w:hanging="606"/>
        <w:spacing w:after="0" w:line="288" w:lineRule="auto"/>
        <w:tabs>
          <w:tab w:leader="none" w:pos="1260" w:val="left"/>
        </w:tabs>
        <w:rPr>
          <w:rFonts w:ascii="Arial" w:cs="Arial" w:eastAsia="Arial" w:hAnsi="Arial"/>
          <w:sz w:val="14"/>
          <w:szCs w:val="14"/>
          <w:u w:val="single" w:color="auto"/>
          <w:color w:val="0000FF"/>
        </w:rPr>
      </w:pPr>
      <w:r>
        <w:rPr>
          <w:rFonts w:ascii="Arial" w:cs="Arial" w:eastAsia="Arial" w:hAnsi="Arial"/>
          <w:sz w:val="14"/>
          <w:szCs w:val="14"/>
          <w:color w:val="auto"/>
        </w:rPr>
        <w:t>10.8</w:t>
      </w:r>
      <w:r>
        <w:rPr>
          <w:sz w:val="20"/>
          <w:szCs w:val="20"/>
          <w:color w:val="auto"/>
        </w:rPr>
        <w:tab/>
      </w:r>
      <w:hyperlink r:id="rId50">
        <w:r>
          <w:rPr>
            <w:rFonts w:ascii="Arial" w:cs="Arial" w:eastAsia="Arial" w:hAnsi="Arial"/>
            <w:sz w:val="14"/>
            <w:szCs w:val="14"/>
            <w:u w:val="single" w:color="auto"/>
            <w:color w:val="0000FF"/>
          </w:rPr>
          <w:t>First Amendment to Credit Agreement dated April 11, 2016, between Evolution Petroleum Corporation and Midfirst Bank effective October 18, 2016 (previously filed as an</w:t>
        </w:r>
      </w:hyperlink>
      <w:r>
        <w:rPr>
          <w:rFonts w:ascii="Arial" w:cs="Arial" w:eastAsia="Arial" w:hAnsi="Arial"/>
          <w:sz w:val="14"/>
          <w:szCs w:val="14"/>
          <w:u w:val="single" w:color="auto"/>
          <w:color w:val="0000FF"/>
        </w:rPr>
        <w:t xml:space="preserve"> </w:t>
      </w:r>
      <w:hyperlink r:id="rId50">
        <w:r>
          <w:rPr>
            <w:rFonts w:ascii="Arial" w:cs="Arial" w:eastAsia="Arial" w:hAnsi="Arial"/>
            <w:sz w:val="14"/>
            <w:szCs w:val="14"/>
            <w:u w:val="single" w:color="auto"/>
            <w:color w:val="0000FF"/>
          </w:rPr>
          <w:t>exhibit to Form 10-Q on November 9,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274560" cy="246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7274560" cy="246380"/>
                    </a:xfrm>
                    <a:prstGeom prst="rect">
                      <a:avLst/>
                    </a:prstGeom>
                    <a:noFill/>
                  </pic:spPr>
                </pic:pic>
              </a:graphicData>
            </a:graphic>
          </wp:anchor>
        </w:drawing>
      </w:r>
    </w:p>
    <w:p>
      <w:pPr>
        <w:ind w:left="1280" w:right="60" w:hanging="606"/>
        <w:spacing w:after="0" w:line="288" w:lineRule="auto"/>
        <w:tabs>
          <w:tab w:leader="none" w:pos="1260" w:val="left"/>
        </w:tabs>
        <w:rPr>
          <w:rFonts w:ascii="Arial" w:cs="Arial" w:eastAsia="Arial" w:hAnsi="Arial"/>
          <w:sz w:val="14"/>
          <w:szCs w:val="14"/>
          <w:u w:val="single" w:color="auto"/>
          <w:color w:val="0000FF"/>
        </w:rPr>
      </w:pPr>
      <w:r>
        <w:rPr>
          <w:rFonts w:ascii="Arial" w:cs="Arial" w:eastAsia="Arial" w:hAnsi="Arial"/>
          <w:sz w:val="14"/>
          <w:szCs w:val="14"/>
          <w:color w:val="auto"/>
        </w:rPr>
        <w:t>10.9</w:t>
      </w:r>
      <w:r>
        <w:rPr>
          <w:sz w:val="20"/>
          <w:szCs w:val="20"/>
          <w:color w:val="auto"/>
        </w:rPr>
        <w:tab/>
      </w:r>
      <w:hyperlink r:id="rId52">
        <w:r>
          <w:rPr>
            <w:rFonts w:ascii="Arial" w:cs="Arial" w:eastAsia="Arial" w:hAnsi="Arial"/>
            <w:sz w:val="14"/>
            <w:szCs w:val="14"/>
            <w:u w:val="single" w:color="auto"/>
            <w:color w:val="0000FF"/>
          </w:rPr>
          <w:t>Second Amendment to Credit Agreement dated April 11, 2016, between Evolution Petroleum Corporation and Midfirst Bank effective February 1, 2018 (previously filed as an</w:t>
        </w:r>
      </w:hyperlink>
      <w:r>
        <w:rPr>
          <w:rFonts w:ascii="Arial" w:cs="Arial" w:eastAsia="Arial" w:hAnsi="Arial"/>
          <w:sz w:val="14"/>
          <w:szCs w:val="14"/>
          <w:u w:val="single" w:color="auto"/>
          <w:color w:val="0000FF"/>
        </w:rPr>
        <w:t xml:space="preserve"> </w:t>
      </w:r>
      <w:hyperlink r:id="rId52">
        <w:r>
          <w:rPr>
            <w:rFonts w:ascii="Arial" w:cs="Arial" w:eastAsia="Arial" w:hAnsi="Arial"/>
            <w:sz w:val="14"/>
            <w:szCs w:val="14"/>
            <w:u w:val="single" w:color="auto"/>
            <w:color w:val="0000FF"/>
          </w:rPr>
          <w:t>exhibit to Form 10-Q on February 8, 2018)</w:t>
        </w:r>
      </w:hyperlink>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20" w:top="129" w:right="25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60" w:type="dxa"/>
            <w:vAlign w:val="bottom"/>
            <w:gridSpan w:val="2"/>
          </w:tcPr>
          <w:p>
            <w:pPr>
              <w:ind w:left="28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740" w:type="dxa"/>
            <w:vAlign w:val="bottom"/>
            <w:gridSpan w:val="9"/>
            <w:vMerge w:val="restart"/>
          </w:tcPr>
          <w:p>
            <w:pPr>
              <w:ind w:left="24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53"/>
        </w:trPr>
        <w:tc>
          <w:tcPr>
            <w:tcW w:w="1260" w:type="dxa"/>
            <w:vAlign w:val="bottom"/>
            <w:gridSpan w:val="2"/>
          </w:tcPr>
          <w:p>
            <w:pPr>
              <w:ind w:left="26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7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40" w:type="dxa"/>
            <w:vAlign w:val="bottom"/>
            <w:tcBorders>
              <w:top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10.10</w:t>
            </w:r>
          </w:p>
        </w:tc>
        <w:tc>
          <w:tcPr>
            <w:tcW w:w="2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180" w:type="dxa"/>
            <w:vAlign w:val="bottom"/>
            <w:tcBorders>
              <w:top w:val="single" w:sz="8" w:color="auto"/>
            </w:tcBorders>
            <w:gridSpan w:val="18"/>
          </w:tcPr>
          <w:p>
            <w:pPr>
              <w:spacing w:after="0" w:line="157" w:lineRule="exact"/>
              <w:rPr>
                <w:rFonts w:ascii="Arial" w:cs="Arial" w:eastAsia="Arial" w:hAnsi="Arial"/>
                <w:sz w:val="14"/>
                <w:szCs w:val="14"/>
                <w:color w:val="0000FF"/>
              </w:rPr>
            </w:pPr>
            <w:hyperlink r:id="rId53">
              <w:r>
                <w:rPr>
                  <w:rFonts w:ascii="Arial" w:cs="Arial" w:eastAsia="Arial" w:hAnsi="Arial"/>
                  <w:sz w:val="14"/>
                  <w:szCs w:val="14"/>
                  <w:color w:val="0000FF"/>
                </w:rPr>
                <w:t>Third Amendment to Credit Agreement dated April 11, 2016, between Evolution Petroleum Corporation and Midfirst Bank effective May 25, 2018 (previously filed on</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2"/>
          </w:tcPr>
          <w:p>
            <w:pPr>
              <w:spacing w:after="0" w:line="153" w:lineRule="exact"/>
              <w:rPr>
                <w:rFonts w:ascii="Arial" w:cs="Arial" w:eastAsia="Arial" w:hAnsi="Arial"/>
                <w:sz w:val="14"/>
                <w:szCs w:val="14"/>
                <w:color w:val="0000FF"/>
              </w:rPr>
            </w:pPr>
            <w:hyperlink r:id="rId53">
              <w:r>
                <w:rPr>
                  <w:rFonts w:ascii="Arial" w:cs="Arial" w:eastAsia="Arial" w:hAnsi="Arial"/>
                  <w:sz w:val="14"/>
                  <w:szCs w:val="14"/>
                  <w:color w:val="0000FF"/>
                </w:rPr>
                <w:t>September 10, 2018 as an exhibit to Form 10-K)</w:t>
              </w:r>
            </w:hyperlink>
          </w:p>
        </w:tc>
        <w:tc>
          <w:tcPr>
            <w:tcW w:w="5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10.11</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80" w:type="dxa"/>
            <w:vAlign w:val="bottom"/>
            <w:gridSpan w:val="18"/>
            <w:shd w:val="clear" w:color="auto" w:fill="CCEEFF"/>
          </w:tcPr>
          <w:p>
            <w:pPr>
              <w:spacing w:after="0"/>
              <w:rPr>
                <w:rFonts w:ascii="Arial" w:cs="Arial" w:eastAsia="Arial" w:hAnsi="Arial"/>
                <w:sz w:val="14"/>
                <w:szCs w:val="14"/>
                <w:color w:val="0000FF"/>
                <w:w w:val="95"/>
              </w:rPr>
            </w:pPr>
            <w:hyperlink r:id="rId54">
              <w:r>
                <w:rPr>
                  <w:rFonts w:ascii="Arial" w:cs="Arial" w:eastAsia="Arial" w:hAnsi="Arial"/>
                  <w:sz w:val="14"/>
                  <w:szCs w:val="14"/>
                  <w:color w:val="0000FF"/>
                  <w:w w:val="95"/>
                </w:rPr>
                <w:t>Fourth Amendment to Credit Agreement dated April 11, 2016, between Evolution Petroleum Corporation and Midfirst Bank effective December 31, 2018 (previously filed on</w:t>
              </w:r>
            </w:hyperlink>
          </w:p>
        </w:tc>
        <w:tc>
          <w:tcPr>
            <w:tcW w:w="0" w:type="dxa"/>
            <w:vAlign w:val="bottom"/>
          </w:tcPr>
          <w:p>
            <w:pPr>
              <w:spacing w:after="0"/>
              <w:rPr>
                <w:sz w:val="1"/>
                <w:szCs w:val="1"/>
                <w:color w:val="auto"/>
              </w:rPr>
            </w:pPr>
          </w:p>
        </w:tc>
      </w:tr>
      <w:tr>
        <w:trPr>
          <w:trHeight w:val="152"/>
        </w:trPr>
        <w:tc>
          <w:tcPr>
            <w:tcW w:w="10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15"/>
            <w:shd w:val="clear" w:color="auto" w:fill="CCEEFF"/>
          </w:tcPr>
          <w:p>
            <w:pPr>
              <w:spacing w:after="0" w:line="153" w:lineRule="exact"/>
              <w:rPr>
                <w:rFonts w:ascii="Arial" w:cs="Arial" w:eastAsia="Arial" w:hAnsi="Arial"/>
                <w:sz w:val="14"/>
                <w:szCs w:val="14"/>
                <w:color w:val="0000FF"/>
              </w:rPr>
            </w:pPr>
            <w:hyperlink r:id="rId54">
              <w:r>
                <w:rPr>
                  <w:rFonts w:ascii="Arial" w:cs="Arial" w:eastAsia="Arial" w:hAnsi="Arial"/>
                  <w:sz w:val="14"/>
                  <w:szCs w:val="14"/>
                  <w:color w:val="0000FF"/>
                </w:rPr>
                <w:t>February 8, 2019 as an exhibit to Form 10-Q)</w:t>
              </w:r>
            </w:hyperlink>
          </w:p>
        </w:tc>
        <w:tc>
          <w:tcPr>
            <w:tcW w:w="14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3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tcPr>
          <w:p>
            <w:pPr>
              <w:jc w:val="right"/>
              <w:ind w:right="30"/>
              <w:spacing w:after="0"/>
              <w:rPr>
                <w:sz w:val="20"/>
                <w:szCs w:val="20"/>
                <w:color w:val="auto"/>
              </w:rPr>
            </w:pPr>
            <w:r>
              <w:rPr>
                <w:rFonts w:ascii="Arial" w:cs="Arial" w:eastAsia="Arial" w:hAnsi="Arial"/>
                <w:sz w:val="14"/>
                <w:szCs w:val="14"/>
                <w:color w:val="auto"/>
              </w:rPr>
              <w:t>10.12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18"/>
          </w:tcPr>
          <w:p>
            <w:pPr>
              <w:spacing w:after="0"/>
              <w:rPr>
                <w:rFonts w:ascii="Arial" w:cs="Arial" w:eastAsia="Arial" w:hAnsi="Arial"/>
                <w:sz w:val="14"/>
                <w:szCs w:val="14"/>
                <w:color w:val="0000FF"/>
              </w:rPr>
            </w:pPr>
            <w:hyperlink w:anchor="page90">
              <w:r>
                <w:rPr>
                  <w:rFonts w:ascii="Arial" w:cs="Arial" w:eastAsia="Arial" w:hAnsi="Arial"/>
                  <w:sz w:val="14"/>
                  <w:szCs w:val="14"/>
                  <w:color w:val="0000FF"/>
                </w:rPr>
                <w:t>Employment Offer Letter to Jason E. Brown dated July 8, 2019 (filed herein)</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14.1</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680" w:type="dxa"/>
            <w:vAlign w:val="bottom"/>
            <w:tcBorders>
              <w:bottom w:val="single" w:sz="8" w:color="0000FF"/>
            </w:tcBorders>
            <w:gridSpan w:val="10"/>
            <w:shd w:val="clear" w:color="auto" w:fill="CCEEFF"/>
          </w:tcPr>
          <w:p>
            <w:pPr>
              <w:spacing w:after="0"/>
              <w:rPr>
                <w:rFonts w:ascii="Arial" w:cs="Arial" w:eastAsia="Arial" w:hAnsi="Arial"/>
                <w:sz w:val="14"/>
                <w:szCs w:val="14"/>
                <w:color w:val="0000FF"/>
                <w:w w:val="94"/>
              </w:rPr>
            </w:pPr>
            <w:hyperlink r:id="rId55">
              <w:r>
                <w:rPr>
                  <w:rFonts w:ascii="Arial" w:cs="Arial" w:eastAsia="Arial" w:hAnsi="Arial"/>
                  <w:sz w:val="14"/>
                  <w:szCs w:val="14"/>
                  <w:color w:val="0000FF"/>
                  <w:w w:val="94"/>
                </w:rPr>
                <w:t>Code of Business Conduct and Ethics (previously filed as an exhibit to Form 8-K on May 4, 2006)</w:t>
              </w:r>
            </w:hyperlink>
          </w:p>
        </w:tc>
        <w:tc>
          <w:tcPr>
            <w:tcW w:w="4500" w:type="dxa"/>
            <w:vAlign w:val="bottom"/>
            <w:tcBorders>
              <w:bottom w:val="single" w:sz="8" w:color="CCEEFF"/>
            </w:tcBorders>
            <w:gridSpan w:val="8"/>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40" w:type="dxa"/>
            <w:vAlign w:val="bottom"/>
          </w:tcPr>
          <w:p>
            <w:pPr>
              <w:jc w:val="right"/>
              <w:ind w:right="30"/>
              <w:spacing w:after="0"/>
              <w:rPr>
                <w:sz w:val="20"/>
                <w:szCs w:val="20"/>
                <w:color w:val="auto"/>
              </w:rPr>
            </w:pPr>
            <w:r>
              <w:rPr>
                <w:rFonts w:ascii="Arial" w:cs="Arial" w:eastAsia="Arial" w:hAnsi="Arial"/>
                <w:sz w:val="14"/>
                <w:szCs w:val="14"/>
                <w:color w:val="auto"/>
              </w:rPr>
              <w:t>21.1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18"/>
          </w:tcPr>
          <w:p>
            <w:pPr>
              <w:spacing w:after="0"/>
              <w:rPr>
                <w:rFonts w:ascii="Arial" w:cs="Arial" w:eastAsia="Arial" w:hAnsi="Arial"/>
                <w:sz w:val="14"/>
                <w:szCs w:val="14"/>
                <w:color w:val="0000FF"/>
              </w:rPr>
            </w:pPr>
            <w:hyperlink w:anchor="page97">
              <w:r>
                <w:rPr>
                  <w:rFonts w:ascii="Arial" w:cs="Arial" w:eastAsia="Arial" w:hAnsi="Arial"/>
                  <w:sz w:val="14"/>
                  <w:szCs w:val="14"/>
                  <w:color w:val="0000FF"/>
                </w:rPr>
                <w:t>List of Subsidiaries of Evolution Petroleum Corporation (filed herein)</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23.1</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180" w:type="dxa"/>
            <w:vAlign w:val="bottom"/>
            <w:gridSpan w:val="18"/>
            <w:shd w:val="clear" w:color="auto" w:fill="CCEEFF"/>
          </w:tcPr>
          <w:p>
            <w:pPr>
              <w:spacing w:after="0"/>
              <w:rPr>
                <w:rFonts w:ascii="Arial" w:cs="Arial" w:eastAsia="Arial" w:hAnsi="Arial"/>
                <w:sz w:val="14"/>
                <w:szCs w:val="14"/>
                <w:color w:val="0000FF"/>
              </w:rPr>
            </w:pPr>
            <w:hyperlink w:anchor="page98">
              <w:r>
                <w:rPr>
                  <w:rFonts w:ascii="Arial" w:cs="Arial" w:eastAsia="Arial" w:hAnsi="Arial"/>
                  <w:sz w:val="14"/>
                  <w:szCs w:val="14"/>
                  <w:color w:val="0000FF"/>
                </w:rPr>
                <w:t>Consent of Moss Adams LLP (filed herein)</w:t>
              </w:r>
            </w:hyperlink>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3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tcPr>
          <w:p>
            <w:pPr>
              <w:jc w:val="right"/>
              <w:ind w:right="30"/>
              <w:spacing w:after="0"/>
              <w:rPr>
                <w:sz w:val="20"/>
                <w:szCs w:val="20"/>
                <w:color w:val="auto"/>
              </w:rPr>
            </w:pPr>
            <w:r>
              <w:rPr>
                <w:rFonts w:ascii="Arial" w:cs="Arial" w:eastAsia="Arial" w:hAnsi="Arial"/>
                <w:sz w:val="14"/>
                <w:szCs w:val="14"/>
                <w:color w:val="auto"/>
              </w:rPr>
              <w:t>23.2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18"/>
          </w:tcPr>
          <w:p>
            <w:pPr>
              <w:spacing w:after="0"/>
              <w:rPr>
                <w:rFonts w:ascii="Arial" w:cs="Arial" w:eastAsia="Arial" w:hAnsi="Arial"/>
                <w:sz w:val="14"/>
                <w:szCs w:val="14"/>
                <w:color w:val="0000FF"/>
              </w:rPr>
            </w:pPr>
            <w:hyperlink w:anchor="page99">
              <w:r>
                <w:rPr>
                  <w:rFonts w:ascii="Arial" w:cs="Arial" w:eastAsia="Arial" w:hAnsi="Arial"/>
                  <w:sz w:val="14"/>
                  <w:szCs w:val="14"/>
                  <w:color w:val="0000FF"/>
                </w:rPr>
                <w:t>Consent of DeGolyer &amp; MacNaughton (filed herein)</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31.1</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9920" w:type="dxa"/>
            <w:vAlign w:val="bottom"/>
            <w:tcBorders>
              <w:bottom w:val="single" w:sz="8" w:color="0000FF"/>
            </w:tcBorders>
            <w:gridSpan w:val="14"/>
            <w:shd w:val="clear" w:color="auto" w:fill="CCEEFF"/>
          </w:tcPr>
          <w:p>
            <w:pPr>
              <w:spacing w:after="0"/>
              <w:rPr>
                <w:rFonts w:ascii="Arial" w:cs="Arial" w:eastAsia="Arial" w:hAnsi="Arial"/>
                <w:sz w:val="14"/>
                <w:szCs w:val="14"/>
                <w:color w:val="0000FF"/>
                <w:w w:val="93"/>
              </w:rPr>
            </w:pPr>
            <w:hyperlink w:anchor="page100">
              <w:r>
                <w:rPr>
                  <w:rFonts w:ascii="Arial" w:cs="Arial" w:eastAsia="Arial" w:hAnsi="Arial"/>
                  <w:sz w:val="14"/>
                  <w:szCs w:val="14"/>
                  <w:color w:val="0000FF"/>
                  <w:w w:val="93"/>
                </w:rPr>
                <w:t>Certification of Chief Executive Officer Pursuant to Rule 15D-14 of the Securities Exchange Act of 1934, as Amended as Adopted Pursuant to Section 302 of the Sarbanes-</w:t>
              </w:r>
            </w:hyperlink>
          </w:p>
        </w:tc>
        <w:tc>
          <w:tcPr>
            <w:tcW w:w="260" w:type="dxa"/>
            <w:vAlign w:val="bottom"/>
            <w:tcBorders>
              <w:bottom w:val="single" w:sz="8" w:color="CCEEFF"/>
            </w:tcBorders>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0000FF"/>
            </w:tcBorders>
            <w:gridSpan w:val="2"/>
            <w:shd w:val="clear" w:color="auto" w:fill="CCEEFF"/>
          </w:tcPr>
          <w:p>
            <w:pPr>
              <w:spacing w:after="0" w:line="153" w:lineRule="exact"/>
              <w:rPr>
                <w:rFonts w:ascii="Arial" w:cs="Arial" w:eastAsia="Arial" w:hAnsi="Arial"/>
                <w:sz w:val="14"/>
                <w:szCs w:val="14"/>
                <w:color w:val="0000FF"/>
                <w:w w:val="96"/>
              </w:rPr>
            </w:pPr>
            <w:hyperlink w:anchor="page100">
              <w:r>
                <w:rPr>
                  <w:rFonts w:ascii="Arial" w:cs="Arial" w:eastAsia="Arial" w:hAnsi="Arial"/>
                  <w:sz w:val="14"/>
                  <w:szCs w:val="14"/>
                  <w:color w:val="0000FF"/>
                  <w:w w:val="96"/>
                </w:rPr>
                <w:t>Oxley Act of 2002 (filed herein)</w:t>
              </w:r>
            </w:hyperlink>
          </w:p>
        </w:tc>
        <w:tc>
          <w:tcPr>
            <w:tcW w:w="8300" w:type="dxa"/>
            <w:vAlign w:val="bottom"/>
            <w:tcBorders>
              <w:bottom w:val="single" w:sz="8" w:color="CCEEFF"/>
            </w:tcBorders>
            <w:gridSpan w:val="16"/>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tcPr>
          <w:p>
            <w:pPr>
              <w:jc w:val="right"/>
              <w:ind w:right="30"/>
              <w:spacing w:after="0"/>
              <w:rPr>
                <w:sz w:val="20"/>
                <w:szCs w:val="20"/>
                <w:color w:val="auto"/>
              </w:rPr>
            </w:pPr>
            <w:r>
              <w:rPr>
                <w:rFonts w:ascii="Arial" w:cs="Arial" w:eastAsia="Arial" w:hAnsi="Arial"/>
                <w:sz w:val="14"/>
                <w:szCs w:val="14"/>
                <w:color w:val="auto"/>
              </w:rPr>
              <w:t>31.2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18"/>
          </w:tcPr>
          <w:p>
            <w:pPr>
              <w:spacing w:after="0"/>
              <w:rPr>
                <w:rFonts w:ascii="Arial" w:cs="Arial" w:eastAsia="Arial" w:hAnsi="Arial"/>
                <w:sz w:val="14"/>
                <w:szCs w:val="14"/>
                <w:color w:val="0000FF"/>
                <w:w w:val="94"/>
              </w:rPr>
            </w:pPr>
            <w:hyperlink w:anchor="page101">
              <w:r>
                <w:rPr>
                  <w:rFonts w:ascii="Arial" w:cs="Arial" w:eastAsia="Arial" w:hAnsi="Arial"/>
                  <w:sz w:val="14"/>
                  <w:szCs w:val="14"/>
                  <w:color w:val="0000FF"/>
                  <w:w w:val="94"/>
                </w:rPr>
                <w:t>Certification of President and Chief Financial Officer Pursuant to Rule 15D-14 of the Securities Exchange Act of 1934, as Amended as Adopted Pursuant to Section 302 of the</w:t>
              </w:r>
            </w:hyperlink>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16"/>
          </w:tcPr>
          <w:p>
            <w:pPr>
              <w:spacing w:after="0" w:line="153" w:lineRule="exact"/>
              <w:rPr>
                <w:rFonts w:ascii="Arial" w:cs="Arial" w:eastAsia="Arial" w:hAnsi="Arial"/>
                <w:sz w:val="14"/>
                <w:szCs w:val="14"/>
                <w:color w:val="0000FF"/>
              </w:rPr>
            </w:pPr>
            <w:hyperlink w:anchor="page101">
              <w:r>
                <w:rPr>
                  <w:rFonts w:ascii="Arial" w:cs="Arial" w:eastAsia="Arial" w:hAnsi="Arial"/>
                  <w:sz w:val="14"/>
                  <w:szCs w:val="14"/>
                  <w:color w:val="0000FF"/>
                </w:rPr>
                <w:t>Sarbanes-Oxley Act of 2002 (filed herein)</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32.1</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340" w:type="dxa"/>
            <w:vAlign w:val="bottom"/>
            <w:tcBorders>
              <w:bottom w:val="single" w:sz="8" w:color="0000FF"/>
            </w:tcBorders>
            <w:gridSpan w:val="11"/>
            <w:shd w:val="clear" w:color="auto" w:fill="CCEEFF"/>
          </w:tcPr>
          <w:p>
            <w:pPr>
              <w:spacing w:after="0"/>
              <w:rPr>
                <w:rFonts w:ascii="Arial" w:cs="Arial" w:eastAsia="Arial" w:hAnsi="Arial"/>
                <w:sz w:val="14"/>
                <w:szCs w:val="14"/>
                <w:color w:val="0000FF"/>
                <w:w w:val="93"/>
              </w:rPr>
            </w:pPr>
            <w:hyperlink w:anchor="page102">
              <w:r>
                <w:rPr>
                  <w:rFonts w:ascii="Arial" w:cs="Arial" w:eastAsia="Arial" w:hAnsi="Arial"/>
                  <w:sz w:val="14"/>
                  <w:szCs w:val="14"/>
                  <w:color w:val="0000FF"/>
                  <w:w w:val="93"/>
                </w:rPr>
                <w:t>Certification of Chief Executive Officer Pursuant to 18 U.S.C. Section 1350, as Adopted Pursuant to Section 906 of the Sarbanes-Oxley Act of 2002 (filed herein)</w:t>
              </w:r>
            </w:hyperlink>
          </w:p>
        </w:tc>
        <w:tc>
          <w:tcPr>
            <w:tcW w:w="840" w:type="dxa"/>
            <w:vAlign w:val="bottom"/>
            <w:tcBorders>
              <w:bottom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40" w:type="dxa"/>
            <w:vAlign w:val="bottom"/>
          </w:tcPr>
          <w:p>
            <w:pPr>
              <w:jc w:val="right"/>
              <w:ind w:right="30"/>
              <w:spacing w:after="0"/>
              <w:rPr>
                <w:sz w:val="20"/>
                <w:szCs w:val="20"/>
                <w:color w:val="auto"/>
              </w:rPr>
            </w:pPr>
            <w:r>
              <w:rPr>
                <w:rFonts w:ascii="Arial" w:cs="Arial" w:eastAsia="Arial" w:hAnsi="Arial"/>
                <w:sz w:val="14"/>
                <w:szCs w:val="14"/>
                <w:color w:val="auto"/>
              </w:rPr>
              <w:t>32.2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80" w:type="dxa"/>
            <w:vAlign w:val="bottom"/>
            <w:gridSpan w:val="18"/>
          </w:tcPr>
          <w:p>
            <w:pPr>
              <w:spacing w:after="0"/>
              <w:rPr>
                <w:rFonts w:ascii="Arial" w:cs="Arial" w:eastAsia="Arial" w:hAnsi="Arial"/>
                <w:sz w:val="14"/>
                <w:szCs w:val="14"/>
                <w:color w:val="0000FF"/>
                <w:w w:val="94"/>
              </w:rPr>
            </w:pPr>
            <w:hyperlink w:anchor="page103">
              <w:r>
                <w:rPr>
                  <w:rFonts w:ascii="Arial" w:cs="Arial" w:eastAsia="Arial" w:hAnsi="Arial"/>
                  <w:sz w:val="14"/>
                  <w:szCs w:val="14"/>
                  <w:color w:val="0000FF"/>
                  <w:w w:val="94"/>
                </w:rPr>
                <w:t>Certification of President and Chief Financial Officer Pursuant to 18 U.S.C. Section 1350, as Adopted Pursuant to Section 906 of the Sarbanes-Oxley Act of 2002 (filed herein)</w:t>
              </w:r>
            </w:hyperlink>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36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99.1</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9800" w:type="dxa"/>
            <w:vAlign w:val="bottom"/>
            <w:tcBorders>
              <w:bottom w:val="single" w:sz="8" w:color="0000FF"/>
            </w:tcBorders>
            <w:gridSpan w:val="13"/>
            <w:shd w:val="clear" w:color="auto" w:fill="CCEEFF"/>
          </w:tcPr>
          <w:p>
            <w:pPr>
              <w:spacing w:after="0"/>
              <w:rPr>
                <w:rFonts w:ascii="Arial" w:cs="Arial" w:eastAsia="Arial" w:hAnsi="Arial"/>
                <w:sz w:val="14"/>
                <w:szCs w:val="14"/>
                <w:color w:val="0000FF"/>
                <w:w w:val="92"/>
              </w:rPr>
            </w:pPr>
            <w:hyperlink w:anchor="page104">
              <w:r>
                <w:rPr>
                  <w:rFonts w:ascii="Arial" w:cs="Arial" w:eastAsia="Arial" w:hAnsi="Arial"/>
                  <w:sz w:val="14"/>
                  <w:szCs w:val="14"/>
                  <w:color w:val="0000FF"/>
                  <w:w w:val="92"/>
                </w:rPr>
                <w:t>The summary of DeGolyer and MacNaughton's Report as of June 30, 2019, on oil and gas reserves (SEC Case) dated August 2, 2019 and certificate of qualification (filed</w:t>
              </w:r>
            </w:hyperlink>
          </w:p>
        </w:tc>
        <w:tc>
          <w:tcPr>
            <w:tcW w:w="380" w:type="dxa"/>
            <w:vAlign w:val="bottom"/>
            <w:tcBorders>
              <w:bottom w:val="single" w:sz="8" w:color="CCEEFF"/>
            </w:tcBorders>
            <w:gridSpan w:val="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0000FF"/>
            </w:tcBorders>
            <w:shd w:val="clear" w:color="auto" w:fill="CCEEFF"/>
          </w:tcPr>
          <w:p>
            <w:pPr>
              <w:spacing w:after="0" w:line="153" w:lineRule="exact"/>
              <w:rPr>
                <w:rFonts w:ascii="Arial" w:cs="Arial" w:eastAsia="Arial" w:hAnsi="Arial"/>
                <w:sz w:val="14"/>
                <w:szCs w:val="14"/>
                <w:color w:val="0000FF"/>
                <w:w w:val="91"/>
              </w:rPr>
            </w:pPr>
            <w:hyperlink w:anchor="page104">
              <w:r>
                <w:rPr>
                  <w:rFonts w:ascii="Arial" w:cs="Arial" w:eastAsia="Arial" w:hAnsi="Arial"/>
                  <w:sz w:val="14"/>
                  <w:szCs w:val="14"/>
                  <w:color w:val="0000FF"/>
                  <w:w w:val="91"/>
                </w:rPr>
                <w:t>herein)</w:t>
              </w:r>
            </w:hyperlink>
          </w:p>
        </w:tc>
        <w:tc>
          <w:tcPr>
            <w:tcW w:w="9760" w:type="dxa"/>
            <w:vAlign w:val="bottom"/>
            <w:tcBorders>
              <w:bottom w:val="single" w:sz="8" w:color="CCEEFF"/>
            </w:tcBorders>
            <w:gridSpan w:val="17"/>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6"/>
                <w:szCs w:val="16"/>
                <w:color w:val="auto"/>
              </w:rPr>
            </w:pPr>
          </w:p>
        </w:tc>
        <w:tc>
          <w:tcPr>
            <w:tcW w:w="10180" w:type="dxa"/>
            <w:vAlign w:val="bottom"/>
            <w:gridSpan w:val="18"/>
          </w:tcPr>
          <w:p>
            <w:pPr>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23"/>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101.SCH</w:t>
            </w:r>
          </w:p>
        </w:tc>
        <w:tc>
          <w:tcPr>
            <w:tcW w:w="20" w:type="dxa"/>
            <w:vAlign w:val="bottom"/>
            <w:tcBorders>
              <w:bottom w:val="single" w:sz="8" w:color="CCEEFF"/>
            </w:tcBorders>
            <w:shd w:val="clear" w:color="auto" w:fill="CCEEFF"/>
          </w:tcPr>
          <w:p>
            <w:pPr>
              <w:spacing w:after="0"/>
              <w:rPr>
                <w:sz w:val="17"/>
                <w:szCs w:val="17"/>
                <w:color w:val="auto"/>
              </w:rPr>
            </w:pPr>
          </w:p>
        </w:tc>
        <w:tc>
          <w:tcPr>
            <w:tcW w:w="1018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193"/>
        </w:trPr>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6"/>
                <w:szCs w:val="16"/>
                <w:color w:val="auto"/>
              </w:rPr>
            </w:pPr>
          </w:p>
        </w:tc>
        <w:tc>
          <w:tcPr>
            <w:tcW w:w="10180" w:type="dxa"/>
            <w:vAlign w:val="bottom"/>
            <w:gridSpan w:val="18"/>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23"/>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101.DEF</w:t>
            </w:r>
          </w:p>
        </w:tc>
        <w:tc>
          <w:tcPr>
            <w:tcW w:w="20" w:type="dxa"/>
            <w:vAlign w:val="bottom"/>
            <w:tcBorders>
              <w:bottom w:val="single" w:sz="8" w:color="CCEEFF"/>
            </w:tcBorders>
            <w:shd w:val="clear" w:color="auto" w:fill="CCEEFF"/>
          </w:tcPr>
          <w:p>
            <w:pPr>
              <w:spacing w:after="0"/>
              <w:rPr>
                <w:sz w:val="17"/>
                <w:szCs w:val="17"/>
                <w:color w:val="auto"/>
              </w:rPr>
            </w:pPr>
          </w:p>
        </w:tc>
        <w:tc>
          <w:tcPr>
            <w:tcW w:w="1018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193"/>
        </w:trPr>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6"/>
                <w:szCs w:val="16"/>
                <w:color w:val="auto"/>
              </w:rPr>
            </w:pPr>
          </w:p>
        </w:tc>
        <w:tc>
          <w:tcPr>
            <w:tcW w:w="10180" w:type="dxa"/>
            <w:vAlign w:val="bottom"/>
            <w:gridSpan w:val="18"/>
          </w:tcPr>
          <w:p>
            <w:pPr>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23"/>
        </w:trPr>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101.PRE</w:t>
            </w:r>
          </w:p>
        </w:tc>
        <w:tc>
          <w:tcPr>
            <w:tcW w:w="20" w:type="dxa"/>
            <w:vAlign w:val="bottom"/>
            <w:tcBorders>
              <w:bottom w:val="single" w:sz="8" w:color="CCEEFF"/>
            </w:tcBorders>
            <w:shd w:val="clear" w:color="auto" w:fill="CCEEFF"/>
          </w:tcPr>
          <w:p>
            <w:pPr>
              <w:spacing w:after="0"/>
              <w:rPr>
                <w:sz w:val="17"/>
                <w:szCs w:val="17"/>
                <w:color w:val="auto"/>
              </w:rPr>
            </w:pPr>
          </w:p>
        </w:tc>
        <w:tc>
          <w:tcPr>
            <w:tcW w:w="1018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r>
        <w:trPr>
          <w:trHeight w:val="538"/>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gridSpan w:val="11"/>
          </w:tcPr>
          <w:p>
            <w:pPr>
              <w:jc w:val="right"/>
              <w:ind w:right="1103"/>
              <w:spacing w:after="0"/>
              <w:rPr>
                <w:sz w:val="20"/>
                <w:szCs w:val="20"/>
                <w:color w:val="auto"/>
              </w:rPr>
            </w:pPr>
            <w:r>
              <w:rPr>
                <w:rFonts w:ascii="Arial" w:cs="Arial" w:eastAsia="Arial" w:hAnsi="Arial"/>
                <w:sz w:val="14"/>
                <w:szCs w:val="14"/>
                <w:color w:val="auto"/>
              </w:rPr>
              <w:t>67</w:t>
            </w:r>
          </w:p>
        </w:tc>
        <w:tc>
          <w:tcPr>
            <w:tcW w:w="3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73" w:name="page74"/>
    <w:bookmarkEnd w:id="73"/>
    <w:p>
      <w:pPr>
        <w:jc w:val="right"/>
        <w:spacing w:after="0"/>
        <w:rPr>
          <w:sz w:val="20"/>
          <w:szCs w:val="20"/>
          <w:color w:val="auto"/>
        </w:rPr>
      </w:pPr>
      <w:r>
        <w:rPr>
          <w:rFonts w:ascii="Arial" w:cs="Arial" w:eastAsia="Arial" w:hAnsi="Arial"/>
          <w:sz w:val="14"/>
          <w:szCs w:val="14"/>
          <w:b w:val="1"/>
          <w:bCs w:val="1"/>
          <w:color w:val="auto"/>
        </w:rPr>
        <w:t>Exhibit 4.12</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[AND PERFORMANCE SHARE] AWARD AGREEMENT</w:t>
      </w:r>
    </w:p>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This Restricted Stock [and Performance Share] Award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and entered into as of </w:t>
      </w:r>
      <w:r>
        <w:rPr>
          <w:rFonts w:ascii="Arial" w:cs="Arial" w:eastAsia="Arial" w:hAnsi="Arial"/>
          <w:sz w:val="17"/>
          <w:szCs w:val="17"/>
          <w:b w:val="1"/>
          <w:bCs w:val="1"/>
          <w:color w:val="auto"/>
        </w:rPr>
        <w:t>[DATE]</w:t>
      </w:r>
      <w:r>
        <w:rPr>
          <w:rFonts w:ascii="Arial" w:cs="Arial" w:eastAsia="Arial" w:hAnsi="Arial"/>
          <w:sz w:val="17"/>
          <w:szCs w:val="17"/>
          <w:color w:val="auto"/>
        </w:rPr>
        <w:t xml:space="preserve"> (the "</w:t>
      </w:r>
      <w:r>
        <w:rPr>
          <w:rFonts w:ascii="Arial" w:cs="Arial" w:eastAsia="Arial" w:hAnsi="Arial"/>
          <w:sz w:val="17"/>
          <w:szCs w:val="17"/>
          <w:b w:val="1"/>
          <w:bCs w:val="1"/>
          <w:color w:val="auto"/>
        </w:rPr>
        <w:t>Grant Date</w:t>
      </w:r>
      <w:r>
        <w:rPr>
          <w:rFonts w:ascii="Arial" w:cs="Arial" w:eastAsia="Arial" w:hAnsi="Arial"/>
          <w:sz w:val="17"/>
          <w:szCs w:val="17"/>
          <w:color w:val="auto"/>
        </w:rPr>
        <w:t>") by and between Evolution Petroleum Corporation,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[EMPLOYEE NAME]</w:t>
      </w:r>
      <w:r>
        <w:rPr>
          <w:rFonts w:ascii="Arial" w:cs="Arial" w:eastAsia="Arial" w:hAnsi="Arial"/>
          <w:sz w:val="17"/>
          <w:szCs w:val="17"/>
          <w:color w:val="auto"/>
        </w:rPr>
        <w:t xml:space="preserve"> (the "</w:t>
      </w:r>
      <w:r>
        <w:rPr>
          <w:rFonts w:ascii="Arial" w:cs="Arial" w:eastAsia="Arial" w:hAnsi="Arial"/>
          <w:sz w:val="17"/>
          <w:szCs w:val="17"/>
          <w:b w:val="1"/>
          <w:bCs w:val="1"/>
          <w:color w:val="auto"/>
        </w:rPr>
        <w:t>Participant</w:t>
      </w:r>
      <w:r>
        <w:rPr>
          <w:rFonts w:ascii="Arial" w:cs="Arial" w:eastAsia="Arial" w:hAnsi="Arial"/>
          <w:sz w:val="17"/>
          <w:szCs w:val="17"/>
          <w:color w:val="auto"/>
        </w:rPr>
        <w:t>").</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adopted the Evolution Petroleum Corporation 2016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pursuant to which awards of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may be granted; and</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Committee has determined that it is in the best interests of the Company and its shareholders to grant the award of Restricted Stock provided for</w:t>
      </w:r>
      <w:r>
        <w:rPr>
          <w:rFonts w:ascii="Arial" w:cs="Arial" w:eastAsia="Arial" w:hAnsi="Arial"/>
          <w:sz w:val="17"/>
          <w:szCs w:val="17"/>
          <w:b w:val="1"/>
          <w:bCs w:val="1"/>
          <w:color w:val="auto"/>
        </w:rPr>
        <w:t xml:space="preserve"> </w:t>
      </w:r>
      <w:r>
        <w:rPr>
          <w:rFonts w:ascii="Arial" w:cs="Arial" w:eastAsia="Arial" w:hAnsi="Arial"/>
          <w:sz w:val="17"/>
          <w:szCs w:val="17"/>
          <w:color w:val="auto"/>
        </w:rPr>
        <w:t>herein.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hereto, intending to be legally bound, agree as follows:</w:t>
      </w:r>
    </w:p>
    <w:p>
      <w:pPr>
        <w:spacing w:after="0" w:line="188" w:lineRule="exact"/>
        <w:rPr>
          <w:sz w:val="20"/>
          <w:szCs w:val="20"/>
          <w:color w:val="auto"/>
        </w:rPr>
      </w:pPr>
    </w:p>
    <w:p>
      <w:pPr>
        <w:jc w:val="both"/>
        <w:ind w:firstLine="319"/>
        <w:spacing w:after="0" w:line="287" w:lineRule="auto"/>
        <w:tabs>
          <w:tab w:leader="none" w:pos="830" w:val="left"/>
        </w:tabs>
        <w:numPr>
          <w:ilvl w:val="0"/>
          <w:numId w:val="31"/>
        </w:numPr>
        <w:rPr>
          <w:rFonts w:ascii="Arial" w:cs="Arial" w:eastAsia="Arial" w:hAnsi="Arial"/>
          <w:sz w:val="15"/>
          <w:szCs w:val="15"/>
          <w:color w:val="auto"/>
        </w:rPr>
      </w:pPr>
      <w:r>
        <w:rPr>
          <w:rFonts w:ascii="Arial" w:cs="Arial" w:eastAsia="Arial" w:hAnsi="Arial"/>
          <w:sz w:val="16"/>
          <w:szCs w:val="16"/>
          <w:u w:val="single" w:color="auto"/>
          <w:color w:val="auto"/>
        </w:rPr>
        <w:t>Grant of Restricted Stock</w:t>
      </w:r>
      <w:r>
        <w:rPr>
          <w:rFonts w:ascii="Arial" w:cs="Arial" w:eastAsia="Arial" w:hAnsi="Arial"/>
          <w:sz w:val="16"/>
          <w:szCs w:val="16"/>
          <w:color w:val="auto"/>
        </w:rPr>
        <w:t xml:space="preserve">. Pursuant to Section 7.2 of the Plan, the Company hereby issues to the Participant on the Grant Date a Restricted Stock Award consisting of, in the aggregate, </w:t>
      </w:r>
      <w:r>
        <w:rPr>
          <w:rFonts w:ascii="Arial" w:cs="Arial" w:eastAsia="Arial" w:hAnsi="Arial"/>
          <w:sz w:val="16"/>
          <w:szCs w:val="16"/>
          <w:b w:val="1"/>
          <w:bCs w:val="1"/>
          <w:color w:val="auto"/>
        </w:rPr>
        <w:t>[NUMBER]</w:t>
      </w:r>
      <w:r>
        <w:rPr>
          <w:rFonts w:ascii="Arial" w:cs="Arial" w:eastAsia="Arial" w:hAnsi="Arial"/>
          <w:sz w:val="16"/>
          <w:szCs w:val="16"/>
          <w:color w:val="auto"/>
        </w:rPr>
        <w:t xml:space="preserve"> shares of Common Stock of the Company for time-based service [and an Award covering a target number of </w:t>
      </w:r>
      <w:r>
        <w:rPr>
          <w:rFonts w:ascii="Arial" w:cs="Arial" w:eastAsia="Arial" w:hAnsi="Arial"/>
          <w:sz w:val="16"/>
          <w:szCs w:val="16"/>
          <w:b w:val="1"/>
          <w:bCs w:val="1"/>
          <w:color w:val="auto"/>
        </w:rPr>
        <w:t xml:space="preserve">[NUMBER] </w:t>
      </w:r>
      <w:r>
        <w:rPr>
          <w:rFonts w:ascii="Arial" w:cs="Arial" w:eastAsia="Arial" w:hAnsi="Arial"/>
          <w:sz w:val="16"/>
          <w:szCs w:val="16"/>
          <w:color w:val="auto"/>
        </w:rPr>
        <w:t>Performance Shares of Common Stock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Restricted Stock</w:t>
      </w:r>
      <w:r>
        <w:rPr>
          <w:rFonts w:ascii="Arial" w:cs="Arial" w:eastAsia="Arial" w:hAnsi="Arial"/>
          <w:sz w:val="16"/>
          <w:szCs w:val="16"/>
          <w:color w:val="auto"/>
        </w:rPr>
        <w:t>"), on the terms and conditions and subject to the restrictions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the Plan. Capitalized terms that are used but not defined herein have the meaning ascribed to them in the Plan.</w:t>
      </w:r>
    </w:p>
    <w:p>
      <w:pPr>
        <w:spacing w:after="0" w:line="122" w:lineRule="exact"/>
        <w:rPr>
          <w:rFonts w:ascii="Arial" w:cs="Arial" w:eastAsia="Arial" w:hAnsi="Arial"/>
          <w:sz w:val="15"/>
          <w:szCs w:val="15"/>
          <w:color w:val="auto"/>
        </w:rPr>
      </w:pPr>
    </w:p>
    <w:p>
      <w:pPr>
        <w:ind w:left="580" w:hanging="261"/>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7"/>
          <w:szCs w:val="17"/>
          <w:u w:val="single" w:color="auto"/>
          <w:color w:val="auto"/>
        </w:rPr>
        <w:t>Restricted Period; Vesting[; Performance Shares]</w:t>
      </w:r>
      <w:r>
        <w:rPr>
          <w:rFonts w:ascii="Arial" w:cs="Arial" w:eastAsia="Arial" w:hAnsi="Arial"/>
          <w:sz w:val="17"/>
          <w:szCs w:val="17"/>
          <w:color w:val="auto"/>
        </w:rPr>
        <w:t>.</w:t>
      </w:r>
    </w:p>
    <w:p>
      <w:pPr>
        <w:spacing w:after="0" w:line="192" w:lineRule="exact"/>
        <w:rPr>
          <w:sz w:val="20"/>
          <w:szCs w:val="20"/>
          <w:color w:val="auto"/>
        </w:rPr>
      </w:pPr>
    </w:p>
    <w:p>
      <w:pPr>
        <w:ind w:left="720"/>
        <w:spacing w:after="0"/>
        <w:tabs>
          <w:tab w:leader="none" w:pos="104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5"/>
          <w:szCs w:val="15"/>
          <w:color w:val="auto"/>
        </w:rPr>
        <w:t>The following vesting schedule(s) shall apply:</w:t>
      </w:r>
    </w:p>
    <w:p>
      <w:pPr>
        <w:spacing w:after="0" w:line="204" w:lineRule="exact"/>
        <w:rPr>
          <w:sz w:val="20"/>
          <w:szCs w:val="20"/>
          <w:color w:val="auto"/>
        </w:rPr>
      </w:pPr>
    </w:p>
    <w:p>
      <w:pPr>
        <w:ind w:left="720" w:right="80" w:firstLine="515"/>
        <w:spacing w:after="0" w:line="272" w:lineRule="auto"/>
        <w:tabs>
          <w:tab w:leader="none" w:pos="1556" w:val="left"/>
        </w:tabs>
        <w:numPr>
          <w:ilvl w:val="0"/>
          <w:numId w:val="32"/>
        </w:numPr>
        <w:rPr>
          <w:rFonts w:ascii="Arial" w:cs="Arial" w:eastAsia="Arial" w:hAnsi="Arial"/>
          <w:sz w:val="16"/>
          <w:szCs w:val="16"/>
          <w:color w:val="auto"/>
        </w:rPr>
      </w:pPr>
      <w:r>
        <w:rPr>
          <w:rFonts w:ascii="Arial" w:cs="Arial" w:eastAsia="Arial" w:hAnsi="Arial"/>
          <w:sz w:val="17"/>
          <w:szCs w:val="17"/>
          <w:color w:val="auto"/>
        </w:rPr>
        <w:t>As to [NUMBER] of shares, except as otherwise provided herein, provided that the Participant remains in Continuous Service through each of the first four anniversaries of the Grant Date (each a “</w:t>
      </w:r>
      <w:r>
        <w:rPr>
          <w:rFonts w:ascii="Arial" w:cs="Arial" w:eastAsia="Arial" w:hAnsi="Arial"/>
          <w:sz w:val="17"/>
          <w:szCs w:val="17"/>
          <w:b w:val="1"/>
          <w:bCs w:val="1"/>
          <w:color w:val="auto"/>
        </w:rPr>
        <w:t>Vesting Date</w:t>
      </w:r>
      <w:r>
        <w:rPr>
          <w:rFonts w:ascii="Arial" w:cs="Arial" w:eastAsia="Arial" w:hAnsi="Arial"/>
          <w:sz w:val="17"/>
          <w:szCs w:val="17"/>
          <w:color w:val="auto"/>
        </w:rPr>
        <w:t>”), the Restricted Stock for time-based service will vest in accordance with the following schedule:</w:t>
      </w:r>
    </w:p>
    <w:p>
      <w:pPr>
        <w:spacing w:after="0" w:line="227" w:lineRule="exact"/>
        <w:rPr>
          <w:sz w:val="20"/>
          <w:szCs w:val="20"/>
          <w:color w:val="auto"/>
        </w:rPr>
      </w:pPr>
    </w:p>
    <w:tbl>
      <w:tblPr>
        <w:tblLayout w:type="fixed"/>
        <w:tblInd w:w="400" w:type="dxa"/>
        <w:tblCellMar>
          <w:top w:w="0" w:type="dxa"/>
          <w:left w:w="0" w:type="dxa"/>
          <w:bottom w:w="0" w:type="dxa"/>
          <w:right w:w="0" w:type="dxa"/>
        </w:tblCellMar>
      </w:tblPr>
      <w:tr>
        <w:trPr>
          <w:trHeight w:val="236"/>
        </w:trPr>
        <w:tc>
          <w:tcPr>
            <w:tcW w:w="53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7"/>
                <w:szCs w:val="17"/>
                <w:b w:val="1"/>
                <w:bCs w:val="1"/>
                <w:color w:val="auto"/>
                <w:w w:val="89"/>
              </w:rPr>
              <w:t>Vesting Date</w:t>
            </w:r>
          </w:p>
        </w:tc>
        <w:tc>
          <w:tcPr>
            <w:tcW w:w="5080" w:type="dxa"/>
            <w:vAlign w:val="bottom"/>
            <w:tcBorders>
              <w:top w:val="single" w:sz="8" w:color="00000A"/>
            </w:tcBorders>
          </w:tcPr>
          <w:p>
            <w:pPr>
              <w:jc w:val="center"/>
              <w:spacing w:after="0"/>
              <w:rPr>
                <w:sz w:val="20"/>
                <w:szCs w:val="20"/>
                <w:color w:val="auto"/>
              </w:rPr>
            </w:pPr>
            <w:r>
              <w:rPr>
                <w:rFonts w:ascii="Arial" w:cs="Arial" w:eastAsia="Arial" w:hAnsi="Arial"/>
                <w:sz w:val="17"/>
                <w:szCs w:val="17"/>
                <w:b w:val="1"/>
                <w:bCs w:val="1"/>
                <w:color w:val="auto"/>
                <w:w w:val="90"/>
              </w:rPr>
              <w:t>Number of Shares of the Restricted Stock Vested</w:t>
            </w:r>
          </w:p>
        </w:tc>
      </w:tr>
      <w:tr>
        <w:trPr>
          <w:trHeight w:val="76"/>
        </w:trPr>
        <w:tc>
          <w:tcPr>
            <w:tcW w:w="5320" w:type="dxa"/>
            <w:vAlign w:val="bottom"/>
            <w:tcBorders>
              <w:bottom w:val="single" w:sz="8" w:color="00000A"/>
              <w:right w:val="single" w:sz="8" w:color="00000A"/>
            </w:tcBorders>
          </w:tcPr>
          <w:p>
            <w:pPr>
              <w:spacing w:after="0"/>
              <w:rPr>
                <w:sz w:val="6"/>
                <w:szCs w:val="6"/>
                <w:color w:val="auto"/>
              </w:rPr>
            </w:pPr>
          </w:p>
        </w:tc>
        <w:tc>
          <w:tcPr>
            <w:tcW w:w="5080" w:type="dxa"/>
            <w:vAlign w:val="bottom"/>
            <w:tcBorders>
              <w:bottom w:val="single" w:sz="8" w:color="00000A"/>
            </w:tcBorders>
          </w:tcPr>
          <w:p>
            <w:pPr>
              <w:spacing w:after="0"/>
              <w:rPr>
                <w:sz w:val="6"/>
                <w:szCs w:val="6"/>
                <w:color w:val="auto"/>
              </w:rPr>
            </w:pPr>
          </w:p>
        </w:tc>
      </w:tr>
      <w:tr>
        <w:trPr>
          <w:trHeight w:val="216"/>
        </w:trPr>
        <w:tc>
          <w:tcPr>
            <w:tcW w:w="5320" w:type="dxa"/>
            <w:vAlign w:val="bottom"/>
            <w:tcBorders>
              <w:right w:val="single" w:sz="8" w:color="00000A"/>
            </w:tcBorders>
          </w:tcPr>
          <w:p>
            <w:pPr>
              <w:jc w:val="center"/>
              <w:spacing w:after="0"/>
              <w:rPr>
                <w:sz w:val="20"/>
                <w:szCs w:val="20"/>
                <w:color w:val="auto"/>
              </w:rPr>
            </w:pPr>
            <w:r>
              <w:rPr>
                <w:rFonts w:ascii="Arial" w:cs="Arial" w:eastAsia="Arial" w:hAnsi="Arial"/>
                <w:sz w:val="17"/>
                <w:szCs w:val="17"/>
                <w:b w:val="1"/>
                <w:bCs w:val="1"/>
                <w:color w:val="auto"/>
              </w:rPr>
              <w:t>[DATE]</w:t>
            </w:r>
          </w:p>
        </w:tc>
        <w:tc>
          <w:tcPr>
            <w:tcW w:w="5080" w:type="dxa"/>
            <w:vAlign w:val="bottom"/>
          </w:tcPr>
          <w:p>
            <w:pPr>
              <w:jc w:val="center"/>
              <w:spacing w:after="0"/>
              <w:rPr>
                <w:sz w:val="20"/>
                <w:szCs w:val="20"/>
                <w:color w:val="auto"/>
              </w:rPr>
            </w:pPr>
            <w:r>
              <w:rPr>
                <w:rFonts w:ascii="Arial" w:cs="Arial" w:eastAsia="Arial" w:hAnsi="Arial"/>
                <w:sz w:val="17"/>
                <w:szCs w:val="17"/>
                <w:b w:val="1"/>
                <w:bCs w:val="1"/>
                <w:color w:val="auto"/>
              </w:rPr>
              <w:t>[NUMBER OF SHARES]</w:t>
            </w:r>
          </w:p>
        </w:tc>
      </w:tr>
      <w:tr>
        <w:trPr>
          <w:trHeight w:val="76"/>
        </w:trPr>
        <w:tc>
          <w:tcPr>
            <w:tcW w:w="5320" w:type="dxa"/>
            <w:vAlign w:val="bottom"/>
            <w:tcBorders>
              <w:bottom w:val="single" w:sz="8" w:color="00000A"/>
              <w:right w:val="single" w:sz="8" w:color="00000A"/>
            </w:tcBorders>
          </w:tcPr>
          <w:p>
            <w:pPr>
              <w:spacing w:after="0"/>
              <w:rPr>
                <w:sz w:val="6"/>
                <w:szCs w:val="6"/>
                <w:color w:val="auto"/>
              </w:rPr>
            </w:pPr>
          </w:p>
        </w:tc>
        <w:tc>
          <w:tcPr>
            <w:tcW w:w="5080" w:type="dxa"/>
            <w:vAlign w:val="bottom"/>
            <w:tcBorders>
              <w:bottom w:val="single" w:sz="8" w:color="00000A"/>
            </w:tcBorders>
          </w:tcPr>
          <w:p>
            <w:pPr>
              <w:spacing w:after="0"/>
              <w:rPr>
                <w:sz w:val="6"/>
                <w:szCs w:val="6"/>
                <w:color w:val="auto"/>
              </w:rPr>
            </w:pPr>
          </w:p>
        </w:tc>
      </w:tr>
      <w:tr>
        <w:trPr>
          <w:trHeight w:val="216"/>
        </w:trPr>
        <w:tc>
          <w:tcPr>
            <w:tcW w:w="5320" w:type="dxa"/>
            <w:vAlign w:val="bottom"/>
            <w:tcBorders>
              <w:right w:val="single" w:sz="8" w:color="00000A"/>
            </w:tcBorders>
          </w:tcPr>
          <w:p>
            <w:pPr>
              <w:jc w:val="center"/>
              <w:spacing w:after="0"/>
              <w:rPr>
                <w:sz w:val="20"/>
                <w:szCs w:val="20"/>
                <w:color w:val="auto"/>
              </w:rPr>
            </w:pPr>
            <w:r>
              <w:rPr>
                <w:rFonts w:ascii="Arial" w:cs="Arial" w:eastAsia="Arial" w:hAnsi="Arial"/>
                <w:sz w:val="17"/>
                <w:szCs w:val="17"/>
                <w:b w:val="1"/>
                <w:bCs w:val="1"/>
                <w:color w:val="auto"/>
              </w:rPr>
              <w:t>[DATE]</w:t>
            </w:r>
          </w:p>
        </w:tc>
        <w:tc>
          <w:tcPr>
            <w:tcW w:w="5080" w:type="dxa"/>
            <w:vAlign w:val="bottom"/>
          </w:tcPr>
          <w:p>
            <w:pPr>
              <w:jc w:val="center"/>
              <w:spacing w:after="0"/>
              <w:rPr>
                <w:sz w:val="20"/>
                <w:szCs w:val="20"/>
                <w:color w:val="auto"/>
              </w:rPr>
            </w:pPr>
            <w:r>
              <w:rPr>
                <w:rFonts w:ascii="Arial" w:cs="Arial" w:eastAsia="Arial" w:hAnsi="Arial"/>
                <w:sz w:val="17"/>
                <w:szCs w:val="17"/>
                <w:b w:val="1"/>
                <w:bCs w:val="1"/>
                <w:color w:val="auto"/>
              </w:rPr>
              <w:t>[NUMBER OF SHARES]</w:t>
            </w:r>
          </w:p>
        </w:tc>
      </w:tr>
      <w:tr>
        <w:trPr>
          <w:trHeight w:val="76"/>
        </w:trPr>
        <w:tc>
          <w:tcPr>
            <w:tcW w:w="5320" w:type="dxa"/>
            <w:vAlign w:val="bottom"/>
            <w:tcBorders>
              <w:bottom w:val="single" w:sz="8" w:color="00000A"/>
              <w:right w:val="single" w:sz="8" w:color="00000A"/>
            </w:tcBorders>
          </w:tcPr>
          <w:p>
            <w:pPr>
              <w:spacing w:after="0"/>
              <w:rPr>
                <w:sz w:val="6"/>
                <w:szCs w:val="6"/>
                <w:color w:val="auto"/>
              </w:rPr>
            </w:pPr>
          </w:p>
        </w:tc>
        <w:tc>
          <w:tcPr>
            <w:tcW w:w="5080" w:type="dxa"/>
            <w:vAlign w:val="bottom"/>
            <w:tcBorders>
              <w:bottom w:val="single" w:sz="8" w:color="00000A"/>
            </w:tcBorders>
          </w:tcPr>
          <w:p>
            <w:pPr>
              <w:spacing w:after="0"/>
              <w:rPr>
                <w:sz w:val="6"/>
                <w:szCs w:val="6"/>
                <w:color w:val="auto"/>
              </w:rPr>
            </w:pPr>
          </w:p>
        </w:tc>
      </w:tr>
      <w:tr>
        <w:trPr>
          <w:trHeight w:val="216"/>
        </w:trPr>
        <w:tc>
          <w:tcPr>
            <w:tcW w:w="5320" w:type="dxa"/>
            <w:vAlign w:val="bottom"/>
            <w:tcBorders>
              <w:right w:val="single" w:sz="8" w:color="00000A"/>
            </w:tcBorders>
          </w:tcPr>
          <w:p>
            <w:pPr>
              <w:jc w:val="center"/>
              <w:spacing w:after="0"/>
              <w:rPr>
                <w:sz w:val="20"/>
                <w:szCs w:val="20"/>
                <w:color w:val="auto"/>
              </w:rPr>
            </w:pPr>
            <w:r>
              <w:rPr>
                <w:rFonts w:ascii="Arial" w:cs="Arial" w:eastAsia="Arial" w:hAnsi="Arial"/>
                <w:sz w:val="17"/>
                <w:szCs w:val="17"/>
                <w:b w:val="1"/>
                <w:bCs w:val="1"/>
                <w:color w:val="auto"/>
              </w:rPr>
              <w:t>[DATE]</w:t>
            </w:r>
          </w:p>
        </w:tc>
        <w:tc>
          <w:tcPr>
            <w:tcW w:w="5080" w:type="dxa"/>
            <w:vAlign w:val="bottom"/>
          </w:tcPr>
          <w:p>
            <w:pPr>
              <w:jc w:val="center"/>
              <w:spacing w:after="0"/>
              <w:rPr>
                <w:sz w:val="20"/>
                <w:szCs w:val="20"/>
                <w:color w:val="auto"/>
              </w:rPr>
            </w:pPr>
            <w:r>
              <w:rPr>
                <w:rFonts w:ascii="Arial" w:cs="Arial" w:eastAsia="Arial" w:hAnsi="Arial"/>
                <w:sz w:val="17"/>
                <w:szCs w:val="17"/>
                <w:b w:val="1"/>
                <w:bCs w:val="1"/>
                <w:color w:val="auto"/>
              </w:rPr>
              <w:t>[NUMBER OF SHARES]</w:t>
            </w:r>
          </w:p>
        </w:tc>
      </w:tr>
      <w:tr>
        <w:trPr>
          <w:trHeight w:val="76"/>
        </w:trPr>
        <w:tc>
          <w:tcPr>
            <w:tcW w:w="5320" w:type="dxa"/>
            <w:vAlign w:val="bottom"/>
            <w:tcBorders>
              <w:bottom w:val="single" w:sz="8" w:color="00000A"/>
              <w:right w:val="single" w:sz="8" w:color="00000A"/>
            </w:tcBorders>
          </w:tcPr>
          <w:p>
            <w:pPr>
              <w:spacing w:after="0"/>
              <w:rPr>
                <w:sz w:val="6"/>
                <w:szCs w:val="6"/>
                <w:color w:val="auto"/>
              </w:rPr>
            </w:pPr>
          </w:p>
        </w:tc>
        <w:tc>
          <w:tcPr>
            <w:tcW w:w="5080" w:type="dxa"/>
            <w:vAlign w:val="bottom"/>
            <w:tcBorders>
              <w:bottom w:val="single" w:sz="8" w:color="00000A"/>
            </w:tcBorders>
          </w:tcPr>
          <w:p>
            <w:pPr>
              <w:spacing w:after="0"/>
              <w:rPr>
                <w:sz w:val="6"/>
                <w:szCs w:val="6"/>
                <w:color w:val="auto"/>
              </w:rPr>
            </w:pPr>
          </w:p>
        </w:tc>
      </w:tr>
      <w:tr>
        <w:trPr>
          <w:trHeight w:val="216"/>
        </w:trPr>
        <w:tc>
          <w:tcPr>
            <w:tcW w:w="5320" w:type="dxa"/>
            <w:vAlign w:val="bottom"/>
            <w:tcBorders>
              <w:right w:val="single" w:sz="8" w:color="00000A"/>
            </w:tcBorders>
          </w:tcPr>
          <w:p>
            <w:pPr>
              <w:jc w:val="center"/>
              <w:spacing w:after="0"/>
              <w:rPr>
                <w:sz w:val="20"/>
                <w:szCs w:val="20"/>
                <w:color w:val="auto"/>
              </w:rPr>
            </w:pPr>
            <w:r>
              <w:rPr>
                <w:rFonts w:ascii="Arial" w:cs="Arial" w:eastAsia="Arial" w:hAnsi="Arial"/>
                <w:sz w:val="17"/>
                <w:szCs w:val="17"/>
                <w:b w:val="1"/>
                <w:bCs w:val="1"/>
                <w:color w:val="auto"/>
              </w:rPr>
              <w:t>[DATE]</w:t>
            </w:r>
          </w:p>
        </w:tc>
        <w:tc>
          <w:tcPr>
            <w:tcW w:w="5080" w:type="dxa"/>
            <w:vAlign w:val="bottom"/>
          </w:tcPr>
          <w:p>
            <w:pPr>
              <w:jc w:val="center"/>
              <w:spacing w:after="0"/>
              <w:rPr>
                <w:sz w:val="20"/>
                <w:szCs w:val="20"/>
                <w:color w:val="auto"/>
              </w:rPr>
            </w:pPr>
            <w:r>
              <w:rPr>
                <w:rFonts w:ascii="Arial" w:cs="Arial" w:eastAsia="Arial" w:hAnsi="Arial"/>
                <w:sz w:val="17"/>
                <w:szCs w:val="17"/>
                <w:b w:val="1"/>
                <w:bCs w:val="1"/>
                <w:color w:val="auto"/>
              </w:rPr>
              <w:t>[NUMBER OF SHARES]</w:t>
            </w:r>
          </w:p>
        </w:tc>
      </w:tr>
      <w:tr>
        <w:trPr>
          <w:trHeight w:val="76"/>
        </w:trPr>
        <w:tc>
          <w:tcPr>
            <w:tcW w:w="5320" w:type="dxa"/>
            <w:vAlign w:val="bottom"/>
            <w:tcBorders>
              <w:bottom w:val="single" w:sz="8" w:color="00000A"/>
              <w:right w:val="single" w:sz="8" w:color="00000A"/>
            </w:tcBorders>
          </w:tcPr>
          <w:p>
            <w:pPr>
              <w:spacing w:after="0"/>
              <w:rPr>
                <w:sz w:val="6"/>
                <w:szCs w:val="6"/>
                <w:color w:val="auto"/>
              </w:rPr>
            </w:pPr>
          </w:p>
        </w:tc>
        <w:tc>
          <w:tcPr>
            <w:tcW w:w="5080" w:type="dxa"/>
            <w:vAlign w:val="bottom"/>
            <w:tcBorders>
              <w:bottom w:val="single" w:sz="8" w:color="00000A"/>
            </w:tcBorders>
          </w:tcPr>
          <w:p>
            <w:pPr>
              <w:spacing w:after="0"/>
              <w:rPr>
                <w:sz w:val="6"/>
                <w:szCs w:val="6"/>
                <w:color w:val="auto"/>
              </w:rPr>
            </w:pPr>
          </w:p>
        </w:tc>
      </w:tr>
    </w:tbl>
    <w:p>
      <w:pPr>
        <w:spacing w:after="0" w:line="200" w:lineRule="exact"/>
        <w:rPr>
          <w:sz w:val="20"/>
          <w:szCs w:val="20"/>
          <w:color w:val="auto"/>
        </w:rPr>
      </w:pPr>
    </w:p>
    <w:p>
      <w:pPr>
        <w:spacing w:after="0" w:line="344" w:lineRule="exact"/>
        <w:rPr>
          <w:sz w:val="20"/>
          <w:szCs w:val="20"/>
          <w:color w:val="auto"/>
        </w:rPr>
      </w:pPr>
    </w:p>
    <w:p>
      <w:pPr>
        <w:ind w:left="720" w:firstLine="515"/>
        <w:spacing w:after="0" w:line="294" w:lineRule="auto"/>
        <w:tabs>
          <w:tab w:leader="none" w:pos="1565" w:val="left"/>
        </w:tabs>
        <w:numPr>
          <w:ilvl w:val="0"/>
          <w:numId w:val="33"/>
        </w:numPr>
        <w:rPr>
          <w:rFonts w:ascii="Arial" w:cs="Arial" w:eastAsia="Arial" w:hAnsi="Arial"/>
          <w:sz w:val="16"/>
          <w:szCs w:val="16"/>
          <w:color w:val="auto"/>
        </w:rPr>
      </w:pPr>
      <w:r>
        <w:rPr>
          <w:rFonts w:ascii="Arial" w:cs="Arial" w:eastAsia="Arial" w:hAnsi="Arial"/>
          <w:sz w:val="17"/>
          <w:szCs w:val="17"/>
          <w:color w:val="auto"/>
        </w:rPr>
        <w:t>[As to [NUMBER] of shares, except as otherwise provided herein, provided that the Participant remains in Continuous Service through each of the measurement periods below, the Performance Shares will vest as follows:</w:t>
      </w:r>
    </w:p>
    <w:p>
      <w:pPr>
        <w:spacing w:after="0" w:line="309" w:lineRule="exact"/>
        <w:rPr>
          <w:sz w:val="20"/>
          <w:szCs w:val="20"/>
          <w:color w:val="auto"/>
        </w:rPr>
      </w:pPr>
    </w:p>
    <w:p>
      <w:pPr>
        <w:spacing w:after="0"/>
        <w:rPr>
          <w:sz w:val="20"/>
          <w:szCs w:val="20"/>
          <w:color w:val="auto"/>
        </w:rPr>
      </w:pPr>
      <w:r>
        <w:rPr>
          <w:rFonts w:ascii="Arial" w:cs="Arial" w:eastAsia="Arial" w:hAnsi="Arial"/>
          <w:sz w:val="11"/>
          <w:szCs w:val="11"/>
          <w:color w:val="auto"/>
        </w:rPr>
        <w:t>35567887v.2</w:t>
      </w:r>
    </w:p>
    <w:p>
      <w:pPr>
        <w:sectPr>
          <w:pgSz w:w="11900" w:h="16838" w:orient="portrait"/>
          <w:cols w:equalWidth="0" w:num="1">
            <w:col w:w="11460"/>
          </w:cols>
          <w:pgMar w:left="220" w:top="642" w:right="219" w:bottom="1440" w:gutter="0" w:footer="0" w:header="0"/>
        </w:sectPr>
      </w:pPr>
    </w:p>
    <w:bookmarkStart w:id="74" w:name="page75"/>
    <w:bookmarkEnd w:id="74"/>
    <w:p>
      <w:pPr>
        <w:ind w:left="1240"/>
        <w:spacing w:after="0"/>
        <w:rPr>
          <w:sz w:val="20"/>
          <w:szCs w:val="20"/>
          <w:color w:val="auto"/>
        </w:rPr>
      </w:pPr>
      <w:r>
        <w:rPr>
          <w:rFonts w:ascii="Arial" w:cs="Arial" w:eastAsia="Arial" w:hAnsi="Arial"/>
          <w:sz w:val="17"/>
          <w:szCs w:val="17"/>
          <w:color w:val="auto"/>
        </w:rPr>
        <w:t>[INSERT PERFORMANCE CRITERIA]</w:t>
      </w:r>
    </w:p>
    <w:p>
      <w:pPr>
        <w:spacing w:after="0" w:line="176" w:lineRule="exact"/>
        <w:rPr>
          <w:sz w:val="20"/>
          <w:szCs w:val="20"/>
          <w:color w:val="auto"/>
        </w:rPr>
      </w:pPr>
    </w:p>
    <w:p>
      <w:pPr>
        <w:ind w:left="1560" w:hanging="325"/>
        <w:spacing w:after="0"/>
        <w:tabs>
          <w:tab w:leader="none" w:pos="1560" w:val="left"/>
        </w:tabs>
        <w:numPr>
          <w:ilvl w:val="0"/>
          <w:numId w:val="34"/>
        </w:numPr>
        <w:rPr>
          <w:rFonts w:ascii="Arial" w:cs="Arial" w:eastAsia="Arial" w:hAnsi="Arial"/>
          <w:sz w:val="16"/>
          <w:szCs w:val="16"/>
          <w:color w:val="auto"/>
        </w:rPr>
      </w:pPr>
      <w:r>
        <w:rPr>
          <w:rFonts w:ascii="Arial" w:cs="Arial" w:eastAsia="Arial" w:hAnsi="Arial"/>
          <w:sz w:val="17"/>
          <w:szCs w:val="17"/>
          <w:color w:val="auto"/>
        </w:rPr>
        <w:t>The period over which the Restricted Stock vests is referred to as the "</w:t>
      </w:r>
      <w:r>
        <w:rPr>
          <w:rFonts w:ascii="Arial" w:cs="Arial" w:eastAsia="Arial" w:hAnsi="Arial"/>
          <w:sz w:val="17"/>
          <w:szCs w:val="17"/>
          <w:b w:val="1"/>
          <w:bCs w:val="1"/>
          <w:color w:val="auto"/>
        </w:rPr>
        <w:t>Restricted Period</w:t>
      </w:r>
      <w:r>
        <w:rPr>
          <w:rFonts w:ascii="Arial" w:cs="Arial" w:eastAsia="Arial" w:hAnsi="Arial"/>
          <w:sz w:val="17"/>
          <w:szCs w:val="17"/>
          <w:color w:val="auto"/>
        </w:rPr>
        <w:t>".</w:t>
      </w:r>
    </w:p>
    <w:p>
      <w:pPr>
        <w:spacing w:after="0" w:line="198" w:lineRule="exact"/>
        <w:rPr>
          <w:sz w:val="20"/>
          <w:szCs w:val="20"/>
          <w:color w:val="auto"/>
        </w:rPr>
      </w:pPr>
    </w:p>
    <w:p>
      <w:pPr>
        <w:ind w:left="720"/>
        <w:spacing w:after="0"/>
        <w:tabs>
          <w:tab w:leader="none" w:pos="104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5"/>
          <w:szCs w:val="15"/>
          <w:color w:val="auto"/>
        </w:rPr>
        <w:t>Notwithstanding the vesting schedule in Section 2.1, the following shall apply:</w:t>
      </w:r>
    </w:p>
    <w:p>
      <w:pPr>
        <w:spacing w:after="0" w:line="204" w:lineRule="exact"/>
        <w:rPr>
          <w:sz w:val="20"/>
          <w:szCs w:val="20"/>
          <w:color w:val="auto"/>
        </w:rPr>
      </w:pPr>
    </w:p>
    <w:p>
      <w:pPr>
        <w:ind w:left="720" w:firstLine="515"/>
        <w:spacing w:after="0" w:line="294" w:lineRule="auto"/>
        <w:tabs>
          <w:tab w:leader="none" w:pos="1556" w:val="left"/>
        </w:tabs>
        <w:numPr>
          <w:ilvl w:val="1"/>
          <w:numId w:val="35"/>
        </w:numPr>
        <w:rPr>
          <w:rFonts w:ascii="Arial" w:cs="Arial" w:eastAsia="Arial" w:hAnsi="Arial"/>
          <w:sz w:val="16"/>
          <w:szCs w:val="16"/>
          <w:color w:val="auto"/>
        </w:rPr>
      </w:pPr>
      <w:r>
        <w:rPr>
          <w:rFonts w:ascii="Arial" w:cs="Arial" w:eastAsia="Arial" w:hAnsi="Arial"/>
          <w:sz w:val="17"/>
          <w:szCs w:val="17"/>
          <w:color w:val="auto"/>
        </w:rPr>
        <w:t>In the event of the Participant's death or if the Participant's employment with the Company or an Affiliate terminates due to Disability, 100% of the unvested Restricted Stock shall vest as of the date of the Participant’s death or such termination, as applicable.</w:t>
      </w:r>
    </w:p>
    <w:p>
      <w:pPr>
        <w:spacing w:after="0" w:line="113" w:lineRule="exact"/>
        <w:rPr>
          <w:rFonts w:ascii="Arial" w:cs="Arial" w:eastAsia="Arial" w:hAnsi="Arial"/>
          <w:sz w:val="16"/>
          <w:szCs w:val="16"/>
          <w:color w:val="auto"/>
        </w:rPr>
      </w:pPr>
    </w:p>
    <w:p>
      <w:pPr>
        <w:jc w:val="both"/>
        <w:ind w:left="720" w:firstLine="515"/>
        <w:spacing w:after="0" w:line="272" w:lineRule="auto"/>
        <w:tabs>
          <w:tab w:leader="none" w:pos="1576" w:val="left"/>
        </w:tabs>
        <w:numPr>
          <w:ilvl w:val="1"/>
          <w:numId w:val="35"/>
        </w:numPr>
        <w:rPr>
          <w:rFonts w:ascii="Arial" w:cs="Arial" w:eastAsia="Arial" w:hAnsi="Arial"/>
          <w:sz w:val="16"/>
          <w:szCs w:val="16"/>
          <w:color w:val="auto"/>
        </w:rPr>
      </w:pPr>
      <w:r>
        <w:rPr>
          <w:rFonts w:ascii="Arial" w:cs="Arial" w:eastAsia="Arial" w:hAnsi="Arial"/>
          <w:sz w:val="17"/>
          <w:szCs w:val="17"/>
          <w:color w:val="auto"/>
        </w:rPr>
        <w:t xml:space="preserve">If a Change in Control Event occurs, the Restricted Stock will vest in accordance with the </w:t>
      </w:r>
      <w:r>
        <w:rPr>
          <w:rFonts w:ascii="Arial" w:cs="Arial" w:eastAsia="Arial" w:hAnsi="Arial"/>
          <w:sz w:val="17"/>
          <w:szCs w:val="17"/>
          <w:i w:val="1"/>
          <w:iCs w:val="1"/>
          <w:color w:val="auto"/>
        </w:rPr>
        <w:t>Evolution Petroleum Corporation Severance Policy</w:t>
      </w:r>
      <w:r>
        <w:rPr>
          <w:rFonts w:ascii="Arial" w:cs="Arial" w:eastAsia="Arial" w:hAnsi="Arial"/>
          <w:sz w:val="17"/>
          <w:szCs w:val="17"/>
          <w:color w:val="auto"/>
        </w:rPr>
        <w:t xml:space="preserve"> </w:t>
      </w:r>
      <w:r>
        <w:rPr>
          <w:rFonts w:ascii="Arial" w:cs="Arial" w:eastAsia="Arial" w:hAnsi="Arial"/>
          <w:sz w:val="17"/>
          <w:szCs w:val="17"/>
          <w:i w:val="1"/>
          <w:iCs w:val="1"/>
          <w:color w:val="auto"/>
        </w:rPr>
        <w:t>for Change in Control Events</w:t>
      </w:r>
      <w:r>
        <w:rPr>
          <w:rFonts w:ascii="Arial" w:cs="Arial" w:eastAsia="Arial" w:hAnsi="Arial"/>
          <w:sz w:val="17"/>
          <w:szCs w:val="17"/>
          <w:color w:val="auto"/>
        </w:rPr>
        <w:t>, as adopted August 11, 2010[, and with respect to any Performance Shares, subject to the achievement of the minimum</w:t>
      </w:r>
      <w:r>
        <w:rPr>
          <w:rFonts w:ascii="Arial" w:cs="Arial" w:eastAsia="Arial" w:hAnsi="Arial"/>
          <w:sz w:val="17"/>
          <w:szCs w:val="17"/>
          <w:i w:val="1"/>
          <w:iCs w:val="1"/>
          <w:color w:val="auto"/>
        </w:rPr>
        <w:t xml:space="preserve"> </w:t>
      </w:r>
      <w:r>
        <w:rPr>
          <w:rFonts w:ascii="Arial" w:cs="Arial" w:eastAsia="Arial" w:hAnsi="Arial"/>
          <w:sz w:val="17"/>
          <w:szCs w:val="17"/>
          <w:color w:val="auto"/>
        </w:rPr>
        <w:t>threshold of Performance Goals for payout set forth herein].</w:t>
      </w:r>
    </w:p>
    <w:p>
      <w:pPr>
        <w:spacing w:after="0" w:line="132" w:lineRule="exact"/>
        <w:rPr>
          <w:rFonts w:ascii="Arial" w:cs="Arial" w:eastAsia="Arial" w:hAnsi="Arial"/>
          <w:sz w:val="16"/>
          <w:szCs w:val="16"/>
          <w:color w:val="auto"/>
        </w:rPr>
      </w:pPr>
    </w:p>
    <w:p>
      <w:pPr>
        <w:jc w:val="both"/>
        <w:ind w:left="720" w:firstLine="515"/>
        <w:spacing w:after="0" w:line="287" w:lineRule="auto"/>
        <w:tabs>
          <w:tab w:leader="none" w:pos="1556" w:val="left"/>
        </w:tabs>
        <w:numPr>
          <w:ilvl w:val="1"/>
          <w:numId w:val="35"/>
        </w:numPr>
        <w:rPr>
          <w:rFonts w:ascii="Arial" w:cs="Arial" w:eastAsia="Arial" w:hAnsi="Arial"/>
          <w:sz w:val="15"/>
          <w:szCs w:val="15"/>
          <w:color w:val="auto"/>
        </w:rPr>
      </w:pPr>
      <w:r>
        <w:rPr>
          <w:rFonts w:ascii="Arial" w:cs="Arial" w:eastAsia="Arial" w:hAnsi="Arial"/>
          <w:sz w:val="16"/>
          <w:szCs w:val="16"/>
          <w:color w:val="auto"/>
        </w:rPr>
        <w:t>With respect to Restricted Stock for time-based service, (a) in the event that the Participant's employment is terminated by the Company and all Affiliates without Cause, then, in addition to the shares of Restricted Stock then vested, the shares of Restricted Stock scheduled to vest on the next scheduled Vesting Date shall also vest on the Participant’s date of termination; and (b) if the Participant’s employment with the Company and all Affiliates terminates for Cause or resignation, then the Award shall terminate with respect to the unvested shares of Restricted Stock.</w:t>
      </w:r>
    </w:p>
    <w:p>
      <w:pPr>
        <w:spacing w:after="0" w:line="122" w:lineRule="exact"/>
        <w:rPr>
          <w:rFonts w:ascii="Arial" w:cs="Arial" w:eastAsia="Arial" w:hAnsi="Arial"/>
          <w:sz w:val="15"/>
          <w:szCs w:val="15"/>
          <w:color w:val="auto"/>
        </w:rPr>
      </w:pPr>
    </w:p>
    <w:p>
      <w:pPr>
        <w:jc w:val="both"/>
        <w:ind w:left="720" w:firstLine="515"/>
        <w:spacing w:after="0" w:line="272" w:lineRule="auto"/>
        <w:tabs>
          <w:tab w:leader="none" w:pos="1630" w:val="left"/>
        </w:tabs>
        <w:numPr>
          <w:ilvl w:val="1"/>
          <w:numId w:val="35"/>
        </w:numPr>
        <w:rPr>
          <w:rFonts w:ascii="Arial" w:cs="Arial" w:eastAsia="Arial" w:hAnsi="Arial"/>
          <w:sz w:val="16"/>
          <w:szCs w:val="16"/>
          <w:color w:val="auto"/>
        </w:rPr>
      </w:pPr>
      <w:r>
        <w:rPr>
          <w:rFonts w:ascii="Arial" w:cs="Arial" w:eastAsia="Arial" w:hAnsi="Arial"/>
          <w:sz w:val="17"/>
          <w:szCs w:val="17"/>
          <w:color w:val="auto"/>
        </w:rPr>
        <w:t>[If the Participant's Continuous Service terminates for any reason at any time before all of his or her Performance Shares have vested, the Participant's unvested Performance Shares shall be automatically forfeited upon such termination of Continuous Service and neither the Company nor any Affiliate shall have any further obligations to the Participant under this Agreement.]</w:t>
      </w:r>
    </w:p>
    <w:p>
      <w:pPr>
        <w:spacing w:after="0" w:line="132" w:lineRule="exact"/>
        <w:rPr>
          <w:rFonts w:ascii="Arial" w:cs="Arial" w:eastAsia="Arial" w:hAnsi="Arial"/>
          <w:sz w:val="16"/>
          <w:szCs w:val="16"/>
          <w:color w:val="auto"/>
        </w:rPr>
      </w:pPr>
    </w:p>
    <w:p>
      <w:pPr>
        <w:jc w:val="both"/>
        <w:ind w:left="720" w:firstLine="515"/>
        <w:spacing w:after="0" w:line="282" w:lineRule="auto"/>
        <w:tabs>
          <w:tab w:leader="none" w:pos="1589" w:val="left"/>
        </w:tabs>
        <w:numPr>
          <w:ilvl w:val="1"/>
          <w:numId w:val="35"/>
        </w:numPr>
        <w:rPr>
          <w:rFonts w:ascii="Arial" w:cs="Arial" w:eastAsia="Arial" w:hAnsi="Arial"/>
          <w:sz w:val="15"/>
          <w:szCs w:val="15"/>
          <w:color w:val="auto"/>
        </w:rPr>
      </w:pPr>
      <w:r>
        <w:rPr>
          <w:rFonts w:ascii="Arial" w:cs="Arial" w:eastAsia="Arial" w:hAnsi="Arial"/>
          <w:sz w:val="16"/>
          <w:szCs w:val="16"/>
          <w:color w:val="auto"/>
        </w:rPr>
        <w:t>[The Performance Shares are subject to forfeiture until they vest. Except as otherwise provided herein, the Performance Shares will vest and become non-forfeitable on the last day of the measurement period(s) set forth in Section 2.1, subject to (a) the achievement of the minimum threshold Performance Goals for payout set forth herein, and (b) the Participant's Continuous Service from the Grant Date through the last day of the measurement period. The number of Performance Shares that vest and become payable under this Agreement shall be determined by the Committee based on the level of achievement of the Performance Goals set forth herein and shall be rounded to the nearest whole Performance Share.]</w:t>
      </w:r>
    </w:p>
    <w:p>
      <w:pPr>
        <w:spacing w:after="0" w:line="126" w:lineRule="exact"/>
        <w:rPr>
          <w:rFonts w:ascii="Arial" w:cs="Arial" w:eastAsia="Arial" w:hAnsi="Arial"/>
          <w:sz w:val="15"/>
          <w:szCs w:val="15"/>
          <w:color w:val="auto"/>
        </w:rPr>
      </w:pPr>
    </w:p>
    <w:p>
      <w:pPr>
        <w:ind w:firstLine="319"/>
        <w:spacing w:after="0" w:line="294" w:lineRule="auto"/>
        <w:tabs>
          <w:tab w:leader="none" w:pos="575" w:val="left"/>
        </w:tabs>
        <w:numPr>
          <w:ilvl w:val="0"/>
          <w:numId w:val="36"/>
        </w:numPr>
        <w:rPr>
          <w:rFonts w:ascii="Arial" w:cs="Arial" w:eastAsia="Arial" w:hAnsi="Arial"/>
          <w:sz w:val="16"/>
          <w:szCs w:val="16"/>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Subject to any exceptions set forth in this Agreement or the Plan, during the Restricted Period, the Restricted Stock or the rights relating thereto may not be assigned, alienated, pledged, attached, sold or otherwise transferred or encumbered by the Participant. Any</w:t>
      </w:r>
    </w:p>
    <w:p>
      <w:pPr>
        <w:spacing w:after="0" w:line="308"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2</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35567887v.2</w:t>
      </w:r>
    </w:p>
    <w:p>
      <w:pPr>
        <w:sectPr>
          <w:pgSz w:w="11900" w:h="16838" w:orient="portrait"/>
          <w:cols w:equalWidth="0" w:num="1">
            <w:col w:w="11460"/>
          </w:cols>
          <w:pgMar w:left="220" w:top="327" w:right="219" w:bottom="1440" w:gutter="0" w:footer="0" w:header="0"/>
        </w:sectPr>
      </w:pPr>
    </w:p>
    <w:bookmarkStart w:id="75" w:name="page76"/>
    <w:bookmarkEnd w:id="75"/>
    <w:p>
      <w:pPr>
        <w:spacing w:after="0" w:line="281" w:lineRule="auto"/>
        <w:rPr>
          <w:sz w:val="20"/>
          <w:szCs w:val="20"/>
          <w:color w:val="auto"/>
        </w:rPr>
      </w:pPr>
      <w:r>
        <w:rPr>
          <w:rFonts w:ascii="Arial" w:cs="Arial" w:eastAsia="Arial" w:hAnsi="Arial"/>
          <w:sz w:val="17"/>
          <w:szCs w:val="17"/>
          <w:color w:val="auto"/>
        </w:rPr>
        <w:t>attempt to assign, alienate, pledge, attach, sell or otherwise transfer or encumber the Restricted Stock or the rights relating thereto during the Restricted Period shall be wholly ineffective.</w:t>
      </w:r>
    </w:p>
    <w:p>
      <w:pPr>
        <w:spacing w:after="0" w:line="124" w:lineRule="exact"/>
        <w:rPr>
          <w:sz w:val="20"/>
          <w:szCs w:val="20"/>
          <w:color w:val="auto"/>
        </w:rPr>
      </w:pPr>
    </w:p>
    <w:p>
      <w:pPr>
        <w:ind w:left="580" w:hanging="261"/>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7"/>
          <w:szCs w:val="17"/>
          <w:u w:val="single" w:color="auto"/>
          <w:color w:val="auto"/>
        </w:rPr>
        <w:t>Rights as Shareholder; Dividends</w:t>
      </w:r>
      <w:r>
        <w:rPr>
          <w:rFonts w:ascii="Arial" w:cs="Arial" w:eastAsia="Arial" w:hAnsi="Arial"/>
          <w:sz w:val="17"/>
          <w:szCs w:val="17"/>
          <w:color w:val="auto"/>
        </w:rPr>
        <w:t>.</w:t>
      </w:r>
    </w:p>
    <w:p>
      <w:pPr>
        <w:spacing w:after="0" w:line="192" w:lineRule="exact"/>
        <w:rPr>
          <w:sz w:val="20"/>
          <w:szCs w:val="20"/>
          <w:color w:val="auto"/>
        </w:rPr>
      </w:pPr>
    </w:p>
    <w:p>
      <w:pPr>
        <w:jc w:val="both"/>
        <w:ind w:left="320" w:firstLine="409"/>
        <w:spacing w:after="0" w:line="27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7"/>
          <w:szCs w:val="17"/>
          <w:color w:val="auto"/>
        </w:rPr>
        <w:t>The Participant shall be the record owner of the Restricted Stock until the shares of Common Stock are sold or otherwise disposed of, and shall be</w:t>
      </w:r>
      <w:r>
        <w:rPr>
          <w:rFonts w:ascii="Arial" w:cs="Arial" w:eastAsia="Arial" w:hAnsi="Arial"/>
          <w:sz w:val="16"/>
          <w:szCs w:val="16"/>
          <w:color w:val="auto"/>
        </w:rPr>
        <w:t xml:space="preserve"> </w:t>
      </w:r>
      <w:r>
        <w:rPr>
          <w:rFonts w:ascii="Arial" w:cs="Arial" w:eastAsia="Arial" w:hAnsi="Arial"/>
          <w:sz w:val="17"/>
          <w:szCs w:val="17"/>
          <w:color w:val="auto"/>
        </w:rPr>
        <w:t>entitled to all of the rights of a shareholder of the Company including, without limitation, the right to vote such shares and receive all dividends or other distributions paid with respect to such shares.</w:t>
      </w:r>
    </w:p>
    <w:p>
      <w:pPr>
        <w:spacing w:after="0" w:line="133" w:lineRule="exact"/>
        <w:rPr>
          <w:sz w:val="20"/>
          <w:szCs w:val="20"/>
          <w:color w:val="auto"/>
        </w:rPr>
      </w:pPr>
    </w:p>
    <w:p>
      <w:pPr>
        <w:jc w:val="both"/>
        <w:ind w:left="320" w:firstLine="409"/>
        <w:spacing w:after="0" w:line="27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7"/>
          <w:szCs w:val="17"/>
          <w:color w:val="auto"/>
        </w:rPr>
        <w:t>The Company may issue stock certificates or evidence the Participant's interest by using a restricted book entry account with the Company's transfer</w:t>
      </w:r>
      <w:r>
        <w:rPr>
          <w:rFonts w:ascii="Arial" w:cs="Arial" w:eastAsia="Arial" w:hAnsi="Arial"/>
          <w:sz w:val="16"/>
          <w:szCs w:val="16"/>
          <w:color w:val="auto"/>
        </w:rPr>
        <w:t xml:space="preserve"> </w:t>
      </w:r>
      <w:r>
        <w:rPr>
          <w:rFonts w:ascii="Arial" w:cs="Arial" w:eastAsia="Arial" w:hAnsi="Arial"/>
          <w:sz w:val="17"/>
          <w:szCs w:val="17"/>
          <w:color w:val="auto"/>
        </w:rPr>
        <w:t>agent. In such circumstance, physical possession or custody of any stock certificates that are issued shall be retained by the Company until such time as the Restricted Stock vests.</w:t>
      </w:r>
    </w:p>
    <w:p>
      <w:pPr>
        <w:spacing w:after="0" w:line="133" w:lineRule="exact"/>
        <w:rPr>
          <w:sz w:val="20"/>
          <w:szCs w:val="20"/>
          <w:color w:val="auto"/>
        </w:rPr>
      </w:pPr>
    </w:p>
    <w:p>
      <w:pPr>
        <w:jc w:val="both"/>
        <w:ind w:left="320" w:firstLine="409"/>
        <w:spacing w:after="0" w:line="27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7"/>
          <w:szCs w:val="17"/>
          <w:color w:val="auto"/>
        </w:rPr>
        <w:t>If the Participant forfeits any rights he or she has under this Agreement in accordance with Section 2, the Participant shall, on the date of such</w:t>
      </w:r>
      <w:r>
        <w:rPr>
          <w:rFonts w:ascii="Arial" w:cs="Arial" w:eastAsia="Arial" w:hAnsi="Arial"/>
          <w:sz w:val="16"/>
          <w:szCs w:val="16"/>
          <w:color w:val="auto"/>
        </w:rPr>
        <w:t xml:space="preserve"> </w:t>
      </w:r>
      <w:r>
        <w:rPr>
          <w:rFonts w:ascii="Arial" w:cs="Arial" w:eastAsia="Arial" w:hAnsi="Arial"/>
          <w:sz w:val="17"/>
          <w:szCs w:val="17"/>
          <w:color w:val="auto"/>
        </w:rPr>
        <w:t>forfeiture, no longer have any rights as a shareholder with respect to the forfeited Restricted Stock and shall no longer be entitled to vote or receive dividends on such shares.</w:t>
      </w:r>
    </w:p>
    <w:p>
      <w:pPr>
        <w:spacing w:after="0" w:line="133" w:lineRule="exact"/>
        <w:rPr>
          <w:sz w:val="20"/>
          <w:szCs w:val="20"/>
          <w:color w:val="auto"/>
        </w:rPr>
      </w:pPr>
    </w:p>
    <w:p>
      <w:pPr>
        <w:jc w:val="both"/>
        <w:ind w:firstLine="319"/>
        <w:spacing w:after="0" w:line="272" w:lineRule="auto"/>
        <w:tabs>
          <w:tab w:leader="none" w:pos="672" w:val="left"/>
        </w:tabs>
        <w:numPr>
          <w:ilvl w:val="0"/>
          <w:numId w:val="38"/>
        </w:numPr>
        <w:rPr>
          <w:rFonts w:ascii="Arial" w:cs="Arial" w:eastAsia="Arial" w:hAnsi="Arial"/>
          <w:sz w:val="16"/>
          <w:szCs w:val="16"/>
          <w:color w:val="auto"/>
        </w:rPr>
      </w:pPr>
      <w:r>
        <w:rPr>
          <w:rFonts w:ascii="Arial" w:cs="Arial" w:eastAsia="Arial" w:hAnsi="Arial"/>
          <w:sz w:val="17"/>
          <w:szCs w:val="17"/>
          <w:u w:val="single" w:color="auto"/>
          <w:color w:val="auto"/>
        </w:rPr>
        <w:t>No Right to Continued Service</w:t>
      </w:r>
      <w:r>
        <w:rPr>
          <w:rFonts w:ascii="Arial" w:cs="Arial" w:eastAsia="Arial" w:hAnsi="Arial"/>
          <w:sz w:val="17"/>
          <w:szCs w:val="17"/>
          <w:color w:val="auto"/>
        </w:rPr>
        <w:t>. Neither the Plan nor this Agreement shall confer upon the Participant any right to be retained in any position, as an Employee, Consultant or Director of the Company. Further, nothing in the Plan or this Agreement shall be construed to limit the discretion of the Company to terminate the Participant's Continuous Service at any time, with or without Cause.</w:t>
      </w:r>
    </w:p>
    <w:p>
      <w:pPr>
        <w:spacing w:after="0" w:line="132" w:lineRule="exact"/>
        <w:rPr>
          <w:rFonts w:ascii="Arial" w:cs="Arial" w:eastAsia="Arial" w:hAnsi="Arial"/>
          <w:sz w:val="16"/>
          <w:szCs w:val="16"/>
          <w:color w:val="auto"/>
        </w:rPr>
      </w:pPr>
    </w:p>
    <w:p>
      <w:pPr>
        <w:ind w:firstLine="319"/>
        <w:spacing w:after="0" w:line="294" w:lineRule="auto"/>
        <w:tabs>
          <w:tab w:leader="none" w:pos="575" w:val="left"/>
        </w:tabs>
        <w:numPr>
          <w:ilvl w:val="0"/>
          <w:numId w:val="38"/>
        </w:numPr>
        <w:rPr>
          <w:rFonts w:ascii="Arial" w:cs="Arial" w:eastAsia="Arial" w:hAnsi="Arial"/>
          <w:sz w:val="16"/>
          <w:szCs w:val="16"/>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If any change is made to the outstanding Common Stock or the capital structure of the Company, if required, the shares of Common Stock shall be adjusted or terminated in any manner as contemplated by Section 11 of the Plan.</w:t>
      </w:r>
    </w:p>
    <w:p>
      <w:pPr>
        <w:spacing w:after="0" w:line="113" w:lineRule="exact"/>
        <w:rPr>
          <w:rFonts w:ascii="Arial" w:cs="Arial" w:eastAsia="Arial" w:hAnsi="Arial"/>
          <w:sz w:val="16"/>
          <w:szCs w:val="16"/>
          <w:color w:val="auto"/>
        </w:rPr>
      </w:pPr>
    </w:p>
    <w:p>
      <w:pPr>
        <w:ind w:left="580" w:hanging="261"/>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7"/>
          <w:szCs w:val="17"/>
          <w:u w:val="single" w:color="auto"/>
          <w:color w:val="auto"/>
        </w:rPr>
        <w:t>Tax Liability and Withholding</w:t>
      </w:r>
      <w:r>
        <w:rPr>
          <w:rFonts w:ascii="Arial" w:cs="Arial" w:eastAsia="Arial" w:hAnsi="Arial"/>
          <w:sz w:val="17"/>
          <w:szCs w:val="17"/>
          <w:color w:val="auto"/>
        </w:rPr>
        <w:t>.</w:t>
      </w:r>
    </w:p>
    <w:p>
      <w:pPr>
        <w:spacing w:after="0" w:line="192" w:lineRule="exact"/>
        <w:rPr>
          <w:sz w:val="20"/>
          <w:szCs w:val="20"/>
          <w:color w:val="auto"/>
        </w:rPr>
      </w:pPr>
    </w:p>
    <w:p>
      <w:pPr>
        <w:jc w:val="both"/>
        <w:ind w:left="320" w:firstLine="409"/>
        <w:spacing w:after="0" w:line="265"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7"/>
          <w:szCs w:val="17"/>
          <w:color w:val="auto"/>
        </w:rPr>
        <w:t>The Participant shall be required to pay to the Company, and the Company shall have the right to deduct from any compensation paid to the</w:t>
      </w:r>
      <w:r>
        <w:rPr>
          <w:rFonts w:ascii="Arial" w:cs="Arial" w:eastAsia="Arial" w:hAnsi="Arial"/>
          <w:sz w:val="16"/>
          <w:szCs w:val="16"/>
          <w:color w:val="auto"/>
        </w:rPr>
        <w:t xml:space="preserve"> </w:t>
      </w:r>
      <w:r>
        <w:rPr>
          <w:rFonts w:ascii="Arial" w:cs="Arial" w:eastAsia="Arial" w:hAnsi="Arial"/>
          <w:sz w:val="17"/>
          <w:szCs w:val="17"/>
          <w:color w:val="auto"/>
        </w:rPr>
        <w:t>Participant pursuant to the Plan, the amount of any required withholding taxes in respect of the Restricted Stock and to take all such other action as the Committee deems necessary to satisfy all obligations for the payment of such withholding taxes. The Committee may permit the Participant to satisfy any federal, state or local tax withholding obligation by any of the following means, or by a combination of such means:</w:t>
      </w:r>
    </w:p>
    <w:p>
      <w:pPr>
        <w:spacing w:after="0" w:line="139" w:lineRule="exact"/>
        <w:rPr>
          <w:sz w:val="20"/>
          <w:szCs w:val="20"/>
          <w:color w:val="auto"/>
        </w:rPr>
      </w:pPr>
    </w:p>
    <w:p>
      <w:pPr>
        <w:ind w:left="1560" w:hanging="325"/>
        <w:spacing w:after="0"/>
        <w:tabs>
          <w:tab w:leader="none" w:pos="1560" w:val="left"/>
        </w:tabs>
        <w:numPr>
          <w:ilvl w:val="0"/>
          <w:numId w:val="39"/>
        </w:numPr>
        <w:rPr>
          <w:rFonts w:ascii="Arial" w:cs="Arial" w:eastAsia="Arial" w:hAnsi="Arial"/>
          <w:sz w:val="16"/>
          <w:szCs w:val="16"/>
          <w:color w:val="auto"/>
        </w:rPr>
      </w:pPr>
      <w:r>
        <w:rPr>
          <w:rFonts w:ascii="Arial" w:cs="Arial" w:eastAsia="Arial" w:hAnsi="Arial"/>
          <w:sz w:val="17"/>
          <w:szCs w:val="17"/>
          <w:color w:val="auto"/>
        </w:rPr>
        <w:t>Tendering a cash payment;</w:t>
      </w:r>
    </w:p>
    <w:p>
      <w:pPr>
        <w:spacing w:after="0" w:line="192" w:lineRule="exact"/>
        <w:rPr>
          <w:rFonts w:ascii="Arial" w:cs="Arial" w:eastAsia="Arial" w:hAnsi="Arial"/>
          <w:sz w:val="16"/>
          <w:szCs w:val="16"/>
          <w:color w:val="auto"/>
        </w:rPr>
      </w:pPr>
    </w:p>
    <w:p>
      <w:pPr>
        <w:ind w:left="720" w:firstLine="515"/>
        <w:spacing w:after="0" w:line="294" w:lineRule="auto"/>
        <w:tabs>
          <w:tab w:leader="none" w:pos="1619" w:val="left"/>
        </w:tabs>
        <w:numPr>
          <w:ilvl w:val="0"/>
          <w:numId w:val="39"/>
        </w:numPr>
        <w:rPr>
          <w:rFonts w:ascii="Arial" w:cs="Arial" w:eastAsia="Arial" w:hAnsi="Arial"/>
          <w:sz w:val="16"/>
          <w:szCs w:val="16"/>
          <w:color w:val="auto"/>
        </w:rPr>
      </w:pPr>
      <w:r>
        <w:rPr>
          <w:rFonts w:ascii="Arial" w:cs="Arial" w:eastAsia="Arial" w:hAnsi="Arial"/>
          <w:sz w:val="17"/>
          <w:szCs w:val="17"/>
          <w:color w:val="auto"/>
        </w:rPr>
        <w:t>Authorizing the Company to withhold shares of Common Stock from the shares of Common Stock otherwise issuable or deliverable to the Participant as a result of the vesting of the Restricted Stock; provided, however, that no shares of Common</w:t>
      </w:r>
    </w:p>
    <w:p>
      <w:pPr>
        <w:spacing w:after="0" w:line="308"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3</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35567887v.2</w:t>
      </w:r>
    </w:p>
    <w:p>
      <w:pPr>
        <w:sectPr>
          <w:pgSz w:w="11900" w:h="16838" w:orient="portrait"/>
          <w:cols w:equalWidth="0" w:num="1">
            <w:col w:w="11460"/>
          </w:cols>
          <w:pgMar w:left="220" w:top="327" w:right="219" w:bottom="1440" w:gutter="0" w:footer="0" w:header="0"/>
        </w:sectPr>
      </w:pPr>
    </w:p>
    <w:bookmarkStart w:id="76" w:name="page77"/>
    <w:bookmarkEnd w:id="76"/>
    <w:p>
      <w:pPr>
        <w:ind w:left="720"/>
        <w:spacing w:after="0"/>
        <w:rPr>
          <w:sz w:val="20"/>
          <w:szCs w:val="20"/>
          <w:color w:val="auto"/>
        </w:rPr>
      </w:pPr>
      <w:r>
        <w:rPr>
          <w:rFonts w:ascii="Arial" w:cs="Arial" w:eastAsia="Arial" w:hAnsi="Arial"/>
          <w:sz w:val="15"/>
          <w:szCs w:val="15"/>
          <w:color w:val="auto"/>
        </w:rPr>
        <w:t>Stock shall be withheld with a value exceeding the Participant’s maximum marginal income tax rates, including federal, state and local, as applicable; and</w:t>
      </w:r>
    </w:p>
    <w:p>
      <w:pPr>
        <w:spacing w:after="0" w:line="205" w:lineRule="exact"/>
        <w:rPr>
          <w:sz w:val="20"/>
          <w:szCs w:val="20"/>
          <w:color w:val="auto"/>
        </w:rPr>
      </w:pPr>
    </w:p>
    <w:p>
      <w:pPr>
        <w:ind w:left="1560" w:hanging="325"/>
        <w:spacing w:after="0"/>
        <w:tabs>
          <w:tab w:leader="none" w:pos="1560" w:val="left"/>
        </w:tabs>
        <w:numPr>
          <w:ilvl w:val="0"/>
          <w:numId w:val="40"/>
        </w:numPr>
        <w:rPr>
          <w:rFonts w:ascii="Arial" w:cs="Arial" w:eastAsia="Arial" w:hAnsi="Arial"/>
          <w:sz w:val="16"/>
          <w:szCs w:val="16"/>
          <w:color w:val="auto"/>
        </w:rPr>
      </w:pPr>
      <w:r>
        <w:rPr>
          <w:rFonts w:ascii="Arial" w:cs="Arial" w:eastAsia="Arial" w:hAnsi="Arial"/>
          <w:sz w:val="17"/>
          <w:szCs w:val="17"/>
          <w:color w:val="auto"/>
        </w:rPr>
        <w:t>Delivering to the Company previously owned and unencumbered shares of Common Stock.</w:t>
      </w:r>
    </w:p>
    <w:p>
      <w:pPr>
        <w:spacing w:after="0" w:line="192" w:lineRule="exact"/>
        <w:rPr>
          <w:sz w:val="20"/>
          <w:szCs w:val="20"/>
          <w:color w:val="auto"/>
        </w:rPr>
      </w:pPr>
    </w:p>
    <w:p>
      <w:pPr>
        <w:jc w:val="both"/>
        <w:ind w:left="320" w:firstLine="409"/>
        <w:spacing w:after="0" w:line="311"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5"/>
          <w:szCs w:val="15"/>
          <w:color w:val="auto"/>
        </w:rPr>
        <w:t>Notwithstanding any action the Company takes with respect to any or all income tax, social insurance, payroll tax, or other tax-related withholding</w:t>
      </w:r>
      <w:r>
        <w:rPr>
          <w:rFonts w:ascii="Arial" w:cs="Arial" w:eastAsia="Arial" w:hAnsi="Arial"/>
          <w:sz w:val="14"/>
          <w:szCs w:val="14"/>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Tax-Related Items</w:t>
      </w:r>
      <w:r>
        <w:rPr>
          <w:rFonts w:ascii="Arial" w:cs="Arial" w:eastAsia="Arial" w:hAnsi="Arial"/>
          <w:sz w:val="15"/>
          <w:szCs w:val="15"/>
          <w:color w:val="auto"/>
        </w:rPr>
        <w:t>"), the ultimate liability for all Tax-Related Items is and remains the Participant's responsibility and the Company (a) makes no representation or undertakings regarding the treatment of any Tax-Related Items in connection with the grant or vesting of the Restricted Stock or the subsequent sale of any shares; and (b) does not commit to structure the Restricted Stock to reduce or eliminate the Participant's liability for Tax-Related Items.</w:t>
      </w:r>
    </w:p>
    <w:p>
      <w:pPr>
        <w:spacing w:after="0" w:line="102" w:lineRule="exact"/>
        <w:rPr>
          <w:sz w:val="20"/>
          <w:szCs w:val="20"/>
          <w:color w:val="auto"/>
        </w:rPr>
      </w:pPr>
    </w:p>
    <w:p>
      <w:pPr>
        <w:jc w:val="both"/>
        <w:ind w:firstLine="319"/>
        <w:spacing w:after="0" w:line="263" w:lineRule="auto"/>
        <w:tabs>
          <w:tab w:leader="none" w:pos="607" w:val="left"/>
        </w:tabs>
        <w:numPr>
          <w:ilvl w:val="0"/>
          <w:numId w:val="41"/>
        </w:numPr>
        <w:rPr>
          <w:rFonts w:ascii="Arial" w:cs="Arial" w:eastAsia="Arial" w:hAnsi="Arial"/>
          <w:sz w:val="16"/>
          <w:szCs w:val="16"/>
          <w:color w:val="auto"/>
        </w:rPr>
      </w:pPr>
      <w:r>
        <w:rPr>
          <w:rFonts w:ascii="Arial" w:cs="Arial" w:eastAsia="Arial" w:hAnsi="Arial"/>
          <w:sz w:val="17"/>
          <w:szCs w:val="17"/>
          <w:u w:val="single" w:color="auto"/>
          <w:color w:val="auto"/>
        </w:rPr>
        <w:t>Section 83(b) Election</w:t>
      </w:r>
      <w:r>
        <w:rPr>
          <w:rFonts w:ascii="Arial" w:cs="Arial" w:eastAsia="Arial" w:hAnsi="Arial"/>
          <w:sz w:val="17"/>
          <w:szCs w:val="17"/>
          <w:color w:val="auto"/>
        </w:rPr>
        <w:t>. The Participant may make an election under Code Section 83(b) (a "</w:t>
      </w:r>
      <w:r>
        <w:rPr>
          <w:rFonts w:ascii="Arial" w:cs="Arial" w:eastAsia="Arial" w:hAnsi="Arial"/>
          <w:sz w:val="17"/>
          <w:szCs w:val="17"/>
          <w:b w:val="1"/>
          <w:bCs w:val="1"/>
          <w:color w:val="auto"/>
        </w:rPr>
        <w:t>Section 83(b) Election</w:t>
      </w:r>
      <w:r>
        <w:rPr>
          <w:rFonts w:ascii="Arial" w:cs="Arial" w:eastAsia="Arial" w:hAnsi="Arial"/>
          <w:sz w:val="17"/>
          <w:szCs w:val="17"/>
          <w:color w:val="auto"/>
        </w:rPr>
        <w:t>") with respect to the Restricted Stock. Any such election must be made within thirty (30) days after the Grant Date. If the Participant elects to make a Section 83(b) Election, the Participant shall provide the Company with a copy of an executed version and satisfactory evidence of the filing of the executed Section 83(b) Election with the U.S. Internal Revenue Service. The Participant agrees to assume full responsibility for ensuring that the Section 83(b) Election is actually and timely filed with the U.S. Internal Revenue Service and for all tax consequences resulting from the Section 83(b) Election.</w:t>
      </w:r>
    </w:p>
    <w:p>
      <w:pPr>
        <w:spacing w:after="0" w:line="141" w:lineRule="exact"/>
        <w:rPr>
          <w:rFonts w:ascii="Arial" w:cs="Arial" w:eastAsia="Arial" w:hAnsi="Arial"/>
          <w:sz w:val="16"/>
          <w:szCs w:val="16"/>
          <w:color w:val="auto"/>
        </w:rPr>
      </w:pPr>
    </w:p>
    <w:p>
      <w:pPr>
        <w:jc w:val="both"/>
        <w:ind w:firstLine="319"/>
        <w:spacing w:after="0" w:line="259" w:lineRule="auto"/>
        <w:tabs>
          <w:tab w:leader="none" w:pos="618" w:val="left"/>
        </w:tabs>
        <w:numPr>
          <w:ilvl w:val="0"/>
          <w:numId w:val="41"/>
        </w:numPr>
        <w:rPr>
          <w:rFonts w:ascii="Arial" w:cs="Arial" w:eastAsia="Arial" w:hAnsi="Arial"/>
          <w:sz w:val="16"/>
          <w:szCs w:val="16"/>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The issuance and transfer of shares of Common Stock shall be subject to compliance by the Company and the Participant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 The Participant understands that the Company is under no obligation to register the shares of Common Stock with the Securities and Exchange Commission, any state securities commission or any stock exchange to effect such compliance.</w:t>
      </w:r>
    </w:p>
    <w:p>
      <w:pPr>
        <w:spacing w:after="0" w:line="146" w:lineRule="exact"/>
        <w:rPr>
          <w:rFonts w:ascii="Arial" w:cs="Arial" w:eastAsia="Arial" w:hAnsi="Arial"/>
          <w:sz w:val="16"/>
          <w:szCs w:val="16"/>
          <w:color w:val="auto"/>
        </w:rPr>
      </w:pPr>
    </w:p>
    <w:p>
      <w:pPr>
        <w:jc w:val="both"/>
        <w:ind w:firstLine="319"/>
        <w:spacing w:after="0" w:line="265" w:lineRule="auto"/>
        <w:tabs>
          <w:tab w:leader="none" w:pos="718" w:val="left"/>
        </w:tabs>
        <w:numPr>
          <w:ilvl w:val="0"/>
          <w:numId w:val="41"/>
        </w:numPr>
        <w:rPr>
          <w:rFonts w:ascii="Arial" w:cs="Arial" w:eastAsia="Arial" w:hAnsi="Arial"/>
          <w:sz w:val="16"/>
          <w:szCs w:val="16"/>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A legend may be placed on any certificate(s) or other document(s) delivered to the Participant indicating restrictions on transferability of the shares of Restricted Stock pursuant to this Agreement or any other restrictions that the Committee may deem advisable under the rules, regulations and other requirements of the Securities and Exchange Commission, any applicable federal or state securities laws or any stock exchange on which the shares of Common Stock are then listed or quoted.</w:t>
      </w:r>
    </w:p>
    <w:p>
      <w:pPr>
        <w:spacing w:after="0" w:line="138" w:lineRule="exact"/>
        <w:rPr>
          <w:rFonts w:ascii="Arial" w:cs="Arial" w:eastAsia="Arial" w:hAnsi="Arial"/>
          <w:sz w:val="16"/>
          <w:szCs w:val="16"/>
          <w:color w:val="auto"/>
        </w:rPr>
      </w:pPr>
    </w:p>
    <w:p>
      <w:pPr>
        <w:jc w:val="both"/>
        <w:ind w:firstLine="319"/>
        <w:spacing w:after="0" w:line="265" w:lineRule="auto"/>
        <w:tabs>
          <w:tab w:leader="none" w:pos="691" w:val="left"/>
        </w:tabs>
        <w:numPr>
          <w:ilvl w:val="0"/>
          <w:numId w:val="41"/>
        </w:numPr>
        <w:rPr>
          <w:rFonts w:ascii="Arial" w:cs="Arial" w:eastAsia="Arial" w:hAnsi="Arial"/>
          <w:sz w:val="16"/>
          <w:szCs w:val="16"/>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to be delivered to the Company under this Agreement shall be in writing and addressed to the Company at the Company’s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spacing w:after="0" w:line="333"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4</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35567887v.2</w:t>
      </w:r>
    </w:p>
    <w:p>
      <w:pPr>
        <w:sectPr>
          <w:pgSz w:w="11900" w:h="16838" w:orient="portrait"/>
          <w:cols w:equalWidth="0" w:num="1">
            <w:col w:w="11460"/>
          </w:cols>
          <w:pgMar w:left="220" w:top="328" w:right="219" w:bottom="1440" w:gutter="0" w:footer="0" w:header="0"/>
        </w:sectPr>
      </w:pPr>
    </w:p>
    <w:bookmarkStart w:id="77" w:name="page78"/>
    <w:bookmarkEnd w:id="77"/>
    <w:p>
      <w:pPr>
        <w:ind w:right="380" w:firstLine="319"/>
        <w:spacing w:after="0" w:line="294" w:lineRule="auto"/>
        <w:tabs>
          <w:tab w:leader="none" w:pos="654" w:val="left"/>
        </w:tabs>
        <w:numPr>
          <w:ilvl w:val="0"/>
          <w:numId w:val="42"/>
        </w:numPr>
        <w:rPr>
          <w:rFonts w:ascii="Arial" w:cs="Arial" w:eastAsia="Arial" w:hAnsi="Arial"/>
          <w:sz w:val="16"/>
          <w:szCs w:val="16"/>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construed and interpreted in accordance with the laws of the State of Nevada without regard to conflict of law principles.</w:t>
      </w:r>
    </w:p>
    <w:p>
      <w:pPr>
        <w:spacing w:after="0" w:line="113" w:lineRule="exact"/>
        <w:rPr>
          <w:rFonts w:ascii="Arial" w:cs="Arial" w:eastAsia="Arial" w:hAnsi="Arial"/>
          <w:sz w:val="16"/>
          <w:szCs w:val="16"/>
          <w:color w:val="auto"/>
        </w:rPr>
      </w:pPr>
    </w:p>
    <w:p>
      <w:pPr>
        <w:ind w:firstLine="319"/>
        <w:spacing w:after="0" w:line="294" w:lineRule="auto"/>
        <w:tabs>
          <w:tab w:leader="none" w:pos="729" w:val="left"/>
        </w:tabs>
        <w:numPr>
          <w:ilvl w:val="0"/>
          <w:numId w:val="42"/>
        </w:numPr>
        <w:rPr>
          <w:rFonts w:ascii="Arial" w:cs="Arial" w:eastAsia="Arial" w:hAnsi="Arial"/>
          <w:sz w:val="16"/>
          <w:szCs w:val="16"/>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13" w:lineRule="exact"/>
        <w:rPr>
          <w:rFonts w:ascii="Arial" w:cs="Arial" w:eastAsia="Arial" w:hAnsi="Arial"/>
          <w:sz w:val="16"/>
          <w:szCs w:val="16"/>
          <w:color w:val="auto"/>
        </w:rPr>
      </w:pPr>
    </w:p>
    <w:p>
      <w:pPr>
        <w:jc w:val="both"/>
        <w:ind w:firstLine="319"/>
        <w:spacing w:after="0" w:line="272" w:lineRule="auto"/>
        <w:tabs>
          <w:tab w:leader="none" w:pos="654" w:val="left"/>
        </w:tabs>
        <w:numPr>
          <w:ilvl w:val="0"/>
          <w:numId w:val="42"/>
        </w:numPr>
        <w:rPr>
          <w:rFonts w:ascii="Arial" w:cs="Arial" w:eastAsia="Arial" w:hAnsi="Arial"/>
          <w:sz w:val="16"/>
          <w:szCs w:val="16"/>
          <w:color w:val="auto"/>
        </w:rPr>
      </w:pPr>
      <w:r>
        <w:rPr>
          <w:rFonts w:ascii="Arial" w:cs="Arial" w:eastAsia="Arial" w:hAnsi="Arial"/>
          <w:sz w:val="17"/>
          <w:szCs w:val="17"/>
          <w:u w:val="single" w:color="auto"/>
          <w:color w:val="auto"/>
        </w:rPr>
        <w:t>Restricted Stock Subject to Plan</w:t>
      </w:r>
      <w:r>
        <w:rPr>
          <w:rFonts w:ascii="Arial" w:cs="Arial" w:eastAsia="Arial" w:hAnsi="Arial"/>
          <w:sz w:val="17"/>
          <w:szCs w:val="17"/>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32" w:lineRule="exact"/>
        <w:rPr>
          <w:rFonts w:ascii="Arial" w:cs="Arial" w:eastAsia="Arial" w:hAnsi="Arial"/>
          <w:sz w:val="16"/>
          <w:szCs w:val="16"/>
          <w:color w:val="auto"/>
        </w:rPr>
      </w:pPr>
    </w:p>
    <w:p>
      <w:pPr>
        <w:jc w:val="both"/>
        <w:ind w:firstLine="319"/>
        <w:spacing w:after="0" w:line="265" w:lineRule="auto"/>
        <w:tabs>
          <w:tab w:leader="none" w:pos="697" w:val="left"/>
        </w:tabs>
        <w:numPr>
          <w:ilvl w:val="0"/>
          <w:numId w:val="42"/>
        </w:numPr>
        <w:rPr>
          <w:rFonts w:ascii="Arial" w:cs="Arial" w:eastAsia="Arial" w:hAnsi="Arial"/>
          <w:sz w:val="16"/>
          <w:szCs w:val="16"/>
          <w:color w:val="auto"/>
        </w:rPr>
      </w:pPr>
      <w:r>
        <w:rPr>
          <w:rFonts w:ascii="Arial" w:cs="Arial" w:eastAsia="Arial" w:hAnsi="Arial"/>
          <w:sz w:val="17"/>
          <w:szCs w:val="17"/>
          <w:u w:val="single" w:color="auto"/>
          <w:color w:val="auto"/>
        </w:rPr>
        <w:t>Clawbacks.</w:t>
      </w:r>
      <w:r>
        <w:rPr>
          <w:rFonts w:ascii="Arial" w:cs="Arial" w:eastAsia="Arial" w:hAnsi="Arial"/>
          <w:sz w:val="17"/>
          <w:szCs w:val="17"/>
          <w:color w:val="auto"/>
        </w:rPr>
        <w:t xml:space="preserve"> Participant shall be required to forfeit or reimburse the Company with respect to the Restricted Stock granted under this Agreement and the Plan to the extent required by any clawback or recoupment policy of the Company now in effect or as may be adopted by the Company from time to time as required by Section 304 of the Sarbanes-Oxley Act of 2002, Section 954 of the Dodd-Frank Wall Street Reform and Consumer Protection Act, or as otherwise required by applicable law.</w:t>
      </w:r>
    </w:p>
    <w:p>
      <w:pPr>
        <w:spacing w:after="0" w:line="138" w:lineRule="exact"/>
        <w:rPr>
          <w:rFonts w:ascii="Arial" w:cs="Arial" w:eastAsia="Arial" w:hAnsi="Arial"/>
          <w:sz w:val="16"/>
          <w:szCs w:val="16"/>
          <w:color w:val="auto"/>
        </w:rPr>
      </w:pPr>
    </w:p>
    <w:p>
      <w:pPr>
        <w:jc w:val="both"/>
        <w:ind w:firstLine="319"/>
        <w:spacing w:after="0" w:line="325" w:lineRule="auto"/>
        <w:tabs>
          <w:tab w:leader="none" w:pos="664" w:val="left"/>
        </w:tabs>
        <w:numPr>
          <w:ilvl w:val="0"/>
          <w:numId w:val="42"/>
        </w:numPr>
        <w:rPr>
          <w:rFonts w:ascii="Arial" w:cs="Arial" w:eastAsia="Arial" w:hAnsi="Arial"/>
          <w:sz w:val="14"/>
          <w:szCs w:val="14"/>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may be transferred by will or the laws of descent or distribution.</w:t>
      </w:r>
    </w:p>
    <w:p>
      <w:pPr>
        <w:spacing w:after="0" w:line="96" w:lineRule="exact"/>
        <w:rPr>
          <w:rFonts w:ascii="Arial" w:cs="Arial" w:eastAsia="Arial" w:hAnsi="Arial"/>
          <w:sz w:val="14"/>
          <w:szCs w:val="14"/>
          <w:color w:val="auto"/>
        </w:rPr>
      </w:pPr>
    </w:p>
    <w:p>
      <w:pPr>
        <w:ind w:firstLine="319"/>
        <w:spacing w:after="0" w:line="327" w:lineRule="auto"/>
        <w:tabs>
          <w:tab w:leader="none" w:pos="697" w:val="left"/>
        </w:tabs>
        <w:numPr>
          <w:ilvl w:val="0"/>
          <w:numId w:val="42"/>
        </w:numPr>
        <w:rPr>
          <w:rFonts w:ascii="Arial" w:cs="Arial" w:eastAsia="Arial" w:hAnsi="Arial"/>
          <w:sz w:val="15"/>
          <w:szCs w:val="15"/>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91" w:lineRule="exact"/>
        <w:rPr>
          <w:rFonts w:ascii="Arial" w:cs="Arial" w:eastAsia="Arial" w:hAnsi="Arial"/>
          <w:sz w:val="15"/>
          <w:szCs w:val="15"/>
          <w:color w:val="auto"/>
        </w:rPr>
      </w:pPr>
    </w:p>
    <w:p>
      <w:pPr>
        <w:jc w:val="both"/>
        <w:ind w:firstLine="319"/>
        <w:spacing w:after="0" w:line="265" w:lineRule="auto"/>
        <w:tabs>
          <w:tab w:leader="none" w:pos="697" w:val="left"/>
        </w:tabs>
        <w:numPr>
          <w:ilvl w:val="0"/>
          <w:numId w:val="42"/>
        </w:numPr>
        <w:rPr>
          <w:rFonts w:ascii="Arial" w:cs="Arial" w:eastAsia="Arial" w:hAnsi="Arial"/>
          <w:sz w:val="16"/>
          <w:szCs w:val="16"/>
          <w:color w:val="auto"/>
        </w:rPr>
      </w:pPr>
      <w:r>
        <w:rPr>
          <w:rFonts w:ascii="Arial" w:cs="Arial" w:eastAsia="Arial" w:hAnsi="Arial"/>
          <w:sz w:val="17"/>
          <w:szCs w:val="17"/>
          <w:u w:val="single" w:color="auto"/>
          <w:color w:val="auto"/>
        </w:rPr>
        <w:t>Discretionary Nature of Plan</w:t>
      </w:r>
      <w:r>
        <w:rPr>
          <w:rFonts w:ascii="Arial" w:cs="Arial" w:eastAsia="Arial" w:hAnsi="Arial"/>
          <w:sz w:val="17"/>
          <w:szCs w:val="17"/>
          <w:color w:val="auto"/>
        </w:rPr>
        <w:t>. The Plan is discretionary and may be amended, cancelled or terminated by the Company at any time, in its discretion. The grant of the Restricted Stock in this Agreement does not create any contractual right or other right to receive any Restricted Stock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38" w:lineRule="exact"/>
        <w:rPr>
          <w:rFonts w:ascii="Arial" w:cs="Arial" w:eastAsia="Arial" w:hAnsi="Arial"/>
          <w:sz w:val="16"/>
          <w:szCs w:val="16"/>
          <w:color w:val="auto"/>
        </w:rPr>
      </w:pPr>
    </w:p>
    <w:p>
      <w:pPr>
        <w:jc w:val="both"/>
        <w:ind w:firstLine="319"/>
        <w:spacing w:after="0" w:line="282" w:lineRule="auto"/>
        <w:tabs>
          <w:tab w:leader="none" w:pos="707" w:val="left"/>
        </w:tabs>
        <w:numPr>
          <w:ilvl w:val="0"/>
          <w:numId w:val="42"/>
        </w:numPr>
        <w:rPr>
          <w:rFonts w:ascii="Arial" w:cs="Arial" w:eastAsia="Arial" w:hAnsi="Arial"/>
          <w:sz w:val="15"/>
          <w:szCs w:val="15"/>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Committee has the right to amend, alter, suspend, discontinue or cancel the Restricted Stock, prospectively or retroactively; provided, that, no such amendment shall adversely affect the Participant's material rights under this Agreement without the Participant's consent; provided that the Committee may amend or modify this Agreement to the extent that the Committee determines, in its sole discretion, that the terms and conditions of the Award violate or may violate Code Section 409A; provided that, any such amendment or modification of an Award made pursuant to this Section 19 shall maintain, to the maximum extent practicable, the original intent of the applicable Award provision without contravening the provisions of Code Section 409A.</w:t>
      </w:r>
    </w:p>
    <w:p>
      <w:pPr>
        <w:spacing w:after="0" w:line="320"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5</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35567887v.2</w:t>
      </w:r>
    </w:p>
    <w:p>
      <w:pPr>
        <w:sectPr>
          <w:pgSz w:w="11900" w:h="16838" w:orient="portrait"/>
          <w:cols w:equalWidth="0" w:num="1">
            <w:col w:w="11460"/>
          </w:cols>
          <w:pgMar w:left="220" w:top="327" w:right="21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7"/>
          <w:szCs w:val="17"/>
          <w:color w:val="auto"/>
        </w:rPr>
        <w:t>The amendment or modification of any Award pursuant to this Section 19 shall be at the Committee’s sole discretion and neither the Committee nor the Company shall be obligated to amend or modify any Award or the Plan, nor shall the Company be liable for any adverse tax or other consequences to a Participant resulting from such amendments or modifications or the Committee’s failure to make any such amendments or modifications for purposes of complying with Code Section 409A or for any other purpose. To the extent the Committee amends or modifies an Award pursuant to this Section 19, the Participant shall receive notification of any such changes to his or her Award and, unless the Committee determines otherwise, the changes described in such notification shall be deemed to amend the terms and conditions of the Award and this Agreement.</w:t>
      </w:r>
    </w:p>
    <w:p>
      <w:pPr>
        <w:spacing w:after="0" w:line="145" w:lineRule="exact"/>
        <w:rPr>
          <w:sz w:val="20"/>
          <w:szCs w:val="20"/>
          <w:color w:val="auto"/>
        </w:rPr>
      </w:pPr>
    </w:p>
    <w:p>
      <w:pPr>
        <w:ind w:firstLine="319"/>
        <w:spacing w:after="0" w:line="294" w:lineRule="auto"/>
        <w:tabs>
          <w:tab w:leader="none" w:pos="664" w:val="left"/>
        </w:tabs>
        <w:numPr>
          <w:ilvl w:val="0"/>
          <w:numId w:val="43"/>
        </w:numPr>
        <w:rPr>
          <w:rFonts w:ascii="Arial" w:cs="Arial" w:eastAsia="Arial" w:hAnsi="Arial"/>
          <w:sz w:val="16"/>
          <w:szCs w:val="16"/>
          <w:color w:val="auto"/>
        </w:rPr>
      </w:pPr>
      <w:r>
        <w:rPr>
          <w:rFonts w:ascii="Arial" w:cs="Arial" w:eastAsia="Arial" w:hAnsi="Arial"/>
          <w:sz w:val="17"/>
          <w:szCs w:val="17"/>
          <w:u w:val="single" w:color="auto"/>
          <w:color w:val="auto"/>
        </w:rPr>
        <w:t>No Impact on Other Benefits</w:t>
      </w:r>
      <w:r>
        <w:rPr>
          <w:rFonts w:ascii="Arial" w:cs="Arial" w:eastAsia="Arial" w:hAnsi="Arial"/>
          <w:sz w:val="17"/>
          <w:szCs w:val="17"/>
          <w:color w:val="auto"/>
        </w:rPr>
        <w:t>. The value of the Participant's Restricted Stock is not part of his normal or expected compensation for purposes of calculating any severance, retirement, welfare, insurance or similar employee benefit.</w:t>
      </w:r>
    </w:p>
    <w:p>
      <w:pPr>
        <w:spacing w:after="0" w:line="113" w:lineRule="exact"/>
        <w:rPr>
          <w:rFonts w:ascii="Arial" w:cs="Arial" w:eastAsia="Arial" w:hAnsi="Arial"/>
          <w:sz w:val="16"/>
          <w:szCs w:val="16"/>
          <w:color w:val="auto"/>
        </w:rPr>
      </w:pPr>
    </w:p>
    <w:p>
      <w:pPr>
        <w:jc w:val="both"/>
        <w:ind w:right="100" w:firstLine="319"/>
        <w:spacing w:after="0" w:line="265" w:lineRule="auto"/>
        <w:tabs>
          <w:tab w:leader="none" w:pos="654" w:val="left"/>
        </w:tabs>
        <w:numPr>
          <w:ilvl w:val="0"/>
          <w:numId w:val="43"/>
        </w:numPr>
        <w:rPr>
          <w:rFonts w:ascii="Arial" w:cs="Arial" w:eastAsia="Arial" w:hAnsi="Arial"/>
          <w:sz w:val="16"/>
          <w:szCs w:val="16"/>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38" w:lineRule="exact"/>
        <w:rPr>
          <w:rFonts w:ascii="Arial" w:cs="Arial" w:eastAsia="Arial" w:hAnsi="Arial"/>
          <w:sz w:val="16"/>
          <w:szCs w:val="16"/>
          <w:color w:val="auto"/>
        </w:rPr>
      </w:pPr>
    </w:p>
    <w:p>
      <w:pPr>
        <w:jc w:val="both"/>
        <w:ind w:firstLine="319"/>
        <w:spacing w:after="0" w:line="265" w:lineRule="auto"/>
        <w:tabs>
          <w:tab w:leader="none" w:pos="654" w:val="left"/>
        </w:tabs>
        <w:numPr>
          <w:ilvl w:val="0"/>
          <w:numId w:val="43"/>
        </w:numPr>
        <w:rPr>
          <w:rFonts w:ascii="Arial" w:cs="Arial" w:eastAsia="Arial" w:hAnsi="Arial"/>
          <w:sz w:val="16"/>
          <w:szCs w:val="16"/>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The Participant hereby acknowledges receipt of a copy of the Plan and this Agreement. The Participant has read and understands the terms and provisions thereof, and accepts the Restricted Stock subject to all of the terms and conditions of the Plan and this Agreement. The Participant acknowledges that there he or she has been advised to consult a tax advisor to understand the tax consequences of such grant, vesting and disposition. By acceptance of the restricted shares and performance share ward shares, the Participant accepts the terms of this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pacing w:after="0" w:line="320"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6</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35567887v.2</w:t>
      </w:r>
    </w:p>
    <w:p>
      <w:pPr>
        <w:sectPr>
          <w:pgSz w:w="11900" w:h="16838" w:orient="portrait"/>
          <w:cols w:equalWidth="0" w:num="1">
            <w:col w:w="11460"/>
          </w:cols>
          <w:pgMar w:left="220" w:top="327" w:right="21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hereto have executed this Agreement as of the date first above written.</w:t>
      </w:r>
    </w:p>
    <w:p>
      <w:pPr>
        <w:spacing w:after="0" w:line="192" w:lineRule="exact"/>
        <w:rPr>
          <w:sz w:val="20"/>
          <w:szCs w:val="20"/>
          <w:color w:val="auto"/>
        </w:rPr>
      </w:pPr>
    </w:p>
    <w:p>
      <w:pPr>
        <w:ind w:left="5760"/>
        <w:spacing w:after="0"/>
        <w:rPr>
          <w:sz w:val="20"/>
          <w:szCs w:val="20"/>
          <w:color w:val="auto"/>
        </w:rPr>
      </w:pPr>
      <w:r>
        <w:rPr>
          <w:rFonts w:ascii="Arial" w:cs="Arial" w:eastAsia="Arial" w:hAnsi="Arial"/>
          <w:sz w:val="17"/>
          <w:szCs w:val="17"/>
          <w:b w:val="1"/>
          <w:bCs w:val="1"/>
          <w:color w:val="auto"/>
        </w:rPr>
        <w:t>EVOLUTION PETROLEUM CORPORATION</w:t>
      </w:r>
    </w:p>
    <w:p>
      <w:pPr>
        <w:spacing w:after="0" w:line="134"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By:</w:t>
      </w:r>
    </w:p>
    <w:p>
      <w:pPr>
        <w:spacing w:after="0" w:line="85"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Name:</w:t>
      </w:r>
    </w:p>
    <w:p>
      <w:pPr>
        <w:spacing w:after="0" w:line="85"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Title:</w:t>
      </w:r>
    </w:p>
    <w:p>
      <w:pPr>
        <w:spacing w:after="0" w:line="100" w:lineRule="exact"/>
        <w:rPr>
          <w:sz w:val="20"/>
          <w:szCs w:val="20"/>
          <w:color w:val="auto"/>
        </w:rPr>
      </w:pPr>
    </w:p>
    <w:p>
      <w:pPr>
        <w:ind w:left="5760"/>
        <w:spacing w:after="0"/>
        <w:rPr>
          <w:sz w:val="20"/>
          <w:szCs w:val="20"/>
          <w:color w:val="auto"/>
        </w:rPr>
      </w:pPr>
      <w:r>
        <w:rPr>
          <w:rFonts w:ascii="Arial" w:cs="Arial" w:eastAsia="Arial" w:hAnsi="Arial"/>
          <w:sz w:val="17"/>
          <w:szCs w:val="17"/>
          <w:b w:val="1"/>
          <w:bCs w:val="1"/>
          <w:color w:val="auto"/>
        </w:rPr>
        <w:t>PARTICIPANT</w:t>
      </w:r>
    </w:p>
    <w:p>
      <w:pPr>
        <w:spacing w:after="0" w:line="134"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By:</w:t>
      </w:r>
    </w:p>
    <w:p>
      <w:pPr>
        <w:spacing w:after="0" w:line="85"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1"/>
          <w:szCs w:val="11"/>
          <w:color w:val="auto"/>
        </w:rPr>
        <w:t>58040752v.2</w:t>
      </w:r>
    </w:p>
    <w:p>
      <w:pPr>
        <w:spacing w:after="0" w:line="20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7</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35567887v.2</w:t>
      </w:r>
    </w:p>
    <w:p>
      <w:pPr>
        <w:sectPr>
          <w:pgSz w:w="11900" w:h="16838" w:orient="portrait"/>
          <w:cols w:equalWidth="0" w:num="1">
            <w:col w:w="10239"/>
          </w:cols>
          <w:pgMar w:left="220" w:top="720"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7"/>
          <w:szCs w:val="17"/>
          <w:b w:val="1"/>
          <w:bCs w:val="1"/>
          <w:color w:val="auto"/>
        </w:rPr>
        <w:t>Exhibit 4.13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PERFORMANCE SHARE UNIT AWARD AGREEMENT</w:t>
      </w:r>
    </w:p>
    <w:p>
      <w:pPr>
        <w:spacing w:after="0" w:line="200" w:lineRule="exact"/>
        <w:rPr>
          <w:sz w:val="20"/>
          <w:szCs w:val="20"/>
          <w:color w:val="auto"/>
        </w:rPr>
      </w:pPr>
    </w:p>
    <w:p>
      <w:pPr>
        <w:spacing w:after="0" w:line="208" w:lineRule="exact"/>
        <w:rPr>
          <w:sz w:val="20"/>
          <w:szCs w:val="20"/>
          <w:color w:val="auto"/>
        </w:rPr>
      </w:pPr>
    </w:p>
    <w:p>
      <w:pPr>
        <w:ind w:firstLine="259"/>
        <w:spacing w:after="0" w:line="354" w:lineRule="auto"/>
        <w:rPr>
          <w:sz w:val="20"/>
          <w:szCs w:val="20"/>
          <w:color w:val="auto"/>
        </w:rPr>
      </w:pPr>
      <w:r>
        <w:rPr>
          <w:rFonts w:ascii="Arial" w:cs="Arial" w:eastAsia="Arial" w:hAnsi="Arial"/>
          <w:sz w:val="17"/>
          <w:szCs w:val="17"/>
          <w:color w:val="auto"/>
        </w:rPr>
        <w:t>This Performance Share Unit Award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and entered into as of </w:t>
      </w:r>
      <w:r>
        <w:rPr>
          <w:rFonts w:ascii="Arial" w:cs="Arial" w:eastAsia="Arial" w:hAnsi="Arial"/>
          <w:sz w:val="17"/>
          <w:szCs w:val="17"/>
          <w:b w:val="1"/>
          <w:bCs w:val="1"/>
          <w:color w:val="auto"/>
        </w:rPr>
        <w:t>[DATE]</w:t>
      </w:r>
      <w:r>
        <w:rPr>
          <w:rFonts w:ascii="Arial" w:cs="Arial" w:eastAsia="Arial" w:hAnsi="Arial"/>
          <w:sz w:val="17"/>
          <w:szCs w:val="17"/>
          <w:color w:val="auto"/>
        </w:rPr>
        <w:t xml:space="preserve"> (the "</w:t>
      </w:r>
      <w:r>
        <w:rPr>
          <w:rFonts w:ascii="Arial" w:cs="Arial" w:eastAsia="Arial" w:hAnsi="Arial"/>
          <w:sz w:val="17"/>
          <w:szCs w:val="17"/>
          <w:b w:val="1"/>
          <w:bCs w:val="1"/>
          <w:color w:val="auto"/>
        </w:rPr>
        <w:t>Grant Date</w:t>
      </w:r>
      <w:r>
        <w:rPr>
          <w:rFonts w:ascii="Arial" w:cs="Arial" w:eastAsia="Arial" w:hAnsi="Arial"/>
          <w:sz w:val="17"/>
          <w:szCs w:val="17"/>
          <w:color w:val="auto"/>
        </w:rPr>
        <w:t>") by and between Evolution Petroleum Corporation,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[EMPLOYEE NAME]</w:t>
      </w:r>
      <w:r>
        <w:rPr>
          <w:rFonts w:ascii="Arial" w:cs="Arial" w:eastAsia="Arial" w:hAnsi="Arial"/>
          <w:sz w:val="17"/>
          <w:szCs w:val="17"/>
          <w:color w:val="auto"/>
        </w:rPr>
        <w:t xml:space="preserve"> (the "</w:t>
      </w:r>
      <w:r>
        <w:rPr>
          <w:rFonts w:ascii="Arial" w:cs="Arial" w:eastAsia="Arial" w:hAnsi="Arial"/>
          <w:sz w:val="17"/>
          <w:szCs w:val="17"/>
          <w:b w:val="1"/>
          <w:bCs w:val="1"/>
          <w:color w:val="auto"/>
        </w:rPr>
        <w:t>Participant</w:t>
      </w:r>
      <w:r>
        <w:rPr>
          <w:rFonts w:ascii="Arial" w:cs="Arial" w:eastAsia="Arial" w:hAnsi="Arial"/>
          <w:sz w:val="17"/>
          <w:szCs w:val="17"/>
          <w:color w:val="auto"/>
        </w:rPr>
        <w:t>").</w:t>
      </w:r>
    </w:p>
    <w:p>
      <w:pPr>
        <w:spacing w:after="0" w:line="285" w:lineRule="exact"/>
        <w:rPr>
          <w:sz w:val="20"/>
          <w:szCs w:val="20"/>
          <w:color w:val="auto"/>
        </w:rPr>
      </w:pPr>
    </w:p>
    <w:p>
      <w:pPr>
        <w:ind w:firstLine="259"/>
        <w:spacing w:after="0" w:line="35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adopted the Evolution Petroleum Corporation 2016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pursuant to which Performance Share</w:t>
      </w:r>
      <w:r>
        <w:rPr>
          <w:rFonts w:ascii="Arial" w:cs="Arial" w:eastAsia="Arial" w:hAnsi="Arial"/>
          <w:sz w:val="17"/>
          <w:szCs w:val="17"/>
          <w:b w:val="1"/>
          <w:bCs w:val="1"/>
          <w:color w:val="auto"/>
        </w:rPr>
        <w:t xml:space="preserve"> </w:t>
      </w:r>
      <w:r>
        <w:rPr>
          <w:rFonts w:ascii="Arial" w:cs="Arial" w:eastAsia="Arial" w:hAnsi="Arial"/>
          <w:sz w:val="17"/>
          <w:szCs w:val="17"/>
          <w:color w:val="auto"/>
        </w:rPr>
        <w:t>Units may be granted; and</w:t>
      </w:r>
    </w:p>
    <w:p>
      <w:pPr>
        <w:spacing w:after="0" w:line="285" w:lineRule="exact"/>
        <w:rPr>
          <w:sz w:val="20"/>
          <w:szCs w:val="20"/>
          <w:color w:val="auto"/>
        </w:rPr>
      </w:pPr>
    </w:p>
    <w:p>
      <w:pPr>
        <w:ind w:firstLine="259"/>
        <w:spacing w:after="0" w:line="35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Committee has determined that it is in the best interests of the Company and its shareholders to grant the award of Performance Share Units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for herein.</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hereto, intending to be legally bound, agree as follows:</w:t>
      </w:r>
    </w:p>
    <w:p>
      <w:pPr>
        <w:spacing w:after="0" w:line="200" w:lineRule="exact"/>
        <w:rPr>
          <w:sz w:val="20"/>
          <w:szCs w:val="20"/>
          <w:color w:val="auto"/>
        </w:rPr>
      </w:pPr>
    </w:p>
    <w:p>
      <w:pPr>
        <w:spacing w:after="0" w:line="214" w:lineRule="exact"/>
        <w:rPr>
          <w:sz w:val="20"/>
          <w:szCs w:val="20"/>
          <w:color w:val="auto"/>
        </w:rPr>
      </w:pPr>
    </w:p>
    <w:p>
      <w:pPr>
        <w:jc w:val="both"/>
        <w:ind w:firstLine="330"/>
        <w:spacing w:after="0" w:line="323" w:lineRule="auto"/>
        <w:tabs>
          <w:tab w:leader="none" w:pos="819"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Grant of Performance Share Units</w:t>
      </w:r>
      <w:r>
        <w:rPr>
          <w:rFonts w:ascii="Arial" w:cs="Arial" w:eastAsia="Arial" w:hAnsi="Arial"/>
          <w:sz w:val="17"/>
          <w:szCs w:val="17"/>
          <w:color w:val="auto"/>
        </w:rPr>
        <w:t xml:space="preserve">. Pursuant to Section 7.3 of the Plan, the Company hereby grants to the Participant an Award covering a target number of </w:t>
      </w:r>
      <w:r>
        <w:rPr>
          <w:rFonts w:ascii="Arial" w:cs="Arial" w:eastAsia="Arial" w:hAnsi="Arial"/>
          <w:sz w:val="17"/>
          <w:szCs w:val="17"/>
          <w:b w:val="1"/>
          <w:bCs w:val="1"/>
          <w:color w:val="auto"/>
        </w:rPr>
        <w:t>[TARGET NUMBER]</w:t>
      </w:r>
      <w:r>
        <w:rPr>
          <w:rFonts w:ascii="Arial" w:cs="Arial" w:eastAsia="Arial" w:hAnsi="Arial"/>
          <w:sz w:val="17"/>
          <w:szCs w:val="17"/>
          <w:color w:val="auto"/>
        </w:rPr>
        <w:t xml:space="preserve"> Performance Share Units (the "</w:t>
      </w:r>
      <w:r>
        <w:rPr>
          <w:rFonts w:ascii="Arial" w:cs="Arial" w:eastAsia="Arial" w:hAnsi="Arial"/>
          <w:sz w:val="17"/>
          <w:szCs w:val="17"/>
          <w:b w:val="1"/>
          <w:bCs w:val="1"/>
          <w:color w:val="auto"/>
        </w:rPr>
        <w:t>Target Award</w:t>
      </w:r>
      <w:r>
        <w:rPr>
          <w:rFonts w:ascii="Arial" w:cs="Arial" w:eastAsia="Arial" w:hAnsi="Arial"/>
          <w:sz w:val="17"/>
          <w:szCs w:val="17"/>
          <w:color w:val="auto"/>
        </w:rPr>
        <w:t>"). Each Performance Share Unit (“</w:t>
      </w:r>
      <w:r>
        <w:rPr>
          <w:rFonts w:ascii="Arial" w:cs="Arial" w:eastAsia="Arial" w:hAnsi="Arial"/>
          <w:sz w:val="17"/>
          <w:szCs w:val="17"/>
          <w:b w:val="1"/>
          <w:bCs w:val="1"/>
          <w:color w:val="auto"/>
        </w:rPr>
        <w:t>PSU</w:t>
      </w:r>
      <w:r>
        <w:rPr>
          <w:rFonts w:ascii="Arial" w:cs="Arial" w:eastAsia="Arial" w:hAnsi="Arial"/>
          <w:sz w:val="17"/>
          <w:szCs w:val="17"/>
          <w:color w:val="auto"/>
        </w:rPr>
        <w:t xml:space="preserve">”) represents the right to receive one share of Common Stock, subject to the terms and conditions set forth in this Agreement and the Plan. The number of shares of Common Stock under the PSUs that the Participant actually earns for the Performance Period (up to a maximum of </w:t>
      </w:r>
      <w:r>
        <w:rPr>
          <w:rFonts w:ascii="Arial" w:cs="Arial" w:eastAsia="Arial" w:hAnsi="Arial"/>
          <w:sz w:val="17"/>
          <w:szCs w:val="17"/>
          <w:b w:val="1"/>
          <w:bCs w:val="1"/>
          <w:color w:val="auto"/>
        </w:rPr>
        <w:t>[MAXIMUM NUMBER]</w:t>
      </w:r>
      <w:r>
        <w:rPr>
          <w:rFonts w:ascii="Arial" w:cs="Arial" w:eastAsia="Arial" w:hAnsi="Arial"/>
          <w:sz w:val="17"/>
          <w:szCs w:val="17"/>
          <w:color w:val="auto"/>
        </w:rPr>
        <w:t xml:space="preserve">) will be determined by the level of achievement of the Performance Goals in accordance with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Performance Shares</w:t>
      </w:r>
      <w:r>
        <w:rPr>
          <w:rFonts w:ascii="Arial" w:cs="Arial" w:eastAsia="Arial" w:hAnsi="Arial"/>
          <w:sz w:val="17"/>
          <w:szCs w:val="17"/>
          <w:color w:val="auto"/>
        </w:rPr>
        <w:t>”). Capitalized terms that are used but not defined herein have the meanings ascribed to them in the Plan.</w:t>
      </w:r>
    </w:p>
    <w:p>
      <w:pPr>
        <w:spacing w:after="0" w:line="139" w:lineRule="exact"/>
        <w:rPr>
          <w:rFonts w:ascii="Arial" w:cs="Arial" w:eastAsia="Arial" w:hAnsi="Arial"/>
          <w:sz w:val="17"/>
          <w:szCs w:val="17"/>
          <w:color w:val="auto"/>
        </w:rPr>
      </w:pPr>
    </w:p>
    <w:p>
      <w:pPr>
        <w:ind w:left="600" w:hanging="270"/>
        <w:spacing w:after="0"/>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Performance Period</w:t>
      </w:r>
      <w:r>
        <w:rPr>
          <w:rFonts w:ascii="Arial" w:cs="Arial" w:eastAsia="Arial" w:hAnsi="Arial"/>
          <w:sz w:val="16"/>
          <w:szCs w:val="16"/>
          <w:color w:val="auto"/>
        </w:rPr>
        <w:t xml:space="preserve">. For purposes of this Agreement, the term "Performance Period" shall be the period commencing on </w:t>
      </w:r>
      <w:r>
        <w:rPr>
          <w:rFonts w:ascii="Arial" w:cs="Arial" w:eastAsia="Arial" w:hAnsi="Arial"/>
          <w:sz w:val="16"/>
          <w:szCs w:val="16"/>
          <w:b w:val="1"/>
          <w:bCs w:val="1"/>
          <w:color w:val="auto"/>
        </w:rPr>
        <w:t>[DATE]</w:t>
      </w:r>
      <w:r>
        <w:rPr>
          <w:rFonts w:ascii="Arial" w:cs="Arial" w:eastAsia="Arial" w:hAnsi="Arial"/>
          <w:sz w:val="16"/>
          <w:szCs w:val="16"/>
          <w:color w:val="auto"/>
        </w:rPr>
        <w:t xml:space="preserve"> and ending on </w:t>
      </w:r>
      <w:r>
        <w:rPr>
          <w:rFonts w:ascii="Arial" w:cs="Arial" w:eastAsia="Arial" w:hAnsi="Arial"/>
          <w:sz w:val="16"/>
          <w:szCs w:val="16"/>
          <w:b w:val="1"/>
          <w:bCs w:val="1"/>
          <w:color w:val="auto"/>
        </w:rPr>
        <w:t>[DATE]</w:t>
      </w:r>
      <w:r>
        <w:rPr>
          <w:rFonts w:ascii="Arial" w:cs="Arial" w:eastAsia="Arial" w:hAnsi="Arial"/>
          <w:sz w:val="16"/>
          <w:szCs w:val="16"/>
          <w:color w:val="auto"/>
        </w:rPr>
        <w:t>.</w:t>
      </w:r>
    </w:p>
    <w:p>
      <w:pPr>
        <w:spacing w:after="0" w:line="263" w:lineRule="exact"/>
        <w:rPr>
          <w:rFonts w:ascii="Arial" w:cs="Arial" w:eastAsia="Arial" w:hAnsi="Arial"/>
          <w:sz w:val="16"/>
          <w:szCs w:val="16"/>
          <w:color w:val="auto"/>
        </w:rPr>
      </w:pPr>
    </w:p>
    <w:p>
      <w:pPr>
        <w:ind w:left="600" w:hanging="270"/>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Performance Goals</w:t>
      </w:r>
      <w:r>
        <w:rPr>
          <w:rFonts w:ascii="Arial" w:cs="Arial" w:eastAsia="Arial" w:hAnsi="Arial"/>
          <w:sz w:val="17"/>
          <w:szCs w:val="17"/>
          <w:color w:val="auto"/>
        </w:rPr>
        <w:t>.</w:t>
      </w:r>
    </w:p>
    <w:p>
      <w:pPr>
        <w:spacing w:after="0" w:line="246" w:lineRule="exact"/>
        <w:rPr>
          <w:sz w:val="20"/>
          <w:szCs w:val="20"/>
          <w:color w:val="auto"/>
        </w:rPr>
      </w:pPr>
    </w:p>
    <w:p>
      <w:pPr>
        <w:jc w:val="both"/>
        <w:ind w:left="320" w:firstLine="388"/>
        <w:spacing w:after="0" w:line="339" w:lineRule="auto"/>
        <w:rPr>
          <w:sz w:val="20"/>
          <w:szCs w:val="20"/>
          <w:color w:val="auto"/>
        </w:rPr>
      </w:pPr>
      <w:r>
        <w:rPr>
          <w:rFonts w:ascii="Arial" w:cs="Arial" w:eastAsia="Arial" w:hAnsi="Arial"/>
          <w:sz w:val="17"/>
          <w:szCs w:val="17"/>
          <w:color w:val="auto"/>
        </w:rPr>
        <w:t>3.1 The number of Performance Shares earned by the Participant under the PSUs for the Performance Period will be determined at the end of the Performance Period based on the level of achievement of the Performance Goals in accordance with Exhibit I. All determinations of whether Performance Goals have been achieved, the</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35568622v.2</w:t>
      </w:r>
    </w:p>
    <w:p>
      <w:pPr>
        <w:sectPr>
          <w:pgSz w:w="11900" w:h="16838" w:orient="portrait"/>
          <w:cols w:equalWidth="0" w:num="1">
            <w:col w:w="11460"/>
          </w:cols>
          <w:pgMar w:left="220" w:top="580" w:right="219" w:bottom="1440" w:gutter="0" w:footer="0" w:header="0"/>
        </w:sectPr>
      </w:pPr>
    </w:p>
    <w:bookmarkStart w:id="81" w:name="page82"/>
    <w:bookmarkEnd w:id="81"/>
    <w:p>
      <w:pPr>
        <w:jc w:val="both"/>
        <w:ind w:left="320"/>
        <w:spacing w:after="0" w:line="347" w:lineRule="auto"/>
        <w:rPr>
          <w:sz w:val="20"/>
          <w:szCs w:val="20"/>
          <w:color w:val="auto"/>
        </w:rPr>
      </w:pPr>
      <w:r>
        <w:rPr>
          <w:rFonts w:ascii="Arial" w:cs="Arial" w:eastAsia="Arial" w:hAnsi="Arial"/>
          <w:sz w:val="17"/>
          <w:szCs w:val="17"/>
          <w:color w:val="auto"/>
        </w:rPr>
        <w:t>number of Performance Shares earned under the PSUs by the Participant, and all other matters related to this Section 3 shall be made by the Committee in its sole discretion.</w:t>
      </w:r>
    </w:p>
    <w:p>
      <w:pPr>
        <w:spacing w:after="0" w:line="124" w:lineRule="exact"/>
        <w:rPr>
          <w:sz w:val="20"/>
          <w:szCs w:val="20"/>
          <w:color w:val="auto"/>
        </w:rPr>
      </w:pPr>
    </w:p>
    <w:p>
      <w:pPr>
        <w:jc w:val="both"/>
        <w:ind w:left="320" w:firstLine="388"/>
        <w:spacing w:after="0" w:line="331" w:lineRule="auto"/>
        <w:rPr>
          <w:sz w:val="20"/>
          <w:szCs w:val="20"/>
          <w:color w:val="auto"/>
        </w:rPr>
      </w:pPr>
      <w:r>
        <w:rPr>
          <w:rFonts w:ascii="Arial" w:cs="Arial" w:eastAsia="Arial" w:hAnsi="Arial"/>
          <w:sz w:val="17"/>
          <w:szCs w:val="17"/>
          <w:color w:val="auto"/>
        </w:rPr>
        <w:t>3.2 As soon as administratively practicable following completion of the Performance Period, the Committee will review and certify in writing (a) whether, and to what extent, the Performance Goals for the Performance Period have been achieved, and (b) the number of Performance Shares that the Participant shall earn, if any, subject to Section 4. Such certification shall be final, conclusive and binding on the Participant, and on all other persons, to the maximum extent permitted by law.</w:t>
      </w:r>
    </w:p>
    <w:p>
      <w:pPr>
        <w:spacing w:after="0" w:line="139" w:lineRule="exact"/>
        <w:rPr>
          <w:sz w:val="20"/>
          <w:szCs w:val="20"/>
          <w:color w:val="auto"/>
        </w:rPr>
      </w:pPr>
    </w:p>
    <w:p>
      <w:pPr>
        <w:jc w:val="both"/>
        <w:ind w:firstLine="330"/>
        <w:spacing w:after="0" w:line="328" w:lineRule="auto"/>
        <w:tabs>
          <w:tab w:leader="none" w:pos="61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Vesting of PSUs</w:t>
      </w:r>
      <w:r>
        <w:rPr>
          <w:rFonts w:ascii="Arial" w:cs="Arial" w:eastAsia="Arial" w:hAnsi="Arial"/>
          <w:sz w:val="17"/>
          <w:szCs w:val="17"/>
          <w:color w:val="auto"/>
        </w:rPr>
        <w:t>. The PSUs are subject to forfeiture until they vest. Except as otherwise provided herein, the PSUs will vest and become nonforfeitable on the last day of the Performance Period, subject to (a) the achievement of the minimum threshold Performance Goals for payout set forth in Exhibit I attached hereto, and (b) the Participant's Continuous Service from the Grant Date through the last day of the Performance Period. The number of Performance Shares that become payable under this Agreement pursuant to the PSUs shall be determined by the Committee based on the level of achievement of the Performance Goals set forth in Exhibit I and shall be rounded to the nearest whole share.</w:t>
      </w:r>
    </w:p>
    <w:p>
      <w:pPr>
        <w:spacing w:after="0" w:line="140" w:lineRule="exact"/>
        <w:rPr>
          <w:rFonts w:ascii="Arial" w:cs="Arial" w:eastAsia="Arial" w:hAnsi="Arial"/>
          <w:sz w:val="17"/>
          <w:szCs w:val="17"/>
          <w:color w:val="auto"/>
        </w:rPr>
      </w:pPr>
    </w:p>
    <w:p>
      <w:pPr>
        <w:ind w:left="600" w:hanging="270"/>
        <w:spacing w:after="0"/>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Termination of Continuous Service</w:t>
      </w:r>
      <w:r>
        <w:rPr>
          <w:rFonts w:ascii="Arial" w:cs="Arial" w:eastAsia="Arial" w:hAnsi="Arial"/>
          <w:sz w:val="17"/>
          <w:szCs w:val="17"/>
          <w:color w:val="auto"/>
        </w:rPr>
        <w:t>.</w:t>
      </w:r>
    </w:p>
    <w:p>
      <w:pPr>
        <w:spacing w:after="0" w:line="246" w:lineRule="exact"/>
        <w:rPr>
          <w:sz w:val="20"/>
          <w:szCs w:val="20"/>
          <w:color w:val="auto"/>
        </w:rPr>
      </w:pPr>
    </w:p>
    <w:p>
      <w:pPr>
        <w:jc w:val="both"/>
        <w:ind w:left="320" w:firstLine="388"/>
        <w:spacing w:after="0" w:line="339" w:lineRule="auto"/>
        <w:rPr>
          <w:sz w:val="20"/>
          <w:szCs w:val="20"/>
          <w:color w:val="auto"/>
        </w:rPr>
      </w:pPr>
      <w:r>
        <w:rPr>
          <w:rFonts w:ascii="Arial" w:cs="Arial" w:eastAsia="Arial" w:hAnsi="Arial"/>
          <w:sz w:val="17"/>
          <w:szCs w:val="17"/>
          <w:color w:val="auto"/>
        </w:rPr>
        <w:t>5.1 Except as otherwise expressly provided in this Agreement, if the Participant's Continuous Service terminates for any reason at any time before all of his or her PSUs have vested, the Participant's unvested PSUs shall be automatically forfeited upon such termination of Continuous Service and neither the Company nor any Affiliate shall have any further obligations to the Participant under this Agreement.</w:t>
      </w:r>
    </w:p>
    <w:p>
      <w:pPr>
        <w:spacing w:after="0" w:line="131" w:lineRule="exact"/>
        <w:rPr>
          <w:sz w:val="20"/>
          <w:szCs w:val="20"/>
          <w:color w:val="auto"/>
        </w:rPr>
      </w:pPr>
    </w:p>
    <w:p>
      <w:pPr>
        <w:jc w:val="both"/>
        <w:ind w:left="320" w:firstLine="388"/>
        <w:spacing w:after="0" w:line="367" w:lineRule="auto"/>
        <w:rPr>
          <w:sz w:val="20"/>
          <w:szCs w:val="20"/>
          <w:color w:val="auto"/>
        </w:rPr>
      </w:pPr>
      <w:r>
        <w:rPr>
          <w:rFonts w:ascii="Arial" w:cs="Arial" w:eastAsia="Arial" w:hAnsi="Arial"/>
          <w:sz w:val="16"/>
          <w:szCs w:val="16"/>
          <w:color w:val="auto"/>
        </w:rPr>
        <w:t>5.2 Notwithstanding Section 5.1, if the Participant's Continuous Service terminates during the Performance Period as a result of the Participant's death or Disability, all of the outstanding PSUs will vest in accordance with Section 4 at the Target Award level of the Performance Goals as if the Participant’s Continuous Service had not terminated. Such Performance Shares will be issued to the Participant as soon as practicable following such termination.</w:t>
      </w:r>
    </w:p>
    <w:p>
      <w:pPr>
        <w:spacing w:after="0" w:line="115" w:lineRule="exact"/>
        <w:rPr>
          <w:sz w:val="20"/>
          <w:szCs w:val="20"/>
          <w:color w:val="auto"/>
        </w:rPr>
      </w:pPr>
    </w:p>
    <w:p>
      <w:pPr>
        <w:ind w:firstLine="330"/>
        <w:spacing w:after="0" w:line="360" w:lineRule="auto"/>
        <w:tabs>
          <w:tab w:leader="none" w:pos="60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Effect of a Change in Control</w:t>
      </w:r>
      <w:r>
        <w:rPr>
          <w:rFonts w:ascii="Arial" w:cs="Arial" w:eastAsia="Arial" w:hAnsi="Arial"/>
          <w:sz w:val="17"/>
          <w:szCs w:val="17"/>
          <w:color w:val="auto"/>
        </w:rPr>
        <w:t xml:space="preserve">. Notwithstanding the vesting requirement in Section 4, if a Change in Control Event occurs, the PSUs will vest in accordance with the </w:t>
      </w:r>
      <w:r>
        <w:rPr>
          <w:rFonts w:ascii="Arial" w:cs="Arial" w:eastAsia="Arial" w:hAnsi="Arial"/>
          <w:sz w:val="17"/>
          <w:szCs w:val="17"/>
          <w:i w:val="1"/>
          <w:iCs w:val="1"/>
          <w:color w:val="auto"/>
        </w:rPr>
        <w:t>Evolution Petroleum Corporation Severance Policy for Change in Control Events</w:t>
      </w:r>
      <w:r>
        <w:rPr>
          <w:rFonts w:ascii="Arial" w:cs="Arial" w:eastAsia="Arial" w:hAnsi="Arial"/>
          <w:sz w:val="17"/>
          <w:szCs w:val="17"/>
          <w:color w:val="auto"/>
        </w:rPr>
        <w:t>, as adopted August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35568622v.2</w:t>
      </w:r>
    </w:p>
    <w:p>
      <w:pPr>
        <w:sectPr>
          <w:pgSz w:w="11900" w:h="16838" w:orient="portrait"/>
          <w:cols w:equalWidth="0" w:num="1">
            <w:col w:w="11460"/>
          </w:cols>
          <w:pgMar w:left="220" w:top="521" w:right="21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11, 2010, subject to the achievement of the minimum threshold Performance Goals for payout set forth in Exhibit I attached hereto.</w:t>
      </w:r>
    </w:p>
    <w:p>
      <w:pPr>
        <w:spacing w:after="0" w:line="236" w:lineRule="exact"/>
        <w:rPr>
          <w:sz w:val="20"/>
          <w:szCs w:val="20"/>
          <w:color w:val="auto"/>
        </w:rPr>
      </w:pPr>
    </w:p>
    <w:p>
      <w:pPr>
        <w:jc w:val="both"/>
        <w:ind w:firstLine="330"/>
        <w:spacing w:after="0" w:line="331" w:lineRule="auto"/>
        <w:tabs>
          <w:tab w:leader="none" w:pos="650"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Subject to any exceptions set forth in this Agreement or the Plan, the PSUs or the rights relating thereto may not be assigned, alienated, pledged, attached, sold or otherwise transferred or encumbered by the Participant, except by will or the laws of descent and distribution, and upon any such transfer by will or the laws of descent and distribution, the transferee shall hold such PSUs subject to all of the terms and conditions that were applicable to the Participant immediately prior to such transfer.</w:t>
      </w:r>
    </w:p>
    <w:p>
      <w:pPr>
        <w:spacing w:after="0" w:line="139" w:lineRule="exact"/>
        <w:rPr>
          <w:rFonts w:ascii="Arial" w:cs="Arial" w:eastAsia="Arial" w:hAnsi="Arial"/>
          <w:sz w:val="17"/>
          <w:szCs w:val="17"/>
          <w:color w:val="auto"/>
        </w:rPr>
      </w:pPr>
    </w:p>
    <w:p>
      <w:pPr>
        <w:ind w:left="600" w:hanging="281"/>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Rights as Shareholder; Dividend Equivalents</w:t>
      </w:r>
      <w:r>
        <w:rPr>
          <w:rFonts w:ascii="Arial" w:cs="Arial" w:eastAsia="Arial" w:hAnsi="Arial"/>
          <w:sz w:val="17"/>
          <w:szCs w:val="17"/>
          <w:color w:val="auto"/>
        </w:rPr>
        <w:t>.</w:t>
      </w:r>
    </w:p>
    <w:p>
      <w:pPr>
        <w:spacing w:after="0" w:line="246" w:lineRule="exact"/>
        <w:rPr>
          <w:sz w:val="20"/>
          <w:szCs w:val="20"/>
          <w:color w:val="auto"/>
        </w:rPr>
      </w:pPr>
    </w:p>
    <w:p>
      <w:pPr>
        <w:jc w:val="both"/>
        <w:ind w:left="320" w:firstLine="388"/>
        <w:spacing w:after="0" w:line="360" w:lineRule="auto"/>
        <w:rPr>
          <w:sz w:val="20"/>
          <w:szCs w:val="20"/>
          <w:color w:val="auto"/>
        </w:rPr>
      </w:pPr>
      <w:r>
        <w:rPr>
          <w:rFonts w:ascii="Arial" w:cs="Arial" w:eastAsia="Arial" w:hAnsi="Arial"/>
          <w:sz w:val="17"/>
          <w:szCs w:val="17"/>
          <w:color w:val="auto"/>
        </w:rPr>
        <w:t>8.1 Except as otherwise provided herein, the Participant shall not have any rights of a shareholder with respect to the PSUs, including, but not limited to, voting rights, liquidation rights and the right to receive or accrue dividends or dividend equivalents.</w:t>
      </w:r>
    </w:p>
    <w:p>
      <w:pPr>
        <w:spacing w:after="0" w:line="114" w:lineRule="exact"/>
        <w:rPr>
          <w:sz w:val="20"/>
          <w:szCs w:val="20"/>
          <w:color w:val="auto"/>
        </w:rPr>
      </w:pPr>
    </w:p>
    <w:p>
      <w:pPr>
        <w:jc w:val="both"/>
        <w:ind w:left="320" w:firstLine="388"/>
        <w:spacing w:after="0" w:line="339" w:lineRule="auto"/>
        <w:rPr>
          <w:sz w:val="20"/>
          <w:szCs w:val="20"/>
          <w:color w:val="auto"/>
        </w:rPr>
      </w:pPr>
      <w:r>
        <w:rPr>
          <w:rFonts w:ascii="Arial" w:cs="Arial" w:eastAsia="Arial" w:hAnsi="Arial"/>
          <w:sz w:val="17"/>
          <w:szCs w:val="17"/>
          <w:color w:val="auto"/>
        </w:rPr>
        <w:t>8.2 Upon and following the vesting of the PSUs and issuance of the Performance Shares, the Participant shall be the record owner of the shares of Common Stock underlying the PSUs unless and until such shares are sold or otherwise disposed of, and as record owner shall be entitled to all rights of a shareholder of the Company (including voting and dividend rights).</w:t>
      </w:r>
    </w:p>
    <w:p>
      <w:pPr>
        <w:spacing w:after="0" w:line="131" w:lineRule="exact"/>
        <w:rPr>
          <w:sz w:val="20"/>
          <w:szCs w:val="20"/>
          <w:color w:val="auto"/>
        </w:rPr>
      </w:pPr>
    </w:p>
    <w:p>
      <w:pPr>
        <w:jc w:val="both"/>
        <w:ind w:firstLine="330"/>
        <w:spacing w:after="0" w:line="339" w:lineRule="auto"/>
        <w:tabs>
          <w:tab w:leader="none" w:pos="693"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No Right to Continued Service</w:t>
      </w:r>
      <w:r>
        <w:rPr>
          <w:rFonts w:ascii="Arial" w:cs="Arial" w:eastAsia="Arial" w:hAnsi="Arial"/>
          <w:sz w:val="17"/>
          <w:szCs w:val="17"/>
          <w:color w:val="auto"/>
        </w:rPr>
        <w:t>. Neither the Plan nor this Agreement shall confer upon the Participant any right to be retained in any position, as an Employee, Consultant or Director of the Company. Further, nothing in the Plan or this Agreement shall be construed to limit the discretion of the Company to terminate the Participant's Continuous Service at any time, with or without Cause.</w:t>
      </w:r>
    </w:p>
    <w:p>
      <w:pPr>
        <w:spacing w:after="0" w:line="130" w:lineRule="exact"/>
        <w:rPr>
          <w:rFonts w:ascii="Arial" w:cs="Arial" w:eastAsia="Arial" w:hAnsi="Arial"/>
          <w:sz w:val="17"/>
          <w:szCs w:val="17"/>
          <w:color w:val="auto"/>
        </w:rPr>
      </w:pPr>
    </w:p>
    <w:p>
      <w:pPr>
        <w:ind w:firstLine="330"/>
        <w:spacing w:after="0" w:line="360" w:lineRule="auto"/>
        <w:tabs>
          <w:tab w:leader="none" w:pos="71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If any change is made to the outstanding Common Stock or the capital structure of the Company, if required, the PSUs shall be adjusted or terminated in any manner as contemplated by Section 11 of the Plan.</w:t>
      </w:r>
    </w:p>
    <w:p>
      <w:pPr>
        <w:spacing w:after="0" w:line="114" w:lineRule="exact"/>
        <w:rPr>
          <w:rFonts w:ascii="Arial" w:cs="Arial" w:eastAsia="Arial" w:hAnsi="Arial"/>
          <w:sz w:val="17"/>
          <w:szCs w:val="17"/>
          <w:color w:val="auto"/>
        </w:rPr>
      </w:pPr>
    </w:p>
    <w:p>
      <w:pPr>
        <w:ind w:left="680" w:hanging="350"/>
        <w:spacing w:after="0"/>
        <w:tabs>
          <w:tab w:leader="none" w:pos="68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Tax Liability and Withholding</w:t>
      </w:r>
      <w:r>
        <w:rPr>
          <w:rFonts w:ascii="Arial" w:cs="Arial" w:eastAsia="Arial" w:hAnsi="Arial"/>
          <w:sz w:val="17"/>
          <w:szCs w:val="17"/>
          <w:color w:val="auto"/>
        </w:rPr>
        <w:t>.</w:t>
      </w:r>
    </w:p>
    <w:p>
      <w:pPr>
        <w:spacing w:after="0" w:line="246" w:lineRule="exact"/>
        <w:rPr>
          <w:sz w:val="20"/>
          <w:szCs w:val="20"/>
          <w:color w:val="auto"/>
        </w:rPr>
      </w:pPr>
    </w:p>
    <w:p>
      <w:pPr>
        <w:jc w:val="both"/>
        <w:ind w:left="320" w:firstLine="388"/>
        <w:spacing w:after="0" w:line="339" w:lineRule="auto"/>
        <w:rPr>
          <w:sz w:val="20"/>
          <w:szCs w:val="20"/>
          <w:color w:val="auto"/>
        </w:rPr>
      </w:pPr>
      <w:r>
        <w:rPr>
          <w:rFonts w:ascii="Arial" w:cs="Arial" w:eastAsia="Arial" w:hAnsi="Arial"/>
          <w:sz w:val="17"/>
          <w:szCs w:val="17"/>
          <w:color w:val="auto"/>
        </w:rPr>
        <w:t>11.1 The Participant shall be required to pay to the Company, and the Company shall have the right to deduct from any compensation paid to the Participant pursuant to the Plan, the amount of any required withholding taxes in respect of the PSUs and to take all such other action as the Committee deems necessary to satisfy all obligations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35568622v.2</w:t>
      </w:r>
    </w:p>
    <w:p>
      <w:pPr>
        <w:sectPr>
          <w:pgSz w:w="11900" w:h="16838" w:orient="portrait"/>
          <w:cols w:equalWidth="0" w:num="1">
            <w:col w:w="11460"/>
          </w:cols>
          <w:pgMar w:left="220" w:top="521" w:right="219" w:bottom="1440" w:gutter="0" w:footer="0" w:header="0"/>
        </w:sectPr>
      </w:pPr>
    </w:p>
    <w:bookmarkStart w:id="83" w:name="page84"/>
    <w:bookmarkEnd w:id="83"/>
    <w:p>
      <w:pPr>
        <w:ind w:left="320"/>
        <w:spacing w:after="0" w:line="347" w:lineRule="auto"/>
        <w:rPr>
          <w:sz w:val="20"/>
          <w:szCs w:val="20"/>
          <w:color w:val="auto"/>
        </w:rPr>
      </w:pPr>
      <w:r>
        <w:rPr>
          <w:rFonts w:ascii="Arial" w:cs="Arial" w:eastAsia="Arial" w:hAnsi="Arial"/>
          <w:sz w:val="17"/>
          <w:szCs w:val="17"/>
          <w:color w:val="auto"/>
        </w:rPr>
        <w:t>for the payment of such withholding taxes. The Committee may permit the Participant to satisfy any federal, state or local tax withholding obligation by any of the following means, or by a combination of such means:</w:t>
      </w:r>
    </w:p>
    <w:p>
      <w:pPr>
        <w:spacing w:after="0" w:line="124" w:lineRule="exact"/>
        <w:rPr>
          <w:sz w:val="20"/>
          <w:szCs w:val="20"/>
          <w:color w:val="auto"/>
        </w:rPr>
      </w:pPr>
    </w:p>
    <w:p>
      <w:pPr>
        <w:ind w:left="1560" w:hanging="325"/>
        <w:spacing w:after="0"/>
        <w:tabs>
          <w:tab w:leader="none" w:pos="1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Tendering a cash payment;</w:t>
      </w:r>
    </w:p>
    <w:p>
      <w:pPr>
        <w:spacing w:after="0" w:line="246" w:lineRule="exact"/>
        <w:rPr>
          <w:rFonts w:ascii="Arial" w:cs="Arial" w:eastAsia="Arial" w:hAnsi="Arial"/>
          <w:sz w:val="17"/>
          <w:szCs w:val="17"/>
          <w:color w:val="auto"/>
        </w:rPr>
      </w:pPr>
    </w:p>
    <w:p>
      <w:pPr>
        <w:jc w:val="both"/>
        <w:ind w:left="720" w:firstLine="515"/>
        <w:spacing w:after="0" w:line="339" w:lineRule="auto"/>
        <w:tabs>
          <w:tab w:leader="none" w:pos="162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Authorizing the Company to withhold shares of Common Stock from the shares of Common Stock otherwise issuable or deliverable to the Participant as a result of the vesting of the PSUs; provided, however, that no shares of Common Stock shall be withheld with a value exceeding the Participant’s maximum marginal income tax rates, including federal, state and local, as applicable; and</w:t>
      </w:r>
    </w:p>
    <w:p>
      <w:pPr>
        <w:spacing w:after="0" w:line="130" w:lineRule="exact"/>
        <w:rPr>
          <w:rFonts w:ascii="Arial" w:cs="Arial" w:eastAsia="Arial" w:hAnsi="Arial"/>
          <w:sz w:val="17"/>
          <w:szCs w:val="17"/>
          <w:color w:val="auto"/>
        </w:rPr>
      </w:pPr>
    </w:p>
    <w:p>
      <w:pPr>
        <w:ind w:left="1560" w:hanging="325"/>
        <w:spacing w:after="0"/>
        <w:tabs>
          <w:tab w:leader="none" w:pos="15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Delivering to the Company previously owned and unencumbered shares of Common Stock.</w:t>
      </w:r>
    </w:p>
    <w:p>
      <w:pPr>
        <w:spacing w:after="0" w:line="246" w:lineRule="exact"/>
        <w:rPr>
          <w:sz w:val="20"/>
          <w:szCs w:val="20"/>
          <w:color w:val="auto"/>
        </w:rPr>
      </w:pPr>
    </w:p>
    <w:p>
      <w:pPr>
        <w:jc w:val="both"/>
        <w:ind w:left="320" w:firstLine="388"/>
        <w:spacing w:after="0" w:line="357" w:lineRule="auto"/>
        <w:rPr>
          <w:sz w:val="20"/>
          <w:szCs w:val="20"/>
          <w:color w:val="auto"/>
        </w:rPr>
      </w:pPr>
      <w:r>
        <w:rPr>
          <w:rFonts w:ascii="Arial" w:cs="Arial" w:eastAsia="Arial" w:hAnsi="Arial"/>
          <w:sz w:val="16"/>
          <w:szCs w:val="16"/>
          <w:color w:val="auto"/>
        </w:rPr>
        <w:t>11.2 Notwithstanding any action the Company takes with respect to any or all income tax, social insurance, payroll tax, or other tax-related withholding ("</w:t>
      </w:r>
      <w:r>
        <w:rPr>
          <w:rFonts w:ascii="Arial" w:cs="Arial" w:eastAsia="Arial" w:hAnsi="Arial"/>
          <w:sz w:val="16"/>
          <w:szCs w:val="16"/>
          <w:b w:val="1"/>
          <w:bCs w:val="1"/>
          <w:color w:val="auto"/>
        </w:rPr>
        <w:t>Tax-Related Items</w:t>
      </w:r>
      <w:r>
        <w:rPr>
          <w:rFonts w:ascii="Arial" w:cs="Arial" w:eastAsia="Arial" w:hAnsi="Arial"/>
          <w:sz w:val="16"/>
          <w:szCs w:val="16"/>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PSUs or the subsequent sale of any shares, and (b) does not commit to structure the PSUs to reduce or eliminate the Participant's liability for Tax-Related Items.</w:t>
      </w:r>
    </w:p>
    <w:p>
      <w:pPr>
        <w:spacing w:after="0" w:line="123" w:lineRule="exact"/>
        <w:rPr>
          <w:sz w:val="20"/>
          <w:szCs w:val="20"/>
          <w:color w:val="auto"/>
        </w:rPr>
      </w:pPr>
    </w:p>
    <w:p>
      <w:pPr>
        <w:jc w:val="both"/>
        <w:ind w:firstLine="330"/>
        <w:spacing w:after="0" w:line="357" w:lineRule="auto"/>
        <w:tabs>
          <w:tab w:leader="none" w:pos="693"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 The issuance and transfer of shares of Common Stock in connection with the PSUs shall be subject to compliance by the Company and the Participant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w:t>
      </w:r>
    </w:p>
    <w:p>
      <w:pPr>
        <w:spacing w:after="0" w:line="123" w:lineRule="exact"/>
        <w:rPr>
          <w:rFonts w:ascii="Arial" w:cs="Arial" w:eastAsia="Arial" w:hAnsi="Arial"/>
          <w:sz w:val="16"/>
          <w:szCs w:val="16"/>
          <w:color w:val="auto"/>
        </w:rPr>
      </w:pPr>
    </w:p>
    <w:p>
      <w:pPr>
        <w:jc w:val="both"/>
        <w:ind w:firstLine="330"/>
        <w:spacing w:after="0" w:line="339" w:lineRule="auto"/>
        <w:tabs>
          <w:tab w:leader="none" w:pos="726"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to be delivered to the Company under this Agreement shall be in writing and addressed to the Company at the Company's principal corporate offices. Any notice required to be delivered to the Participant under this Agreement shall be in writing and addressed to the Participant at the Participant's address as shown in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35568622v.2</w:t>
      </w:r>
    </w:p>
    <w:p>
      <w:pPr>
        <w:sectPr>
          <w:pgSz w:w="11900" w:h="16838" w:orient="portrait"/>
          <w:cols w:equalWidth="0" w:num="1">
            <w:col w:w="11460"/>
          </w:cols>
          <w:pgMar w:left="220" w:top="521" w:right="219" w:bottom="1440" w:gutter="0" w:footer="0" w:header="0"/>
        </w:sectPr>
      </w:pPr>
    </w:p>
    <w:bookmarkStart w:id="84" w:name="page85"/>
    <w:bookmarkEnd w:id="84"/>
    <w:p>
      <w:pPr>
        <w:spacing w:after="0"/>
        <w:rPr>
          <w:sz w:val="20"/>
          <w:szCs w:val="20"/>
          <w:color w:val="auto"/>
        </w:rPr>
      </w:pPr>
      <w:r>
        <w:rPr>
          <w:rFonts w:ascii="Arial" w:cs="Arial" w:eastAsia="Arial" w:hAnsi="Arial"/>
          <w:sz w:val="17"/>
          <w:szCs w:val="17"/>
          <w:color w:val="auto"/>
        </w:rPr>
        <w:t>records of the Company. Either party may designate another address in writing (or by such other method approved by the Company) from time to time.</w:t>
      </w:r>
    </w:p>
    <w:p>
      <w:pPr>
        <w:spacing w:after="0" w:line="236" w:lineRule="exact"/>
        <w:rPr>
          <w:sz w:val="20"/>
          <w:szCs w:val="20"/>
          <w:color w:val="auto"/>
        </w:rPr>
      </w:pPr>
    </w:p>
    <w:p>
      <w:pPr>
        <w:ind w:left="740" w:hanging="410"/>
        <w:spacing w:after="0"/>
        <w:tabs>
          <w:tab w:leader="none" w:pos="74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will be construed and interpreted in accordance with the laws of the State of Nevada without regard to conflict of law</w:t>
      </w:r>
    </w:p>
    <w:p>
      <w:pPr>
        <w:spacing w:after="0" w:line="8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principles.</w:t>
      </w:r>
    </w:p>
    <w:p>
      <w:pPr>
        <w:spacing w:after="0" w:line="235" w:lineRule="exact"/>
        <w:rPr>
          <w:rFonts w:ascii="Arial" w:cs="Arial" w:eastAsia="Arial" w:hAnsi="Arial"/>
          <w:sz w:val="16"/>
          <w:szCs w:val="16"/>
          <w:color w:val="auto"/>
        </w:rPr>
      </w:pPr>
    </w:p>
    <w:p>
      <w:pPr>
        <w:ind w:firstLine="330"/>
        <w:spacing w:after="0" w:line="360" w:lineRule="auto"/>
        <w:tabs>
          <w:tab w:leader="none" w:pos="75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14" w:lineRule="exact"/>
        <w:rPr>
          <w:rFonts w:ascii="Arial" w:cs="Arial" w:eastAsia="Arial" w:hAnsi="Arial"/>
          <w:sz w:val="17"/>
          <w:szCs w:val="17"/>
          <w:color w:val="auto"/>
        </w:rPr>
      </w:pPr>
    </w:p>
    <w:p>
      <w:pPr>
        <w:jc w:val="both"/>
        <w:ind w:firstLine="330"/>
        <w:spacing w:after="0" w:line="339" w:lineRule="auto"/>
        <w:tabs>
          <w:tab w:leader="none" w:pos="69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PPSUs Subject to Plan</w:t>
      </w:r>
      <w:r>
        <w:rPr>
          <w:rFonts w:ascii="Arial" w:cs="Arial" w:eastAsia="Arial" w:hAnsi="Arial"/>
          <w:sz w:val="17"/>
          <w:szCs w:val="17"/>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30" w:lineRule="exact"/>
        <w:rPr>
          <w:rFonts w:ascii="Arial" w:cs="Arial" w:eastAsia="Arial" w:hAnsi="Arial"/>
          <w:sz w:val="17"/>
          <w:szCs w:val="17"/>
          <w:color w:val="auto"/>
        </w:rPr>
      </w:pPr>
    </w:p>
    <w:p>
      <w:pPr>
        <w:jc w:val="both"/>
        <w:ind w:firstLine="330"/>
        <w:spacing w:after="0" w:line="367" w:lineRule="auto"/>
        <w:tabs>
          <w:tab w:leader="none" w:pos="693"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PSUs may be transferred by will or the laws of descent or distribution.</w:t>
      </w:r>
    </w:p>
    <w:p>
      <w:pPr>
        <w:spacing w:after="0" w:line="115" w:lineRule="exact"/>
        <w:rPr>
          <w:rFonts w:ascii="Arial" w:cs="Arial" w:eastAsia="Arial" w:hAnsi="Arial"/>
          <w:sz w:val="16"/>
          <w:szCs w:val="16"/>
          <w:color w:val="auto"/>
        </w:rPr>
      </w:pPr>
    </w:p>
    <w:p>
      <w:pPr>
        <w:ind w:firstLine="330"/>
        <w:spacing w:after="0" w:line="397" w:lineRule="auto"/>
        <w:tabs>
          <w:tab w:leader="none" w:pos="726"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91" w:lineRule="exact"/>
        <w:rPr>
          <w:rFonts w:ascii="Arial" w:cs="Arial" w:eastAsia="Arial" w:hAnsi="Arial"/>
          <w:sz w:val="16"/>
          <w:szCs w:val="16"/>
          <w:color w:val="auto"/>
        </w:rPr>
      </w:pPr>
    </w:p>
    <w:p>
      <w:pPr>
        <w:jc w:val="both"/>
        <w:ind w:firstLine="330"/>
        <w:spacing w:after="0" w:line="331" w:lineRule="auto"/>
        <w:tabs>
          <w:tab w:leader="none" w:pos="715"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Discretionary Nature of Plan</w:t>
      </w:r>
      <w:r>
        <w:rPr>
          <w:rFonts w:ascii="Arial" w:cs="Arial" w:eastAsia="Arial" w:hAnsi="Arial"/>
          <w:sz w:val="17"/>
          <w:szCs w:val="17"/>
          <w:color w:val="auto"/>
        </w:rPr>
        <w:t>. The Plan is discretionary and may be amended, cancelled or terminated by the Company at any time, in its discretion. The grant of the PSUs in this Agreement does not create any contractual right or other right to receive any PSUs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35568622v.2</w:t>
      </w:r>
    </w:p>
    <w:p>
      <w:pPr>
        <w:sectPr>
          <w:pgSz w:w="11900" w:h="16838" w:orient="portrait"/>
          <w:cols w:equalWidth="0" w:num="1">
            <w:col w:w="11460"/>
          </w:cols>
          <w:pgMar w:left="220" w:top="521" w:right="219" w:bottom="1440" w:gutter="0" w:footer="0" w:header="0"/>
        </w:sectPr>
      </w:pPr>
    </w:p>
    <w:bookmarkStart w:id="85" w:name="page86"/>
    <w:bookmarkEnd w:id="85"/>
    <w:p>
      <w:pPr>
        <w:jc w:val="both"/>
        <w:ind w:firstLine="330"/>
        <w:spacing w:after="0" w:line="352" w:lineRule="auto"/>
        <w:tabs>
          <w:tab w:leader="none" w:pos="704"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The Committee has the right to amend, alter, suspend, discontinue or cancel the PSUs, prospectively or retroactively; provided, that, no such amendment shall adversely affect the Participant's material rights under this Agreement without the Participant's consent; further provided that the Committee may amend or modify this Agreement to the extent that the Committee determines, in its sole discretion, that the terms and conditions of the Award violate or may violate Code Section 409A; provided that, any such amendment or modification of an Award made pursuant to this Section 20 shall maintain, to the maximum extent practicable, the original intent of the applicable Award provision without contravening the provisions of Code Section 409A.</w:t>
      </w:r>
    </w:p>
    <w:p>
      <w:pPr>
        <w:spacing w:after="0" w:line="127" w:lineRule="exact"/>
        <w:rPr>
          <w:sz w:val="20"/>
          <w:szCs w:val="20"/>
          <w:color w:val="auto"/>
        </w:rPr>
      </w:pPr>
    </w:p>
    <w:p>
      <w:pPr>
        <w:jc w:val="both"/>
        <w:ind w:firstLine="323"/>
        <w:spacing w:after="0" w:line="323" w:lineRule="auto"/>
        <w:rPr>
          <w:sz w:val="20"/>
          <w:szCs w:val="20"/>
          <w:color w:val="auto"/>
        </w:rPr>
      </w:pPr>
      <w:r>
        <w:rPr>
          <w:rFonts w:ascii="Arial" w:cs="Arial" w:eastAsia="Arial" w:hAnsi="Arial"/>
          <w:sz w:val="17"/>
          <w:szCs w:val="17"/>
          <w:color w:val="auto"/>
        </w:rPr>
        <w:t>The amendment or modification of any Award pursuant to this Section 20 shall be at the Committee’s sole discretion and neither the Committee nor the Company shall be obligated to amend or modify any Award or the Plan, nor shall the Company be liable for any adverse tax or other consequences to a Participant resulting from such amendments or modifications or the Committee’s failure to make any such amendments or modifications for purposes of complying with Code Section 409A or for any other purpose. To the extent the Committee amends or modifies an Award pursuant to this Section 20, the Participant shall receive notification of any such changes to his or her Award and, unless the Committee determines otherwise, the changes described in such notification shall be deemed to amend the terms and conditions of the Award and this Agreement.</w:t>
      </w:r>
    </w:p>
    <w:p>
      <w:pPr>
        <w:spacing w:after="0" w:line="146" w:lineRule="exact"/>
        <w:rPr>
          <w:sz w:val="20"/>
          <w:szCs w:val="20"/>
          <w:color w:val="auto"/>
        </w:rPr>
      </w:pPr>
    </w:p>
    <w:p>
      <w:pPr>
        <w:ind w:firstLine="330"/>
        <w:spacing w:after="0" w:line="360" w:lineRule="auto"/>
        <w:tabs>
          <w:tab w:leader="none" w:pos="69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Section 162(m)</w:t>
      </w:r>
      <w:r>
        <w:rPr>
          <w:rFonts w:ascii="Arial" w:cs="Arial" w:eastAsia="Arial" w:hAnsi="Arial"/>
          <w:sz w:val="17"/>
          <w:szCs w:val="17"/>
          <w:color w:val="auto"/>
        </w:rPr>
        <w:t>. All payments under this Agreement are intended to constitute "qualified performance-based compensation" within the meaning of Section 162(m) of the Code. This Award shall be construed and administered in a manner consistent with such intent.</w:t>
      </w:r>
    </w:p>
    <w:p>
      <w:pPr>
        <w:spacing w:after="0" w:line="114" w:lineRule="exact"/>
        <w:rPr>
          <w:rFonts w:ascii="Arial" w:cs="Arial" w:eastAsia="Arial" w:hAnsi="Arial"/>
          <w:sz w:val="17"/>
          <w:szCs w:val="17"/>
          <w:color w:val="auto"/>
        </w:rPr>
      </w:pPr>
    </w:p>
    <w:p>
      <w:pPr>
        <w:jc w:val="both"/>
        <w:ind w:firstLine="330"/>
        <w:spacing w:after="0" w:line="324" w:lineRule="auto"/>
        <w:tabs>
          <w:tab w:leader="none" w:pos="747"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This Agreement is intended to comply with Code Section 409A or an exemption thereunder and shall be construed and interpreted in a manner that is consistent with the requirements for avoiding additional taxes or penalties under Code Section 409A. Notwithstanding the foregoing, the Company makes no representations that the payments and benefits provided under this Agreement comply with Code Section 409A and in no event shall the Company be liable for all or any portion of any taxes, penalties, interest or other expenses that may be incurred by the Participant on account of non-compliance with Code Section 409A. Additionally, with respect to any Award subject to Code Section 409A, if the Participant is a specified employee at the time of the Participant’s termination, any payment(s) with respect to any Award subject to Code Section 409A to which such Participant would otherwise be entitled by reason of such termination shall be made no sooner than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35568622v.2</w:t>
      </w:r>
    </w:p>
    <w:p>
      <w:pPr>
        <w:sectPr>
          <w:pgSz w:w="11900" w:h="16838" w:orient="portrait"/>
          <w:cols w:equalWidth="0" w:num="1">
            <w:col w:w="11460"/>
          </w:cols>
          <w:pgMar w:left="220" w:top="521" w:right="21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t>date that is the first day of the seventh month after the Participant’s termination (or, if earlier, the date of the Participant’s death).</w:t>
      </w:r>
    </w:p>
    <w:p>
      <w:pPr>
        <w:spacing w:after="0" w:line="236" w:lineRule="exact"/>
        <w:rPr>
          <w:sz w:val="20"/>
          <w:szCs w:val="20"/>
          <w:color w:val="auto"/>
        </w:rPr>
      </w:pPr>
    </w:p>
    <w:p>
      <w:pPr>
        <w:ind w:firstLine="330"/>
        <w:spacing w:after="0" w:line="360" w:lineRule="auto"/>
        <w:tabs>
          <w:tab w:leader="none" w:pos="736"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No Impact on Other Benefits</w:t>
      </w:r>
      <w:r>
        <w:rPr>
          <w:rFonts w:ascii="Arial" w:cs="Arial" w:eastAsia="Arial" w:hAnsi="Arial"/>
          <w:sz w:val="17"/>
          <w:szCs w:val="17"/>
          <w:color w:val="auto"/>
        </w:rPr>
        <w:t>. The value of the Participant's PSUs or Performance Shares is not part of his or her normal or expected compensation for purposes of calculating any severance, retirement, welfare, insurance or similar employee benefit.</w:t>
      </w:r>
    </w:p>
    <w:p>
      <w:pPr>
        <w:spacing w:after="0" w:line="114" w:lineRule="exact"/>
        <w:rPr>
          <w:rFonts w:ascii="Arial" w:cs="Arial" w:eastAsia="Arial" w:hAnsi="Arial"/>
          <w:sz w:val="17"/>
          <w:szCs w:val="17"/>
          <w:color w:val="auto"/>
        </w:rPr>
      </w:pPr>
    </w:p>
    <w:p>
      <w:pPr>
        <w:jc w:val="both"/>
        <w:ind w:firstLine="330"/>
        <w:spacing w:after="0" w:line="331" w:lineRule="auto"/>
        <w:tabs>
          <w:tab w:leader="none" w:pos="682"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Clawbacks</w:t>
      </w:r>
      <w:r>
        <w:rPr>
          <w:rFonts w:ascii="Arial" w:cs="Arial" w:eastAsia="Arial" w:hAnsi="Arial"/>
          <w:sz w:val="17"/>
          <w:szCs w:val="17"/>
          <w:color w:val="auto"/>
        </w:rPr>
        <w:t>. Participant shall be required to forfeit or reimburse the Company with respect to the PSUs or Performance Shares granted under this Agreement and the Plan to the extent required by any clawback or recoupment policy of the Company now in effect or as may be adopted by the Company from time to time as required by Section 304 of the Sarbanes-Oxley Act of 2002, Section 954 of the Dodd-Frank Wall Street Reform and Consumer Protection Act, or as otherwise required by applicable law.</w:t>
      </w:r>
    </w:p>
    <w:p>
      <w:pPr>
        <w:spacing w:after="0" w:line="139" w:lineRule="exact"/>
        <w:rPr>
          <w:rFonts w:ascii="Arial" w:cs="Arial" w:eastAsia="Arial" w:hAnsi="Arial"/>
          <w:sz w:val="17"/>
          <w:szCs w:val="17"/>
          <w:color w:val="auto"/>
        </w:rPr>
      </w:pPr>
    </w:p>
    <w:p>
      <w:pPr>
        <w:jc w:val="both"/>
        <w:ind w:firstLine="330"/>
        <w:spacing w:after="0" w:line="331" w:lineRule="auto"/>
        <w:tabs>
          <w:tab w:leader="none" w:pos="682"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39" w:lineRule="exact"/>
        <w:rPr>
          <w:rFonts w:ascii="Arial" w:cs="Arial" w:eastAsia="Arial" w:hAnsi="Arial"/>
          <w:sz w:val="17"/>
          <w:szCs w:val="17"/>
          <w:color w:val="auto"/>
        </w:rPr>
      </w:pPr>
    </w:p>
    <w:p>
      <w:pPr>
        <w:jc w:val="both"/>
        <w:ind w:firstLine="330"/>
        <w:spacing w:after="0" w:line="331" w:lineRule="auto"/>
        <w:tabs>
          <w:tab w:leader="none" w:pos="682"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The Participant hereby acknowledges receipt of a copy of the Plan and this Agreement. The Participant has read and understands the terms and provisions thereof, and accepts the PSUs subject to all of the terms and conditions of the Plan and this Agreement. The Participant acknowledges that he or she has been advised to consult a tax advisor to understand the tax consequences of such vesting, settlement or disposition. By acceptance of the performance share unit ward shares, the Participant accepts the terms of this Agreement.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35568622v.2</w:t>
      </w:r>
    </w:p>
    <w:p>
      <w:pPr>
        <w:sectPr>
          <w:pgSz w:w="11900" w:h="16838" w:orient="portrait"/>
          <w:cols w:equalWidth="0" w:num="1">
            <w:col w:w="11460"/>
          </w:cols>
          <w:pgMar w:left="220" w:top="521" w:right="219" w:bottom="1440" w:gutter="0" w:footer="0" w:header="0"/>
        </w:sectPr>
      </w:pPr>
    </w:p>
    <w:bookmarkStart w:id="87" w:name="page88"/>
    <w:bookmarkEnd w:id="87"/>
    <w:p>
      <w:pPr>
        <w:ind w:left="3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Agreement as of the date first above written.</w:t>
      </w:r>
    </w:p>
    <w:p>
      <w:pPr>
        <w:spacing w:after="0" w:line="311" w:lineRule="exact"/>
        <w:rPr>
          <w:sz w:val="20"/>
          <w:szCs w:val="20"/>
          <w:color w:val="auto"/>
        </w:rPr>
      </w:pPr>
    </w:p>
    <w:p>
      <w:pPr>
        <w:jc w:val="right"/>
        <w:ind w:right="1639"/>
        <w:spacing w:after="0"/>
        <w:rPr>
          <w:sz w:val="20"/>
          <w:szCs w:val="20"/>
          <w:color w:val="auto"/>
        </w:rPr>
      </w:pPr>
      <w:r>
        <w:rPr>
          <w:rFonts w:ascii="Arial" w:cs="Arial" w:eastAsia="Arial" w:hAnsi="Arial"/>
          <w:sz w:val="17"/>
          <w:szCs w:val="17"/>
          <w:b w:val="1"/>
          <w:bCs w:val="1"/>
          <w:color w:val="auto"/>
        </w:rPr>
        <w:t>EVOLUTION PETROLEUM CORPORATION</w:t>
      </w:r>
    </w:p>
    <w:p>
      <w:pPr>
        <w:spacing w:after="0" w:line="200" w:lineRule="exact"/>
        <w:rPr>
          <w:sz w:val="20"/>
          <w:szCs w:val="20"/>
          <w:color w:val="auto"/>
        </w:rPr>
      </w:pPr>
    </w:p>
    <w:p>
      <w:pPr>
        <w:spacing w:after="0" w:line="214"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By: _____________________</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Name:</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Title:</w:t>
      </w:r>
    </w:p>
    <w:p>
      <w:pPr>
        <w:spacing w:after="0" w:line="214"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PARTICIPANT</w:t>
      </w:r>
    </w:p>
    <w:p>
      <w:pPr>
        <w:spacing w:after="0" w:line="365"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Name:</w:t>
      </w:r>
    </w:p>
    <w:p>
      <w:pPr>
        <w:spacing w:after="0" w:line="200" w:lineRule="exact"/>
        <w:rPr>
          <w:sz w:val="20"/>
          <w:szCs w:val="20"/>
          <w:color w:val="auto"/>
        </w:rPr>
      </w:pPr>
    </w:p>
    <w:p>
      <w:pPr>
        <w:spacing w:after="0" w:line="37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8</w:t>
      </w: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35568622v.2</w:t>
      </w:r>
    </w:p>
    <w:p>
      <w:pPr>
        <w:sectPr>
          <w:pgSz w:w="11900" w:h="16838" w:orient="portrait"/>
          <w:cols w:equalWidth="0" w:num="1">
            <w:col w:w="10239"/>
          </w:cols>
          <w:pgMar w:left="220" w:top="515" w:right="1440"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7"/>
          <w:szCs w:val="17"/>
          <w:b w:val="1"/>
          <w:bCs w:val="1"/>
          <w:color w:val="auto"/>
        </w:rPr>
        <w:t>EXHIBIT 1</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Performance Period</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The Performance Period shall commence on </w:t>
      </w:r>
      <w:r>
        <w:rPr>
          <w:rFonts w:ascii="Arial" w:cs="Arial" w:eastAsia="Arial" w:hAnsi="Arial"/>
          <w:sz w:val="17"/>
          <w:szCs w:val="17"/>
          <w:b w:val="1"/>
          <w:bCs w:val="1"/>
          <w:color w:val="auto"/>
        </w:rPr>
        <w:t>[DATE]</w:t>
      </w:r>
      <w:r>
        <w:rPr>
          <w:rFonts w:ascii="Arial" w:cs="Arial" w:eastAsia="Arial" w:hAnsi="Arial"/>
          <w:sz w:val="17"/>
          <w:szCs w:val="17"/>
          <w:color w:val="auto"/>
        </w:rPr>
        <w:t xml:space="preserve"> and end on </w:t>
      </w:r>
      <w:r>
        <w:rPr>
          <w:rFonts w:ascii="Arial" w:cs="Arial" w:eastAsia="Arial" w:hAnsi="Arial"/>
          <w:sz w:val="17"/>
          <w:szCs w:val="17"/>
          <w:b w:val="1"/>
          <w:bCs w:val="1"/>
          <w:color w:val="auto"/>
        </w:rPr>
        <w:t>[DATE]</w:t>
      </w:r>
      <w:r>
        <w:rPr>
          <w:rFonts w:ascii="Arial" w:cs="Arial" w:eastAsia="Arial" w:hAnsi="Arial"/>
          <w:sz w:val="17"/>
          <w:szCs w:val="17"/>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Performance Measures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The number of Performance Share s earned shall be determined by reference to the Company’s </w:t>
      </w:r>
      <w:r>
        <w:rPr>
          <w:rFonts w:ascii="Arial" w:cs="Arial" w:eastAsia="Arial" w:hAnsi="Arial"/>
          <w:sz w:val="17"/>
          <w:szCs w:val="17"/>
          <w:b w:val="1"/>
          <w:bCs w:val="1"/>
          <w:color w:val="auto"/>
        </w:rPr>
        <w:t>[PERFORMANCE MEASURE]</w:t>
      </w:r>
      <w:r>
        <w:rPr>
          <w:rFonts w:ascii="Arial" w:cs="Arial" w:eastAsia="Arial" w:hAnsi="Arial"/>
          <w:sz w:val="17"/>
          <w:szCs w:val="17"/>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Determining Performance Shares Earned Pursuant to Performance Share Units</w:t>
      </w:r>
    </w:p>
    <w:p>
      <w:pPr>
        <w:spacing w:after="0" w:line="188" w:lineRule="exact"/>
        <w:rPr>
          <w:sz w:val="20"/>
          <w:szCs w:val="20"/>
          <w:color w:val="auto"/>
        </w:rPr>
      </w:pPr>
    </w:p>
    <w:p>
      <w:pPr>
        <w:ind w:firstLine="517"/>
        <w:spacing w:after="0" w:line="281" w:lineRule="auto"/>
        <w:rPr>
          <w:sz w:val="20"/>
          <w:szCs w:val="20"/>
          <w:color w:val="auto"/>
        </w:rPr>
      </w:pPr>
      <w:r>
        <w:rPr>
          <w:rFonts w:ascii="Arial" w:cs="Arial" w:eastAsia="Arial" w:hAnsi="Arial"/>
          <w:sz w:val="17"/>
          <w:szCs w:val="17"/>
          <w:color w:val="auto"/>
        </w:rPr>
        <w:t>Except as otherwise provided in the Plan or the Agreement, the number of Performance Shares earned with respect to the Performance Period shall be determined as follows: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[FORMULA FOR DETERMINING NUMBER OF PERFORMANCE SHARES THAT WILL BE EARNED.]</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Award Range</w:t>
      </w:r>
    </w:p>
    <w:p>
      <w:pPr>
        <w:spacing w:after="0" w:line="182" w:lineRule="exact"/>
        <w:rPr>
          <w:sz w:val="20"/>
          <w:szCs w:val="20"/>
          <w:color w:val="auto"/>
        </w:rPr>
      </w:pPr>
    </w:p>
    <w:p>
      <w:pPr>
        <w:ind w:firstLine="517"/>
        <w:spacing w:after="0" w:line="288" w:lineRule="auto"/>
        <w:rPr>
          <w:sz w:val="20"/>
          <w:szCs w:val="20"/>
          <w:color w:val="auto"/>
        </w:rPr>
      </w:pPr>
      <w:r>
        <w:rPr>
          <w:rFonts w:ascii="Arial" w:cs="Arial" w:eastAsia="Arial" w:hAnsi="Arial"/>
          <w:sz w:val="17"/>
          <w:szCs w:val="17"/>
          <w:color w:val="auto"/>
        </w:rPr>
        <w:t xml:space="preserve">Depending on the Company’s </w:t>
      </w:r>
      <w:r>
        <w:rPr>
          <w:rFonts w:ascii="Arial" w:cs="Arial" w:eastAsia="Arial" w:hAnsi="Arial"/>
          <w:sz w:val="17"/>
          <w:szCs w:val="17"/>
          <w:b w:val="1"/>
          <w:bCs w:val="1"/>
          <w:color w:val="auto"/>
        </w:rPr>
        <w:t>[PERFORMANCE MEASURE]</w:t>
      </w:r>
      <w:r>
        <w:rPr>
          <w:rFonts w:ascii="Arial" w:cs="Arial" w:eastAsia="Arial" w:hAnsi="Arial"/>
          <w:sz w:val="17"/>
          <w:szCs w:val="17"/>
          <w:color w:val="auto"/>
        </w:rPr>
        <w:t xml:space="preserve">, the Participant may earn between zero percent (0%) and </w:t>
      </w:r>
      <w:r>
        <w:rPr>
          <w:rFonts w:ascii="Arial" w:cs="Arial" w:eastAsia="Arial" w:hAnsi="Arial"/>
          <w:sz w:val="17"/>
          <w:szCs w:val="17"/>
          <w:b w:val="1"/>
          <w:bCs w:val="1"/>
          <w:color w:val="auto"/>
        </w:rPr>
        <w:t>[MAXIMUM PERCENTAGE]</w:t>
      </w:r>
      <w:r>
        <w:rPr>
          <w:rFonts w:ascii="Arial" w:cs="Arial" w:eastAsia="Arial" w:hAnsi="Arial"/>
          <w:sz w:val="17"/>
          <w:szCs w:val="17"/>
          <w:color w:val="auto"/>
        </w:rPr>
        <w:t xml:space="preserve"> of the Target Award.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58042172v.2</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35568622v.2</w:t>
      </w:r>
    </w:p>
    <w:p>
      <w:pPr>
        <w:sectPr>
          <w:pgSz w:w="11900" w:h="16838" w:orient="portrait"/>
          <w:cols w:equalWidth="0" w:num="1">
            <w:col w:w="11460"/>
          </w:cols>
          <w:pgMar w:left="220" w:top="321" w:right="219" w:bottom="1440" w:gutter="0" w:footer="0" w:header="0"/>
        </w:sectPr>
      </w:pPr>
    </w:p>
    <w:bookmarkStart w:id="89" w:name="page90"/>
    <w:bookmarkEnd w:id="89"/>
    <w:p>
      <w:pPr>
        <w:jc w:val="right"/>
        <w:spacing w:after="0"/>
        <w:rPr>
          <w:sz w:val="20"/>
          <w:szCs w:val="20"/>
          <w:color w:val="auto"/>
        </w:rPr>
      </w:pPr>
      <w:r>
        <w:rPr>
          <w:rFonts w:ascii="Arial" w:cs="Arial" w:eastAsia="Arial" w:hAnsi="Arial"/>
          <w:sz w:val="14"/>
          <w:szCs w:val="14"/>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125730</wp:posOffset>
            </wp:positionV>
            <wp:extent cx="1792605" cy="410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extLst>
                    </a:blip>
                    <a:srcRect/>
                    <a:stretch>
                      <a:fillRect/>
                    </a:stretch>
                  </pic:blipFill>
                  <pic:spPr bwMode="auto">
                    <a:xfrm>
                      <a:off x="0" y="0"/>
                      <a:ext cx="1792605" cy="41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July 3, 2019</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Mr. Jason Brown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1801 Driscoll St</w:t>
      </w:r>
    </w:p>
    <w:p>
      <w:pPr>
        <w:spacing w:after="0"/>
        <w:rPr>
          <w:sz w:val="20"/>
          <w:szCs w:val="20"/>
          <w:color w:val="auto"/>
        </w:rPr>
      </w:pPr>
      <w:r>
        <w:rPr>
          <w:rFonts w:ascii="Arial" w:cs="Arial" w:eastAsia="Arial" w:hAnsi="Arial"/>
          <w:sz w:val="16"/>
          <w:szCs w:val="16"/>
          <w:color w:val="auto"/>
        </w:rPr>
        <w:t>Houston, Tx 77019</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Dear Jason:</w:t>
      </w:r>
    </w:p>
    <w:p>
      <w:pPr>
        <w:spacing w:after="0" w:line="204" w:lineRule="exact"/>
        <w:rPr>
          <w:sz w:val="20"/>
          <w:szCs w:val="20"/>
          <w:color w:val="auto"/>
        </w:rPr>
      </w:pPr>
    </w:p>
    <w:p>
      <w:pPr>
        <w:jc w:val="both"/>
        <w:ind w:firstLine="453"/>
        <w:spacing w:after="0" w:line="380" w:lineRule="auto"/>
        <w:rPr>
          <w:sz w:val="20"/>
          <w:szCs w:val="20"/>
          <w:color w:val="auto"/>
        </w:rPr>
      </w:pPr>
      <w:r>
        <w:rPr>
          <w:rFonts w:ascii="Arial" w:cs="Arial" w:eastAsia="Arial" w:hAnsi="Arial"/>
          <w:sz w:val="14"/>
          <w:szCs w:val="14"/>
          <w:color w:val="auto"/>
        </w:rPr>
        <w:t>On behalf of the Board of Directors of Evolution Petroleum (the “Company”), I am pleased to offer you the position of President and Chief Executive Officer of Evolution Petroleum Corporation and its subsidiaries (“Executive”). Your position reports directly to the Board of Directors (the “Board”) and is based in Houston at its corporate office.</w:t>
      </w:r>
    </w:p>
    <w:p>
      <w:pPr>
        <w:spacing w:after="0" w:line="191"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6"/>
          <w:szCs w:val="16"/>
          <w:color w:val="auto"/>
        </w:rPr>
        <w:t>The details of the offer are described in Exhibit A to this letter. Your employment and the benefits described in Exhibit A are subject to your fulfilling the requirements of your employment, including but not limited to, those described in this letter, Exhibit A, the policies of the Company and the Confidentiality Agreement between you and the Company.</w:t>
      </w:r>
    </w:p>
    <w:p>
      <w:pPr>
        <w:spacing w:after="0" w:line="234" w:lineRule="exact"/>
        <w:rPr>
          <w:sz w:val="20"/>
          <w:szCs w:val="20"/>
          <w:color w:val="auto"/>
        </w:rPr>
      </w:pPr>
    </w:p>
    <w:p>
      <w:pPr>
        <w:jc w:val="both"/>
        <w:ind w:firstLine="453"/>
        <w:spacing w:after="0" w:line="328" w:lineRule="auto"/>
        <w:rPr>
          <w:sz w:val="20"/>
          <w:szCs w:val="20"/>
          <w:color w:val="auto"/>
        </w:rPr>
      </w:pPr>
      <w:r>
        <w:rPr>
          <w:rFonts w:ascii="Arial" w:cs="Arial" w:eastAsia="Arial" w:hAnsi="Arial"/>
          <w:sz w:val="14"/>
          <w:szCs w:val="14"/>
          <w:color w:val="auto"/>
        </w:rPr>
        <w:t>You will be expected to commit normal, full-time work hours and efforts to fulfilling the responsibilities of this position. As a senior executive in our industry, it is reasonable and beneficial to the Company for you to serve on a board of directors of another company in the industry provided that there is no conflict with the business of the Company and such service is limited, typically to no more than one business day per calendar quarter, and does not impair your ability to fulfill the requirements of your employment. It is known and understood by Evolution Petroleum that you own/operate LongBow Energy. Evolution Petroleum hereby consents for you to continue to do so, subject to all of your duties to the Company in your service as Executive, as well as the restrictions in this paragraph. First, you hereby agree that, during all times of your employment with Evolution Petroleum, you agree that you will not involve yourself or participate in any further acquisitions of oil and gas assets or clients for LongBow Energy or any client, but you may continue to work on, service and/or maintain such currently existing business of LongBow Energy, and, also with respect to any interest that LongBow has in any energy related partnerships or entities, you agree not to advise on or participate in the decision making and will abstain from voting regarding any new acquisitions of oil and gas assets, and will promptly advise the Board prior to any such investment. As such, you also agree that you will not work on LongBow business except during your personal time.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You will be required to adhere to all policies of the Company and the Board retains the right to modify any policy of the Company at any time.</w:t>
      </w:r>
    </w:p>
    <w:p>
      <w:pPr>
        <w:spacing w:after="0" w:line="118" w:lineRule="exact"/>
        <w:rPr>
          <w:sz w:val="20"/>
          <w:szCs w:val="20"/>
          <w:color w:val="auto"/>
        </w:rPr>
      </w:pPr>
    </w:p>
    <w:p>
      <w:pPr>
        <w:jc w:val="both"/>
        <w:ind w:firstLine="517"/>
        <w:spacing w:after="0" w:line="303" w:lineRule="auto"/>
        <w:rPr>
          <w:sz w:val="20"/>
          <w:szCs w:val="20"/>
          <w:color w:val="auto"/>
        </w:rPr>
      </w:pPr>
      <w:r>
        <w:rPr>
          <w:rFonts w:ascii="Arial" w:cs="Arial" w:eastAsia="Arial" w:hAnsi="Arial"/>
          <w:sz w:val="16"/>
          <w:szCs w:val="16"/>
          <w:color w:val="auto"/>
        </w:rPr>
        <w:t>You will be granted access to the Company’s most sensitive confidential and proprietary information. As a condition of your employment, you will be required to enter into a standard agreement as to confidentiality (the “Confidentiality Agreement”).</w:t>
      </w:r>
    </w:p>
    <w:p>
      <w:pPr>
        <w:spacing w:after="0" w:line="224"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1"/>
          <w:szCs w:val="11"/>
          <w:color w:val="3366FF"/>
        </w:rPr>
        <w:t>Evolution Petroleum Corporation ▪ 1155 Dairy Ashford Rd, Suite 425 ▪ Houston, Texas 77079 Tel: 713-935-0122</w:t>
      </w:r>
      <w:r>
        <w:rPr>
          <w:sz w:val="20"/>
          <w:szCs w:val="20"/>
          <w:color w:val="auto"/>
        </w:rPr>
        <w:tab/>
      </w:r>
      <w:r>
        <w:rPr>
          <w:rFonts w:ascii="Arial" w:cs="Arial" w:eastAsia="Arial" w:hAnsi="Arial"/>
          <w:sz w:val="10"/>
          <w:szCs w:val="10"/>
          <w:color w:val="3366FF"/>
        </w:rPr>
        <w:t>FAX: 713-935-0199</w:t>
      </w:r>
    </w:p>
    <w:p>
      <w:pPr>
        <w:sectPr>
          <w:pgSz w:w="11900" w:h="16838" w:orient="portrait"/>
          <w:cols w:equalWidth="0" w:num="1">
            <w:col w:w="11460"/>
          </w:cols>
          <w:pgMar w:left="220" w:top="470" w:right="219" w:bottom="1440" w:gutter="0" w:footer="0" w:header="0"/>
        </w:sectPr>
      </w:pPr>
    </w:p>
    <w:bookmarkStart w:id="90" w:name="page91"/>
    <w:bookmarkEnd w:id="90"/>
    <w:p>
      <w:pPr>
        <w:jc w:val="both"/>
        <w:ind w:firstLine="453"/>
        <w:spacing w:after="0" w:line="303" w:lineRule="auto"/>
        <w:rPr>
          <w:sz w:val="20"/>
          <w:szCs w:val="20"/>
          <w:color w:val="auto"/>
        </w:rPr>
      </w:pPr>
      <w:r>
        <w:rPr>
          <w:rFonts w:ascii="Arial" w:cs="Arial" w:eastAsia="Arial" w:hAnsi="Arial"/>
          <w:sz w:val="16"/>
          <w:szCs w:val="16"/>
          <w:color w:val="auto"/>
        </w:rPr>
        <w:t>We believe this position offers significant challenge and growth opportunities for you and believe you have the skills and experience to be successful. We look forward to your acceptance of this offer.</w:t>
      </w:r>
    </w:p>
    <w:p>
      <w:pPr>
        <w:spacing w:after="0" w:line="204" w:lineRule="exact"/>
        <w:rPr>
          <w:sz w:val="20"/>
          <w:szCs w:val="20"/>
          <w:color w:val="auto"/>
        </w:rPr>
      </w:pPr>
    </w:p>
    <w:p>
      <w:pPr>
        <w:jc w:val="both"/>
        <w:ind w:firstLine="453"/>
        <w:spacing w:after="0" w:line="333" w:lineRule="auto"/>
        <w:rPr>
          <w:sz w:val="20"/>
          <w:szCs w:val="20"/>
          <w:color w:val="auto"/>
        </w:rPr>
      </w:pPr>
      <w:r>
        <w:rPr>
          <w:rFonts w:ascii="Arial" w:cs="Arial" w:eastAsia="Arial" w:hAnsi="Arial"/>
          <w:sz w:val="14"/>
          <w:szCs w:val="14"/>
          <w:color w:val="auto"/>
        </w:rPr>
        <w:t>In accepting our offer of employment, you understand that your employment will be on an at-will basis, and that neither you nor any Evolution representative has entered into a contract regarding the terms or the duration of your employment As an at-will employee, you will be free to terminate your employment at any time, with or without cause; subject to the notice requirements set forth in Exhibit A. Likewise, Evolution Petroleum will have the right to reassign you, change your compensation, or terminate your employment at any time, with or without cause or advance notice; subject to the notice requirements set forth in Exhibit A. In the event that Evolution Petroleum reassigns you or changes your base (non-discretionary, non-target related) compensation in such a manner that your compensation packages becomes less than it was at the time of such change, you shall have the right to resign, and such resignation shall be treated as a termination of your employment by Evolution Petroleum without cause as delineated in Exhibit A.</w:t>
      </w:r>
    </w:p>
    <w:p>
      <w:pPr>
        <w:spacing w:after="0" w:line="190" w:lineRule="exact"/>
        <w:rPr>
          <w:sz w:val="20"/>
          <w:szCs w:val="20"/>
          <w:color w:val="auto"/>
        </w:rPr>
      </w:pPr>
    </w:p>
    <w:p>
      <w:pPr>
        <w:jc w:val="both"/>
        <w:ind w:firstLine="453"/>
        <w:spacing w:after="0" w:line="305" w:lineRule="auto"/>
        <w:rPr>
          <w:sz w:val="20"/>
          <w:szCs w:val="20"/>
          <w:color w:val="auto"/>
        </w:rPr>
      </w:pPr>
      <w:r>
        <w:rPr>
          <w:rFonts w:ascii="Arial" w:cs="Arial" w:eastAsia="Arial" w:hAnsi="Arial"/>
          <w:sz w:val="15"/>
          <w:szCs w:val="15"/>
          <w:color w:val="auto"/>
        </w:rPr>
        <w:t>By signing this agreement, you warrant that you do not have any agreements that may restrict your ability to perform the duties of the position that you are being offered (“Applicable Restrictive Agreements”). Applicable Restrictive Agreements shall include solely any agreements with respect to non-disclosure of confidential information, non-competition, customer non-solicitation, or employee non-competition, customer non-solicitation, or employee non-solicitation, other than those that may have been entered into by you for the purpose of consideration for employment at another company, which may restrict your ability to perform the duties of the position that you are being offered. If you have any such Applicable Restrictive Agreement you must immediately provide a copy to the Company, and this offer is contingent on the Company’s review, evaluation and acceptance of such agreement. You are further directed, and you agree, should you accept this offer, that you are not to use any trade secret or confidential information of any former employment in connection with your employment with the Company. You may not bring any such information onto Company premises, and you may not transfer any such information to any Company devices, computer networks, or information systems.</w:t>
      </w:r>
    </w:p>
    <w:p>
      <w:pPr>
        <w:spacing w:after="0" w:line="208" w:lineRule="exact"/>
        <w:rPr>
          <w:sz w:val="20"/>
          <w:szCs w:val="20"/>
          <w:color w:val="auto"/>
        </w:rPr>
      </w:pPr>
    </w:p>
    <w:p>
      <w:pPr>
        <w:jc w:val="both"/>
        <w:ind w:firstLine="453"/>
        <w:spacing w:after="0" w:line="306" w:lineRule="auto"/>
        <w:rPr>
          <w:sz w:val="20"/>
          <w:szCs w:val="20"/>
          <w:color w:val="auto"/>
        </w:rPr>
      </w:pPr>
      <w:r>
        <w:rPr>
          <w:rFonts w:ascii="Arial" w:cs="Arial" w:eastAsia="Arial" w:hAnsi="Arial"/>
          <w:sz w:val="15"/>
          <w:szCs w:val="15"/>
          <w:color w:val="auto"/>
        </w:rPr>
        <w:t>General Terms. The Parties agree there are no other agreements or understandings, oral or otherwise, between the parties hereto other than this Agreement and any agreements referenced herein. No party hereto is relying in any way on any representations of any party hereto, including any party to this Agreement, and in the event such party is a company, any of its officers, directors, managers, members or employees, other than any specific representations or warranties made in this Agreement. All parties hereto acknowledge that each party to this Agreement has had the opportunity and/or benefit of counsel of its choice and has been afforded an opportunity to review this Agreement with chosen counsel, inspect any books and records desired, and a full opportunity to get any information they require to evaluate this Agreement prior to signing this Agreement. If any provision of this Agreement or the application thereof to any person or circumstance shall, for any reason or to any extent, be invalid or unenforceable, neither the remainder of the Agreement in which such provision is contained nor the application of such provision</w:t>
      </w:r>
    </w:p>
    <w:p>
      <w:pPr>
        <w:sectPr>
          <w:pgSz w:w="11900" w:h="16838" w:orient="portrait"/>
          <w:cols w:equalWidth="0" w:num="1">
            <w:col w:w="11400"/>
          </w:cols>
          <w:pgMar w:left="280" w:top="696" w:right="219" w:bottom="1440" w:gutter="0" w:footer="0" w:header="0"/>
        </w:sectPr>
      </w:pPr>
    </w:p>
    <w:bookmarkStart w:id="91" w:name="page92"/>
    <w:bookmarkEnd w:id="91"/>
    <w:p>
      <w:pPr>
        <w:jc w:val="both"/>
        <w:ind w:left="60"/>
        <w:spacing w:after="0" w:line="313" w:lineRule="auto"/>
        <w:rPr>
          <w:sz w:val="20"/>
          <w:szCs w:val="20"/>
          <w:color w:val="auto"/>
        </w:rPr>
      </w:pPr>
      <w:r>
        <w:rPr>
          <w:rFonts w:ascii="Arial" w:cs="Arial" w:eastAsia="Arial" w:hAnsi="Arial"/>
          <w:sz w:val="15"/>
          <w:szCs w:val="15"/>
          <w:color w:val="auto"/>
        </w:rPr>
        <w:t>to other persons or circumstances shall be affected thereby, but rather shall be enforced to the greatest extent permitted by law. Unless otherwise specified herein, should any party hereto be alleged to be in breach of this agreement, the party(ies) contending breach of this Agreement must provide written notice of such alleged breach to the party(ies) alleged to be in breach of this Agreement and same shall have thirty days to cure such alleged breach. No party may be found to be in breach of this Agreement without having been provided such written notice and opportunity to cure as specified herein, if such breach is curable within thirty (30) days.</w:t>
      </w:r>
    </w:p>
    <w:p>
      <w:pPr>
        <w:spacing w:after="0" w:line="199" w:lineRule="exact"/>
        <w:rPr>
          <w:sz w:val="20"/>
          <w:szCs w:val="20"/>
          <w:color w:val="auto"/>
        </w:rPr>
      </w:pPr>
    </w:p>
    <w:p>
      <w:pPr>
        <w:jc w:val="both"/>
        <w:ind w:left="60" w:firstLine="453"/>
        <w:spacing w:after="0" w:line="341" w:lineRule="auto"/>
        <w:rPr>
          <w:sz w:val="20"/>
          <w:szCs w:val="20"/>
          <w:color w:val="auto"/>
        </w:rPr>
      </w:pPr>
      <w:r>
        <w:rPr>
          <w:rFonts w:ascii="Arial" w:cs="Arial" w:eastAsia="Arial" w:hAnsi="Arial"/>
          <w:sz w:val="14"/>
          <w:szCs w:val="14"/>
          <w:color w:val="auto"/>
        </w:rPr>
        <w:t>Applicable Law. In the event a dispute arises under this Agreement, the parties hereto agree that no lawsuit of any kind shall be filed unless the parties have first voluntarily submitted to mediation. In the event mediation is attempted and fails, any party hereto may take any such legal action allowed by law, however, the prevailing party in such legal action shall be entitled to recover his/its attorneys’ fees from the non-prevailing party(ies). The parties hereto agree that Texas law shall govern such dispute and the exclusive venue for any lawsuit or action filed by any party hereto is the State District Courts of Harris County, Texas and the parties hereby voluntarily submit to the jurisdiction of same.</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 accept this offer, please sign and date in the space below and return the executed copy to me. Please call with any questions.</w:t>
      </w:r>
    </w:p>
    <w:p>
      <w:pPr>
        <w:spacing w:after="0" w:line="29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Regards,</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ROBERT HERLIN</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Robert Herlin</w:t>
      </w:r>
    </w:p>
    <w:p>
      <w:pPr>
        <w:spacing w:after="0"/>
        <w:rPr>
          <w:sz w:val="20"/>
          <w:szCs w:val="20"/>
          <w:color w:val="auto"/>
        </w:rPr>
      </w:pPr>
      <w:r>
        <w:rPr>
          <w:rFonts w:ascii="Arial" w:cs="Arial" w:eastAsia="Arial" w:hAnsi="Arial"/>
          <w:sz w:val="16"/>
          <w:szCs w:val="16"/>
          <w:color w:val="auto"/>
        </w:rPr>
        <w:t>Chairman of the Board</w:t>
      </w:r>
    </w:p>
    <w:p>
      <w:pPr>
        <w:spacing w:after="0"/>
        <w:rPr>
          <w:sz w:val="20"/>
          <w:szCs w:val="20"/>
          <w:color w:val="auto"/>
        </w:rPr>
      </w:pPr>
      <w:r>
        <w:rPr>
          <w:rFonts w:ascii="Arial" w:cs="Arial" w:eastAsia="Arial" w:hAnsi="Arial"/>
          <w:sz w:val="16"/>
          <w:szCs w:val="16"/>
          <w:color w:val="auto"/>
        </w:rPr>
        <w:t>Evolution Petroleum Corporation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Accepted by: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JASON BROWN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Jason Brown</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July 8, 2019</w:t>
      </w:r>
    </w:p>
    <w:p>
      <w:pPr>
        <w:sectPr>
          <w:pgSz w:w="11900" w:h="16838" w:orient="portrait"/>
          <w:cols w:equalWidth="0" w:num="1">
            <w:col w:w="11460"/>
          </w:cols>
          <w:pgMar w:left="220" w:top="696" w:right="21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6"/>
          <w:szCs w:val="16"/>
          <w:b w:val="1"/>
          <w:bCs w:val="1"/>
          <w:color w:val="auto"/>
        </w:rPr>
        <w:t>Exhibit 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7/3/19</w:t>
      </w:r>
    </w:p>
    <w:p>
      <w:pPr>
        <w:spacing w:after="0" w:line="16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exhibit to the employment letter from Evolution Petroleum Corporation (the “Company” or “EPM”) to Jason Brown (“JB”) dated as of July 3, 2019 (the “Offer Letter”) describes additional terms of the employment of JB.</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5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6"/>
                <w:szCs w:val="16"/>
                <w:b w:val="1"/>
                <w:bCs w:val="1"/>
                <w:color w:val="auto"/>
              </w:rPr>
              <w:t>Commencement Date</w:t>
            </w:r>
          </w:p>
        </w:tc>
        <w:tc>
          <w:tcPr>
            <w:tcW w:w="79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6"/>
                <w:szCs w:val="16"/>
                <w:color w:val="auto"/>
              </w:rPr>
              <w:t>July 8, 2019, or within one week thereof</w:t>
            </w:r>
          </w:p>
        </w:tc>
      </w:tr>
      <w:tr>
        <w:trPr>
          <w:trHeight w:val="342"/>
        </w:trPr>
        <w:tc>
          <w:tcPr>
            <w:tcW w:w="3580" w:type="dxa"/>
            <w:vAlign w:val="bottom"/>
            <w:tcBorders>
              <w:left w:val="single" w:sz="8" w:color="00000A"/>
              <w:bottom w:val="single" w:sz="8" w:color="00000A"/>
              <w:right w:val="single" w:sz="8" w:color="00000A"/>
            </w:tcBorders>
          </w:tcPr>
          <w:p>
            <w:pPr>
              <w:spacing w:after="0"/>
              <w:rPr>
                <w:sz w:val="24"/>
                <w:szCs w:val="24"/>
                <w:color w:val="auto"/>
              </w:rPr>
            </w:pPr>
          </w:p>
        </w:tc>
        <w:tc>
          <w:tcPr>
            <w:tcW w:w="7900" w:type="dxa"/>
            <w:vAlign w:val="bottom"/>
            <w:tcBorders>
              <w:bottom w:val="single" w:sz="8" w:color="00000A"/>
              <w:right w:val="single" w:sz="8" w:color="00000A"/>
            </w:tcBorders>
          </w:tcPr>
          <w:p>
            <w:pPr>
              <w:spacing w:after="0"/>
              <w:rPr>
                <w:sz w:val="24"/>
                <w:szCs w:val="24"/>
                <w:color w:val="auto"/>
              </w:rPr>
            </w:pPr>
          </w:p>
        </w:tc>
      </w:tr>
      <w:tr>
        <w:trPr>
          <w:trHeight w:val="198"/>
        </w:trPr>
        <w:tc>
          <w:tcPr>
            <w:tcW w:w="35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b w:val="1"/>
                <w:bCs w:val="1"/>
                <w:color w:val="auto"/>
              </w:rPr>
              <w:t>Position:</w:t>
            </w: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Chief Executive Officer &amp; President of EPM and its subsidiaries</w:t>
            </w:r>
          </w:p>
        </w:tc>
      </w:tr>
      <w:tr>
        <w:trPr>
          <w:trHeight w:val="342"/>
        </w:trPr>
        <w:tc>
          <w:tcPr>
            <w:tcW w:w="3580" w:type="dxa"/>
            <w:vAlign w:val="bottom"/>
            <w:tcBorders>
              <w:left w:val="single" w:sz="8" w:color="00000A"/>
              <w:bottom w:val="single" w:sz="8" w:color="00000A"/>
              <w:right w:val="single" w:sz="8" w:color="00000A"/>
            </w:tcBorders>
          </w:tcPr>
          <w:p>
            <w:pPr>
              <w:spacing w:after="0"/>
              <w:rPr>
                <w:sz w:val="24"/>
                <w:szCs w:val="24"/>
                <w:color w:val="auto"/>
              </w:rPr>
            </w:pPr>
          </w:p>
        </w:tc>
        <w:tc>
          <w:tcPr>
            <w:tcW w:w="7900" w:type="dxa"/>
            <w:vAlign w:val="bottom"/>
            <w:tcBorders>
              <w:bottom w:val="single" w:sz="8" w:color="00000A"/>
              <w:right w:val="single" w:sz="8" w:color="00000A"/>
            </w:tcBorders>
          </w:tcPr>
          <w:p>
            <w:pPr>
              <w:spacing w:after="0"/>
              <w:rPr>
                <w:sz w:val="24"/>
                <w:szCs w:val="24"/>
                <w:color w:val="auto"/>
              </w:rPr>
            </w:pPr>
          </w:p>
        </w:tc>
      </w:tr>
      <w:tr>
        <w:trPr>
          <w:trHeight w:val="181"/>
        </w:trPr>
        <w:tc>
          <w:tcPr>
            <w:tcW w:w="3580" w:type="dxa"/>
            <w:vAlign w:val="bottom"/>
            <w:tcBorders>
              <w:left w:val="single" w:sz="8" w:color="00000A"/>
              <w:right w:val="single" w:sz="8" w:color="00000A"/>
            </w:tcBorders>
          </w:tcPr>
          <w:p>
            <w:pPr>
              <w:ind w:left="40"/>
              <w:spacing w:after="0" w:line="181" w:lineRule="exact"/>
              <w:rPr>
                <w:sz w:val="20"/>
                <w:szCs w:val="20"/>
                <w:color w:val="auto"/>
              </w:rPr>
            </w:pPr>
            <w:r>
              <w:rPr>
                <w:rFonts w:ascii="Arial" w:cs="Arial" w:eastAsia="Arial" w:hAnsi="Arial"/>
                <w:sz w:val="16"/>
                <w:szCs w:val="16"/>
                <w:b w:val="1"/>
                <w:bCs w:val="1"/>
                <w:color w:val="auto"/>
              </w:rPr>
              <w:t>Term:</w:t>
            </w:r>
          </w:p>
        </w:tc>
        <w:tc>
          <w:tcPr>
            <w:tcW w:w="7900" w:type="dxa"/>
            <w:vAlign w:val="bottom"/>
            <w:tcBorders>
              <w:right w:val="single" w:sz="8" w:color="00000A"/>
            </w:tcBorders>
          </w:tcPr>
          <w:p>
            <w:pPr>
              <w:ind w:left="20"/>
              <w:spacing w:after="0" w:line="181" w:lineRule="exact"/>
              <w:rPr>
                <w:sz w:val="20"/>
                <w:szCs w:val="20"/>
                <w:color w:val="auto"/>
              </w:rPr>
            </w:pPr>
            <w:r>
              <w:rPr>
                <w:rFonts w:ascii="Arial" w:cs="Arial" w:eastAsia="Arial" w:hAnsi="Arial"/>
                <w:sz w:val="16"/>
                <w:szCs w:val="16"/>
                <w:color w:val="auto"/>
                <w:w w:val="91"/>
              </w:rPr>
              <w:t>One-year initial term with automatic one-year extensions unless terminated by either party upon written notice to the other</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0"/>
              </w:rPr>
              <w:t>no less than 90 days prior to the end of the then current term; unless otherwise terminated under the offer letter from EPM</w:t>
            </w: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to JB (the “Offer Letter”)</w:t>
            </w:r>
          </w:p>
        </w:tc>
      </w:tr>
      <w:tr>
        <w:trPr>
          <w:trHeight w:val="342"/>
        </w:trPr>
        <w:tc>
          <w:tcPr>
            <w:tcW w:w="3580" w:type="dxa"/>
            <w:vAlign w:val="bottom"/>
            <w:tcBorders>
              <w:left w:val="single" w:sz="8" w:color="00000A"/>
              <w:bottom w:val="single" w:sz="8" w:color="00000A"/>
              <w:right w:val="single" w:sz="8" w:color="00000A"/>
            </w:tcBorders>
          </w:tcPr>
          <w:p>
            <w:pPr>
              <w:spacing w:after="0"/>
              <w:rPr>
                <w:sz w:val="24"/>
                <w:szCs w:val="24"/>
                <w:color w:val="auto"/>
              </w:rPr>
            </w:pPr>
          </w:p>
        </w:tc>
        <w:tc>
          <w:tcPr>
            <w:tcW w:w="7900" w:type="dxa"/>
            <w:vAlign w:val="bottom"/>
            <w:tcBorders>
              <w:bottom w:val="single" w:sz="8" w:color="00000A"/>
              <w:right w:val="single" w:sz="8" w:color="00000A"/>
            </w:tcBorders>
          </w:tcPr>
          <w:p>
            <w:pPr>
              <w:spacing w:after="0"/>
              <w:rPr>
                <w:sz w:val="24"/>
                <w:szCs w:val="24"/>
                <w:color w:val="auto"/>
              </w:rPr>
            </w:pPr>
          </w:p>
        </w:tc>
      </w:tr>
      <w:tr>
        <w:trPr>
          <w:trHeight w:val="198"/>
        </w:trPr>
        <w:tc>
          <w:tcPr>
            <w:tcW w:w="35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b w:val="1"/>
                <w:bCs w:val="1"/>
                <w:color w:val="auto"/>
              </w:rPr>
              <w:t>Reporting:</w:t>
            </w: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JB shall report directly to the Board of Directors of EPM (the “Board”)</w:t>
            </w:r>
          </w:p>
        </w:tc>
      </w:tr>
      <w:tr>
        <w:trPr>
          <w:trHeight w:val="342"/>
        </w:trPr>
        <w:tc>
          <w:tcPr>
            <w:tcW w:w="3580" w:type="dxa"/>
            <w:vAlign w:val="bottom"/>
            <w:tcBorders>
              <w:left w:val="single" w:sz="8" w:color="00000A"/>
              <w:bottom w:val="single" w:sz="8" w:color="00000A"/>
              <w:right w:val="single" w:sz="8" w:color="00000A"/>
            </w:tcBorders>
          </w:tcPr>
          <w:p>
            <w:pPr>
              <w:spacing w:after="0"/>
              <w:rPr>
                <w:sz w:val="24"/>
                <w:szCs w:val="24"/>
                <w:color w:val="auto"/>
              </w:rPr>
            </w:pPr>
          </w:p>
        </w:tc>
        <w:tc>
          <w:tcPr>
            <w:tcW w:w="7900" w:type="dxa"/>
            <w:vAlign w:val="bottom"/>
            <w:tcBorders>
              <w:bottom w:val="single" w:sz="8" w:color="00000A"/>
              <w:right w:val="single" w:sz="8" w:color="00000A"/>
            </w:tcBorders>
          </w:tcPr>
          <w:p>
            <w:pPr>
              <w:spacing w:after="0"/>
              <w:rPr>
                <w:sz w:val="24"/>
                <w:szCs w:val="24"/>
                <w:color w:val="auto"/>
              </w:rPr>
            </w:pPr>
          </w:p>
        </w:tc>
      </w:tr>
      <w:tr>
        <w:trPr>
          <w:trHeight w:val="181"/>
        </w:trPr>
        <w:tc>
          <w:tcPr>
            <w:tcW w:w="3580" w:type="dxa"/>
            <w:vAlign w:val="bottom"/>
            <w:tcBorders>
              <w:left w:val="single" w:sz="8" w:color="00000A"/>
              <w:right w:val="single" w:sz="8" w:color="00000A"/>
            </w:tcBorders>
          </w:tcPr>
          <w:p>
            <w:pPr>
              <w:ind w:left="40"/>
              <w:spacing w:after="0" w:line="181" w:lineRule="exact"/>
              <w:rPr>
                <w:sz w:val="20"/>
                <w:szCs w:val="20"/>
                <w:color w:val="auto"/>
              </w:rPr>
            </w:pPr>
            <w:r>
              <w:rPr>
                <w:rFonts w:ascii="Arial" w:cs="Arial" w:eastAsia="Arial" w:hAnsi="Arial"/>
                <w:sz w:val="16"/>
                <w:szCs w:val="16"/>
                <w:b w:val="1"/>
                <w:bCs w:val="1"/>
                <w:color w:val="auto"/>
              </w:rPr>
              <w:t>Sign-on Equity Award:</w:t>
            </w:r>
          </w:p>
        </w:tc>
        <w:tc>
          <w:tcPr>
            <w:tcW w:w="7900" w:type="dxa"/>
            <w:vAlign w:val="bottom"/>
            <w:tcBorders>
              <w:right w:val="single" w:sz="8" w:color="00000A"/>
            </w:tcBorders>
          </w:tcPr>
          <w:p>
            <w:pPr>
              <w:ind w:left="20"/>
              <w:spacing w:after="0" w:line="181" w:lineRule="exact"/>
              <w:rPr>
                <w:sz w:val="20"/>
                <w:szCs w:val="20"/>
                <w:color w:val="auto"/>
              </w:rPr>
            </w:pPr>
            <w:r>
              <w:rPr>
                <w:rFonts w:ascii="Arial" w:cs="Arial" w:eastAsia="Arial" w:hAnsi="Arial"/>
                <w:sz w:val="16"/>
                <w:szCs w:val="16"/>
                <w:color w:val="auto"/>
                <w:w w:val="92"/>
              </w:rPr>
              <w:t>On or about the Commencement Date of employment following execution of this Employment Agreement, the Board will</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1"/>
              </w:rPr>
              <w:t>award JB $325,000 value in restricted common stock based on the closing price on the trading day immediately prior. The</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tcPr>
          <w:p>
            <w:pPr>
              <w:ind w:left="20"/>
              <w:spacing w:after="0" w:line="184" w:lineRule="exact"/>
              <w:rPr>
                <w:sz w:val="20"/>
                <w:szCs w:val="20"/>
                <w:color w:val="auto"/>
              </w:rPr>
            </w:pPr>
            <w:r>
              <w:rPr>
                <w:rFonts w:ascii="Arial" w:cs="Arial" w:eastAsia="Arial" w:hAnsi="Arial"/>
                <w:sz w:val="16"/>
                <w:szCs w:val="16"/>
                <w:color w:val="auto"/>
                <w:w w:val="94"/>
              </w:rPr>
              <w:t>stock will vest in three equal amounts on June 30</w:t>
            </w:r>
            <w:r>
              <w:rPr>
                <w:rFonts w:ascii="Arial" w:cs="Arial" w:eastAsia="Arial" w:hAnsi="Arial"/>
                <w:sz w:val="20"/>
                <w:szCs w:val="20"/>
                <w:color w:val="auto"/>
                <w:w w:val="94"/>
                <w:vertAlign w:val="superscript"/>
              </w:rPr>
              <w:t>th</w:t>
            </w:r>
            <w:r>
              <w:rPr>
                <w:rFonts w:ascii="Arial" w:cs="Arial" w:eastAsia="Arial" w:hAnsi="Arial"/>
                <w:sz w:val="16"/>
                <w:szCs w:val="16"/>
                <w:color w:val="auto"/>
                <w:w w:val="94"/>
              </w:rPr>
              <w:t xml:space="preserve"> of 2020, 2021 and 2022. The unvested restricted stock awards will</w:t>
            </w: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provide earned income in the form of dividends, if and when they are paid by EPM to all stockholders</w:t>
            </w:r>
          </w:p>
        </w:tc>
      </w:tr>
      <w:tr>
        <w:trPr>
          <w:trHeight w:val="191"/>
        </w:trPr>
        <w:tc>
          <w:tcPr>
            <w:tcW w:w="3580" w:type="dxa"/>
            <w:vAlign w:val="bottom"/>
            <w:tcBorders>
              <w:left w:val="single" w:sz="8" w:color="00000A"/>
              <w:bottom w:val="single" w:sz="8" w:color="00000A"/>
              <w:right w:val="single" w:sz="8" w:color="00000A"/>
            </w:tcBorders>
          </w:tcPr>
          <w:p>
            <w:pPr>
              <w:spacing w:after="0"/>
              <w:rPr>
                <w:sz w:val="16"/>
                <w:szCs w:val="16"/>
                <w:color w:val="auto"/>
              </w:rPr>
            </w:pPr>
          </w:p>
        </w:tc>
        <w:tc>
          <w:tcPr>
            <w:tcW w:w="7900" w:type="dxa"/>
            <w:vAlign w:val="bottom"/>
            <w:tcBorders>
              <w:bottom w:val="single" w:sz="8" w:color="00000A"/>
              <w:right w:val="single" w:sz="8" w:color="00000A"/>
            </w:tcBorders>
          </w:tcPr>
          <w:p>
            <w:pPr>
              <w:spacing w:after="0"/>
              <w:rPr>
                <w:sz w:val="16"/>
                <w:szCs w:val="16"/>
                <w:color w:val="auto"/>
              </w:rPr>
            </w:pPr>
          </w:p>
        </w:tc>
      </w:tr>
      <w:tr>
        <w:trPr>
          <w:trHeight w:val="181"/>
        </w:trPr>
        <w:tc>
          <w:tcPr>
            <w:tcW w:w="3580" w:type="dxa"/>
            <w:vAlign w:val="bottom"/>
            <w:tcBorders>
              <w:left w:val="single" w:sz="8" w:color="00000A"/>
              <w:right w:val="single" w:sz="8" w:color="00000A"/>
            </w:tcBorders>
          </w:tcPr>
          <w:p>
            <w:pPr>
              <w:ind w:left="40"/>
              <w:spacing w:after="0" w:line="181" w:lineRule="exact"/>
              <w:rPr>
                <w:sz w:val="20"/>
                <w:szCs w:val="20"/>
                <w:color w:val="auto"/>
              </w:rPr>
            </w:pPr>
            <w:r>
              <w:rPr>
                <w:rFonts w:ascii="Arial" w:cs="Arial" w:eastAsia="Arial" w:hAnsi="Arial"/>
                <w:sz w:val="16"/>
                <w:szCs w:val="16"/>
                <w:b w:val="1"/>
                <w:bCs w:val="1"/>
                <w:color w:val="auto"/>
              </w:rPr>
              <w:t>Base Salary:</w:t>
            </w:r>
          </w:p>
        </w:tc>
        <w:tc>
          <w:tcPr>
            <w:tcW w:w="7900" w:type="dxa"/>
            <w:vAlign w:val="bottom"/>
            <w:tcBorders>
              <w:right w:val="single" w:sz="8" w:color="00000A"/>
            </w:tcBorders>
          </w:tcPr>
          <w:p>
            <w:pPr>
              <w:ind w:left="20"/>
              <w:spacing w:after="0" w:line="181" w:lineRule="exact"/>
              <w:rPr>
                <w:sz w:val="20"/>
                <w:szCs w:val="20"/>
                <w:color w:val="auto"/>
              </w:rPr>
            </w:pPr>
            <w:r>
              <w:rPr>
                <w:rFonts w:ascii="Arial" w:cs="Arial" w:eastAsia="Arial" w:hAnsi="Arial"/>
                <w:sz w:val="16"/>
                <w:szCs w:val="16"/>
                <w:color w:val="auto"/>
                <w:w w:val="90"/>
              </w:rPr>
              <w:t>$325,000 annually subject to increase at the discretion of the Board and payable in accordance with the Company’s normal</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0"/>
              </w:rPr>
              <w:t>payroll policies and procedures that may be changed from time to time. JB will also be reimbursed for reasonable business</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0"/>
              </w:rPr>
              <w:t>expenses as approved by the Board and in accordance with the Company’s policies and procedures on reimbursement for</w:t>
            </w: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such expenses.</w:t>
            </w:r>
          </w:p>
        </w:tc>
      </w:tr>
      <w:tr>
        <w:trPr>
          <w:trHeight w:val="191"/>
        </w:trPr>
        <w:tc>
          <w:tcPr>
            <w:tcW w:w="3580" w:type="dxa"/>
            <w:vAlign w:val="bottom"/>
            <w:tcBorders>
              <w:left w:val="single" w:sz="8" w:color="00000A"/>
              <w:bottom w:val="single" w:sz="8" w:color="00000A"/>
              <w:right w:val="single" w:sz="8" w:color="00000A"/>
            </w:tcBorders>
          </w:tcPr>
          <w:p>
            <w:pPr>
              <w:spacing w:after="0"/>
              <w:rPr>
                <w:sz w:val="16"/>
                <w:szCs w:val="16"/>
                <w:color w:val="auto"/>
              </w:rPr>
            </w:pPr>
          </w:p>
        </w:tc>
        <w:tc>
          <w:tcPr>
            <w:tcW w:w="7900" w:type="dxa"/>
            <w:vAlign w:val="bottom"/>
            <w:tcBorders>
              <w:bottom w:val="single" w:sz="8" w:color="00000A"/>
              <w:right w:val="single" w:sz="8" w:color="00000A"/>
            </w:tcBorders>
          </w:tcPr>
          <w:p>
            <w:pPr>
              <w:spacing w:after="0"/>
              <w:rPr>
                <w:sz w:val="16"/>
                <w:szCs w:val="16"/>
                <w:color w:val="auto"/>
              </w:rPr>
            </w:pPr>
          </w:p>
        </w:tc>
      </w:tr>
      <w:tr>
        <w:trPr>
          <w:trHeight w:val="181"/>
        </w:trPr>
        <w:tc>
          <w:tcPr>
            <w:tcW w:w="3580" w:type="dxa"/>
            <w:vAlign w:val="bottom"/>
            <w:tcBorders>
              <w:left w:val="single" w:sz="8" w:color="00000A"/>
              <w:right w:val="single" w:sz="8" w:color="00000A"/>
            </w:tcBorders>
          </w:tcPr>
          <w:p>
            <w:pPr>
              <w:ind w:left="40"/>
              <w:spacing w:after="0" w:line="181" w:lineRule="exact"/>
              <w:rPr>
                <w:sz w:val="20"/>
                <w:szCs w:val="20"/>
                <w:color w:val="auto"/>
              </w:rPr>
            </w:pPr>
            <w:r>
              <w:rPr>
                <w:rFonts w:ascii="Arial" w:cs="Arial" w:eastAsia="Arial" w:hAnsi="Arial"/>
                <w:sz w:val="16"/>
                <w:szCs w:val="16"/>
                <w:b w:val="1"/>
                <w:bCs w:val="1"/>
                <w:color w:val="auto"/>
              </w:rPr>
              <w:t>Annual Incentive Bonus:</w:t>
            </w:r>
          </w:p>
        </w:tc>
        <w:tc>
          <w:tcPr>
            <w:tcW w:w="7900" w:type="dxa"/>
            <w:vAlign w:val="bottom"/>
            <w:tcBorders>
              <w:right w:val="single" w:sz="8" w:color="00000A"/>
            </w:tcBorders>
          </w:tcPr>
          <w:p>
            <w:pPr>
              <w:ind w:left="20"/>
              <w:spacing w:after="0" w:line="181" w:lineRule="exact"/>
              <w:rPr>
                <w:sz w:val="20"/>
                <w:szCs w:val="20"/>
                <w:color w:val="auto"/>
              </w:rPr>
            </w:pPr>
            <w:r>
              <w:rPr>
                <w:rFonts w:ascii="Arial" w:cs="Arial" w:eastAsia="Arial" w:hAnsi="Arial"/>
                <w:sz w:val="16"/>
                <w:szCs w:val="16"/>
                <w:color w:val="auto"/>
                <w:w w:val="99"/>
              </w:rPr>
              <w:t>With respect to each fiscal year during the Term starting with fiscal 2020, JB shall be eligible to participate in the</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1"/>
              </w:rPr>
              <w:t>Company’s Short Term Incentive Plan with a total target equal to 100% of the then Base Salary (the “STIP Bonus”) which</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6"/>
              </w:rPr>
              <w:t>is subject to change by the Board at its sole discretion. The STIP Bonus may be composed of cash and/or stock as</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0"/>
              </w:rPr>
              <w:t>determined by the Board. The STIP is set by the Board and consists of one or more performance targets that may be either</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1"/>
              </w:rPr>
              <w:t>quantitative or qualitative. JB will work with the Compensation Committee of the Board in designing each year’s STIP and</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4"/>
              </w:rPr>
              <w:t>will make recommendations as to performance targets and subsequent awards to staff. JB will provide to the Board of</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0"/>
              </w:rPr>
              <w:t>Directors quarterly updates on achieving these targets. Awards may vest only after approval of the Audit Committee of the</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w w:val="98"/>
              </w:rPr>
              <w:t>annual fiscal results. Any discretionary component will be determined by the Board upon recommendation of the</w:t>
            </w: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7900" w:type="dxa"/>
            <w:vAlign w:val="bottom"/>
            <w:tcBorders>
              <w:right w:val="single" w:sz="8" w:color="00000A"/>
            </w:tcBorders>
          </w:tcPr>
          <w:p>
            <w:pPr>
              <w:ind w:left="20"/>
              <w:spacing w:after="0"/>
              <w:rPr>
                <w:sz w:val="20"/>
                <w:szCs w:val="20"/>
                <w:color w:val="auto"/>
              </w:rPr>
            </w:pPr>
            <w:r>
              <w:rPr>
                <w:rFonts w:ascii="Arial" w:cs="Arial" w:eastAsia="Arial" w:hAnsi="Arial"/>
                <w:sz w:val="16"/>
                <w:szCs w:val="16"/>
                <w:color w:val="auto"/>
              </w:rPr>
              <w:t>Compensation Committee in its sole discretion.</w:t>
            </w:r>
          </w:p>
        </w:tc>
      </w:tr>
      <w:tr>
        <w:trPr>
          <w:trHeight w:val="191"/>
        </w:trPr>
        <w:tc>
          <w:tcPr>
            <w:tcW w:w="3580" w:type="dxa"/>
            <w:vAlign w:val="bottom"/>
            <w:tcBorders>
              <w:left w:val="single" w:sz="8" w:color="00000A"/>
              <w:bottom w:val="single" w:sz="8" w:color="00000A"/>
              <w:right w:val="single" w:sz="8" w:color="00000A"/>
            </w:tcBorders>
          </w:tcPr>
          <w:p>
            <w:pPr>
              <w:spacing w:after="0"/>
              <w:rPr>
                <w:sz w:val="16"/>
                <w:szCs w:val="16"/>
                <w:color w:val="auto"/>
              </w:rPr>
            </w:pPr>
          </w:p>
        </w:tc>
        <w:tc>
          <w:tcPr>
            <w:tcW w:w="7900" w:type="dxa"/>
            <w:vAlign w:val="bottom"/>
            <w:tcBorders>
              <w:bottom w:val="single" w:sz="8" w:color="00000A"/>
              <w:right w:val="single" w:sz="8" w:color="00000A"/>
            </w:tcBorders>
          </w:tcPr>
          <w:p>
            <w:pPr>
              <w:spacing w:after="0"/>
              <w:rPr>
                <w:sz w:val="16"/>
                <w:szCs w:val="16"/>
                <w:color w:val="auto"/>
              </w:rPr>
            </w:pPr>
          </w:p>
        </w:tc>
      </w:tr>
      <w:tr>
        <w:trPr>
          <w:trHeight w:val="356"/>
        </w:trPr>
        <w:tc>
          <w:tcPr>
            <w:tcW w:w="3580" w:type="dxa"/>
            <w:vAlign w:val="bottom"/>
          </w:tcPr>
          <w:p>
            <w:pPr>
              <w:spacing w:after="0"/>
              <w:rPr>
                <w:sz w:val="24"/>
                <w:szCs w:val="24"/>
                <w:color w:val="auto"/>
              </w:rPr>
            </w:pPr>
          </w:p>
        </w:tc>
        <w:tc>
          <w:tcPr>
            <w:tcW w:w="7900" w:type="dxa"/>
            <w:vAlign w:val="bottom"/>
          </w:tcPr>
          <w:p>
            <w:pPr>
              <w:ind w:left="2120"/>
              <w:spacing w:after="0"/>
              <w:rPr>
                <w:sz w:val="20"/>
                <w:szCs w:val="20"/>
                <w:color w:val="auto"/>
              </w:rPr>
            </w:pPr>
            <w:r>
              <w:rPr>
                <w:rFonts w:ascii="Arial" w:cs="Arial" w:eastAsia="Arial" w:hAnsi="Arial"/>
                <w:sz w:val="14"/>
                <w:szCs w:val="14"/>
                <w:color w:val="auto"/>
              </w:rPr>
              <w:t>1</w:t>
            </w:r>
          </w:p>
        </w:tc>
      </w:tr>
    </w:tbl>
    <w:p>
      <w:pPr>
        <w:sectPr>
          <w:pgSz w:w="11900" w:h="16838" w:orient="portrait"/>
          <w:cols w:equalWidth="0" w:num="1">
            <w:col w:w="11480"/>
          </w:cols>
          <w:pgMar w:left="220" w:top="724" w:right="199" w:bottom="1440" w:gutter="0" w:footer="0" w:header="0"/>
        </w:sectPr>
      </w:pPr>
    </w:p>
    <w:bookmarkStart w:id="93" w:name="page94"/>
    <w:bookmarkEnd w:id="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35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6"/>
                <w:szCs w:val="16"/>
                <w:b w:val="1"/>
                <w:bCs w:val="1"/>
                <w:color w:val="auto"/>
              </w:rPr>
              <w:t>Long Term Incentive Bonus:</w:t>
            </w:r>
          </w:p>
        </w:tc>
        <w:tc>
          <w:tcPr>
            <w:tcW w:w="7900" w:type="dxa"/>
            <w:vAlign w:val="bottom"/>
            <w:tcBorders>
              <w:top w:val="single" w:sz="8" w:color="00000A"/>
              <w:right w:val="single" w:sz="8" w:color="00000A"/>
            </w:tcBorders>
            <w:gridSpan w:val="5"/>
          </w:tcPr>
          <w:p>
            <w:pPr>
              <w:ind w:left="20"/>
              <w:spacing w:after="0"/>
              <w:rPr>
                <w:sz w:val="20"/>
                <w:szCs w:val="20"/>
                <w:color w:val="auto"/>
              </w:rPr>
            </w:pPr>
            <w:r>
              <w:rPr>
                <w:rFonts w:ascii="Arial" w:cs="Arial" w:eastAsia="Arial" w:hAnsi="Arial"/>
                <w:sz w:val="16"/>
                <w:szCs w:val="16"/>
                <w:color w:val="auto"/>
                <w:w w:val="92"/>
              </w:rPr>
              <w:t>With respect to each fiscal year during the Term beginning with fiscal year 2020, JB shall be eligible to participate in the</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6"/>
              </w:rPr>
              <w:t>Company’s Long Term Incentive Plan with a target equal to 150% the then Base Salary (the “LTIP” Bonus) which is</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89"/>
              </w:rPr>
              <w:t>subject to change by the Board at its sole discretion. The LTIP Bonus may be composed of cash and/or stock as determined</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9"/>
              </w:rPr>
              <w:t>by the Board of Directors. The LTIP is set by the Board and consists of both service vesting and/or one or more</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0"/>
              </w:rPr>
              <w:t>performance targets that generally target performance desired by the Board of Directors over the forward four fiscal years.</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1"/>
              </w:rPr>
              <w:t>Such performance targets may include growth in EBITDA, earnings and/or stock price as well as total shareholder return,</w:t>
            </w: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rPr>
              <w:t>and may include comparisons to peers.</w:t>
            </w:r>
          </w:p>
        </w:tc>
      </w:tr>
      <w:tr>
        <w:trPr>
          <w:trHeight w:val="202"/>
        </w:trPr>
        <w:tc>
          <w:tcPr>
            <w:tcW w:w="3580" w:type="dxa"/>
            <w:vAlign w:val="bottom"/>
            <w:tcBorders>
              <w:left w:val="single" w:sz="8" w:color="00000A"/>
              <w:bottom w:val="single" w:sz="8" w:color="00000A"/>
              <w:right w:val="single" w:sz="8" w:color="00000A"/>
            </w:tcBorders>
          </w:tcPr>
          <w:p>
            <w:pPr>
              <w:spacing w:after="0"/>
              <w:rPr>
                <w:sz w:val="17"/>
                <w:szCs w:val="17"/>
                <w:color w:val="auto"/>
              </w:rPr>
            </w:pPr>
          </w:p>
        </w:tc>
        <w:tc>
          <w:tcPr>
            <w:tcW w:w="460" w:type="dxa"/>
            <w:vAlign w:val="bottom"/>
            <w:tcBorders>
              <w:bottom w:val="single" w:sz="8" w:color="00000A"/>
            </w:tcBorders>
          </w:tcPr>
          <w:p>
            <w:pPr>
              <w:spacing w:after="0"/>
              <w:rPr>
                <w:sz w:val="17"/>
                <w:szCs w:val="17"/>
                <w:color w:val="auto"/>
              </w:rPr>
            </w:pPr>
          </w:p>
        </w:tc>
        <w:tc>
          <w:tcPr>
            <w:tcW w:w="1180" w:type="dxa"/>
            <w:vAlign w:val="bottom"/>
            <w:tcBorders>
              <w:bottom w:val="single" w:sz="8" w:color="00000A"/>
            </w:tcBorders>
          </w:tcPr>
          <w:p>
            <w:pPr>
              <w:spacing w:after="0"/>
              <w:rPr>
                <w:sz w:val="17"/>
                <w:szCs w:val="17"/>
                <w:color w:val="auto"/>
              </w:rPr>
            </w:pPr>
          </w:p>
        </w:tc>
        <w:tc>
          <w:tcPr>
            <w:tcW w:w="240" w:type="dxa"/>
            <w:vAlign w:val="bottom"/>
            <w:tcBorders>
              <w:bottom w:val="single" w:sz="8" w:color="00000A"/>
            </w:tcBorders>
          </w:tcPr>
          <w:p>
            <w:pPr>
              <w:spacing w:after="0"/>
              <w:rPr>
                <w:sz w:val="17"/>
                <w:szCs w:val="17"/>
                <w:color w:val="auto"/>
              </w:rPr>
            </w:pPr>
          </w:p>
        </w:tc>
        <w:tc>
          <w:tcPr>
            <w:tcW w:w="720" w:type="dxa"/>
            <w:vAlign w:val="bottom"/>
            <w:tcBorders>
              <w:bottom w:val="single" w:sz="8" w:color="00000A"/>
            </w:tcBorders>
          </w:tcPr>
          <w:p>
            <w:pPr>
              <w:spacing w:after="0"/>
              <w:rPr>
                <w:sz w:val="17"/>
                <w:szCs w:val="17"/>
                <w:color w:val="auto"/>
              </w:rPr>
            </w:pPr>
          </w:p>
        </w:tc>
        <w:tc>
          <w:tcPr>
            <w:tcW w:w="5300" w:type="dxa"/>
            <w:vAlign w:val="bottom"/>
            <w:tcBorders>
              <w:bottom w:val="single" w:sz="8" w:color="00000A"/>
              <w:right w:val="single" w:sz="8" w:color="00000A"/>
            </w:tcBorders>
          </w:tcPr>
          <w:p>
            <w:pPr>
              <w:spacing w:after="0"/>
              <w:rPr>
                <w:sz w:val="17"/>
                <w:szCs w:val="17"/>
                <w:color w:val="auto"/>
              </w:rPr>
            </w:pPr>
          </w:p>
        </w:tc>
      </w:tr>
      <w:tr>
        <w:trPr>
          <w:trHeight w:val="181"/>
        </w:trPr>
        <w:tc>
          <w:tcPr>
            <w:tcW w:w="3580" w:type="dxa"/>
            <w:vAlign w:val="bottom"/>
            <w:tcBorders>
              <w:left w:val="single" w:sz="8" w:color="00000A"/>
              <w:right w:val="single" w:sz="8" w:color="00000A"/>
            </w:tcBorders>
          </w:tcPr>
          <w:p>
            <w:pPr>
              <w:ind w:left="40"/>
              <w:spacing w:after="0" w:line="181" w:lineRule="exact"/>
              <w:rPr>
                <w:sz w:val="20"/>
                <w:szCs w:val="20"/>
                <w:color w:val="auto"/>
              </w:rPr>
            </w:pPr>
            <w:r>
              <w:rPr>
                <w:rFonts w:ascii="Arial" w:cs="Arial" w:eastAsia="Arial" w:hAnsi="Arial"/>
                <w:sz w:val="16"/>
                <w:szCs w:val="16"/>
                <w:b w:val="1"/>
                <w:bCs w:val="1"/>
                <w:color w:val="auto"/>
              </w:rPr>
              <w:t>Additional Potential Equity Awards:</w:t>
            </w:r>
          </w:p>
        </w:tc>
        <w:tc>
          <w:tcPr>
            <w:tcW w:w="7900" w:type="dxa"/>
            <w:vAlign w:val="bottom"/>
            <w:tcBorders>
              <w:right w:val="single" w:sz="8" w:color="00000A"/>
            </w:tcBorders>
            <w:gridSpan w:val="5"/>
          </w:tcPr>
          <w:p>
            <w:pPr>
              <w:ind w:left="20"/>
              <w:spacing w:after="0" w:line="181" w:lineRule="exact"/>
              <w:rPr>
                <w:sz w:val="20"/>
                <w:szCs w:val="20"/>
                <w:color w:val="auto"/>
              </w:rPr>
            </w:pPr>
            <w:r>
              <w:rPr>
                <w:rFonts w:ascii="Arial" w:cs="Arial" w:eastAsia="Arial" w:hAnsi="Arial"/>
                <w:sz w:val="16"/>
                <w:szCs w:val="16"/>
                <w:color w:val="auto"/>
                <w:w w:val="89"/>
              </w:rPr>
              <w:t>In the event that the Company’s ninety-day trailing average stock share price first reaches the prices specified below (“Price</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1"/>
              </w:rPr>
              <w:t>Requirement”) before July 1, 2023, the Board will, subject to your continued employment with EPM, separately award you</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2"/>
              </w:rPr>
              <w:t>additional shares of common stock of the Company as listed below. These shares will be authorized to be issued by the</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0"/>
              </w:rPr>
              <w:t>Board within two weeks of each Price Requirement first being reached. If none of the Price Requirements are reached prior</w:t>
            </w: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rPr>
              <w:t>to July 1, 2023, no shares will be awarded.</w:t>
            </w:r>
          </w:p>
        </w:tc>
      </w:tr>
      <w:tr>
        <w:trPr>
          <w:trHeight w:val="331"/>
        </w:trPr>
        <w:tc>
          <w:tcPr>
            <w:tcW w:w="3580" w:type="dxa"/>
            <w:vAlign w:val="bottom"/>
            <w:tcBorders>
              <w:left w:val="single" w:sz="8" w:color="00000A"/>
              <w:right w:val="single" w:sz="8" w:color="00000A"/>
            </w:tcBorders>
          </w:tcPr>
          <w:p>
            <w:pPr>
              <w:spacing w:after="0"/>
              <w:rPr>
                <w:sz w:val="24"/>
                <w:szCs w:val="24"/>
                <w:color w:val="auto"/>
              </w:rPr>
            </w:pPr>
          </w:p>
        </w:tc>
        <w:tc>
          <w:tcPr>
            <w:tcW w:w="460" w:type="dxa"/>
            <w:vAlign w:val="bottom"/>
          </w:tcPr>
          <w:p>
            <w:pPr>
              <w:spacing w:after="0"/>
              <w:rPr>
                <w:sz w:val="24"/>
                <w:szCs w:val="24"/>
                <w:color w:val="auto"/>
              </w:rPr>
            </w:pPr>
          </w:p>
        </w:tc>
        <w:tc>
          <w:tcPr>
            <w:tcW w:w="7440" w:type="dxa"/>
            <w:vAlign w:val="bottom"/>
            <w:tcBorders>
              <w:right w:val="single" w:sz="8" w:color="00000A"/>
            </w:tcBorders>
            <w:gridSpan w:val="4"/>
          </w:tcPr>
          <w:p>
            <w:pPr>
              <w:spacing w:after="0"/>
              <w:rPr>
                <w:sz w:val="20"/>
                <w:szCs w:val="20"/>
                <w:color w:val="auto"/>
              </w:rPr>
            </w:pPr>
            <w:r>
              <w:rPr>
                <w:rFonts w:ascii="Arial" w:cs="Arial" w:eastAsia="Arial" w:hAnsi="Arial"/>
                <w:sz w:val="16"/>
                <w:szCs w:val="16"/>
                <w:color w:val="auto"/>
              </w:rPr>
              <w:t>Price Requirement   # of Shares</w:t>
            </w:r>
          </w:p>
        </w:tc>
      </w:tr>
      <w:tr>
        <w:trPr>
          <w:trHeight w:val="20"/>
        </w:trPr>
        <w:tc>
          <w:tcPr>
            <w:tcW w:w="3580" w:type="dxa"/>
            <w:vAlign w:val="bottom"/>
            <w:tcBorders>
              <w:left w:val="single" w:sz="8" w:color="00000A"/>
              <w:right w:val="single" w:sz="8" w:color="00000A"/>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300" w:type="dxa"/>
            <w:vAlign w:val="bottom"/>
            <w:tcBorders>
              <w:right w:val="single" w:sz="8" w:color="00000A"/>
            </w:tcBorders>
          </w:tcPr>
          <w:p>
            <w:pPr>
              <w:spacing w:after="0" w:line="20" w:lineRule="exact"/>
              <w:rPr>
                <w:sz w:val="1"/>
                <w:szCs w:val="1"/>
                <w:color w:val="auto"/>
              </w:rPr>
            </w:pPr>
          </w:p>
        </w:tc>
      </w:tr>
      <w:tr>
        <w:trPr>
          <w:trHeight w:val="181"/>
        </w:trPr>
        <w:tc>
          <w:tcPr>
            <w:tcW w:w="3580" w:type="dxa"/>
            <w:vAlign w:val="bottom"/>
            <w:tcBorders>
              <w:left w:val="single" w:sz="8" w:color="00000A"/>
              <w:right w:val="single" w:sz="8" w:color="00000A"/>
            </w:tcBorders>
          </w:tcPr>
          <w:p>
            <w:pPr>
              <w:spacing w:after="0"/>
              <w:rPr>
                <w:sz w:val="15"/>
                <w:szCs w:val="15"/>
                <w:color w:val="auto"/>
              </w:rPr>
            </w:pPr>
          </w:p>
        </w:tc>
        <w:tc>
          <w:tcPr>
            <w:tcW w:w="460" w:type="dxa"/>
            <w:vAlign w:val="bottom"/>
          </w:tcPr>
          <w:p>
            <w:pPr>
              <w:spacing w:after="0"/>
              <w:rPr>
                <w:sz w:val="15"/>
                <w:szCs w:val="15"/>
                <w:color w:val="auto"/>
              </w:rPr>
            </w:pPr>
          </w:p>
        </w:tc>
        <w:tc>
          <w:tcPr>
            <w:tcW w:w="7440" w:type="dxa"/>
            <w:vAlign w:val="bottom"/>
            <w:tcBorders>
              <w:right w:val="single" w:sz="8" w:color="00000A"/>
            </w:tcBorders>
            <w:gridSpan w:val="4"/>
          </w:tcPr>
          <w:p>
            <w:pPr>
              <w:jc w:val="right"/>
              <w:ind w:right="5760"/>
              <w:spacing w:after="0" w:line="181" w:lineRule="exact"/>
              <w:rPr>
                <w:sz w:val="20"/>
                <w:szCs w:val="20"/>
                <w:color w:val="auto"/>
              </w:rPr>
            </w:pPr>
            <w:r>
              <w:rPr>
                <w:rFonts w:ascii="Arial" w:cs="Arial" w:eastAsia="Arial" w:hAnsi="Arial"/>
                <w:sz w:val="16"/>
                <w:szCs w:val="16"/>
                <w:color w:val="auto"/>
              </w:rPr>
              <w:t>$ 9.00/sh 50,000</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460" w:type="dxa"/>
            <w:vAlign w:val="bottom"/>
          </w:tcPr>
          <w:p>
            <w:pPr>
              <w:spacing w:after="0"/>
              <w:rPr>
                <w:sz w:val="15"/>
                <w:szCs w:val="15"/>
                <w:color w:val="auto"/>
              </w:rPr>
            </w:pPr>
          </w:p>
        </w:tc>
        <w:tc>
          <w:tcPr>
            <w:tcW w:w="7440" w:type="dxa"/>
            <w:vAlign w:val="bottom"/>
            <w:tcBorders>
              <w:right w:val="single" w:sz="8" w:color="00000A"/>
            </w:tcBorders>
            <w:gridSpan w:val="4"/>
          </w:tcPr>
          <w:p>
            <w:pPr>
              <w:jc w:val="right"/>
              <w:ind w:right="5760"/>
              <w:spacing w:after="0"/>
              <w:rPr>
                <w:sz w:val="20"/>
                <w:szCs w:val="20"/>
                <w:color w:val="auto"/>
              </w:rPr>
            </w:pPr>
            <w:r>
              <w:rPr>
                <w:rFonts w:ascii="Arial" w:cs="Arial" w:eastAsia="Arial" w:hAnsi="Arial"/>
                <w:sz w:val="16"/>
                <w:szCs w:val="16"/>
                <w:color w:val="auto"/>
              </w:rPr>
              <w:t>$10.00/sh 50,000</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460" w:type="dxa"/>
            <w:vAlign w:val="bottom"/>
          </w:tcPr>
          <w:p>
            <w:pPr>
              <w:spacing w:after="0"/>
              <w:rPr>
                <w:sz w:val="15"/>
                <w:szCs w:val="15"/>
                <w:color w:val="auto"/>
              </w:rPr>
            </w:pPr>
          </w:p>
        </w:tc>
        <w:tc>
          <w:tcPr>
            <w:tcW w:w="7440" w:type="dxa"/>
            <w:vAlign w:val="bottom"/>
            <w:tcBorders>
              <w:right w:val="single" w:sz="8" w:color="00000A"/>
            </w:tcBorders>
            <w:gridSpan w:val="4"/>
          </w:tcPr>
          <w:p>
            <w:pPr>
              <w:jc w:val="right"/>
              <w:ind w:right="5760"/>
              <w:spacing w:after="0"/>
              <w:rPr>
                <w:sz w:val="20"/>
                <w:szCs w:val="20"/>
                <w:color w:val="auto"/>
              </w:rPr>
            </w:pPr>
            <w:r>
              <w:rPr>
                <w:rFonts w:ascii="Arial" w:cs="Arial" w:eastAsia="Arial" w:hAnsi="Arial"/>
                <w:sz w:val="16"/>
                <w:szCs w:val="16"/>
                <w:color w:val="auto"/>
              </w:rPr>
              <w:t>$11.00/sh 50,000</w:t>
            </w: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460" w:type="dxa"/>
            <w:vAlign w:val="bottom"/>
          </w:tcPr>
          <w:p>
            <w:pPr>
              <w:spacing w:after="0"/>
              <w:rPr>
                <w:sz w:val="17"/>
                <w:szCs w:val="17"/>
                <w:color w:val="auto"/>
              </w:rPr>
            </w:pPr>
          </w:p>
        </w:tc>
        <w:tc>
          <w:tcPr>
            <w:tcW w:w="7440" w:type="dxa"/>
            <w:vAlign w:val="bottom"/>
            <w:tcBorders>
              <w:right w:val="single" w:sz="8" w:color="00000A"/>
            </w:tcBorders>
            <w:gridSpan w:val="4"/>
          </w:tcPr>
          <w:p>
            <w:pPr>
              <w:jc w:val="right"/>
              <w:ind w:right="5760"/>
              <w:spacing w:after="0"/>
              <w:rPr>
                <w:sz w:val="20"/>
                <w:szCs w:val="20"/>
                <w:color w:val="auto"/>
              </w:rPr>
            </w:pPr>
            <w:r>
              <w:rPr>
                <w:rFonts w:ascii="Arial" w:cs="Arial" w:eastAsia="Arial" w:hAnsi="Arial"/>
                <w:sz w:val="16"/>
                <w:szCs w:val="16"/>
                <w:color w:val="auto"/>
              </w:rPr>
              <w:t>$12.00/sh 50,000</w:t>
            </w:r>
          </w:p>
        </w:tc>
      </w:tr>
      <w:tr>
        <w:trPr>
          <w:trHeight w:val="202"/>
        </w:trPr>
        <w:tc>
          <w:tcPr>
            <w:tcW w:w="3580" w:type="dxa"/>
            <w:vAlign w:val="bottom"/>
            <w:tcBorders>
              <w:left w:val="single" w:sz="8" w:color="00000A"/>
              <w:bottom w:val="single" w:sz="8" w:color="00000A"/>
              <w:right w:val="single" w:sz="8" w:color="00000A"/>
            </w:tcBorders>
          </w:tcPr>
          <w:p>
            <w:pPr>
              <w:spacing w:after="0"/>
              <w:rPr>
                <w:sz w:val="17"/>
                <w:szCs w:val="17"/>
                <w:color w:val="auto"/>
              </w:rPr>
            </w:pPr>
          </w:p>
        </w:tc>
        <w:tc>
          <w:tcPr>
            <w:tcW w:w="460" w:type="dxa"/>
            <w:vAlign w:val="bottom"/>
            <w:tcBorders>
              <w:bottom w:val="single" w:sz="8" w:color="00000A"/>
            </w:tcBorders>
          </w:tcPr>
          <w:p>
            <w:pPr>
              <w:spacing w:after="0"/>
              <w:rPr>
                <w:sz w:val="17"/>
                <w:szCs w:val="17"/>
                <w:color w:val="auto"/>
              </w:rPr>
            </w:pPr>
          </w:p>
        </w:tc>
        <w:tc>
          <w:tcPr>
            <w:tcW w:w="1180" w:type="dxa"/>
            <w:vAlign w:val="bottom"/>
            <w:tcBorders>
              <w:bottom w:val="single" w:sz="8" w:color="00000A"/>
            </w:tcBorders>
          </w:tcPr>
          <w:p>
            <w:pPr>
              <w:spacing w:after="0"/>
              <w:rPr>
                <w:sz w:val="17"/>
                <w:szCs w:val="17"/>
                <w:color w:val="auto"/>
              </w:rPr>
            </w:pPr>
          </w:p>
        </w:tc>
        <w:tc>
          <w:tcPr>
            <w:tcW w:w="240" w:type="dxa"/>
            <w:vAlign w:val="bottom"/>
            <w:tcBorders>
              <w:bottom w:val="single" w:sz="8" w:color="00000A"/>
            </w:tcBorders>
          </w:tcPr>
          <w:p>
            <w:pPr>
              <w:spacing w:after="0"/>
              <w:rPr>
                <w:sz w:val="17"/>
                <w:szCs w:val="17"/>
                <w:color w:val="auto"/>
              </w:rPr>
            </w:pPr>
          </w:p>
        </w:tc>
        <w:tc>
          <w:tcPr>
            <w:tcW w:w="720" w:type="dxa"/>
            <w:vAlign w:val="bottom"/>
            <w:tcBorders>
              <w:bottom w:val="single" w:sz="8" w:color="00000A"/>
            </w:tcBorders>
          </w:tcPr>
          <w:p>
            <w:pPr>
              <w:spacing w:after="0"/>
              <w:rPr>
                <w:sz w:val="17"/>
                <w:szCs w:val="17"/>
                <w:color w:val="auto"/>
              </w:rPr>
            </w:pPr>
          </w:p>
        </w:tc>
        <w:tc>
          <w:tcPr>
            <w:tcW w:w="5300" w:type="dxa"/>
            <w:vAlign w:val="bottom"/>
            <w:tcBorders>
              <w:bottom w:val="single" w:sz="8" w:color="00000A"/>
              <w:right w:val="single" w:sz="8" w:color="00000A"/>
            </w:tcBorders>
          </w:tcPr>
          <w:p>
            <w:pPr>
              <w:spacing w:after="0"/>
              <w:rPr>
                <w:sz w:val="17"/>
                <w:szCs w:val="17"/>
                <w:color w:val="auto"/>
              </w:rPr>
            </w:pPr>
          </w:p>
        </w:tc>
      </w:tr>
      <w:tr>
        <w:trPr>
          <w:trHeight w:val="198"/>
        </w:trPr>
        <w:tc>
          <w:tcPr>
            <w:tcW w:w="35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b w:val="1"/>
                <w:bCs w:val="1"/>
                <w:color w:val="auto"/>
              </w:rPr>
              <w:t>Stock Ownership:</w:t>
            </w: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rPr>
              <w:t>EPM has a Stock Retention Policy that will apply to JB, which is attached hereto as Exhibit 1,</w:t>
            </w:r>
          </w:p>
        </w:tc>
      </w:tr>
      <w:tr>
        <w:trPr>
          <w:trHeight w:val="342"/>
        </w:trPr>
        <w:tc>
          <w:tcPr>
            <w:tcW w:w="3580" w:type="dxa"/>
            <w:vAlign w:val="bottom"/>
            <w:tcBorders>
              <w:left w:val="single" w:sz="8" w:color="00000A"/>
              <w:bottom w:val="single" w:sz="8" w:color="00000A"/>
              <w:right w:val="single" w:sz="8" w:color="00000A"/>
            </w:tcBorders>
          </w:tcPr>
          <w:p>
            <w:pPr>
              <w:spacing w:after="0"/>
              <w:rPr>
                <w:sz w:val="24"/>
                <w:szCs w:val="24"/>
                <w:color w:val="auto"/>
              </w:rPr>
            </w:pPr>
          </w:p>
        </w:tc>
        <w:tc>
          <w:tcPr>
            <w:tcW w:w="460" w:type="dxa"/>
            <w:vAlign w:val="bottom"/>
            <w:tcBorders>
              <w:bottom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5300" w:type="dxa"/>
            <w:vAlign w:val="bottom"/>
            <w:tcBorders>
              <w:bottom w:val="single" w:sz="8" w:color="00000A"/>
              <w:right w:val="single" w:sz="8" w:color="00000A"/>
            </w:tcBorders>
          </w:tcPr>
          <w:p>
            <w:pPr>
              <w:spacing w:after="0"/>
              <w:rPr>
                <w:sz w:val="24"/>
                <w:szCs w:val="24"/>
                <w:color w:val="auto"/>
              </w:rPr>
            </w:pPr>
          </w:p>
        </w:tc>
      </w:tr>
      <w:tr>
        <w:trPr>
          <w:trHeight w:val="181"/>
        </w:trPr>
        <w:tc>
          <w:tcPr>
            <w:tcW w:w="3580" w:type="dxa"/>
            <w:vAlign w:val="bottom"/>
            <w:tcBorders>
              <w:left w:val="single" w:sz="8" w:color="00000A"/>
              <w:right w:val="single" w:sz="8" w:color="00000A"/>
            </w:tcBorders>
          </w:tcPr>
          <w:p>
            <w:pPr>
              <w:ind w:left="40"/>
              <w:spacing w:after="0" w:line="181" w:lineRule="exact"/>
              <w:rPr>
                <w:sz w:val="20"/>
                <w:szCs w:val="20"/>
                <w:color w:val="auto"/>
              </w:rPr>
            </w:pPr>
            <w:r>
              <w:rPr>
                <w:rFonts w:ascii="Arial" w:cs="Arial" w:eastAsia="Arial" w:hAnsi="Arial"/>
                <w:sz w:val="16"/>
                <w:szCs w:val="16"/>
                <w:b w:val="1"/>
                <w:bCs w:val="1"/>
                <w:color w:val="auto"/>
              </w:rPr>
              <w:t>Employee Benefits:</w:t>
            </w:r>
          </w:p>
        </w:tc>
        <w:tc>
          <w:tcPr>
            <w:tcW w:w="7900" w:type="dxa"/>
            <w:vAlign w:val="bottom"/>
            <w:tcBorders>
              <w:right w:val="single" w:sz="8" w:color="00000A"/>
            </w:tcBorders>
            <w:gridSpan w:val="5"/>
          </w:tcPr>
          <w:p>
            <w:pPr>
              <w:ind w:left="20"/>
              <w:spacing w:after="0" w:line="181" w:lineRule="exact"/>
              <w:rPr>
                <w:sz w:val="20"/>
                <w:szCs w:val="20"/>
                <w:color w:val="auto"/>
              </w:rPr>
            </w:pPr>
            <w:r>
              <w:rPr>
                <w:rFonts w:ascii="Arial" w:cs="Arial" w:eastAsia="Arial" w:hAnsi="Arial"/>
                <w:sz w:val="16"/>
                <w:szCs w:val="16"/>
                <w:color w:val="auto"/>
                <w:w w:val="97"/>
              </w:rPr>
              <w:t>JB will be eligible immediately to participate in the standard employee benefits provided to all employees included</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1"/>
              </w:rPr>
              <w:t>subsidized healthcare, life insurance, disability insurance, a 401K savings program with dollar-for-dollar matching of up to</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5"/>
              </w:rPr>
              <w:t>the lesser of 6% of salary or the maximum amount deductible from taxable income, and paid parking. JB will also be</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0"/>
              </w:rPr>
              <w:t>entitled to four weeks paid vacation each calendar year (2 weeks for the remainder of 2019) that will increase to five weeks</w:t>
            </w: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0"/>
              </w:rPr>
              <w:t>after January 1, 2022. Vacation days may accrue with service during each year in accordance with the Company’s policies.</w:t>
            </w:r>
          </w:p>
        </w:tc>
      </w:tr>
      <w:tr>
        <w:trPr>
          <w:trHeight w:val="191"/>
        </w:trPr>
        <w:tc>
          <w:tcPr>
            <w:tcW w:w="3580" w:type="dxa"/>
            <w:vAlign w:val="bottom"/>
            <w:tcBorders>
              <w:left w:val="single" w:sz="8" w:color="00000A"/>
              <w:bottom w:val="single" w:sz="8" w:color="00000A"/>
              <w:right w:val="single" w:sz="8" w:color="00000A"/>
            </w:tcBorders>
          </w:tcPr>
          <w:p>
            <w:pPr>
              <w:spacing w:after="0"/>
              <w:rPr>
                <w:sz w:val="16"/>
                <w:szCs w:val="16"/>
                <w:color w:val="auto"/>
              </w:rPr>
            </w:pPr>
          </w:p>
        </w:tc>
        <w:tc>
          <w:tcPr>
            <w:tcW w:w="460" w:type="dxa"/>
            <w:vAlign w:val="bottom"/>
            <w:tcBorders>
              <w:bottom w:val="single" w:sz="8" w:color="00000A"/>
            </w:tcBorders>
          </w:tcPr>
          <w:p>
            <w:pPr>
              <w:spacing w:after="0"/>
              <w:rPr>
                <w:sz w:val="16"/>
                <w:szCs w:val="16"/>
                <w:color w:val="auto"/>
              </w:rPr>
            </w:pPr>
          </w:p>
        </w:tc>
        <w:tc>
          <w:tcPr>
            <w:tcW w:w="1180" w:type="dxa"/>
            <w:vAlign w:val="bottom"/>
            <w:tcBorders>
              <w:bottom w:val="single" w:sz="8" w:color="00000A"/>
            </w:tcBorders>
          </w:tcPr>
          <w:p>
            <w:pPr>
              <w:spacing w:after="0"/>
              <w:rPr>
                <w:sz w:val="16"/>
                <w:szCs w:val="16"/>
                <w:color w:val="auto"/>
              </w:rPr>
            </w:pPr>
          </w:p>
        </w:tc>
        <w:tc>
          <w:tcPr>
            <w:tcW w:w="240" w:type="dxa"/>
            <w:vAlign w:val="bottom"/>
            <w:tcBorders>
              <w:bottom w:val="single" w:sz="8" w:color="00000A"/>
            </w:tcBorders>
          </w:tcPr>
          <w:p>
            <w:pPr>
              <w:spacing w:after="0"/>
              <w:rPr>
                <w:sz w:val="16"/>
                <w:szCs w:val="16"/>
                <w:color w:val="auto"/>
              </w:rPr>
            </w:pPr>
          </w:p>
        </w:tc>
        <w:tc>
          <w:tcPr>
            <w:tcW w:w="720" w:type="dxa"/>
            <w:vAlign w:val="bottom"/>
            <w:tcBorders>
              <w:bottom w:val="single" w:sz="8" w:color="00000A"/>
            </w:tcBorders>
          </w:tcPr>
          <w:p>
            <w:pPr>
              <w:spacing w:after="0"/>
              <w:rPr>
                <w:sz w:val="16"/>
                <w:szCs w:val="16"/>
                <w:color w:val="auto"/>
              </w:rPr>
            </w:pPr>
          </w:p>
        </w:tc>
        <w:tc>
          <w:tcPr>
            <w:tcW w:w="5300" w:type="dxa"/>
            <w:vAlign w:val="bottom"/>
            <w:tcBorders>
              <w:bottom w:val="single" w:sz="8" w:color="00000A"/>
              <w:right w:val="single" w:sz="8" w:color="00000A"/>
            </w:tcBorders>
          </w:tcPr>
          <w:p>
            <w:pPr>
              <w:spacing w:after="0"/>
              <w:rPr>
                <w:sz w:val="16"/>
                <w:szCs w:val="16"/>
                <w:color w:val="auto"/>
              </w:rPr>
            </w:pPr>
          </w:p>
        </w:tc>
      </w:tr>
      <w:tr>
        <w:trPr>
          <w:trHeight w:val="181"/>
        </w:trPr>
        <w:tc>
          <w:tcPr>
            <w:tcW w:w="3580" w:type="dxa"/>
            <w:vAlign w:val="bottom"/>
            <w:tcBorders>
              <w:left w:val="single" w:sz="8" w:color="00000A"/>
              <w:right w:val="single" w:sz="8" w:color="00000A"/>
            </w:tcBorders>
          </w:tcPr>
          <w:p>
            <w:pPr>
              <w:ind w:left="40"/>
              <w:spacing w:after="0" w:line="181" w:lineRule="exact"/>
              <w:rPr>
                <w:sz w:val="20"/>
                <w:szCs w:val="20"/>
                <w:color w:val="auto"/>
              </w:rPr>
            </w:pPr>
            <w:r>
              <w:rPr>
                <w:rFonts w:ascii="Arial" w:cs="Arial" w:eastAsia="Arial" w:hAnsi="Arial"/>
                <w:sz w:val="16"/>
                <w:szCs w:val="16"/>
                <w:b w:val="1"/>
                <w:bCs w:val="1"/>
                <w:color w:val="auto"/>
              </w:rPr>
              <w:t>Indemnification:</w:t>
            </w:r>
          </w:p>
        </w:tc>
        <w:tc>
          <w:tcPr>
            <w:tcW w:w="7900" w:type="dxa"/>
            <w:vAlign w:val="bottom"/>
            <w:tcBorders>
              <w:right w:val="single" w:sz="8" w:color="00000A"/>
            </w:tcBorders>
            <w:gridSpan w:val="5"/>
          </w:tcPr>
          <w:p>
            <w:pPr>
              <w:ind w:left="20"/>
              <w:spacing w:after="0" w:line="181" w:lineRule="exact"/>
              <w:rPr>
                <w:sz w:val="20"/>
                <w:szCs w:val="20"/>
                <w:color w:val="auto"/>
              </w:rPr>
            </w:pPr>
            <w:r>
              <w:rPr>
                <w:rFonts w:ascii="Arial" w:cs="Arial" w:eastAsia="Arial" w:hAnsi="Arial"/>
                <w:sz w:val="16"/>
                <w:szCs w:val="16"/>
                <w:color w:val="auto"/>
                <w:w w:val="99"/>
              </w:rPr>
              <w:t>JB will be indemnified by EPM to the maximum extent permitted by the Articles and By-Laws of EPM, subject to</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4"/>
              </w:rPr>
              <w:t>applicable law for all actions, claims, lawsuits or similar arising out of EPM’s business, and will also be covered by the</w:t>
            </w: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rPr>
              <w:t>Company's Director and Officer insurance policy.</w:t>
            </w:r>
          </w:p>
        </w:tc>
      </w:tr>
      <w:tr>
        <w:trPr>
          <w:trHeight w:val="191"/>
        </w:trPr>
        <w:tc>
          <w:tcPr>
            <w:tcW w:w="3580" w:type="dxa"/>
            <w:vAlign w:val="bottom"/>
            <w:tcBorders>
              <w:left w:val="single" w:sz="8" w:color="00000A"/>
              <w:bottom w:val="single" w:sz="8" w:color="00000A"/>
              <w:right w:val="single" w:sz="8" w:color="00000A"/>
            </w:tcBorders>
          </w:tcPr>
          <w:p>
            <w:pPr>
              <w:spacing w:after="0"/>
              <w:rPr>
                <w:sz w:val="16"/>
                <w:szCs w:val="16"/>
                <w:color w:val="auto"/>
              </w:rPr>
            </w:pPr>
          </w:p>
        </w:tc>
        <w:tc>
          <w:tcPr>
            <w:tcW w:w="460" w:type="dxa"/>
            <w:vAlign w:val="bottom"/>
            <w:tcBorders>
              <w:bottom w:val="single" w:sz="8" w:color="00000A"/>
            </w:tcBorders>
          </w:tcPr>
          <w:p>
            <w:pPr>
              <w:spacing w:after="0"/>
              <w:rPr>
                <w:sz w:val="16"/>
                <w:szCs w:val="16"/>
                <w:color w:val="auto"/>
              </w:rPr>
            </w:pPr>
          </w:p>
        </w:tc>
        <w:tc>
          <w:tcPr>
            <w:tcW w:w="1180" w:type="dxa"/>
            <w:vAlign w:val="bottom"/>
            <w:tcBorders>
              <w:bottom w:val="single" w:sz="8" w:color="00000A"/>
            </w:tcBorders>
          </w:tcPr>
          <w:p>
            <w:pPr>
              <w:spacing w:after="0"/>
              <w:rPr>
                <w:sz w:val="16"/>
                <w:szCs w:val="16"/>
                <w:color w:val="auto"/>
              </w:rPr>
            </w:pPr>
          </w:p>
        </w:tc>
        <w:tc>
          <w:tcPr>
            <w:tcW w:w="240" w:type="dxa"/>
            <w:vAlign w:val="bottom"/>
            <w:tcBorders>
              <w:bottom w:val="single" w:sz="8" w:color="00000A"/>
            </w:tcBorders>
          </w:tcPr>
          <w:p>
            <w:pPr>
              <w:spacing w:after="0"/>
              <w:rPr>
                <w:sz w:val="16"/>
                <w:szCs w:val="16"/>
                <w:color w:val="auto"/>
              </w:rPr>
            </w:pPr>
          </w:p>
        </w:tc>
        <w:tc>
          <w:tcPr>
            <w:tcW w:w="720" w:type="dxa"/>
            <w:vAlign w:val="bottom"/>
            <w:tcBorders>
              <w:bottom w:val="single" w:sz="8" w:color="00000A"/>
            </w:tcBorders>
          </w:tcPr>
          <w:p>
            <w:pPr>
              <w:spacing w:after="0"/>
              <w:rPr>
                <w:sz w:val="16"/>
                <w:szCs w:val="16"/>
                <w:color w:val="auto"/>
              </w:rPr>
            </w:pPr>
          </w:p>
        </w:tc>
        <w:tc>
          <w:tcPr>
            <w:tcW w:w="5300" w:type="dxa"/>
            <w:vAlign w:val="bottom"/>
            <w:tcBorders>
              <w:bottom w:val="single" w:sz="8" w:color="00000A"/>
              <w:right w:val="single" w:sz="8" w:color="00000A"/>
            </w:tcBorders>
          </w:tcPr>
          <w:p>
            <w:pPr>
              <w:spacing w:after="0"/>
              <w:rPr>
                <w:sz w:val="16"/>
                <w:szCs w:val="16"/>
                <w:color w:val="auto"/>
              </w:rPr>
            </w:pPr>
          </w:p>
        </w:tc>
      </w:tr>
      <w:tr>
        <w:trPr>
          <w:trHeight w:val="181"/>
        </w:trPr>
        <w:tc>
          <w:tcPr>
            <w:tcW w:w="3580" w:type="dxa"/>
            <w:vAlign w:val="bottom"/>
            <w:tcBorders>
              <w:left w:val="single" w:sz="8" w:color="00000A"/>
              <w:right w:val="single" w:sz="8" w:color="00000A"/>
            </w:tcBorders>
          </w:tcPr>
          <w:p>
            <w:pPr>
              <w:ind w:left="40"/>
              <w:spacing w:after="0" w:line="181" w:lineRule="exact"/>
              <w:rPr>
                <w:sz w:val="20"/>
                <w:szCs w:val="20"/>
                <w:color w:val="auto"/>
              </w:rPr>
            </w:pPr>
            <w:r>
              <w:rPr>
                <w:rFonts w:ascii="Arial" w:cs="Arial" w:eastAsia="Arial" w:hAnsi="Arial"/>
                <w:sz w:val="16"/>
                <w:szCs w:val="16"/>
                <w:b w:val="1"/>
                <w:bCs w:val="1"/>
                <w:color w:val="auto"/>
              </w:rPr>
              <w:t>Change of Control:</w:t>
            </w:r>
          </w:p>
        </w:tc>
        <w:tc>
          <w:tcPr>
            <w:tcW w:w="7900" w:type="dxa"/>
            <w:vAlign w:val="bottom"/>
            <w:tcBorders>
              <w:right w:val="single" w:sz="8" w:color="00000A"/>
            </w:tcBorders>
            <w:gridSpan w:val="5"/>
          </w:tcPr>
          <w:p>
            <w:pPr>
              <w:ind w:left="20"/>
              <w:spacing w:after="0" w:line="181" w:lineRule="exact"/>
              <w:rPr>
                <w:sz w:val="20"/>
                <w:szCs w:val="20"/>
                <w:color w:val="auto"/>
              </w:rPr>
            </w:pPr>
            <w:r>
              <w:rPr>
                <w:rFonts w:ascii="Arial" w:cs="Arial" w:eastAsia="Arial" w:hAnsi="Arial"/>
                <w:sz w:val="16"/>
                <w:szCs w:val="16"/>
                <w:color w:val="auto"/>
                <w:w w:val="89"/>
              </w:rPr>
              <w:t>JB will be covered by the Company’s Change of Control Severance Policy that provides for certain severance payments and</w:t>
            </w: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0"/>
              </w:rPr>
              <w:t>acceleration of vesting in the event of a change in control event. Such policy is subject to change at the Board’s discretion,</w:t>
            </w:r>
          </w:p>
        </w:tc>
      </w:tr>
      <w:tr>
        <w:trPr>
          <w:trHeight w:val="210"/>
        </w:trPr>
        <w:tc>
          <w:tcPr>
            <w:tcW w:w="3580" w:type="dxa"/>
            <w:vAlign w:val="bottom"/>
            <w:tcBorders>
              <w:left w:val="single" w:sz="8" w:color="00000A"/>
              <w:bottom w:val="single" w:sz="8" w:color="00000A"/>
              <w:right w:val="single" w:sz="8" w:color="00000A"/>
            </w:tcBorders>
          </w:tcPr>
          <w:p>
            <w:pPr>
              <w:spacing w:after="0"/>
              <w:rPr>
                <w:sz w:val="18"/>
                <w:szCs w:val="18"/>
                <w:color w:val="auto"/>
              </w:rPr>
            </w:pPr>
          </w:p>
        </w:tc>
        <w:tc>
          <w:tcPr>
            <w:tcW w:w="7900" w:type="dxa"/>
            <w:vAlign w:val="bottom"/>
            <w:tcBorders>
              <w:bottom w:val="single" w:sz="8" w:color="00000A"/>
              <w:right w:val="single" w:sz="8" w:color="00000A"/>
            </w:tcBorders>
            <w:gridSpan w:val="5"/>
          </w:tcPr>
          <w:p>
            <w:pPr>
              <w:ind w:left="20"/>
              <w:spacing w:after="0"/>
              <w:rPr>
                <w:sz w:val="20"/>
                <w:szCs w:val="20"/>
                <w:color w:val="auto"/>
              </w:rPr>
            </w:pPr>
            <w:r>
              <w:rPr>
                <w:rFonts w:ascii="Arial" w:cs="Arial" w:eastAsia="Arial" w:hAnsi="Arial"/>
                <w:sz w:val="16"/>
                <w:szCs w:val="16"/>
                <w:color w:val="auto"/>
              </w:rPr>
              <w:t>attached hereto as Exhibit 2.</w:t>
            </w:r>
          </w:p>
        </w:tc>
      </w:tr>
      <w:tr>
        <w:trPr>
          <w:trHeight w:val="190"/>
        </w:trPr>
        <w:tc>
          <w:tcPr>
            <w:tcW w:w="35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b w:val="1"/>
                <w:bCs w:val="1"/>
                <w:color w:val="auto"/>
              </w:rPr>
              <w:t>Release:</w:t>
            </w: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0"/>
              </w:rPr>
              <w:t>All severance and change of control payments and benefits are conditioned upon JB and EPM executing a mutual general</w:t>
            </w: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rPr>
              <w:t>release of any and all claims against each other.</w:t>
            </w:r>
          </w:p>
        </w:tc>
      </w:tr>
      <w:tr>
        <w:trPr>
          <w:trHeight w:val="547"/>
        </w:trPr>
        <w:tc>
          <w:tcPr>
            <w:tcW w:w="3580" w:type="dxa"/>
            <w:vAlign w:val="bottom"/>
            <w:tcBorders>
              <w:left w:val="single" w:sz="8" w:color="00000A"/>
              <w:bottom w:val="single" w:sz="8" w:color="00000A"/>
              <w:right w:val="single" w:sz="8" w:color="00000A"/>
            </w:tcBorders>
          </w:tcPr>
          <w:p>
            <w:pPr>
              <w:spacing w:after="0"/>
              <w:rPr>
                <w:sz w:val="24"/>
                <w:szCs w:val="24"/>
                <w:color w:val="auto"/>
              </w:rPr>
            </w:pPr>
          </w:p>
        </w:tc>
        <w:tc>
          <w:tcPr>
            <w:tcW w:w="460" w:type="dxa"/>
            <w:vAlign w:val="bottom"/>
            <w:tcBorders>
              <w:bottom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5300" w:type="dxa"/>
            <w:vAlign w:val="bottom"/>
            <w:tcBorders>
              <w:bottom w:val="single" w:sz="8" w:color="00000A"/>
              <w:right w:val="single" w:sz="8" w:color="00000A"/>
            </w:tcBorders>
          </w:tcPr>
          <w:p>
            <w:pPr>
              <w:spacing w:after="0"/>
              <w:rPr>
                <w:sz w:val="24"/>
                <w:szCs w:val="24"/>
                <w:color w:val="auto"/>
              </w:rPr>
            </w:pPr>
          </w:p>
        </w:tc>
      </w:tr>
      <w:tr>
        <w:trPr>
          <w:trHeight w:val="198"/>
        </w:trPr>
        <w:tc>
          <w:tcPr>
            <w:tcW w:w="35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6"/>
                <w:szCs w:val="16"/>
                <w:b w:val="1"/>
                <w:bCs w:val="1"/>
                <w:color w:val="auto"/>
              </w:rPr>
              <w:t>Payments on Termination:</w:t>
            </w: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300" w:type="dxa"/>
            <w:vAlign w:val="bottom"/>
            <w:tcBorders>
              <w:right w:val="single" w:sz="8" w:color="00000A"/>
            </w:tcBorders>
          </w:tcPr>
          <w:p>
            <w:pPr>
              <w:spacing w:after="0"/>
              <w:rPr>
                <w:sz w:val="17"/>
                <w:szCs w:val="17"/>
                <w:color w:val="auto"/>
              </w:rPr>
            </w:pPr>
          </w:p>
        </w:tc>
      </w:tr>
      <w:tr>
        <w:trPr>
          <w:trHeight w:val="342"/>
        </w:trPr>
        <w:tc>
          <w:tcPr>
            <w:tcW w:w="3580" w:type="dxa"/>
            <w:vAlign w:val="bottom"/>
            <w:tcBorders>
              <w:left w:val="single" w:sz="8" w:color="00000A"/>
              <w:bottom w:val="single" w:sz="8" w:color="00000A"/>
              <w:right w:val="single" w:sz="8" w:color="00000A"/>
            </w:tcBorders>
          </w:tcPr>
          <w:p>
            <w:pPr>
              <w:spacing w:after="0"/>
              <w:rPr>
                <w:sz w:val="24"/>
                <w:szCs w:val="24"/>
                <w:color w:val="auto"/>
              </w:rPr>
            </w:pPr>
          </w:p>
        </w:tc>
        <w:tc>
          <w:tcPr>
            <w:tcW w:w="460" w:type="dxa"/>
            <w:vAlign w:val="bottom"/>
            <w:tcBorders>
              <w:bottom w:val="single" w:sz="8" w:color="00000A"/>
            </w:tcBorders>
          </w:tcPr>
          <w:p>
            <w:pPr>
              <w:spacing w:after="0"/>
              <w:rPr>
                <w:sz w:val="24"/>
                <w:szCs w:val="24"/>
                <w:color w:val="auto"/>
              </w:rPr>
            </w:pPr>
          </w:p>
        </w:tc>
        <w:tc>
          <w:tcPr>
            <w:tcW w:w="1180" w:type="dxa"/>
            <w:vAlign w:val="bottom"/>
            <w:tcBorders>
              <w:bottom w:val="single" w:sz="8" w:color="00000A"/>
            </w:tcBorders>
          </w:tcPr>
          <w:p>
            <w:pPr>
              <w:spacing w:after="0"/>
              <w:rPr>
                <w:sz w:val="24"/>
                <w:szCs w:val="24"/>
                <w:color w:val="auto"/>
              </w:rPr>
            </w:pPr>
          </w:p>
        </w:tc>
        <w:tc>
          <w:tcPr>
            <w:tcW w:w="24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5300" w:type="dxa"/>
            <w:vAlign w:val="bottom"/>
            <w:tcBorders>
              <w:bottom w:val="single" w:sz="8" w:color="00000A"/>
              <w:right w:val="single" w:sz="8" w:color="00000A"/>
            </w:tcBorders>
          </w:tcPr>
          <w:p>
            <w:pPr>
              <w:spacing w:after="0"/>
              <w:rPr>
                <w:sz w:val="24"/>
                <w:szCs w:val="24"/>
                <w:color w:val="auto"/>
              </w:rPr>
            </w:pPr>
          </w:p>
        </w:tc>
      </w:tr>
      <w:tr>
        <w:trPr>
          <w:trHeight w:val="356"/>
        </w:trPr>
        <w:tc>
          <w:tcPr>
            <w:tcW w:w="3580" w:type="dxa"/>
            <w:vAlign w:val="bottom"/>
          </w:tcPr>
          <w:p>
            <w:pPr>
              <w:spacing w:after="0"/>
              <w:rPr>
                <w:sz w:val="24"/>
                <w:szCs w:val="24"/>
                <w:color w:val="auto"/>
              </w:rPr>
            </w:pPr>
          </w:p>
        </w:tc>
        <w:tc>
          <w:tcPr>
            <w:tcW w:w="2600" w:type="dxa"/>
            <w:vAlign w:val="bottom"/>
            <w:gridSpan w:val="4"/>
          </w:tcPr>
          <w:p>
            <w:pPr>
              <w:ind w:left="2120"/>
              <w:spacing w:after="0"/>
              <w:rPr>
                <w:sz w:val="20"/>
                <w:szCs w:val="20"/>
                <w:color w:val="auto"/>
              </w:rPr>
            </w:pPr>
            <w:r>
              <w:rPr>
                <w:rFonts w:ascii="Arial" w:cs="Arial" w:eastAsia="Arial" w:hAnsi="Arial"/>
                <w:sz w:val="14"/>
                <w:szCs w:val="14"/>
                <w:color w:val="auto"/>
              </w:rPr>
              <w:t>2</w:t>
            </w:r>
          </w:p>
        </w:tc>
        <w:tc>
          <w:tcPr>
            <w:tcW w:w="5300" w:type="dxa"/>
            <w:vAlign w:val="bottom"/>
          </w:tcPr>
          <w:p>
            <w:pPr>
              <w:spacing w:after="0"/>
              <w:rPr>
                <w:sz w:val="24"/>
                <w:szCs w:val="24"/>
                <w:color w:val="auto"/>
              </w:rPr>
            </w:pPr>
          </w:p>
        </w:tc>
      </w:tr>
    </w:tbl>
    <w:p>
      <w:pPr>
        <w:sectPr>
          <w:pgSz w:w="11900" w:h="16838" w:orient="portrait"/>
          <w:cols w:equalWidth="0" w:num="1">
            <w:col w:w="11480"/>
          </w:cols>
          <w:pgMar w:left="220" w:top="626" w:right="199" w:bottom="1440" w:gutter="0" w:footer="0" w:header="0"/>
        </w:sectPr>
      </w:pPr>
    </w:p>
    <w:bookmarkStart w:id="94" w:name="page95"/>
    <w:bookmarkEnd w:id="9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3580" w:type="dxa"/>
            <w:vAlign w:val="bottom"/>
            <w:tcBorders>
              <w:top w:val="single" w:sz="8" w:color="00000A"/>
              <w:left w:val="single" w:sz="8" w:color="00000A"/>
              <w:right w:val="single" w:sz="8" w:color="00000A"/>
            </w:tcBorders>
          </w:tcPr>
          <w:p>
            <w:pPr>
              <w:ind w:left="300"/>
              <w:spacing w:after="0"/>
              <w:rPr>
                <w:sz w:val="20"/>
                <w:szCs w:val="20"/>
                <w:color w:val="auto"/>
              </w:rPr>
            </w:pPr>
            <w:r>
              <w:rPr>
                <w:rFonts w:ascii="Arial" w:cs="Arial" w:eastAsia="Arial" w:hAnsi="Arial"/>
                <w:sz w:val="16"/>
                <w:szCs w:val="16"/>
                <w:b w:val="1"/>
                <w:bCs w:val="1"/>
                <w:color w:val="auto"/>
              </w:rPr>
              <w:t>Termination for Cause by EPM and</w:t>
            </w:r>
          </w:p>
        </w:tc>
        <w:tc>
          <w:tcPr>
            <w:tcW w:w="7900" w:type="dxa"/>
            <w:vAlign w:val="bottom"/>
            <w:tcBorders>
              <w:top w:val="single" w:sz="8" w:color="00000A"/>
              <w:right w:val="single" w:sz="8" w:color="00000A"/>
            </w:tcBorders>
            <w:gridSpan w:val="5"/>
          </w:tcPr>
          <w:p>
            <w:pPr>
              <w:ind w:left="20"/>
              <w:spacing w:after="0"/>
              <w:rPr>
                <w:sz w:val="20"/>
                <w:szCs w:val="20"/>
                <w:color w:val="auto"/>
              </w:rPr>
            </w:pPr>
            <w:r>
              <w:rPr>
                <w:rFonts w:ascii="Arial" w:cs="Arial" w:eastAsia="Arial" w:hAnsi="Arial"/>
                <w:sz w:val="16"/>
                <w:szCs w:val="16"/>
                <w:color w:val="auto"/>
              </w:rPr>
              <w:t>JB shall be entitled only to the Accrued Obligations.</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ind w:left="300"/>
              <w:spacing w:after="0"/>
              <w:rPr>
                <w:sz w:val="20"/>
                <w:szCs w:val="20"/>
                <w:color w:val="auto"/>
              </w:rPr>
            </w:pPr>
            <w:r>
              <w:rPr>
                <w:rFonts w:ascii="Arial" w:cs="Arial" w:eastAsia="Arial" w:hAnsi="Arial"/>
                <w:sz w:val="16"/>
                <w:szCs w:val="16"/>
                <w:b w:val="1"/>
                <w:bCs w:val="1"/>
                <w:color w:val="auto"/>
              </w:rPr>
              <w:t>Resignation/Expiration of Term following</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80" w:type="dxa"/>
            <w:vAlign w:val="bottom"/>
            <w:tcBorders>
              <w:right w:val="single" w:sz="8" w:color="00000A"/>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ind w:left="300"/>
              <w:spacing w:after="0"/>
              <w:rPr>
                <w:sz w:val="20"/>
                <w:szCs w:val="20"/>
                <w:color w:val="auto"/>
              </w:rPr>
            </w:pPr>
            <w:r>
              <w:rPr>
                <w:rFonts w:ascii="Arial" w:cs="Arial" w:eastAsia="Arial" w:hAnsi="Arial"/>
                <w:sz w:val="16"/>
                <w:szCs w:val="16"/>
                <w:b w:val="1"/>
                <w:bCs w:val="1"/>
                <w:color w:val="auto"/>
                <w:w w:val="99"/>
              </w:rPr>
              <w:t>notice by JB (other than as provided in the</w:t>
            </w:r>
          </w:p>
        </w:tc>
        <w:tc>
          <w:tcPr>
            <w:tcW w:w="80" w:type="dxa"/>
            <w:vAlign w:val="bottom"/>
            <w:vMerge w:val="restart"/>
          </w:tcPr>
          <w:p>
            <w:pPr>
              <w:ind w:left="20"/>
              <w:spacing w:after="0"/>
              <w:rPr>
                <w:sz w:val="20"/>
                <w:szCs w:val="20"/>
                <w:color w:val="auto"/>
              </w:rPr>
            </w:pPr>
            <w:r>
              <w:rPr>
                <w:rFonts w:ascii="Arial" w:cs="Arial" w:eastAsia="Arial" w:hAnsi="Arial"/>
                <w:sz w:val="16"/>
                <w:szCs w:val="16"/>
                <w:color w:val="auto"/>
                <w:w w:val="74"/>
              </w:rPr>
              <w:t>“</w:t>
            </w:r>
          </w:p>
        </w:tc>
        <w:tc>
          <w:tcPr>
            <w:tcW w:w="1340" w:type="dxa"/>
            <w:vAlign w:val="bottom"/>
            <w:gridSpan w:val="3"/>
            <w:vMerge w:val="restart"/>
          </w:tcPr>
          <w:p>
            <w:pPr>
              <w:spacing w:after="0"/>
              <w:rPr>
                <w:sz w:val="20"/>
                <w:szCs w:val="20"/>
                <w:color w:val="auto"/>
              </w:rPr>
            </w:pPr>
            <w:r>
              <w:rPr>
                <w:rFonts w:ascii="Arial" w:cs="Arial" w:eastAsia="Arial" w:hAnsi="Arial"/>
                <w:sz w:val="16"/>
                <w:szCs w:val="16"/>
                <w:color w:val="auto"/>
                <w:w w:val="92"/>
              </w:rPr>
              <w:t>Accrued Obligations</w:t>
            </w:r>
          </w:p>
        </w:tc>
        <w:tc>
          <w:tcPr>
            <w:tcW w:w="6480" w:type="dxa"/>
            <w:vAlign w:val="bottom"/>
            <w:tcBorders>
              <w:right w:val="single" w:sz="8" w:color="00000A"/>
            </w:tcBorders>
            <w:vMerge w:val="restart"/>
          </w:tcPr>
          <w:p>
            <w:pPr>
              <w:spacing w:after="0"/>
              <w:rPr>
                <w:sz w:val="20"/>
                <w:szCs w:val="20"/>
                <w:color w:val="auto"/>
              </w:rPr>
            </w:pPr>
            <w:r>
              <w:rPr>
                <w:rFonts w:ascii="Arial" w:cs="Arial" w:eastAsia="Arial" w:hAnsi="Arial"/>
                <w:sz w:val="16"/>
                <w:szCs w:val="16"/>
                <w:color w:val="auto"/>
                <w:w w:val="97"/>
              </w:rPr>
              <w:t>” (i) any earned but unpaid Base Salary through the date of termination of employment, (ii) all</w:t>
            </w:r>
          </w:p>
        </w:tc>
        <w:tc>
          <w:tcPr>
            <w:tcW w:w="0" w:type="dxa"/>
            <w:vAlign w:val="bottom"/>
          </w:tcPr>
          <w:p>
            <w:pPr>
              <w:spacing w:after="0"/>
              <w:rPr>
                <w:sz w:val="1"/>
                <w:szCs w:val="1"/>
                <w:color w:val="auto"/>
              </w:rPr>
            </w:pPr>
          </w:p>
        </w:tc>
      </w:tr>
      <w:tr>
        <w:trPr>
          <w:trHeight w:val="153"/>
        </w:trPr>
        <w:tc>
          <w:tcPr>
            <w:tcW w:w="3580" w:type="dxa"/>
            <w:vAlign w:val="bottom"/>
            <w:tcBorders>
              <w:left w:val="single" w:sz="8" w:color="00000A"/>
              <w:right w:val="single" w:sz="8" w:color="00000A"/>
            </w:tcBorders>
          </w:tcPr>
          <w:p>
            <w:pPr>
              <w:ind w:left="300"/>
              <w:spacing w:after="0" w:line="139" w:lineRule="exact"/>
              <w:rPr>
                <w:sz w:val="20"/>
                <w:szCs w:val="20"/>
                <w:color w:val="auto"/>
              </w:rPr>
            </w:pPr>
            <w:r>
              <w:rPr>
                <w:rFonts w:ascii="Arial" w:cs="Arial" w:eastAsia="Arial" w:hAnsi="Arial"/>
                <w:sz w:val="16"/>
                <w:szCs w:val="16"/>
                <w:b w:val="1"/>
                <w:bCs w:val="1"/>
                <w:color w:val="auto"/>
                <w:w w:val="91"/>
              </w:rPr>
              <w:t>Agreement to which this Exhibit A is attached)</w:t>
            </w:r>
          </w:p>
        </w:tc>
        <w:tc>
          <w:tcPr>
            <w:tcW w:w="80" w:type="dxa"/>
            <w:vAlign w:val="bottom"/>
            <w:vMerge w:val="continue"/>
          </w:tcPr>
          <w:p>
            <w:pPr>
              <w:spacing w:after="0"/>
              <w:rPr>
                <w:sz w:val="12"/>
                <w:szCs w:val="12"/>
                <w:color w:val="auto"/>
              </w:rPr>
            </w:pPr>
          </w:p>
        </w:tc>
        <w:tc>
          <w:tcPr>
            <w:tcW w:w="1340" w:type="dxa"/>
            <w:vAlign w:val="bottom"/>
            <w:tcBorders>
              <w:bottom w:val="single" w:sz="8" w:color="auto"/>
            </w:tcBorders>
            <w:gridSpan w:val="3"/>
            <w:vMerge w:val="continue"/>
          </w:tcPr>
          <w:p>
            <w:pPr>
              <w:spacing w:after="0"/>
              <w:rPr>
                <w:sz w:val="12"/>
                <w:szCs w:val="12"/>
                <w:color w:val="auto"/>
              </w:rPr>
            </w:pPr>
          </w:p>
        </w:tc>
        <w:tc>
          <w:tcPr>
            <w:tcW w:w="6480" w:type="dxa"/>
            <w:vAlign w:val="bottom"/>
            <w:tcBorders>
              <w:right w:val="single" w:sz="8" w:color="00000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line="181" w:lineRule="exact"/>
              <w:rPr>
                <w:sz w:val="20"/>
                <w:szCs w:val="20"/>
                <w:color w:val="auto"/>
              </w:rPr>
            </w:pPr>
            <w:r>
              <w:rPr>
                <w:rFonts w:ascii="Arial" w:cs="Arial" w:eastAsia="Arial" w:hAnsi="Arial"/>
                <w:sz w:val="16"/>
                <w:szCs w:val="16"/>
                <w:color w:val="auto"/>
                <w:w w:val="88"/>
              </w:rPr>
              <w:t>previously earned but unpaid entitlements to benefits expressly earned and accrued through the termination date that are not</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5"/>
              </w:rPr>
              <w:t>forfeited under the terms of the Offer Letter, or the Company’s benefit plans or programs, (iii) unreimbursed business</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5"/>
              </w:rPr>
              <w:t>expenses incurred through the termination date, if any, and (iv) any other amounts or benefits required to be paid or</w:t>
            </w:r>
          </w:p>
        </w:tc>
        <w:tc>
          <w:tcPr>
            <w:tcW w:w="0" w:type="dxa"/>
            <w:vAlign w:val="bottom"/>
          </w:tcPr>
          <w:p>
            <w:pPr>
              <w:spacing w:after="0"/>
              <w:rPr>
                <w:sz w:val="1"/>
                <w:szCs w:val="1"/>
                <w:color w:val="auto"/>
              </w:rPr>
            </w:pP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rPr>
              <w:t>provided by law.</w:t>
            </w:r>
          </w:p>
        </w:tc>
        <w:tc>
          <w:tcPr>
            <w:tcW w:w="0" w:type="dxa"/>
            <w:vAlign w:val="bottom"/>
          </w:tcPr>
          <w:p>
            <w:pPr>
              <w:spacing w:after="0"/>
              <w:rPr>
                <w:sz w:val="1"/>
                <w:szCs w:val="1"/>
                <w:color w:val="auto"/>
              </w:rPr>
            </w:pPr>
          </w:p>
        </w:tc>
      </w:tr>
      <w:tr>
        <w:trPr>
          <w:trHeight w:val="493"/>
        </w:trPr>
        <w:tc>
          <w:tcPr>
            <w:tcW w:w="3580" w:type="dxa"/>
            <w:vAlign w:val="bottom"/>
            <w:tcBorders>
              <w:left w:val="single" w:sz="8" w:color="00000A"/>
              <w:right w:val="single" w:sz="8" w:color="00000A"/>
            </w:tcBorders>
          </w:tcPr>
          <w:p>
            <w:pPr>
              <w:spacing w:after="0"/>
              <w:rPr>
                <w:sz w:val="24"/>
                <w:szCs w:val="24"/>
                <w:color w:val="auto"/>
              </w:rPr>
            </w:pPr>
          </w:p>
        </w:tc>
        <w:tc>
          <w:tcPr>
            <w:tcW w:w="7900" w:type="dxa"/>
            <w:vAlign w:val="bottom"/>
            <w:tcBorders>
              <w:right w:val="single" w:sz="8" w:color="00000A"/>
            </w:tcBorders>
            <w:gridSpan w:val="5"/>
          </w:tcPr>
          <w:p>
            <w:pPr>
              <w:ind w:left="80"/>
              <w:spacing w:after="0"/>
              <w:rPr>
                <w:sz w:val="20"/>
                <w:szCs w:val="20"/>
                <w:color w:val="auto"/>
              </w:rPr>
            </w:pPr>
            <w:r>
              <w:rPr>
                <w:rFonts w:ascii="Arial" w:cs="Arial" w:eastAsia="Arial" w:hAnsi="Arial"/>
                <w:sz w:val="16"/>
                <w:szCs w:val="16"/>
                <w:color w:val="auto"/>
                <w:w w:val="99"/>
              </w:rPr>
              <w:t>“Cause” means: (i) the conviction of or plea of guilty or nolo contendere to the commission of any felony, (ii) the</w:t>
            </w:r>
          </w:p>
        </w:tc>
        <w:tc>
          <w:tcPr>
            <w:tcW w:w="0" w:type="dxa"/>
            <w:vAlign w:val="bottom"/>
          </w:tcPr>
          <w:p>
            <w:pPr>
              <w:spacing w:after="0"/>
              <w:rPr>
                <w:sz w:val="1"/>
                <w:szCs w:val="1"/>
                <w:color w:val="auto"/>
              </w:rPr>
            </w:pPr>
          </w:p>
        </w:tc>
      </w:tr>
      <w:tr>
        <w:trPr>
          <w:trHeight w:val="20"/>
        </w:trPr>
        <w:tc>
          <w:tcPr>
            <w:tcW w:w="3580" w:type="dxa"/>
            <w:vAlign w:val="bottom"/>
            <w:tcBorders>
              <w:left w:val="single" w:sz="8" w:color="00000A"/>
              <w:right w:val="single" w:sz="8" w:color="00000A"/>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360" w:type="dxa"/>
            <w:vAlign w:val="bottom"/>
            <w:tcBorders>
              <w:right w:val="single" w:sz="8" w:color="00000A"/>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line="181" w:lineRule="exact"/>
              <w:rPr>
                <w:sz w:val="20"/>
                <w:szCs w:val="20"/>
                <w:color w:val="auto"/>
              </w:rPr>
            </w:pPr>
            <w:r>
              <w:rPr>
                <w:rFonts w:ascii="Arial" w:cs="Arial" w:eastAsia="Arial" w:hAnsi="Arial"/>
                <w:sz w:val="16"/>
                <w:szCs w:val="16"/>
                <w:color w:val="auto"/>
                <w:w w:val="94"/>
              </w:rPr>
              <w:t>commission of any act of fraud, misappropriation, or embezzlement or dishonesty with respect to the Company, (iii) a</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89"/>
              </w:rPr>
              <w:t>breach of any material provision of any written agreements with the Company that shall not have been cured within 45 days</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2"/>
              </w:rPr>
              <w:t>of delivery of a reasonably detailed written notice from the Company of such breach, (iv) documented harassment of any</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4"/>
              </w:rPr>
              <w:t>employee following written notice warning against such actions as determined in the sole discretion of the Board, (v) a</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2"/>
              </w:rPr>
              <w:t>knowing failure to comply with any laws or regulations applicable to the businesses of the Company, which failure has a</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0"/>
              </w:rPr>
              <w:t>material adverse impact on the reputation or business of the Company; (vi) failure to diligently carry out duties assigned by</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0"/>
              </w:rPr>
              <w:t>the Board of Directors, including any such actions that legally constitute actionable malfeasance or non-feasance as those</w:t>
            </w:r>
          </w:p>
        </w:tc>
        <w:tc>
          <w:tcPr>
            <w:tcW w:w="0" w:type="dxa"/>
            <w:vAlign w:val="bottom"/>
          </w:tcPr>
          <w:p>
            <w:pPr>
              <w:spacing w:after="0"/>
              <w:rPr>
                <w:sz w:val="1"/>
                <w:szCs w:val="1"/>
                <w:color w:val="auto"/>
              </w:rPr>
            </w:pP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rPr>
              <w:t>terms are commonly known under law.</w:t>
            </w:r>
          </w:p>
        </w:tc>
        <w:tc>
          <w:tcPr>
            <w:tcW w:w="0" w:type="dxa"/>
            <w:vAlign w:val="bottom"/>
          </w:tcPr>
          <w:p>
            <w:pPr>
              <w:spacing w:after="0"/>
              <w:rPr>
                <w:sz w:val="1"/>
                <w:szCs w:val="1"/>
                <w:color w:val="auto"/>
              </w:rPr>
            </w:pPr>
          </w:p>
        </w:tc>
      </w:tr>
      <w:tr>
        <w:trPr>
          <w:trHeight w:val="191"/>
        </w:trPr>
        <w:tc>
          <w:tcPr>
            <w:tcW w:w="3580" w:type="dxa"/>
            <w:vAlign w:val="bottom"/>
            <w:tcBorders>
              <w:left w:val="single" w:sz="8" w:color="00000A"/>
              <w:bottom w:val="single" w:sz="8" w:color="00000A"/>
              <w:right w:val="single" w:sz="8" w:color="00000A"/>
            </w:tcBorders>
          </w:tcPr>
          <w:p>
            <w:pPr>
              <w:spacing w:after="0"/>
              <w:rPr>
                <w:sz w:val="16"/>
                <w:szCs w:val="16"/>
                <w:color w:val="auto"/>
              </w:rPr>
            </w:pPr>
          </w:p>
        </w:tc>
        <w:tc>
          <w:tcPr>
            <w:tcW w:w="80" w:type="dxa"/>
            <w:vAlign w:val="bottom"/>
            <w:tcBorders>
              <w:bottom w:val="single" w:sz="8" w:color="00000A"/>
            </w:tcBorders>
          </w:tcPr>
          <w:p>
            <w:pPr>
              <w:spacing w:after="0"/>
              <w:rPr>
                <w:sz w:val="16"/>
                <w:szCs w:val="16"/>
                <w:color w:val="auto"/>
              </w:rPr>
            </w:pPr>
          </w:p>
        </w:tc>
        <w:tc>
          <w:tcPr>
            <w:tcW w:w="60" w:type="dxa"/>
            <w:vAlign w:val="bottom"/>
            <w:tcBorders>
              <w:bottom w:val="single" w:sz="8" w:color="00000A"/>
            </w:tcBorders>
          </w:tcPr>
          <w:p>
            <w:pPr>
              <w:spacing w:after="0"/>
              <w:rPr>
                <w:sz w:val="16"/>
                <w:szCs w:val="16"/>
                <w:color w:val="auto"/>
              </w:rPr>
            </w:pPr>
          </w:p>
        </w:tc>
        <w:tc>
          <w:tcPr>
            <w:tcW w:w="400" w:type="dxa"/>
            <w:vAlign w:val="bottom"/>
            <w:tcBorders>
              <w:bottom w:val="single" w:sz="8" w:color="00000A"/>
            </w:tcBorders>
          </w:tcPr>
          <w:p>
            <w:pPr>
              <w:spacing w:after="0"/>
              <w:rPr>
                <w:sz w:val="16"/>
                <w:szCs w:val="16"/>
                <w:color w:val="auto"/>
              </w:rPr>
            </w:pPr>
          </w:p>
        </w:tc>
        <w:tc>
          <w:tcPr>
            <w:tcW w:w="880" w:type="dxa"/>
            <w:vAlign w:val="bottom"/>
            <w:tcBorders>
              <w:bottom w:val="single" w:sz="8" w:color="00000A"/>
            </w:tcBorders>
          </w:tcPr>
          <w:p>
            <w:pPr>
              <w:spacing w:after="0"/>
              <w:rPr>
                <w:sz w:val="16"/>
                <w:szCs w:val="16"/>
                <w:color w:val="auto"/>
              </w:rPr>
            </w:pPr>
          </w:p>
        </w:tc>
        <w:tc>
          <w:tcPr>
            <w:tcW w:w="6480" w:type="dxa"/>
            <w:vAlign w:val="bottom"/>
            <w:tcBorders>
              <w:bottom w:val="single" w:sz="8" w:color="00000A"/>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80" w:type="dxa"/>
            <w:vAlign w:val="bottom"/>
            <w:tcBorders>
              <w:left w:val="single" w:sz="8" w:color="00000A"/>
              <w:right w:val="single" w:sz="8" w:color="00000A"/>
            </w:tcBorders>
          </w:tcPr>
          <w:p>
            <w:pPr>
              <w:ind w:left="300"/>
              <w:spacing w:after="0" w:line="181" w:lineRule="exact"/>
              <w:rPr>
                <w:sz w:val="20"/>
                <w:szCs w:val="20"/>
                <w:color w:val="auto"/>
              </w:rPr>
            </w:pPr>
            <w:r>
              <w:rPr>
                <w:rFonts w:ascii="Arial" w:cs="Arial" w:eastAsia="Arial" w:hAnsi="Arial"/>
                <w:sz w:val="16"/>
                <w:szCs w:val="16"/>
                <w:b w:val="1"/>
                <w:bCs w:val="1"/>
                <w:color w:val="auto"/>
              </w:rPr>
              <w:t>Upon Death or Disability</w:t>
            </w:r>
          </w:p>
        </w:tc>
        <w:tc>
          <w:tcPr>
            <w:tcW w:w="7900" w:type="dxa"/>
            <w:vAlign w:val="bottom"/>
            <w:tcBorders>
              <w:right w:val="single" w:sz="8" w:color="00000A"/>
            </w:tcBorders>
            <w:gridSpan w:val="5"/>
          </w:tcPr>
          <w:p>
            <w:pPr>
              <w:ind w:left="20"/>
              <w:spacing w:after="0" w:line="181" w:lineRule="exact"/>
              <w:rPr>
                <w:sz w:val="20"/>
                <w:szCs w:val="20"/>
                <w:color w:val="auto"/>
              </w:rPr>
            </w:pPr>
            <w:r>
              <w:rPr>
                <w:rFonts w:ascii="Arial" w:cs="Arial" w:eastAsia="Arial" w:hAnsi="Arial"/>
                <w:sz w:val="16"/>
                <w:szCs w:val="16"/>
                <w:color w:val="auto"/>
                <w:w w:val="92"/>
              </w:rPr>
              <w:t>JB shall be entitled to the (i) Accrued Obligations and (ii) any incentive and service awards for which JB was eligible may</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rPr>
              <w:t>be deemed by the Board to be vested through the end of the then current fiscal year.</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3"/>
              </w:rPr>
              <w:t>For clarity, vesting through the end of the then current fiscal year includes incentive awards earned as of the end of the</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4"/>
              </w:rPr>
              <w:t>applicable fiscal year, but not determined until subsequent approval by the Board of Directors in the normal course of</w:t>
            </w:r>
          </w:p>
        </w:tc>
        <w:tc>
          <w:tcPr>
            <w:tcW w:w="0" w:type="dxa"/>
            <w:vAlign w:val="bottom"/>
          </w:tcPr>
          <w:p>
            <w:pPr>
              <w:spacing w:after="0"/>
              <w:rPr>
                <w:sz w:val="1"/>
                <w:szCs w:val="1"/>
                <w:color w:val="auto"/>
              </w:rPr>
            </w:pPr>
          </w:p>
        </w:tc>
      </w:tr>
      <w:tr>
        <w:trPr>
          <w:trHeight w:val="210"/>
        </w:trPr>
        <w:tc>
          <w:tcPr>
            <w:tcW w:w="3580" w:type="dxa"/>
            <w:vAlign w:val="bottom"/>
            <w:tcBorders>
              <w:left w:val="single" w:sz="8" w:color="00000A"/>
              <w:bottom w:val="single" w:sz="8" w:color="00000A"/>
              <w:right w:val="single" w:sz="8" w:color="00000A"/>
            </w:tcBorders>
          </w:tcPr>
          <w:p>
            <w:pPr>
              <w:spacing w:after="0"/>
              <w:rPr>
                <w:sz w:val="18"/>
                <w:szCs w:val="18"/>
                <w:color w:val="auto"/>
              </w:rPr>
            </w:pPr>
          </w:p>
        </w:tc>
        <w:tc>
          <w:tcPr>
            <w:tcW w:w="7900" w:type="dxa"/>
            <w:vAlign w:val="bottom"/>
            <w:tcBorders>
              <w:bottom w:val="single" w:sz="8" w:color="00000A"/>
              <w:right w:val="single" w:sz="8" w:color="00000A"/>
            </w:tcBorders>
            <w:gridSpan w:val="5"/>
          </w:tcPr>
          <w:p>
            <w:pPr>
              <w:ind w:left="20"/>
              <w:spacing w:after="0"/>
              <w:rPr>
                <w:sz w:val="20"/>
                <w:szCs w:val="20"/>
                <w:color w:val="auto"/>
              </w:rPr>
            </w:pPr>
            <w:r>
              <w:rPr>
                <w:rFonts w:ascii="Arial" w:cs="Arial" w:eastAsia="Arial" w:hAnsi="Arial"/>
                <w:sz w:val="16"/>
                <w:szCs w:val="16"/>
                <w:color w:val="auto"/>
              </w:rPr>
              <w:t>business.</w:t>
            </w:r>
          </w:p>
        </w:tc>
        <w:tc>
          <w:tcPr>
            <w:tcW w:w="0" w:type="dxa"/>
            <w:vAlign w:val="bottom"/>
          </w:tcPr>
          <w:p>
            <w:pPr>
              <w:spacing w:after="0"/>
              <w:rPr>
                <w:sz w:val="1"/>
                <w:szCs w:val="1"/>
                <w:color w:val="auto"/>
              </w:rPr>
            </w:pPr>
          </w:p>
        </w:tc>
      </w:tr>
      <w:tr>
        <w:trPr>
          <w:trHeight w:val="186"/>
        </w:trPr>
        <w:tc>
          <w:tcPr>
            <w:tcW w:w="3580" w:type="dxa"/>
            <w:vAlign w:val="bottom"/>
            <w:tcBorders>
              <w:left w:val="single" w:sz="8" w:color="00000A"/>
              <w:right w:val="single" w:sz="8" w:color="00000A"/>
            </w:tcBorders>
          </w:tcPr>
          <w:p>
            <w:pPr>
              <w:ind w:left="300"/>
              <w:spacing w:after="0"/>
              <w:rPr>
                <w:sz w:val="20"/>
                <w:szCs w:val="20"/>
                <w:color w:val="auto"/>
              </w:rPr>
            </w:pPr>
            <w:r>
              <w:rPr>
                <w:rFonts w:ascii="Arial" w:cs="Arial" w:eastAsia="Arial" w:hAnsi="Arial"/>
                <w:sz w:val="16"/>
                <w:szCs w:val="16"/>
                <w:b w:val="1"/>
                <w:bCs w:val="1"/>
                <w:color w:val="auto"/>
              </w:rPr>
              <w:t>Termination Without Cause by EPM and</w:t>
            </w: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1"/>
              </w:rPr>
              <w:t>JB shall be entitled to (i) the Accrued Obligations, (ii) Base Salary and health benefits for twelve months (including during</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ind w:left="300"/>
              <w:spacing w:after="0"/>
              <w:rPr>
                <w:sz w:val="20"/>
                <w:szCs w:val="20"/>
                <w:color w:val="auto"/>
              </w:rPr>
            </w:pPr>
            <w:r>
              <w:rPr>
                <w:rFonts w:ascii="Arial" w:cs="Arial" w:eastAsia="Arial" w:hAnsi="Arial"/>
                <w:sz w:val="16"/>
                <w:szCs w:val="16"/>
                <w:b w:val="1"/>
                <w:bCs w:val="1"/>
                <w:color w:val="auto"/>
              </w:rPr>
              <w:t>Expiration of Term following Notice by</w:t>
            </w: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0"/>
              </w:rPr>
              <w:t>the period of Notice by the Company), and (iii) any incentive and service awards for which JB was eligible may be deemed</w:t>
            </w:r>
          </w:p>
        </w:tc>
        <w:tc>
          <w:tcPr>
            <w:tcW w:w="0" w:type="dxa"/>
            <w:vAlign w:val="bottom"/>
          </w:tcPr>
          <w:p>
            <w:pPr>
              <w:spacing w:after="0"/>
              <w:rPr>
                <w:sz w:val="1"/>
                <w:szCs w:val="1"/>
                <w:color w:val="auto"/>
              </w:rPr>
            </w:pPr>
          </w:p>
        </w:tc>
      </w:tr>
      <w:tr>
        <w:trPr>
          <w:trHeight w:val="187"/>
        </w:trPr>
        <w:tc>
          <w:tcPr>
            <w:tcW w:w="3580" w:type="dxa"/>
            <w:vAlign w:val="bottom"/>
            <w:tcBorders>
              <w:left w:val="single" w:sz="8" w:color="00000A"/>
              <w:right w:val="single" w:sz="8" w:color="00000A"/>
            </w:tcBorders>
          </w:tcPr>
          <w:p>
            <w:pPr>
              <w:ind w:left="300"/>
              <w:spacing w:after="0"/>
              <w:rPr>
                <w:sz w:val="20"/>
                <w:szCs w:val="20"/>
                <w:color w:val="auto"/>
              </w:rPr>
            </w:pPr>
            <w:r>
              <w:rPr>
                <w:rFonts w:ascii="Arial" w:cs="Arial" w:eastAsia="Arial" w:hAnsi="Arial"/>
                <w:sz w:val="16"/>
                <w:szCs w:val="16"/>
                <w:b w:val="1"/>
                <w:bCs w:val="1"/>
                <w:color w:val="auto"/>
              </w:rPr>
              <w:t>Company</w:t>
            </w: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rPr>
              <w:t>by the Board to be vested through the end of the then current fiscal year.</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3"/>
              </w:rPr>
              <w:t>For clarity, vesting through the end of the then current fiscal year includes incentive awards earned as of the end of the</w:t>
            </w:r>
          </w:p>
        </w:tc>
        <w:tc>
          <w:tcPr>
            <w:tcW w:w="0" w:type="dxa"/>
            <w:vAlign w:val="bottom"/>
          </w:tcPr>
          <w:p>
            <w:pPr>
              <w:spacing w:after="0"/>
              <w:rPr>
                <w:sz w:val="1"/>
                <w:szCs w:val="1"/>
                <w:color w:val="auto"/>
              </w:rPr>
            </w:pPr>
          </w:p>
        </w:tc>
      </w:tr>
      <w:tr>
        <w:trPr>
          <w:trHeight w:val="183"/>
        </w:trPr>
        <w:tc>
          <w:tcPr>
            <w:tcW w:w="3580" w:type="dxa"/>
            <w:vAlign w:val="bottom"/>
            <w:tcBorders>
              <w:left w:val="single" w:sz="8" w:color="00000A"/>
              <w:right w:val="single" w:sz="8" w:color="00000A"/>
            </w:tcBorders>
          </w:tcPr>
          <w:p>
            <w:pPr>
              <w:spacing w:after="0"/>
              <w:rPr>
                <w:sz w:val="15"/>
                <w:szCs w:val="15"/>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w w:val="94"/>
              </w:rPr>
              <w:t>applicable fiscal year, but not determined until subsequent approval by the Board of Directors in the normal course of</w:t>
            </w:r>
          </w:p>
        </w:tc>
        <w:tc>
          <w:tcPr>
            <w:tcW w:w="0" w:type="dxa"/>
            <w:vAlign w:val="bottom"/>
          </w:tcPr>
          <w:p>
            <w:pPr>
              <w:spacing w:after="0"/>
              <w:rPr>
                <w:sz w:val="1"/>
                <w:szCs w:val="1"/>
                <w:color w:val="auto"/>
              </w:rPr>
            </w:pPr>
          </w:p>
        </w:tc>
      </w:tr>
      <w:tr>
        <w:trPr>
          <w:trHeight w:val="201"/>
        </w:trPr>
        <w:tc>
          <w:tcPr>
            <w:tcW w:w="3580" w:type="dxa"/>
            <w:vAlign w:val="bottom"/>
            <w:tcBorders>
              <w:left w:val="single" w:sz="8" w:color="00000A"/>
              <w:right w:val="single" w:sz="8" w:color="00000A"/>
            </w:tcBorders>
          </w:tcPr>
          <w:p>
            <w:pPr>
              <w:spacing w:after="0"/>
              <w:rPr>
                <w:sz w:val="17"/>
                <w:szCs w:val="17"/>
                <w:color w:val="auto"/>
              </w:rPr>
            </w:pPr>
          </w:p>
        </w:tc>
        <w:tc>
          <w:tcPr>
            <w:tcW w:w="7900" w:type="dxa"/>
            <w:vAlign w:val="bottom"/>
            <w:tcBorders>
              <w:right w:val="single" w:sz="8" w:color="00000A"/>
            </w:tcBorders>
            <w:gridSpan w:val="5"/>
          </w:tcPr>
          <w:p>
            <w:pPr>
              <w:ind w:left="20"/>
              <w:spacing w:after="0"/>
              <w:rPr>
                <w:sz w:val="20"/>
                <w:szCs w:val="20"/>
                <w:color w:val="auto"/>
              </w:rPr>
            </w:pPr>
            <w:r>
              <w:rPr>
                <w:rFonts w:ascii="Arial" w:cs="Arial" w:eastAsia="Arial" w:hAnsi="Arial"/>
                <w:sz w:val="16"/>
                <w:szCs w:val="16"/>
                <w:color w:val="auto"/>
              </w:rPr>
              <w:t>business.</w:t>
            </w:r>
          </w:p>
        </w:tc>
        <w:tc>
          <w:tcPr>
            <w:tcW w:w="0" w:type="dxa"/>
            <w:vAlign w:val="bottom"/>
          </w:tcPr>
          <w:p>
            <w:pPr>
              <w:spacing w:after="0"/>
              <w:rPr>
                <w:sz w:val="1"/>
                <w:szCs w:val="1"/>
                <w:color w:val="auto"/>
              </w:rPr>
            </w:pPr>
          </w:p>
        </w:tc>
      </w:tr>
      <w:tr>
        <w:trPr>
          <w:trHeight w:val="191"/>
        </w:trPr>
        <w:tc>
          <w:tcPr>
            <w:tcW w:w="3580" w:type="dxa"/>
            <w:vAlign w:val="bottom"/>
            <w:tcBorders>
              <w:left w:val="single" w:sz="8" w:color="00000A"/>
              <w:bottom w:val="single" w:sz="8" w:color="00000A"/>
              <w:right w:val="single" w:sz="8" w:color="00000A"/>
            </w:tcBorders>
          </w:tcPr>
          <w:p>
            <w:pPr>
              <w:spacing w:after="0"/>
              <w:rPr>
                <w:sz w:val="16"/>
                <w:szCs w:val="16"/>
                <w:color w:val="auto"/>
              </w:rPr>
            </w:pPr>
          </w:p>
        </w:tc>
        <w:tc>
          <w:tcPr>
            <w:tcW w:w="80" w:type="dxa"/>
            <w:vAlign w:val="bottom"/>
            <w:tcBorders>
              <w:bottom w:val="single" w:sz="8" w:color="00000A"/>
            </w:tcBorders>
          </w:tcPr>
          <w:p>
            <w:pPr>
              <w:spacing w:after="0"/>
              <w:rPr>
                <w:sz w:val="16"/>
                <w:szCs w:val="16"/>
                <w:color w:val="auto"/>
              </w:rPr>
            </w:pPr>
          </w:p>
        </w:tc>
        <w:tc>
          <w:tcPr>
            <w:tcW w:w="60" w:type="dxa"/>
            <w:vAlign w:val="bottom"/>
            <w:tcBorders>
              <w:bottom w:val="single" w:sz="8" w:color="00000A"/>
            </w:tcBorders>
          </w:tcPr>
          <w:p>
            <w:pPr>
              <w:spacing w:after="0"/>
              <w:rPr>
                <w:sz w:val="16"/>
                <w:szCs w:val="16"/>
                <w:color w:val="auto"/>
              </w:rPr>
            </w:pPr>
          </w:p>
        </w:tc>
        <w:tc>
          <w:tcPr>
            <w:tcW w:w="400" w:type="dxa"/>
            <w:vAlign w:val="bottom"/>
            <w:tcBorders>
              <w:bottom w:val="single" w:sz="8" w:color="00000A"/>
            </w:tcBorders>
          </w:tcPr>
          <w:p>
            <w:pPr>
              <w:spacing w:after="0"/>
              <w:rPr>
                <w:sz w:val="16"/>
                <w:szCs w:val="16"/>
                <w:color w:val="auto"/>
              </w:rPr>
            </w:pPr>
          </w:p>
        </w:tc>
        <w:tc>
          <w:tcPr>
            <w:tcW w:w="880" w:type="dxa"/>
            <w:vAlign w:val="bottom"/>
            <w:tcBorders>
              <w:bottom w:val="single" w:sz="8" w:color="00000A"/>
            </w:tcBorders>
          </w:tcPr>
          <w:p>
            <w:pPr>
              <w:spacing w:after="0"/>
              <w:rPr>
                <w:sz w:val="16"/>
                <w:szCs w:val="16"/>
                <w:color w:val="auto"/>
              </w:rPr>
            </w:pPr>
          </w:p>
        </w:tc>
        <w:tc>
          <w:tcPr>
            <w:tcW w:w="6480" w:type="dxa"/>
            <w:vAlign w:val="bottom"/>
            <w:tcBorders>
              <w:bottom w:val="single" w:sz="8" w:color="00000A"/>
              <w:right w:val="single" w:sz="8" w:color="00000A"/>
            </w:tcBorders>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3580" w:type="dxa"/>
            <w:vAlign w:val="bottom"/>
          </w:tcPr>
          <w:p>
            <w:pPr>
              <w:spacing w:after="0"/>
              <w:rPr>
                <w:sz w:val="24"/>
                <w:szCs w:val="24"/>
                <w:color w:val="auto"/>
              </w:rPr>
            </w:pPr>
          </w:p>
        </w:tc>
        <w:tc>
          <w:tcPr>
            <w:tcW w:w="7900" w:type="dxa"/>
            <w:vAlign w:val="bottom"/>
            <w:gridSpan w:val="5"/>
          </w:tcPr>
          <w:p>
            <w:pPr>
              <w:ind w:left="21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ectPr>
          <w:pgSz w:w="11900" w:h="16838" w:orient="portrait"/>
          <w:cols w:equalWidth="0" w:num="1">
            <w:col w:w="11480"/>
          </w:cols>
          <w:pgMar w:left="220" w:top="626" w:right="199" w:bottom="1440" w:gutter="0" w:footer="0" w:header="0"/>
        </w:sectPr>
      </w:pPr>
    </w:p>
    <w:bookmarkStart w:id="95" w:name="page96"/>
    <w:bookmarkEnd w:id="95"/>
    <w:p>
      <w:pPr>
        <w:spacing w:after="0" w:line="305" w:lineRule="auto"/>
        <w:rPr>
          <w:sz w:val="20"/>
          <w:szCs w:val="20"/>
          <w:color w:val="auto"/>
        </w:rPr>
      </w:pPr>
      <w:r>
        <w:rPr>
          <w:rFonts w:ascii="Arial" w:cs="Arial" w:eastAsia="Arial" w:hAnsi="Arial"/>
          <w:sz w:val="14"/>
          <w:szCs w:val="14"/>
          <w:b w:val="1"/>
          <w:bCs w:val="1"/>
          <w:color w:val="auto"/>
        </w:rPr>
        <w:t>Noncompetition/ Nonsolicitation (subject to the exclusions regarding Longbow Energy in the Agreement to which this Exhibit A is attached)</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Arial" w:cs="Arial" w:eastAsia="Arial" w:hAnsi="Arial"/>
          <w:sz w:val="16"/>
          <w:szCs w:val="16"/>
          <w:color w:val="auto"/>
        </w:rPr>
        <w:t>During the Term and for 1 year following termination of employment for any reason, JB is subject to the Competition Restriction, the Solicitation Restriction and the Hiring Restriction (collectively, the “</w:t>
      </w:r>
      <w:r>
        <w:rPr>
          <w:rFonts w:ascii="Arial" w:cs="Arial" w:eastAsia="Arial" w:hAnsi="Arial"/>
          <w:sz w:val="16"/>
          <w:szCs w:val="16"/>
          <w:u w:val="single" w:color="auto"/>
          <w:color w:val="auto"/>
        </w:rPr>
        <w:t>Restrictions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-2281555</wp:posOffset>
            </wp:positionH>
            <wp:positionV relativeFrom="paragraph">
              <wp:posOffset>-263525</wp:posOffset>
            </wp:positionV>
            <wp:extent cx="7280910" cy="3359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extLst>
                    </a:blip>
                    <a:srcRect/>
                    <a:stretch>
                      <a:fillRect/>
                    </a:stretch>
                  </pic:blipFill>
                  <pic:spPr bwMode="auto">
                    <a:xfrm>
                      <a:off x="0" y="0"/>
                      <a:ext cx="7280910" cy="3359785"/>
                    </a:xfrm>
                    <a:prstGeom prst="rect">
                      <a:avLst/>
                    </a:prstGeom>
                    <a:noFill/>
                  </pic:spPr>
                </pic:pic>
              </a:graphicData>
            </a:graphic>
          </wp:anchor>
        </w:drawing>
      </w:r>
    </w:p>
    <w:p>
      <w:pPr>
        <w:spacing w:after="0" w:line="29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Competition Restrictions</w:t>
      </w:r>
      <w:r>
        <w:rPr>
          <w:rFonts w:ascii="Arial" w:cs="Arial" w:eastAsia="Arial" w:hAnsi="Arial"/>
          <w:sz w:val="16"/>
          <w:szCs w:val="16"/>
          <w:color w:val="auto"/>
        </w:rPr>
        <w:t>” means the prohibition on JB’s association with any Competitive Enterprise (competing directly or through any third party), for himself or on behalf of or in conjunction with any person, partnership, corporation or other entity, whether as an employee, agent, officer, director, shareholder, partner, joint venturer, investor, advisor, consultant or otherwise.</w:t>
      </w:r>
    </w:p>
    <w:p>
      <w:pPr>
        <w:spacing w:after="0" w:line="323"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Competitive Enterprise</w:t>
      </w:r>
      <w:r>
        <w:rPr>
          <w:rFonts w:ascii="Arial" w:cs="Arial" w:eastAsia="Arial" w:hAnsi="Arial"/>
          <w:sz w:val="15"/>
          <w:szCs w:val="15"/>
          <w:color w:val="auto"/>
        </w:rPr>
        <w:t>” means any business enterprise that engages in a business conducted by EPM during the term of JB’s employment with the Company, and following termination of JB’s employment shall be limited to upstream and midstream businesses within twenty-five (25) miles of any asset of the Company or which the Company has attempted to purchase during the twelve (12) months prior to termination of JB’s employment with the Company.</w:t>
      </w:r>
    </w:p>
    <w:p>
      <w:pPr>
        <w:spacing w:after="0" w:line="30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Hiring Restriction</w:t>
      </w:r>
      <w:r>
        <w:rPr>
          <w:rFonts w:ascii="Arial" w:cs="Arial" w:eastAsia="Arial" w:hAnsi="Arial"/>
          <w:sz w:val="16"/>
          <w:szCs w:val="16"/>
          <w:color w:val="auto"/>
        </w:rPr>
        <w:t>” means the prohibition on hiring, seeking to hire, or otherwise encouraging the resignation of any individual who provides services to the Company, excluding any secretary or executive assistant who, if existing, provided assistance to JB as a primary job responsibility.</w:t>
      </w:r>
    </w:p>
    <w:p>
      <w:pPr>
        <w:spacing w:after="0" w:line="14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Solicitation Restriction</w:t>
      </w:r>
      <w:r>
        <w:rPr>
          <w:rFonts w:ascii="Arial" w:cs="Arial" w:eastAsia="Arial" w:hAnsi="Arial"/>
          <w:sz w:val="15"/>
          <w:szCs w:val="15"/>
          <w:color w:val="auto"/>
        </w:rPr>
        <w:t>” means the prohibition on directly or indirectly soliciting or attempting to solicit the business of any individual or entity which is a customer of the Company or was a customer at any time during the 12-month period prior to termination, and which is the same nature of business conducted by the Company.</w:t>
      </w:r>
    </w:p>
    <w:p>
      <w:pPr>
        <w:spacing w:after="0" w:line="200" w:lineRule="exact"/>
        <w:rPr>
          <w:sz w:val="20"/>
          <w:szCs w:val="20"/>
          <w:color w:val="auto"/>
        </w:rPr>
      </w:pPr>
    </w:p>
    <w:p>
      <w:pPr>
        <w:sectPr>
          <w:pgSz w:w="11900" w:h="16838" w:orient="portrait"/>
          <w:cols w:equalWidth="0" w:num="2">
            <w:col w:w="3180" w:space="380"/>
            <w:col w:w="7840"/>
          </w:cols>
          <w:pgMar w:left="260" w:top="660" w:right="239" w:bottom="1440" w:gutter="0" w:footer="0" w:header="0"/>
        </w:sectPr>
      </w:pP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2900" w:type="dxa"/>
            <w:vAlign w:val="bottom"/>
          </w:tcPr>
          <w:p>
            <w:pPr>
              <w:spacing w:after="0"/>
              <w:rPr>
                <w:sz w:val="20"/>
                <w:szCs w:val="20"/>
                <w:color w:val="auto"/>
              </w:rPr>
            </w:pPr>
            <w:r>
              <w:rPr>
                <w:rFonts w:ascii="Arial" w:cs="Arial" w:eastAsia="Arial" w:hAnsi="Arial"/>
                <w:sz w:val="16"/>
                <w:szCs w:val="16"/>
                <w:b w:val="1"/>
                <w:bCs w:val="1"/>
                <w:color w:val="auto"/>
              </w:rPr>
              <w:t>Employee’s Notice of Resignation:</w:t>
            </w:r>
          </w:p>
        </w:tc>
        <w:tc>
          <w:tcPr>
            <w:tcW w:w="5580" w:type="dxa"/>
            <w:vAlign w:val="bottom"/>
          </w:tcPr>
          <w:p>
            <w:pPr>
              <w:ind w:left="600"/>
              <w:spacing w:after="0"/>
              <w:rPr>
                <w:sz w:val="20"/>
                <w:szCs w:val="20"/>
                <w:color w:val="auto"/>
              </w:rPr>
            </w:pPr>
            <w:r>
              <w:rPr>
                <w:rFonts w:ascii="Arial" w:cs="Arial" w:eastAsia="Arial" w:hAnsi="Arial"/>
                <w:sz w:val="16"/>
                <w:szCs w:val="16"/>
                <w:color w:val="auto"/>
                <w:w w:val="89"/>
              </w:rPr>
              <w:t>JB shall be obligated to give the Company three months’ notice of resignation.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60" w:top="660" w:right="23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4"/>
          <w:szCs w:val="14"/>
          <w:b w:val="1"/>
          <w:bCs w:val="1"/>
          <w:color w:val="auto"/>
        </w:rPr>
        <w:t>Exhibit 21.1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gridSpan w:val="2"/>
          </w:tcPr>
          <w:p>
            <w:pPr>
              <w:ind w:left="4020"/>
              <w:spacing w:after="0"/>
              <w:rPr>
                <w:sz w:val="20"/>
                <w:szCs w:val="20"/>
                <w:color w:val="auto"/>
              </w:rPr>
            </w:pPr>
            <w:r>
              <w:rPr>
                <w:rFonts w:ascii="Arial" w:cs="Arial" w:eastAsia="Arial" w:hAnsi="Arial"/>
                <w:sz w:val="14"/>
                <w:szCs w:val="14"/>
                <w:b w:val="1"/>
                <w:bCs w:val="1"/>
                <w:color w:val="auto"/>
              </w:rPr>
              <w:t>List of Subsidiaries of Evolution Petroleum Corporation</w:t>
            </w:r>
          </w:p>
        </w:tc>
        <w:tc>
          <w:tcPr>
            <w:tcW w:w="2020" w:type="dxa"/>
            <w:vAlign w:val="bottom"/>
          </w:tcPr>
          <w:p>
            <w:pPr>
              <w:spacing w:after="0"/>
              <w:rPr>
                <w:sz w:val="16"/>
                <w:szCs w:val="16"/>
                <w:color w:val="auto"/>
              </w:rPr>
            </w:pPr>
          </w:p>
        </w:tc>
      </w:tr>
      <w:tr>
        <w:trPr>
          <w:trHeight w:val="633"/>
        </w:trPr>
        <w:tc>
          <w:tcPr>
            <w:tcW w:w="7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ind w:left="20"/>
              <w:spacing w:after="0"/>
              <w:rPr>
                <w:sz w:val="20"/>
                <w:szCs w:val="20"/>
                <w:color w:val="auto"/>
              </w:rPr>
            </w:pPr>
            <w:r>
              <w:rPr>
                <w:rFonts w:ascii="Arial" w:cs="Arial" w:eastAsia="Arial" w:hAnsi="Arial"/>
                <w:sz w:val="14"/>
                <w:szCs w:val="14"/>
                <w:b w:val="1"/>
                <w:bCs w:val="1"/>
                <w:color w:val="auto"/>
                <w:w w:val="94"/>
              </w:rPr>
              <w:t>Jurisdiction of Incorporation or</w:t>
            </w:r>
          </w:p>
        </w:tc>
      </w:tr>
      <w:tr>
        <w:trPr>
          <w:trHeight w:val="186"/>
        </w:trPr>
        <w:tc>
          <w:tcPr>
            <w:tcW w:w="8140" w:type="dxa"/>
            <w:vAlign w:val="bottom"/>
            <w:gridSpan w:val="2"/>
          </w:tcPr>
          <w:p>
            <w:pPr>
              <w:ind w:left="3320"/>
              <w:spacing w:after="0"/>
              <w:rPr>
                <w:sz w:val="20"/>
                <w:szCs w:val="20"/>
                <w:color w:val="auto"/>
              </w:rPr>
            </w:pPr>
            <w:r>
              <w:rPr>
                <w:rFonts w:ascii="Arial" w:cs="Arial" w:eastAsia="Arial" w:hAnsi="Arial"/>
                <w:sz w:val="14"/>
                <w:szCs w:val="14"/>
                <w:b w:val="1"/>
                <w:bCs w:val="1"/>
                <w:color w:val="auto"/>
              </w:rPr>
              <w:t>Name of Subsidiary</w:t>
            </w:r>
          </w:p>
        </w:tc>
        <w:tc>
          <w:tcPr>
            <w:tcW w:w="2020" w:type="dxa"/>
            <w:vAlign w:val="bottom"/>
          </w:tcPr>
          <w:p>
            <w:pPr>
              <w:ind w:left="600"/>
              <w:spacing w:after="0"/>
              <w:rPr>
                <w:sz w:val="20"/>
                <w:szCs w:val="20"/>
                <w:color w:val="auto"/>
              </w:rPr>
            </w:pPr>
            <w:r>
              <w:rPr>
                <w:rFonts w:ascii="Arial" w:cs="Arial" w:eastAsia="Arial" w:hAnsi="Arial"/>
                <w:sz w:val="14"/>
                <w:szCs w:val="14"/>
                <w:b w:val="1"/>
                <w:bCs w:val="1"/>
                <w:color w:val="auto"/>
              </w:rPr>
              <w:t>Organization</w:t>
            </w:r>
          </w:p>
        </w:tc>
      </w:tr>
      <w:tr>
        <w:trPr>
          <w:trHeight w:val="23"/>
        </w:trPr>
        <w:tc>
          <w:tcPr>
            <w:tcW w:w="7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84"/>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Evolution Royalties, Inc.</w:t>
            </w:r>
          </w:p>
        </w:tc>
        <w:tc>
          <w:tcPr>
            <w:tcW w:w="20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16"/>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Evolution Petroleum West, Inc.</w:t>
            </w:r>
          </w:p>
        </w:tc>
        <w:tc>
          <w:tcPr>
            <w:tcW w:w="20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16"/>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NGS Sub Corp.</w:t>
            </w:r>
          </w:p>
        </w:tc>
        <w:tc>
          <w:tcPr>
            <w:tcW w:w="20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16"/>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NGS Technologies, Inc.</w:t>
            </w:r>
          </w:p>
        </w:tc>
        <w:tc>
          <w:tcPr>
            <w:tcW w:w="20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216"/>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Evolution Operating Co., Inc.</w:t>
            </w:r>
          </w:p>
        </w:tc>
        <w:tc>
          <w:tcPr>
            <w:tcW w:w="202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216"/>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Evolution Petroleum OK, Inc.</w:t>
            </w:r>
          </w:p>
        </w:tc>
        <w:tc>
          <w:tcPr>
            <w:tcW w:w="202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216"/>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Tertiaire Resources Company</w:t>
            </w:r>
          </w:p>
        </w:tc>
        <w:tc>
          <w:tcPr>
            <w:tcW w:w="202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216"/>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ARKLA Petroleum, LLC (Subsidiary of NGS Sub. Corp.)</w:t>
            </w:r>
          </w:p>
        </w:tc>
        <w:tc>
          <w:tcPr>
            <w:tcW w:w="2020" w:type="dxa"/>
            <w:vAlign w:val="bottom"/>
          </w:tcPr>
          <w:p>
            <w:pPr>
              <w:ind w:left="20"/>
              <w:spacing w:after="0"/>
              <w:rPr>
                <w:sz w:val="20"/>
                <w:szCs w:val="20"/>
                <w:color w:val="auto"/>
              </w:rPr>
            </w:pPr>
            <w:r>
              <w:rPr>
                <w:rFonts w:ascii="Arial" w:cs="Arial" w:eastAsia="Arial" w:hAnsi="Arial"/>
                <w:sz w:val="14"/>
                <w:szCs w:val="14"/>
                <w:color w:val="auto"/>
              </w:rPr>
              <w:t>Louisiana</w:t>
            </w:r>
          </w:p>
        </w:tc>
      </w:tr>
      <w:tr>
        <w:trPr>
          <w:trHeight w:val="216"/>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NGS Resources, LLC (Subsidiary of NGS Technologies, Inc.)</w:t>
            </w:r>
          </w:p>
        </w:tc>
        <w:tc>
          <w:tcPr>
            <w:tcW w:w="2020" w:type="dxa"/>
            <w:vAlign w:val="bottom"/>
          </w:tcPr>
          <w:p>
            <w:pPr>
              <w:ind w:left="20"/>
              <w:spacing w:after="0"/>
              <w:rPr>
                <w:sz w:val="20"/>
                <w:szCs w:val="20"/>
                <w:color w:val="auto"/>
              </w:rPr>
            </w:pPr>
            <w:r>
              <w:rPr>
                <w:rFonts w:ascii="Arial" w:cs="Arial" w:eastAsia="Arial" w:hAnsi="Arial"/>
                <w:sz w:val="14"/>
                <w:szCs w:val="14"/>
                <w:color w:val="auto"/>
              </w:rPr>
              <w:t>Texas</w:t>
            </w:r>
          </w:p>
        </w:tc>
      </w:tr>
    </w:tbl>
    <w:p>
      <w:pPr>
        <w:sectPr>
          <w:pgSz w:w="11900" w:h="16838" w:orient="portrait"/>
          <w:cols w:equalWidth="0" w:num="1">
            <w:col w:w="11460"/>
          </w:cols>
          <w:pgMar w:left="220" w:top="125" w:right="21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70" w:lineRule="exact"/>
        <w:rPr>
          <w:sz w:val="20"/>
          <w:szCs w:val="20"/>
          <w:color w:val="auto"/>
        </w:rPr>
      </w:pPr>
    </w:p>
    <w:p>
      <w:pPr>
        <w:jc w:val="both"/>
        <w:spacing w:after="0" w:line="188" w:lineRule="exact"/>
        <w:rPr>
          <w:sz w:val="20"/>
          <w:szCs w:val="20"/>
          <w:color w:val="auto"/>
        </w:rPr>
      </w:pPr>
      <w:r>
        <w:rPr>
          <w:rFonts w:ascii="Arial" w:cs="Arial" w:eastAsia="Arial" w:hAnsi="Arial"/>
          <w:sz w:val="14"/>
          <w:szCs w:val="14"/>
          <w:color w:val="auto"/>
        </w:rPr>
        <w:t>We consent to the incorporation by reference in Registration Statements (Form S-3/A No. 333-231412, Form S-3 No. 333-193899, Form S-8 Nos. 333</w:t>
      </w:r>
      <w:r>
        <w:rPr>
          <w:rFonts w:ascii="MS PGothic" w:cs="MS PGothic" w:eastAsia="MS PGothic" w:hAnsi="MS PGothic"/>
          <w:sz w:val="14"/>
          <w:szCs w:val="14"/>
          <w:color w:val="auto"/>
        </w:rPr>
        <w:t>‑</w:t>
      </w:r>
      <w:r>
        <w:rPr>
          <w:rFonts w:ascii="Arial" w:cs="Arial" w:eastAsia="Arial" w:hAnsi="Arial"/>
          <w:sz w:val="14"/>
          <w:szCs w:val="14"/>
          <w:color w:val="auto"/>
        </w:rPr>
        <w:t>152136, 333</w:t>
      </w:r>
      <w:r>
        <w:rPr>
          <w:rFonts w:ascii="MS PGothic" w:cs="MS PGothic" w:eastAsia="MS PGothic" w:hAnsi="MS PGothic"/>
          <w:sz w:val="14"/>
          <w:szCs w:val="14"/>
          <w:color w:val="auto"/>
        </w:rPr>
        <w:t>‑</w:t>
      </w:r>
      <w:r>
        <w:rPr>
          <w:rFonts w:ascii="Arial" w:cs="Arial" w:eastAsia="Arial" w:hAnsi="Arial"/>
          <w:sz w:val="14"/>
          <w:szCs w:val="14"/>
          <w:color w:val="auto"/>
        </w:rPr>
        <w:t>140182, 333</w:t>
      </w:r>
      <w:r>
        <w:rPr>
          <w:rFonts w:ascii="MS PGothic" w:cs="MS PGothic" w:eastAsia="MS PGothic" w:hAnsi="MS PGothic"/>
          <w:sz w:val="14"/>
          <w:szCs w:val="14"/>
          <w:color w:val="auto"/>
        </w:rPr>
        <w:t>‑</w:t>
      </w:r>
      <w:r>
        <w:rPr>
          <w:rFonts w:ascii="Arial" w:cs="Arial" w:eastAsia="Arial" w:hAnsi="Arial"/>
          <w:sz w:val="14"/>
          <w:szCs w:val="14"/>
          <w:color w:val="auto"/>
        </w:rPr>
        <w:t>183746 and 333</w:t>
      </w:r>
      <w:r>
        <w:rPr>
          <w:rFonts w:ascii="MS PGothic" w:cs="MS PGothic" w:eastAsia="MS PGothic" w:hAnsi="MS PGothic"/>
          <w:sz w:val="14"/>
          <w:szCs w:val="14"/>
          <w:color w:val="auto"/>
        </w:rPr>
        <w:t>‑</w:t>
      </w:r>
      <w:r>
        <w:rPr>
          <w:rFonts w:ascii="Arial" w:cs="Arial" w:eastAsia="Arial" w:hAnsi="Arial"/>
          <w:sz w:val="14"/>
          <w:szCs w:val="14"/>
          <w:color w:val="auto"/>
        </w:rPr>
        <w:t>216098) of Evolution Petroleum Corporation of our reports dated September 12, 2019, relating to the consolidated financial statements and the effectiveness of internal control over financial reporting of Evolution Petroleum Corporation, which reports appear in the Form 10-K of Evolution Petroleum Corporation for the year ended June 30, 2019 (and express an unqualified opinion), and to the reference to our firm under the heading “Experts” in the Prospectuses, which are part of those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/s/ Moss Adams LLP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rPr>
          <w:sz w:val="20"/>
          <w:szCs w:val="20"/>
          <w:color w:val="auto"/>
        </w:rPr>
      </w:pPr>
      <w:r>
        <w:rPr>
          <w:rFonts w:ascii="Arial" w:cs="Arial" w:eastAsia="Arial" w:hAnsi="Arial"/>
          <w:sz w:val="16"/>
          <w:szCs w:val="16"/>
          <w:color w:val="auto"/>
        </w:rPr>
        <w:t>September 12, 2019</w:t>
      </w:r>
    </w:p>
    <w:p>
      <w:pPr>
        <w:sectPr>
          <w:pgSz w:w="11900" w:h="16838" w:orient="portrait"/>
          <w:cols w:equalWidth="0" w:num="1">
            <w:col w:w="11460"/>
          </w:cols>
          <w:pgMar w:left="220" w:top="121"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4"/>
          <w:szCs w:val="14"/>
          <w:b w:val="1"/>
          <w:bCs w:val="1"/>
          <w:color w:val="1D1D1D"/>
        </w:rPr>
        <w:t>EXHIBIT 23.2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DEGOLYER AND MACNAUGHTON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500 I SPRING ALLEY ROAD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SUITE 800 EAST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DALLAS, TEXAS 75244</w:t>
      </w: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1D1D1D"/>
        </w:rPr>
        <w:t>September 12, 2019</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1D1D1D"/>
        </w:rPr>
        <w:t>Evolution Petroleum Corporation 1155 Dairy Ashford, Suite 425</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1D1D1D"/>
        </w:rPr>
        <w:t>Houston, Texas 77079</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6"/>
          <w:szCs w:val="16"/>
          <w:color w:val="1D1D1D"/>
        </w:rPr>
        <w:t>Ladies and Gentlemen:</w:t>
      </w:r>
    </w:p>
    <w:p>
      <w:pPr>
        <w:spacing w:after="0" w:line="161" w:lineRule="exact"/>
        <w:rPr>
          <w:sz w:val="20"/>
          <w:szCs w:val="20"/>
          <w:color w:val="auto"/>
        </w:rPr>
      </w:pPr>
    </w:p>
    <w:p>
      <w:pPr>
        <w:jc w:val="both"/>
        <w:ind w:firstLine="517"/>
        <w:spacing w:after="0" w:line="309" w:lineRule="auto"/>
        <w:rPr>
          <w:sz w:val="20"/>
          <w:szCs w:val="20"/>
          <w:color w:val="auto"/>
        </w:rPr>
      </w:pPr>
      <w:r>
        <w:rPr>
          <w:rFonts w:ascii="Arial" w:cs="Arial" w:eastAsia="Arial" w:hAnsi="Arial"/>
          <w:sz w:val="15"/>
          <w:szCs w:val="15"/>
          <w:color w:val="1D1D1D"/>
        </w:rPr>
        <w:t xml:space="preserve">We </w:t>
      </w:r>
      <w:r>
        <w:rPr>
          <w:rFonts w:ascii="Arial" w:cs="Arial" w:eastAsia="Arial" w:hAnsi="Arial"/>
          <w:sz w:val="15"/>
          <w:szCs w:val="15"/>
          <w:color w:val="000000"/>
        </w:rPr>
        <w:t>hereby consent to the use of the name DeGolyer and MacNaughton, to references to DeGolyer and MacNaughton, to the inclusion of our report of third party dated</w:t>
      </w:r>
      <w:r>
        <w:rPr>
          <w:rFonts w:ascii="Arial" w:cs="Arial" w:eastAsia="Arial" w:hAnsi="Arial"/>
          <w:sz w:val="15"/>
          <w:szCs w:val="15"/>
          <w:color w:val="1D1D1D"/>
        </w:rPr>
        <w:t xml:space="preserve"> </w:t>
      </w:r>
      <w:r>
        <w:rPr>
          <w:rFonts w:ascii="Arial" w:cs="Arial" w:eastAsia="Arial" w:hAnsi="Arial"/>
          <w:sz w:val="15"/>
          <w:szCs w:val="15"/>
          <w:color w:val="000000"/>
        </w:rPr>
        <w:t>August 2, 2019, and to the inclusion of information taken from our report entitled "Report as of June 30, 2019 on Reserves and Revenue of Certain Properties with interests attributable to Evolution Petroleum Corporation" in the Annual Report on Form 10-K of Evolution Petroleum Corporation for the year ended June 30, 2019. We further consent to the incorporation by reference of information in the Form 10-K in the Evolution Petroleum Corporation Registration Statements on Form S-8 (File Nos. 333-152136, 333-140182, 333-183746, and 333-216098), Form S-3/A (File No. 333-231412) and Form S-3 (File No. 333-193899).</w:t>
      </w:r>
    </w:p>
    <w:p>
      <w:pPr>
        <w:spacing w:after="0" w:line="200" w:lineRule="exact"/>
        <w:rPr>
          <w:sz w:val="20"/>
          <w:szCs w:val="20"/>
          <w:color w:val="auto"/>
        </w:rPr>
      </w:pPr>
    </w:p>
    <w:p>
      <w:pPr>
        <w:spacing w:after="0" w:line="263" w:lineRule="exact"/>
        <w:rPr>
          <w:sz w:val="20"/>
          <w:szCs w:val="20"/>
          <w:color w:val="auto"/>
        </w:rPr>
      </w:pPr>
    </w:p>
    <w:p>
      <w:pPr>
        <w:ind w:left="3420"/>
        <w:spacing w:after="0"/>
        <w:rPr>
          <w:sz w:val="20"/>
          <w:szCs w:val="20"/>
          <w:color w:val="auto"/>
        </w:rPr>
      </w:pPr>
      <w:r>
        <w:rPr>
          <w:rFonts w:ascii="Arial" w:cs="Arial" w:eastAsia="Arial" w:hAnsi="Arial"/>
          <w:sz w:val="16"/>
          <w:szCs w:val="16"/>
          <w:color w:val="1D1D1D"/>
        </w:rPr>
        <w:t>Very truly yours,</w:t>
      </w:r>
    </w:p>
    <w:p>
      <w:pPr>
        <w:spacing w:after="0" w:line="172"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color w:val="1D1D1D"/>
        </w:rPr>
        <w:t>DeGolyer and MacNaughton</w:t>
      </w:r>
    </w:p>
    <w:p>
      <w:pPr>
        <w:spacing w:after="0" w:line="172" w:lineRule="exact"/>
        <w:rPr>
          <w:sz w:val="20"/>
          <w:szCs w:val="20"/>
          <w:color w:val="auto"/>
        </w:rPr>
      </w:pPr>
    </w:p>
    <w:p>
      <w:pPr>
        <w:ind w:left="3420"/>
        <w:spacing w:after="0"/>
        <w:rPr>
          <w:sz w:val="20"/>
          <w:szCs w:val="20"/>
          <w:color w:val="auto"/>
        </w:rPr>
      </w:pPr>
      <w:r>
        <w:rPr>
          <w:rFonts w:ascii="Arial" w:cs="Arial" w:eastAsia="Arial" w:hAnsi="Arial"/>
          <w:sz w:val="16"/>
          <w:szCs w:val="16"/>
          <w:color w:val="1D1D1D"/>
        </w:rPr>
        <w:t>DeGOLYER and MacNAUGHTON</w:t>
      </w:r>
    </w:p>
    <w:p>
      <w:pPr>
        <w:spacing w:after="0" w:line="172" w:lineRule="exact"/>
        <w:rPr>
          <w:sz w:val="20"/>
          <w:szCs w:val="20"/>
          <w:color w:val="auto"/>
        </w:rPr>
      </w:pPr>
    </w:p>
    <w:p>
      <w:pPr>
        <w:ind w:left="3420"/>
        <w:spacing w:after="0"/>
        <w:rPr>
          <w:sz w:val="20"/>
          <w:szCs w:val="20"/>
          <w:color w:val="auto"/>
        </w:rPr>
      </w:pPr>
      <w:r>
        <w:rPr>
          <w:rFonts w:ascii="Arial" w:cs="Arial" w:eastAsia="Arial" w:hAnsi="Arial"/>
          <w:sz w:val="16"/>
          <w:szCs w:val="16"/>
          <w:color w:val="1D1D1D"/>
        </w:rPr>
        <w:t>Texas Registered Engineering Firm F-716</w:t>
      </w:r>
    </w:p>
    <w:p>
      <w:pPr>
        <w:sectPr>
          <w:pgSz w:w="11900" w:h="16838" w:orient="portrait"/>
          <w:cols w:equalWidth="0" w:num="1">
            <w:col w:w="11380"/>
          </w:cols>
          <w:pgMar w:left="300" w:top="157"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I, Jason E. Brown, President and Chief Executive Officer of Evolution Petroleum Corporation, certify that:</w:t>
      </w:r>
    </w:p>
    <w:p>
      <w:pPr>
        <w:spacing w:after="0" w:line="227" w:lineRule="exact"/>
        <w:rPr>
          <w:sz w:val="20"/>
          <w:szCs w:val="20"/>
          <w:color w:val="auto"/>
        </w:rPr>
      </w:pPr>
    </w:p>
    <w:p>
      <w:pPr>
        <w:ind w:left="520" w:hanging="255"/>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Evolution Petroleum Corporation;</w:t>
      </w:r>
    </w:p>
    <w:p>
      <w:pPr>
        <w:spacing w:after="0" w:line="119" w:lineRule="exact"/>
        <w:rPr>
          <w:rFonts w:ascii="Arial" w:cs="Arial" w:eastAsia="Arial" w:hAnsi="Arial"/>
          <w:sz w:val="14"/>
          <w:szCs w:val="14"/>
          <w:color w:val="auto"/>
        </w:rPr>
      </w:pPr>
    </w:p>
    <w:p>
      <w:pPr>
        <w:ind w:left="520" w:right="740" w:hanging="255"/>
        <w:spacing w:after="0" w:line="288"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4"/>
          <w:szCs w:val="14"/>
          <w:color w:val="auto"/>
        </w:rPr>
      </w:pPr>
    </w:p>
    <w:p>
      <w:pPr>
        <w:ind w:left="520" w:right="200" w:hanging="255"/>
        <w:spacing w:after="0" w:line="288"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4"/>
          <w:szCs w:val="14"/>
          <w:color w:val="auto"/>
        </w:rPr>
      </w:pPr>
    </w:p>
    <w:p>
      <w:pPr>
        <w:ind w:left="520" w:right="60" w:hanging="255"/>
        <w:spacing w:after="0" w:line="288"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4"/>
          <w:szCs w:val="14"/>
          <w:color w:val="auto"/>
        </w:rPr>
      </w:pPr>
    </w:p>
    <w:p>
      <w:pPr>
        <w:jc w:val="both"/>
        <w:ind w:left="1040" w:right="360" w:hanging="517"/>
        <w:spacing w:after="0" w:line="272" w:lineRule="auto"/>
        <w:tabs>
          <w:tab w:leader="none" w:pos="1040" w:val="left"/>
        </w:tabs>
        <w:numPr>
          <w:ilvl w:val="1"/>
          <w:numId w:val="56"/>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4"/>
          <w:szCs w:val="14"/>
          <w:color w:val="auto"/>
        </w:rPr>
      </w:pPr>
    </w:p>
    <w:p>
      <w:pPr>
        <w:jc w:val="both"/>
        <w:ind w:left="1040" w:right="580" w:hanging="517"/>
        <w:spacing w:after="0" w:line="272" w:lineRule="auto"/>
        <w:tabs>
          <w:tab w:leader="none" w:pos="1040" w:val="left"/>
        </w:tabs>
        <w:numPr>
          <w:ilvl w:val="1"/>
          <w:numId w:val="56"/>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4"/>
          <w:szCs w:val="14"/>
          <w:color w:val="auto"/>
        </w:rPr>
      </w:pPr>
    </w:p>
    <w:p>
      <w:pPr>
        <w:ind w:left="1040" w:right="180" w:hanging="517"/>
        <w:spacing w:after="0" w:line="288" w:lineRule="auto"/>
        <w:tabs>
          <w:tab w:leader="none" w:pos="1040" w:val="left"/>
        </w:tabs>
        <w:numPr>
          <w:ilvl w:val="1"/>
          <w:numId w:val="5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4"/>
          <w:szCs w:val="14"/>
          <w:color w:val="auto"/>
        </w:rPr>
      </w:pPr>
    </w:p>
    <w:p>
      <w:pPr>
        <w:ind w:left="1040" w:right="200" w:hanging="517"/>
        <w:spacing w:after="0" w:line="328" w:lineRule="auto"/>
        <w:tabs>
          <w:tab w:leader="none" w:pos="1040" w:val="left"/>
        </w:tabs>
        <w:numPr>
          <w:ilvl w:val="1"/>
          <w:numId w:val="5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3"/>
          <w:szCs w:val="13"/>
          <w:color w:val="auto"/>
        </w:rPr>
      </w:pPr>
    </w:p>
    <w:p>
      <w:pPr>
        <w:ind w:left="520" w:right="560" w:hanging="255"/>
        <w:spacing w:after="0" w:line="288"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4"/>
          <w:szCs w:val="14"/>
          <w:color w:val="auto"/>
        </w:rPr>
      </w:pPr>
    </w:p>
    <w:p>
      <w:pPr>
        <w:ind w:left="1040" w:right="520" w:hanging="517"/>
        <w:spacing w:after="0" w:line="288" w:lineRule="auto"/>
        <w:tabs>
          <w:tab w:leader="none" w:pos="1040" w:val="left"/>
        </w:tabs>
        <w:numPr>
          <w:ilvl w:val="1"/>
          <w:numId w:val="5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4"/>
          <w:szCs w:val="14"/>
          <w:color w:val="auto"/>
        </w:rPr>
      </w:pPr>
    </w:p>
    <w:p>
      <w:pPr>
        <w:ind w:left="1040" w:hanging="517"/>
        <w:spacing w:after="0"/>
        <w:tabs>
          <w:tab w:leader="none" w:pos="1040" w:val="left"/>
        </w:tabs>
        <w:numPr>
          <w:ilvl w:val="1"/>
          <w:numId w:val="5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60"/>
          </w:cols>
          <w:pgMar w:left="220" w:top="599" w:right="21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Dated: September 12,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1660"/>
        <w:spacing w:after="0"/>
        <w:rPr>
          <w:sz w:val="20"/>
          <w:szCs w:val="20"/>
          <w:color w:val="auto"/>
        </w:rPr>
      </w:pPr>
      <w:r>
        <w:rPr>
          <w:rFonts w:ascii="Arial" w:cs="Arial" w:eastAsia="Arial" w:hAnsi="Arial"/>
          <w:sz w:val="14"/>
          <w:szCs w:val="14"/>
          <w:color w:val="auto"/>
        </w:rPr>
        <w:t>/s/ JASON E. BROWN</w:t>
      </w:r>
    </w:p>
    <w:p>
      <w:pPr>
        <w:spacing w:after="0" w:line="21" w:lineRule="exact"/>
        <w:rPr>
          <w:sz w:val="20"/>
          <w:szCs w:val="20"/>
          <w:color w:val="auto"/>
        </w:rPr>
      </w:pPr>
    </w:p>
    <w:p>
      <w:pPr>
        <w:jc w:val="center"/>
        <w:ind w:right="1660"/>
        <w:spacing w:after="0"/>
        <w:rPr>
          <w:sz w:val="20"/>
          <w:szCs w:val="20"/>
          <w:color w:val="auto"/>
        </w:rPr>
      </w:pPr>
      <w:r>
        <w:rPr>
          <w:rFonts w:ascii="Arial" w:cs="Arial" w:eastAsia="Arial" w:hAnsi="Arial"/>
          <w:sz w:val="14"/>
          <w:szCs w:val="14"/>
          <w:color w:val="auto"/>
        </w:rPr>
        <w:t>Jason E. Brown</w:t>
      </w:r>
    </w:p>
    <w:p>
      <w:pPr>
        <w:spacing w:after="0" w:line="11" w:lineRule="exact"/>
        <w:rPr>
          <w:sz w:val="20"/>
          <w:szCs w:val="20"/>
          <w:color w:val="auto"/>
        </w:rPr>
      </w:pPr>
    </w:p>
    <w:p>
      <w:pPr>
        <w:jc w:val="center"/>
        <w:ind w:right="1660"/>
        <w:spacing w:after="0"/>
        <w:rPr>
          <w:sz w:val="20"/>
          <w:szCs w:val="20"/>
          <w:color w:val="auto"/>
        </w:rPr>
      </w:pPr>
      <w:r>
        <w:rPr>
          <w:rFonts w:ascii="Arial" w:cs="Arial" w:eastAsia="Arial" w:hAnsi="Arial"/>
          <w:sz w:val="13"/>
          <w:szCs w:val="13"/>
          <w:i w:val="1"/>
          <w:iCs w:val="1"/>
          <w:color w:val="auto"/>
        </w:rPr>
        <w:t>President and Chief Executive Officer</w:t>
      </w:r>
    </w:p>
    <w:p>
      <w:pPr>
        <w:sectPr>
          <w:pgSz w:w="11900" w:h="16838" w:orient="portrait"/>
          <w:cols w:equalWidth="0" w:num="2">
            <w:col w:w="6900" w:space="720"/>
            <w:col w:w="3840"/>
          </w:cols>
          <w:pgMar w:left="220" w:top="599" w:right="21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I, David Joe, Chief Financial Officer of Evolution Petroleum Corporation, certify that:</w:t>
      </w:r>
    </w:p>
    <w:p>
      <w:pPr>
        <w:spacing w:after="0" w:line="227" w:lineRule="exact"/>
        <w:rPr>
          <w:sz w:val="20"/>
          <w:szCs w:val="20"/>
          <w:color w:val="auto"/>
        </w:rPr>
      </w:pPr>
    </w:p>
    <w:p>
      <w:pPr>
        <w:ind w:left="520" w:hanging="255"/>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Evolution Petroleum Corporation;</w:t>
      </w:r>
    </w:p>
    <w:p>
      <w:pPr>
        <w:spacing w:after="0" w:line="119" w:lineRule="exact"/>
        <w:rPr>
          <w:rFonts w:ascii="Arial" w:cs="Arial" w:eastAsia="Arial" w:hAnsi="Arial"/>
          <w:sz w:val="14"/>
          <w:szCs w:val="14"/>
          <w:color w:val="auto"/>
        </w:rPr>
      </w:pPr>
    </w:p>
    <w:p>
      <w:pPr>
        <w:ind w:left="520" w:right="740" w:hanging="255"/>
        <w:spacing w:after="0" w:line="288"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4"/>
          <w:szCs w:val="14"/>
          <w:color w:val="auto"/>
        </w:rPr>
      </w:pPr>
    </w:p>
    <w:p>
      <w:pPr>
        <w:ind w:left="520" w:right="200" w:hanging="255"/>
        <w:spacing w:after="0" w:line="288"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4"/>
          <w:szCs w:val="14"/>
          <w:color w:val="auto"/>
        </w:rPr>
      </w:pPr>
    </w:p>
    <w:p>
      <w:pPr>
        <w:ind w:left="520" w:right="60" w:hanging="255"/>
        <w:spacing w:after="0" w:line="288"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4"/>
          <w:szCs w:val="14"/>
          <w:color w:val="auto"/>
        </w:rPr>
      </w:pPr>
    </w:p>
    <w:p>
      <w:pPr>
        <w:jc w:val="both"/>
        <w:ind w:left="1040" w:right="360" w:hanging="323"/>
        <w:spacing w:after="0" w:line="272" w:lineRule="auto"/>
        <w:tabs>
          <w:tab w:leader="none" w:pos="1040" w:val="left"/>
        </w:tabs>
        <w:numPr>
          <w:ilvl w:val="1"/>
          <w:numId w:val="5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4"/>
          <w:szCs w:val="14"/>
          <w:color w:val="auto"/>
        </w:rPr>
      </w:pPr>
    </w:p>
    <w:p>
      <w:pPr>
        <w:jc w:val="both"/>
        <w:ind w:left="1040" w:right="580" w:hanging="323"/>
        <w:spacing w:after="0" w:line="272" w:lineRule="auto"/>
        <w:tabs>
          <w:tab w:leader="none" w:pos="1040" w:val="left"/>
        </w:tabs>
        <w:numPr>
          <w:ilvl w:val="1"/>
          <w:numId w:val="5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4"/>
          <w:szCs w:val="14"/>
          <w:color w:val="auto"/>
        </w:rPr>
      </w:pPr>
    </w:p>
    <w:p>
      <w:pPr>
        <w:ind w:left="1040" w:right="180" w:hanging="323"/>
        <w:spacing w:after="0" w:line="288" w:lineRule="auto"/>
        <w:tabs>
          <w:tab w:leader="none" w:pos="1040" w:val="left"/>
        </w:tabs>
        <w:numPr>
          <w:ilvl w:val="1"/>
          <w:numId w:val="5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4"/>
          <w:szCs w:val="14"/>
          <w:color w:val="auto"/>
        </w:rPr>
      </w:pPr>
    </w:p>
    <w:p>
      <w:pPr>
        <w:ind w:left="1040" w:right="200" w:hanging="323"/>
        <w:spacing w:after="0" w:line="328" w:lineRule="auto"/>
        <w:tabs>
          <w:tab w:leader="none" w:pos="1040" w:val="left"/>
        </w:tabs>
        <w:numPr>
          <w:ilvl w:val="1"/>
          <w:numId w:val="5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3"/>
          <w:szCs w:val="13"/>
          <w:color w:val="auto"/>
        </w:rPr>
      </w:pPr>
    </w:p>
    <w:p>
      <w:pPr>
        <w:ind w:left="520" w:right="560" w:hanging="255"/>
        <w:spacing w:after="0" w:line="288"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4"/>
          <w:szCs w:val="14"/>
          <w:color w:val="auto"/>
        </w:rPr>
      </w:pPr>
    </w:p>
    <w:p>
      <w:pPr>
        <w:ind w:left="1040" w:right="520" w:hanging="323"/>
        <w:spacing w:after="0" w:line="288" w:lineRule="auto"/>
        <w:tabs>
          <w:tab w:leader="none" w:pos="1040" w:val="left"/>
        </w:tabs>
        <w:numPr>
          <w:ilvl w:val="1"/>
          <w:numId w:val="5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4"/>
          <w:szCs w:val="14"/>
          <w:color w:val="auto"/>
        </w:rPr>
      </w:pPr>
    </w:p>
    <w:p>
      <w:pPr>
        <w:ind w:left="1040" w:hanging="323"/>
        <w:spacing w:after="0"/>
        <w:tabs>
          <w:tab w:leader="none" w:pos="1040" w:val="left"/>
        </w:tabs>
        <w:numPr>
          <w:ilvl w:val="1"/>
          <w:numId w:val="5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60"/>
          </w:cols>
          <w:pgMar w:left="220" w:top="599" w:right="21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Dated: September 12,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2080"/>
        <w:spacing w:after="0"/>
        <w:rPr>
          <w:sz w:val="20"/>
          <w:szCs w:val="20"/>
          <w:color w:val="auto"/>
        </w:rPr>
      </w:pPr>
      <w:r>
        <w:rPr>
          <w:rFonts w:ascii="Arial" w:cs="Arial" w:eastAsia="Arial" w:hAnsi="Arial"/>
          <w:sz w:val="14"/>
          <w:szCs w:val="14"/>
          <w:color w:val="auto"/>
        </w:rPr>
        <w:t>/s/ DAVID JOE</w:t>
      </w:r>
    </w:p>
    <w:p>
      <w:pPr>
        <w:spacing w:after="0" w:line="21" w:lineRule="exact"/>
        <w:rPr>
          <w:sz w:val="20"/>
          <w:szCs w:val="20"/>
          <w:color w:val="auto"/>
        </w:rPr>
      </w:pPr>
    </w:p>
    <w:p>
      <w:pPr>
        <w:jc w:val="center"/>
        <w:ind w:right="2080"/>
        <w:spacing w:after="0"/>
        <w:rPr>
          <w:sz w:val="20"/>
          <w:szCs w:val="20"/>
          <w:color w:val="auto"/>
        </w:rPr>
      </w:pPr>
      <w:r>
        <w:rPr>
          <w:rFonts w:ascii="Arial" w:cs="Arial" w:eastAsia="Arial" w:hAnsi="Arial"/>
          <w:sz w:val="14"/>
          <w:szCs w:val="14"/>
          <w:color w:val="auto"/>
        </w:rPr>
        <w:t>David Joe</w:t>
      </w:r>
    </w:p>
    <w:p>
      <w:pPr>
        <w:spacing w:after="0" w:line="11" w:lineRule="exact"/>
        <w:rPr>
          <w:sz w:val="20"/>
          <w:szCs w:val="20"/>
          <w:color w:val="auto"/>
        </w:rPr>
      </w:pPr>
    </w:p>
    <w:p>
      <w:pPr>
        <w:jc w:val="center"/>
        <w:ind w:right="2080"/>
        <w:spacing w:after="0"/>
        <w:rPr>
          <w:sz w:val="20"/>
          <w:szCs w:val="20"/>
          <w:color w:val="auto"/>
        </w:rPr>
      </w:pPr>
      <w:r>
        <w:rPr>
          <w:rFonts w:ascii="Arial" w:cs="Arial" w:eastAsia="Arial" w:hAnsi="Arial"/>
          <w:sz w:val="13"/>
          <w:szCs w:val="13"/>
          <w:i w:val="1"/>
          <w:iCs w:val="1"/>
          <w:color w:val="auto"/>
        </w:rPr>
        <w:t>Chief Financial Officer</w:t>
      </w:r>
    </w:p>
    <w:p>
      <w:pPr>
        <w:sectPr>
          <w:pgSz w:w="11900" w:h="16838" w:orient="portrait"/>
          <w:cols w:equalWidth="0" w:num="2">
            <w:col w:w="7320" w:space="720"/>
            <w:col w:w="3420"/>
          </w:cols>
          <w:pgMar w:left="220" w:top="599" w:right="21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4"/>
          <w:szCs w:val="14"/>
          <w:b w:val="1"/>
          <w:bCs w:val="1"/>
          <w:color w:val="auto"/>
        </w:rPr>
        <w:t>EXHIBIT 32.1</w:t>
      </w:r>
    </w:p>
    <w:p>
      <w:pPr>
        <w:spacing w:after="0" w:line="119"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CERTIFICATION PURSUANT TO</w:t>
      </w:r>
    </w:p>
    <w:p>
      <w:pPr>
        <w:spacing w:after="0" w:line="25"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10" w:lineRule="exact"/>
        <w:rPr>
          <w:sz w:val="20"/>
          <w:szCs w:val="20"/>
          <w:color w:val="auto"/>
        </w:rPr>
      </w:pPr>
    </w:p>
    <w:p>
      <w:pPr>
        <w:jc w:val="both"/>
        <w:ind w:right="60" w:firstLine="517"/>
        <w:spacing w:after="0" w:line="272" w:lineRule="auto"/>
        <w:rPr>
          <w:sz w:val="20"/>
          <w:szCs w:val="20"/>
          <w:color w:val="auto"/>
        </w:rPr>
      </w:pPr>
      <w:r>
        <w:rPr>
          <w:rFonts w:ascii="Arial" w:cs="Arial" w:eastAsia="Arial" w:hAnsi="Arial"/>
          <w:sz w:val="14"/>
          <w:szCs w:val="14"/>
          <w:color w:val="auto"/>
        </w:rPr>
        <w:t>The undersigned, Jason E. Brown, President and Chief Executive Officer of Evolution Petroleum Corporation (the "Company"), certifies in connection with the filing with the Securities and Exchange Commission of the Company's Annual Report on Form 10-K for the year ended June 30, 2019 (the "Report") pursuant to 18 U.S.C. Section 1350, as adopted pursuant to Section 906 of the Sarbanes-Oxley Act of 2002, to his knowledge, that:</w:t>
      </w:r>
    </w:p>
    <w:p>
      <w:pPr>
        <w:spacing w:after="0" w:line="185" w:lineRule="exact"/>
        <w:rPr>
          <w:sz w:val="20"/>
          <w:szCs w:val="20"/>
          <w:color w:val="auto"/>
        </w:rPr>
      </w:pPr>
    </w:p>
    <w:p>
      <w:pPr>
        <w:ind w:left="1040" w:hanging="517"/>
        <w:spacing w:after="0"/>
        <w:tabs>
          <w:tab w:leader="none" w:pos="10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19" w:lineRule="exact"/>
        <w:rPr>
          <w:rFonts w:ascii="Arial" w:cs="Arial" w:eastAsia="Arial" w:hAnsi="Arial"/>
          <w:sz w:val="14"/>
          <w:szCs w:val="14"/>
          <w:color w:val="auto"/>
        </w:rPr>
      </w:pPr>
    </w:p>
    <w:p>
      <w:pPr>
        <w:ind w:left="520" w:right="2080" w:firstLine="3"/>
        <w:spacing w:after="0" w:line="449" w:lineRule="auto"/>
        <w:tabs>
          <w:tab w:leader="none" w:pos="1037"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IN WITNESS WHEREOF, the undersigned has executed this certification as of the 12th day of September 2019.</w:t>
      </w:r>
    </w:p>
    <w:p>
      <w:pPr>
        <w:spacing w:after="0" w:line="200" w:lineRule="exact"/>
        <w:rPr>
          <w:sz w:val="20"/>
          <w:szCs w:val="20"/>
          <w:color w:val="auto"/>
        </w:rPr>
      </w:pPr>
    </w:p>
    <w:p>
      <w:pPr>
        <w:spacing w:after="0" w:line="318" w:lineRule="exact"/>
        <w:rPr>
          <w:sz w:val="20"/>
          <w:szCs w:val="20"/>
          <w:color w:val="auto"/>
        </w:rPr>
      </w:pPr>
    </w:p>
    <w:p>
      <w:pPr>
        <w:jc w:val="center"/>
        <w:ind w:left="780"/>
        <w:spacing w:after="0"/>
        <w:rPr>
          <w:sz w:val="20"/>
          <w:szCs w:val="20"/>
          <w:color w:val="auto"/>
        </w:rPr>
      </w:pPr>
      <w:r>
        <w:rPr>
          <w:rFonts w:ascii="Arial" w:cs="Arial" w:eastAsia="Arial" w:hAnsi="Arial"/>
          <w:sz w:val="14"/>
          <w:szCs w:val="14"/>
          <w:color w:val="auto"/>
        </w:rPr>
        <w:t>/s/ JASON E. BROWN</w:t>
      </w:r>
    </w:p>
    <w:p>
      <w:pPr>
        <w:spacing w:after="0" w:line="21" w:lineRule="exact"/>
        <w:rPr>
          <w:sz w:val="20"/>
          <w:szCs w:val="20"/>
          <w:color w:val="auto"/>
        </w:rPr>
      </w:pPr>
    </w:p>
    <w:p>
      <w:pPr>
        <w:jc w:val="center"/>
        <w:ind w:left="780"/>
        <w:spacing w:after="0"/>
        <w:rPr>
          <w:sz w:val="20"/>
          <w:szCs w:val="20"/>
          <w:color w:val="auto"/>
        </w:rPr>
      </w:pPr>
      <w:r>
        <w:rPr>
          <w:rFonts w:ascii="Arial" w:cs="Arial" w:eastAsia="Arial" w:hAnsi="Arial"/>
          <w:sz w:val="14"/>
          <w:szCs w:val="14"/>
          <w:color w:val="auto"/>
        </w:rPr>
        <w:t>Jason E. Brown</w:t>
      </w:r>
    </w:p>
    <w:p>
      <w:pPr>
        <w:spacing w:after="0" w:line="11" w:lineRule="exact"/>
        <w:rPr>
          <w:sz w:val="20"/>
          <w:szCs w:val="20"/>
          <w:color w:val="auto"/>
        </w:rPr>
      </w:pPr>
    </w:p>
    <w:p>
      <w:pPr>
        <w:jc w:val="center"/>
        <w:ind w:left="820"/>
        <w:spacing w:after="0"/>
        <w:rPr>
          <w:sz w:val="20"/>
          <w:szCs w:val="20"/>
          <w:color w:val="auto"/>
        </w:rPr>
      </w:pPr>
      <w:r>
        <w:rPr>
          <w:rFonts w:ascii="Arial" w:cs="Arial" w:eastAsia="Arial" w:hAnsi="Arial"/>
          <w:sz w:val="14"/>
          <w:szCs w:val="14"/>
          <w:color w:val="auto"/>
        </w:rPr>
        <w:t xml:space="preserve">President and </w:t>
      </w:r>
      <w:r>
        <w:rPr>
          <w:rFonts w:ascii="Arial" w:cs="Arial" w:eastAsia="Arial" w:hAnsi="Arial"/>
          <w:sz w:val="14"/>
          <w:szCs w:val="14"/>
          <w:i w:val="1"/>
          <w:iCs w:val="1"/>
          <w:color w:val="auto"/>
        </w:rPr>
        <w:t>Chief</w:t>
      </w:r>
      <w:r>
        <w:rPr>
          <w:rFonts w:ascii="Arial" w:cs="Arial" w:eastAsia="Arial" w:hAnsi="Arial"/>
          <w:sz w:val="14"/>
          <w:szCs w:val="14"/>
          <w:color w:val="auto"/>
        </w:rPr>
        <w:t xml:space="preserve"> Executive </w:t>
      </w:r>
      <w:r>
        <w:rPr>
          <w:rFonts w:ascii="Arial" w:cs="Arial" w:eastAsia="Arial" w:hAnsi="Arial"/>
          <w:sz w:val="14"/>
          <w:szCs w:val="14"/>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132080</wp:posOffset>
            </wp:positionV>
            <wp:extent cx="729996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right="100" w:firstLine="517"/>
        <w:spacing w:after="0" w:line="272" w:lineRule="auto"/>
        <w:rPr>
          <w:sz w:val="20"/>
          <w:szCs w:val="20"/>
          <w:color w:val="auto"/>
        </w:rPr>
      </w:pPr>
      <w:r>
        <w:rPr>
          <w:rFonts w:ascii="Arial" w:cs="Arial" w:eastAsia="Arial" w:hAnsi="Arial"/>
          <w:sz w:val="14"/>
          <w:szCs w:val="14"/>
          <w:color w:val="auto"/>
        </w:rPr>
        <w:t>A signed original of this written statement require 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ectPr>
          <w:pgSz w:w="11900" w:h="16838" w:orient="portrait"/>
          <w:cols w:equalWidth="0" w:num="1">
            <w:col w:w="11460"/>
          </w:cols>
          <w:pgMar w:left="220" w:top="599"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t>EXHIBIT 32.2</w:t>
      </w:r>
    </w:p>
    <w:p>
      <w:pPr>
        <w:spacing w:after="0" w:line="119"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CERTIFICATION PURSUANT TO</w:t>
      </w:r>
    </w:p>
    <w:p>
      <w:pPr>
        <w:spacing w:after="0" w:line="25"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74" w:lineRule="exact"/>
        <w:rPr>
          <w:sz w:val="20"/>
          <w:szCs w:val="20"/>
          <w:color w:val="auto"/>
        </w:rPr>
      </w:pPr>
    </w:p>
    <w:p>
      <w:pPr>
        <w:ind w:right="60" w:firstLine="517"/>
        <w:spacing w:after="0" w:line="272" w:lineRule="auto"/>
        <w:rPr>
          <w:sz w:val="20"/>
          <w:szCs w:val="20"/>
          <w:color w:val="auto"/>
        </w:rPr>
      </w:pPr>
      <w:r>
        <w:rPr>
          <w:rFonts w:ascii="Arial" w:cs="Arial" w:eastAsia="Arial" w:hAnsi="Arial"/>
          <w:sz w:val="14"/>
          <w:szCs w:val="14"/>
          <w:color w:val="auto"/>
        </w:rPr>
        <w:t>The undersigned, David Joe, Chief Financial Officer of Evolution Petroleum Corporation (the "Company"), certifies in connection with the filing with the Securities and Exchange Commission of the Company's Annual Report on Form 10-K for the year ended June 30, 2019 (the "Report") pursuant to 18 U.S.C. Section 1350, as adopted pursuant to Section 906 of the Sarbanes-Oxley Act of 2002, to his knowledge, that:</w:t>
      </w:r>
    </w:p>
    <w:p>
      <w:pPr>
        <w:spacing w:after="0" w:line="78" w:lineRule="exact"/>
        <w:rPr>
          <w:sz w:val="20"/>
          <w:szCs w:val="20"/>
          <w:color w:val="auto"/>
        </w:rPr>
      </w:pPr>
    </w:p>
    <w:p>
      <w:pPr>
        <w:ind w:left="1040" w:hanging="517"/>
        <w:spacing w:after="0"/>
        <w:tabs>
          <w:tab w:leader="none" w:pos="10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19" w:lineRule="exact"/>
        <w:rPr>
          <w:rFonts w:ascii="Arial" w:cs="Arial" w:eastAsia="Arial" w:hAnsi="Arial"/>
          <w:sz w:val="14"/>
          <w:szCs w:val="14"/>
          <w:color w:val="auto"/>
        </w:rPr>
      </w:pPr>
    </w:p>
    <w:p>
      <w:pPr>
        <w:ind w:left="520" w:right="2080" w:firstLine="3"/>
        <w:spacing w:after="0" w:line="449" w:lineRule="auto"/>
        <w:tabs>
          <w:tab w:leader="none" w:pos="1037"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IN WITNESS WHEREOF, the undersigned has executed this certification as of the 12th day of September 2019.</w:t>
      </w:r>
    </w:p>
    <w:p>
      <w:pPr>
        <w:spacing w:after="0" w:line="200" w:lineRule="exact"/>
        <w:rPr>
          <w:sz w:val="20"/>
          <w:szCs w:val="20"/>
          <w:color w:val="auto"/>
        </w:rPr>
      </w:pPr>
    </w:p>
    <w:p>
      <w:pPr>
        <w:spacing w:after="0" w:line="318"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/s/ DAVID JOE</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David Joe</w:t>
      </w:r>
    </w:p>
    <w:p>
      <w:pPr>
        <w:spacing w:after="0" w:line="11" w:lineRule="exact"/>
        <w:rPr>
          <w:sz w:val="20"/>
          <w:szCs w:val="20"/>
          <w:color w:val="auto"/>
        </w:rPr>
      </w:pPr>
    </w:p>
    <w:p>
      <w:pPr>
        <w:ind w:left="5700"/>
        <w:spacing w:after="0"/>
        <w:rPr>
          <w:sz w:val="20"/>
          <w:szCs w:val="20"/>
          <w:color w:val="auto"/>
        </w:rPr>
      </w:pPr>
      <w:r>
        <w:rPr>
          <w:rFonts w:ascii="Arial" w:cs="Arial" w:eastAsia="Arial" w:hAnsi="Arial"/>
          <w:sz w:val="14"/>
          <w:szCs w:val="14"/>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63500</wp:posOffset>
            </wp:positionV>
            <wp:extent cx="729996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right="100" w:firstLine="345"/>
        <w:spacing w:after="0" w:line="272" w:lineRule="auto"/>
        <w:rPr>
          <w:sz w:val="20"/>
          <w:szCs w:val="20"/>
          <w:color w:val="auto"/>
        </w:rPr>
      </w:pPr>
      <w:r>
        <w:rPr>
          <w:rFonts w:ascii="Arial" w:cs="Arial" w:eastAsia="Arial" w:hAnsi="Arial"/>
          <w:sz w:val="14"/>
          <w:szCs w:val="14"/>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10-K and shall not be considered filed as part of the Form 10-K.</w:t>
      </w:r>
    </w:p>
    <w:p>
      <w:pPr>
        <w:sectPr>
          <w:pgSz w:w="11900" w:h="16838" w:orient="portrait"/>
          <w:cols w:equalWidth="0" w:num="1">
            <w:col w:w="11460"/>
          </w:cols>
          <w:pgMar w:left="220" w:top="599" w:right="219" w:bottom="1440" w:gutter="0" w:footer="0" w:header="0"/>
        </w:sectPr>
      </w:pPr>
    </w:p>
    <w:bookmarkStart w:id="103" w:name="page104"/>
    <w:bookmarkEnd w:id="103"/>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5">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7">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672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7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9878695</wp:posOffset>
            </wp:positionV>
            <wp:extent cx="7217410"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1)"/>
      <w:numFmt w:val="lowerRoman"/>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lowerLetter"/>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2"/>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2"/>
    </w:lvl>
  </w:abstractNum>
  <w:abstractNum w:abstractNumId="33">
    <w:nsid w:val="542289EC"/>
    <w:multiLevelType w:val="hybridMultilevel"/>
    <w:lvl w:ilvl="0">
      <w:lvlJc w:val="left"/>
      <w:lvlText w:val="(%1)"/>
      <w:numFmt w:val="lowerLetter"/>
      <w:start w:val="3"/>
    </w:lvl>
  </w:abstractNum>
  <w:abstractNum w:abstractNumId="34">
    <w:nsid w:val="6DE91B18"/>
    <w:multiLevelType w:val="hybridMultilevel"/>
    <w:lvl w:ilvl="0">
      <w:lvlJc w:val="left"/>
      <w:lvlText w:val="%1"/>
      <w:numFmt w:val="decimal"/>
      <w:start w:val="1"/>
    </w:lvl>
    <w:lvl w:ilvl="1">
      <w:lvlJc w:val="left"/>
      <w:lvlText w:val="(%2)"/>
      <w:numFmt w:val="lowerLetter"/>
      <w:start w:val="1"/>
    </w:lvl>
  </w:abstractNum>
  <w:abstractNum w:abstractNumId="35">
    <w:nsid w:val="38437FDB"/>
    <w:multiLevelType w:val="hybridMultilevel"/>
    <w:lvl w:ilvl="0">
      <w:lvlJc w:val="left"/>
      <w:lvlText w:val="%1."/>
      <w:numFmt w:val="decimal"/>
      <w:start w:val="3"/>
    </w:lvl>
    <w:lvl w:ilvl="1">
      <w:lvlJc w:val="left"/>
      <w:lvlText w:val="%2"/>
      <w:numFmt w:val="lowerLetter"/>
      <w:start w:val="1"/>
    </w:lvl>
  </w:abstractNum>
  <w:abstractNum w:abstractNumId="36">
    <w:nsid w:val="7644A45C"/>
    <w:multiLevelType w:val="hybridMultilevel"/>
    <w:lvl w:ilvl="0">
      <w:lvlJc w:val="left"/>
      <w:lvlText w:val="%1."/>
      <w:numFmt w:val="decimal"/>
      <w:start w:val="4"/>
    </w:lvl>
  </w:abstractNum>
  <w:abstractNum w:abstractNumId="37">
    <w:nsid w:val="32FFF902"/>
    <w:multiLevelType w:val="hybridMultilevel"/>
    <w:lvl w:ilvl="0">
      <w:lvlJc w:val="left"/>
      <w:lvlText w:val="%1."/>
      <w:numFmt w:val="decimal"/>
      <w:start w:val="5"/>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lowerLetter"/>
      <w:start w:val="3"/>
    </w:lvl>
  </w:abstractNum>
  <w:abstractNum w:abstractNumId="40">
    <w:nsid w:val="749ABB43"/>
    <w:multiLevelType w:val="hybridMultilevel"/>
    <w:lvl w:ilvl="0">
      <w:lvlJc w:val="left"/>
      <w:lvlText w:val="%1."/>
      <w:numFmt w:val="decimal"/>
      <w:start w:val="8"/>
    </w:lvl>
  </w:abstractNum>
  <w:abstractNum w:abstractNumId="41">
    <w:nsid w:val="3DC240FB"/>
    <w:multiLevelType w:val="hybridMultilevel"/>
    <w:lvl w:ilvl="0">
      <w:lvlJc w:val="left"/>
      <w:lvlText w:val="%1."/>
      <w:numFmt w:val="decimal"/>
      <w:start w:val="12"/>
    </w:lvl>
  </w:abstractNum>
  <w:abstractNum w:abstractNumId="42">
    <w:nsid w:val="1BA026FA"/>
    <w:multiLevelType w:val="hybridMultilevel"/>
    <w:lvl w:ilvl="0">
      <w:lvlJc w:val="left"/>
      <w:lvlText w:val="%1."/>
      <w:numFmt w:val="decimal"/>
      <w:start w:val="20"/>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4"/>
    </w:lvl>
  </w:abstractNum>
  <w:abstractNum w:abstractNumId="45">
    <w:nsid w:val="12E685FB"/>
    <w:multiLevelType w:val="hybridMultilevel"/>
    <w:lvl w:ilvl="0">
      <w:lvlJc w:val="left"/>
      <w:lvlText w:val="%1."/>
      <w:numFmt w:val="decimal"/>
      <w:start w:val="6"/>
    </w:lvl>
  </w:abstractNum>
  <w:abstractNum w:abstractNumId="46">
    <w:nsid w:val="70C6A529"/>
    <w:multiLevelType w:val="hybridMultilevel"/>
    <w:lvl w:ilvl="0">
      <w:lvlJc w:val="left"/>
      <w:lvlText w:val="%1"/>
      <w:numFmt w:val="decimal"/>
      <w:start w:val="1"/>
    </w:lvl>
    <w:lvl w:ilvl="1">
      <w:lvlJc w:val="left"/>
      <w:lvlText w:val="%2."/>
      <w:numFmt w:val="decimal"/>
      <w:start w:val="7"/>
    </w:lvl>
  </w:abstractNum>
  <w:abstractNum w:abstractNumId="47">
    <w:nsid w:val="520EEDD1"/>
    <w:multiLevelType w:val="hybridMultilevel"/>
    <w:lvl w:ilvl="0">
      <w:lvlJc w:val="left"/>
      <w:lvlText w:val="%1."/>
      <w:numFmt w:val="decimal"/>
      <w:start w:val="8"/>
    </w:lvl>
    <w:lvl w:ilvl="1">
      <w:lvlJc w:val="left"/>
      <w:lvlText w:val="%2"/>
      <w:numFmt w:val="decimal"/>
      <w:start w:val="1"/>
    </w:lvl>
  </w:abstractNum>
  <w:abstractNum w:abstractNumId="48">
    <w:nsid w:val="374A3FE6"/>
    <w:multiLevelType w:val="hybridMultilevel"/>
    <w:lvl w:ilvl="0">
      <w:lvlJc w:val="left"/>
      <w:lvlText w:val="%1."/>
      <w:numFmt w:val="decimal"/>
      <w:start w:val="9"/>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decimal"/>
      <w:start w:val="12"/>
    </w:lvl>
  </w:abstractNum>
  <w:abstractNum w:abstractNumId="51">
    <w:nsid w:val="649BB77C"/>
    <w:multiLevelType w:val="hybridMultilevel"/>
    <w:lvl w:ilvl="0">
      <w:lvlJc w:val="left"/>
      <w:lvlText w:val="%1."/>
      <w:numFmt w:val="decimal"/>
      <w:start w:val="14"/>
    </w:lvl>
  </w:abstractNum>
  <w:abstractNum w:abstractNumId="52">
    <w:nsid w:val="275AC794"/>
    <w:multiLevelType w:val="hybridMultilevel"/>
    <w:lvl w:ilvl="0">
      <w:lvlJc w:val="left"/>
      <w:lvlText w:val="%1."/>
      <w:numFmt w:val="decimal"/>
      <w:start w:val="20"/>
    </w:lvl>
  </w:abstractNum>
  <w:abstractNum w:abstractNumId="53">
    <w:nsid w:val="39386575"/>
    <w:multiLevelType w:val="hybridMultilevel"/>
    <w:lvl w:ilvl="0">
      <w:lvlJc w:val="left"/>
      <w:lvlText w:val="%1."/>
      <w:numFmt w:val="decimal"/>
      <w:start w:val="21"/>
    </w:lvl>
  </w:abstractNum>
  <w:abstractNum w:abstractNumId="54">
    <w:nsid w:val="1CF10FD8"/>
    <w:multiLevelType w:val="hybridMultilevel"/>
    <w:lvl w:ilvl="0">
      <w:lvlJc w:val="left"/>
      <w:lvlText w:val="%1."/>
      <w:numFmt w:val="decimal"/>
      <w:start w:val="23"/>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3" Type="http://schemas.openxmlformats.org/officeDocument/2006/relationships/image" Target="media/image10.png"/><Relationship Id="rId26" Type="http://schemas.openxmlformats.org/officeDocument/2006/relationships/image" Target="media/image11.png"/><Relationship Id="rId29" Type="http://schemas.openxmlformats.org/officeDocument/2006/relationships/image" Target="media/image12.png"/><Relationship Id="rId32" Type="http://schemas.openxmlformats.org/officeDocument/2006/relationships/image" Target="media/image13.png"/><Relationship Id="rId35"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2" Type="http://schemas.openxmlformats.org/officeDocument/2006/relationships/image" Target="media/image17.png"/><Relationship Id="rId45" Type="http://schemas.openxmlformats.org/officeDocument/2006/relationships/image" Target="media/image18.png"/><Relationship Id="rId48" Type="http://schemas.openxmlformats.org/officeDocument/2006/relationships/image" Target="media/image19.png"/><Relationship Id="rId51" Type="http://schemas.openxmlformats.org/officeDocument/2006/relationships/image" Target="media/image20.png"/><Relationship Id="rId56" Type="http://schemas.openxmlformats.org/officeDocument/2006/relationships/image" Target="media/image21.jpeg"/><Relationship Id="rId57" Type="http://schemas.openxmlformats.org/officeDocument/2006/relationships/image" Target="media/image22.png"/><Relationship Id="rId58" Type="http://schemas.openxmlformats.org/officeDocument/2006/relationships/image" Target="media/image23.png"/><Relationship Id="rId59" Type="http://schemas.openxmlformats.org/officeDocument/2006/relationships/image" Target="media/image24.png"/><Relationship Id="rId60" Type="http://schemas.openxmlformats.org/officeDocument/2006/relationships/image" Target="media/image25.png"/><Relationship Id="rId61" Type="http://schemas.openxmlformats.org/officeDocument/2006/relationships/image" Target="media/image26.png"/><Relationship Id="rId62" Type="http://schemas.openxmlformats.org/officeDocument/2006/relationships/image" Target="media/image27.png"/><Relationship Id="rId63" Type="http://schemas.openxmlformats.org/officeDocument/2006/relationships/image" Target="media/image28.png"/><Relationship Id="rId64" Type="http://schemas.openxmlformats.org/officeDocument/2006/relationships/image" Target="media/image29.png"/><Relationship Id="rId65" Type="http://schemas.openxmlformats.org/officeDocument/2006/relationships/image" Target="media/image30.png"/><Relationship Id="rId66" Type="http://schemas.openxmlformats.org/officeDocument/2006/relationships/image" Target="media/image31.png"/><Relationship Id="rId67" Type="http://schemas.openxmlformats.org/officeDocument/2006/relationships/image" Target="media/image32.png"/><Relationship Id="rId68" Type="http://schemas.openxmlformats.org/officeDocument/2006/relationships/image" Target="media/image33.png"/><Relationship Id="rId69" Type="http://schemas.openxmlformats.org/officeDocument/2006/relationships/image" Target="media/image34.png"/><Relationship Id="rId70" Type="http://schemas.openxmlformats.org/officeDocument/2006/relationships/image" Target="media/image35.png"/><Relationship Id="rId71" Type="http://schemas.openxmlformats.org/officeDocument/2006/relationships/image" Target="media/image36.png"/><Relationship Id="rId72" Type="http://schemas.openxmlformats.org/officeDocument/2006/relationships/image" Target="media/image37.png"/><Relationship Id="rId73" Type="http://schemas.openxmlformats.org/officeDocument/2006/relationships/image" Target="media/image38.png"/><Relationship Id="rId74" Type="http://schemas.openxmlformats.org/officeDocument/2006/relationships/image" Target="media/image39.png"/><Relationship Id="rId75" Type="http://schemas.openxmlformats.org/officeDocument/2006/relationships/image" Target="media/image40.png"/><Relationship Id="rId76" Type="http://schemas.openxmlformats.org/officeDocument/2006/relationships/image" Target="media/image41.png"/><Relationship Id="rId77" Type="http://schemas.openxmlformats.org/officeDocument/2006/relationships/image" Target="media/image42.png"/><Relationship Id="rId15" Type="http://schemas.openxmlformats.org/officeDocument/2006/relationships/hyperlink" Target="http://www.sec.gov/Archives/edgar/data/1006655/000102670002000024/ex31.txt" TargetMode="External"/><Relationship Id="rId16" Type="http://schemas.openxmlformats.org/officeDocument/2006/relationships/hyperlink" Target="http://www.sec.gov/Archives/edgar/data/1006655/000102670002000024/ex32.txt" TargetMode="External"/><Relationship Id="rId18" Type="http://schemas.openxmlformats.org/officeDocument/2006/relationships/hyperlink" Target="http://www.sec.gov/Archives/edgar/data/1006655/000114420405032063/v027219_ex3-3.htm" TargetMode="External"/><Relationship Id="rId19" Type="http://schemas.openxmlformats.org/officeDocument/2006/relationships/hyperlink" Target="http://www.sec.gov/Archives/edgar/data/1006655/000104746911006108/a2204648zex-3_1.htm" TargetMode="External"/><Relationship Id="rId21" Type="http://schemas.openxmlformats.org/officeDocument/2006/relationships/hyperlink" Target="http://www.sec.gov/Archives/edgar/data/1006655/000100665504000002/decreal10k22.htm" TargetMode="External"/><Relationship Id="rId22" Type="http://schemas.openxmlformats.org/officeDocument/2006/relationships/hyperlink" Target="http://www.sec.gov/Archives/edgar/data/1006655/000104746913007064/a2215678zex-4_7.htm" TargetMode="External"/><Relationship Id="rId24" Type="http://schemas.openxmlformats.org/officeDocument/2006/relationships/hyperlink" Target="http://www.sec.gov/Archives/edgar/data/1006655/000095012904005780/v01049def14c.htm#005" TargetMode="External"/><Relationship Id="rId25" Type="http://schemas.openxmlformats.org/officeDocument/2006/relationships/hyperlink" Target="http://www.sec.gov/Archives/edgar/data/1006655/000110465907077662/a07-27333_1def14a.htm" TargetMode="External"/><Relationship Id="rId27" Type="http://schemas.openxmlformats.org/officeDocument/2006/relationships/hyperlink" Target="http://www.sec.gov/Archives/edgar/data/1006655/000104746911008789/a2206018zdef14a.htm" TargetMode="External"/><Relationship Id="rId28" Type="http://schemas.openxmlformats.org/officeDocument/2006/relationships/hyperlink" Target="http://www.sec.gov/Archives/edgar/data/1006655/000114420405010951/v16031_ex10-7.txt" TargetMode="External"/><Relationship Id="rId30" Type="http://schemas.openxmlformats.org/officeDocument/2006/relationships/hyperlink" Target="http://www.sec.gov/Archives/edgar/data/1006655/000110465909033088/a09-13599_1ex99dd3.htm" TargetMode="External"/><Relationship Id="rId31" Type="http://schemas.openxmlformats.org/officeDocument/2006/relationships/hyperlink" Target="http://www.sec.gov/Archives/edgar/data/1006655/000100665514000034/exh41formofcontingentperfo.htm" TargetMode="External"/><Relationship Id="rId33" Type="http://schemas.openxmlformats.org/officeDocument/2006/relationships/hyperlink" Target="http://www.sec.gov/Archives/edgar/data/1006655/000100665517000004/exhibit1012016equityincent.htm" TargetMode="External"/><Relationship Id="rId34" Type="http://schemas.openxmlformats.org/officeDocument/2006/relationships/hyperlink" Target="http://www.sec.gov/Archives/edgar/data/1006655/000110465912072751/a12-25758_1ex99d1.htm" TargetMode="External"/><Relationship Id="rId36" Type="http://schemas.openxmlformats.org/officeDocument/2006/relationships/hyperlink" Target="http://www.sec.gov/Archives/edgar/data/1006655/000100665518000004/a41rstkagmtform_2016equity.htm" TargetMode="External"/><Relationship Id="rId37" Type="http://schemas.openxmlformats.org/officeDocument/2006/relationships/hyperlink" Target="http://www.sec.gov/Archives/edgar/data/1006655/000100665518000004/a42crstkagmtform_2016equit.htm" TargetMode="External"/><Relationship Id="rId40" Type="http://schemas.openxmlformats.org/officeDocument/2006/relationships/hyperlink" Target="http://www.sec.gov/Archives/edgar/data/1006655/000114420406025038/v045483_ex10-1.htm" TargetMode="External"/><Relationship Id="rId41" Type="http://schemas.openxmlformats.org/officeDocument/2006/relationships/hyperlink" Target="http://www.sec.gov/Archives/edgar/data/1006655/000114420406025038/v045483_ex10-2.htm" TargetMode="External"/><Relationship Id="rId43" Type="http://schemas.openxmlformats.org/officeDocument/2006/relationships/hyperlink" Target="http://www.sec.gov/Archives/edgar/data/1006655/000114420406025038/v045483_ex10-3.htm" TargetMode="External"/><Relationship Id="rId44" Type="http://schemas.openxmlformats.org/officeDocument/2006/relationships/hyperlink" Target="http://www.sec.gov/Archives/edgar/data/1006655/000114420406025038/v045483_ex10-4.htm" TargetMode="External"/><Relationship Id="rId46" Type="http://schemas.openxmlformats.org/officeDocument/2006/relationships/hyperlink" Target="http://www.sec.gov/Archives/edgar/data/1006655/000100665516000132/dnrsettlementexh107.htm" TargetMode="External"/><Relationship Id="rId47" Type="http://schemas.openxmlformats.org/officeDocument/2006/relationships/hyperlink" Target="http://www.sec.gov/Archives/edgar/data/1006655/000114420406039551/v053291_ex10-1.txt" TargetMode="External"/><Relationship Id="rId49" Type="http://schemas.openxmlformats.org/officeDocument/2006/relationships/hyperlink" Target="http://www.sec.gov/Archives/edgar/data/1006655/000100665516000094/midfirstevolutioncreditagr.htm" TargetMode="External"/><Relationship Id="rId50" Type="http://schemas.openxmlformats.org/officeDocument/2006/relationships/hyperlink" Target="http://www.sec.gov/Archives/edgar/data/1006655/000100665516000146/exh1011stamendmenttocredit.htm" TargetMode="External"/><Relationship Id="rId52" Type="http://schemas.openxmlformats.org/officeDocument/2006/relationships/hyperlink" Target="http://www.sec.gov/Archives/edgar/data/1006655/000100665518000004/a101_2ndamendmentxmidfirst.htm" TargetMode="External"/><Relationship Id="rId53" Type="http://schemas.openxmlformats.org/officeDocument/2006/relationships/hyperlink" Target="http://www.sec.gov/Archives/edgar/data/1006655/000100665518000045/thirdamendtocreditagreemen.htm" TargetMode="External"/><Relationship Id="rId54" Type="http://schemas.openxmlformats.org/officeDocument/2006/relationships/hyperlink" Target="http://www.sec.gov/Archives/edgar/data/1006655/000100665519000008/exh4thamendttomidfirstcr.htm" TargetMode="External"/><Relationship Id="rId55" Type="http://schemas.openxmlformats.org/officeDocument/2006/relationships/hyperlink" Target="http://www.sec.gov/Archives/edgar/data/1006655/000114420406018439/v042008_ex14-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2020-01-07T23:12:03Z</dcterms:created>
  <dcterms:modified xsi:type="dcterms:W3CDTF">2020-01-07T23:12:03Z</dcterms:modified>
</cp:coreProperties>
</file>