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3576d1_8k.htm"/>
      <w:bookmarkStart w:id="1" w:name="kstm2623576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4_edei--DocumentType_c2026081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CURRENT REPORT 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6_edei--EntityRegistrantName_c2026"/>
      <w:bookmarkEnd w:id="4"/>
      <w:r>
        <w:rPr>
          <w:rFonts w:ascii="Times New Roman;Times;Serif" w:hAnsi="Times New Roman;Times;Serif"/>
          <w:b/>
          <w:i w:val="false"/>
          <w:caps w:val="false"/>
          <w:smallCaps w:val="false"/>
          <w:sz w:val="28"/>
        </w:rPr>
        <w:t>Evolution Petroleum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bookmarkStart w:id="5" w:name="xdx_903_edei--EntityFileNumber_c20260818"/>
      <w:bookmarkEnd w:id="5"/>
      <w:r>
        <w:rPr>
          <w:rFonts w:ascii="Times New Roman;Times;Serif" w:hAnsi="Times New Roman;Times;Serif"/>
          <w:b/>
          <w:i w:val="false"/>
          <w:caps w:val="false"/>
          <w:smallCaps w:val="false"/>
          <w:sz w:val="20"/>
        </w:rPr>
        <w:t>001-32942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3635"/>
        <w:gridCol w:w="2915"/>
      </w:tblGrid>
      <w:tr>
        <w:trPr/>
        <w:tc>
          <w:tcPr>
            <w:tcW w:w="3635" w:type="dxa"/>
            <w:tcBorders/>
            <w:vAlign w:val="center"/>
          </w:tcPr>
          <w:p>
            <w:pPr>
              <w:pStyle w:val="TableContents"/>
              <w:bidi w:val="0"/>
              <w:spacing w:before="0" w:after="283"/>
              <w:jc w:val="center"/>
              <w:rPr>
                <w:b/>
                <w:sz w:val="20"/>
              </w:rPr>
            </w:pPr>
            <w:bookmarkStart w:id="6" w:name="xdx_90C_edei--EntityIncorporationStateCo"/>
            <w:bookmarkEnd w:id="6"/>
            <w:r>
              <w:rPr>
                <w:b/>
                <w:sz w:val="20"/>
              </w:rPr>
              <w:t>Nevada</w:t>
            </w:r>
          </w:p>
        </w:tc>
        <w:tc>
          <w:tcPr>
            <w:tcW w:w="2915" w:type="dxa"/>
            <w:tcBorders/>
            <w:vAlign w:val="center"/>
          </w:tcPr>
          <w:p>
            <w:pPr>
              <w:pStyle w:val="TableContents"/>
              <w:bidi w:val="0"/>
              <w:spacing w:before="0" w:after="283"/>
              <w:jc w:val="center"/>
              <w:rPr>
                <w:b/>
                <w:sz w:val="20"/>
              </w:rPr>
            </w:pPr>
            <w:bookmarkStart w:id="7" w:name="xdx_901_edei--EntityTaxIdentificationNum"/>
            <w:bookmarkEnd w:id="7"/>
            <w:r>
              <w:rPr>
                <w:b/>
                <w:sz w:val="20"/>
              </w:rPr>
              <w:t>41-1781991</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915"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4475"/>
        <w:gridCol w:w="920"/>
      </w:tblGrid>
      <w:tr>
        <w:trPr/>
        <w:tc>
          <w:tcPr>
            <w:tcW w:w="4475" w:type="dxa"/>
            <w:tcBorders/>
            <w:vAlign w:val="center"/>
          </w:tcPr>
          <w:p>
            <w:pPr>
              <w:pStyle w:val="TableContents"/>
              <w:bidi w:val="0"/>
              <w:spacing w:before="0" w:after="283"/>
              <w:jc w:val="center"/>
              <w:rPr>
                <w:b/>
                <w:sz w:val="20"/>
              </w:rPr>
            </w:pPr>
            <w:bookmarkStart w:id="8" w:name="xdx_901_edei--EntityAddressAddressLine1_"/>
            <w:bookmarkEnd w:id="8"/>
            <w:r>
              <w:rPr>
                <w:b/>
                <w:sz w:val="20"/>
              </w:rPr>
              <w:t xml:space="preserve">1155 Dairy Ashford Road, </w:t>
            </w:r>
            <w:bookmarkStart w:id="9" w:name="xdx_90E_edei--EntityAddressAddressLine2_"/>
            <w:bookmarkEnd w:id="9"/>
            <w:r>
              <w:rPr>
                <w:b/>
                <w:sz w:val="20"/>
              </w:rPr>
              <w:t xml:space="preserve">Suite 425, </w:t>
            </w:r>
            <w:bookmarkStart w:id="10" w:name="xdx_90A_edei--EntityAddressCityOrTown_c2"/>
            <w:bookmarkEnd w:id="10"/>
            <w:r>
              <w:rPr>
                <w:b/>
                <w:sz w:val="20"/>
              </w:rPr>
              <w:t xml:space="preserve">Houston, </w:t>
            </w:r>
            <w:bookmarkStart w:id="11" w:name="xdx_90C_edei--EntityAddressStateOrProvin"/>
            <w:bookmarkEnd w:id="11"/>
            <w:r>
              <w:rPr>
                <w:b/>
                <w:sz w:val="20"/>
              </w:rPr>
              <w:t>Texas</w:t>
            </w:r>
          </w:p>
        </w:tc>
        <w:tc>
          <w:tcPr>
            <w:tcW w:w="920" w:type="dxa"/>
            <w:tcBorders/>
            <w:vAlign w:val="center"/>
          </w:tcPr>
          <w:p>
            <w:pPr>
              <w:pStyle w:val="TableContents"/>
              <w:bidi w:val="0"/>
              <w:spacing w:before="0" w:after="283"/>
              <w:jc w:val="center"/>
              <w:rPr>
                <w:b/>
                <w:sz w:val="20"/>
              </w:rPr>
            </w:pPr>
            <w:bookmarkStart w:id="12" w:name="xdx_905_edei--EntityAddressPostalZipCode"/>
            <w:bookmarkEnd w:id="12"/>
            <w:r>
              <w:rPr>
                <w:b/>
                <w:sz w:val="20"/>
              </w:rPr>
              <w:t>77079</w:t>
            </w:r>
          </w:p>
        </w:tc>
      </w:tr>
      <w:tr>
        <w:trPr/>
        <w:tc>
          <w:tcPr>
            <w:tcW w:w="4475"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60818__20"/>
      <w:bookmarkEnd w:id="13"/>
      <w:r>
        <w:rPr>
          <w:rFonts w:ascii="Times New Roman;Times;Serif" w:hAnsi="Times New Roman;Times;Serif"/>
          <w:b/>
          <w:i w:val="false"/>
          <w:caps w:val="false"/>
          <w:smallCaps w:val="false"/>
          <w:sz w:val="20"/>
        </w:rPr>
        <w:t xml:space="preserve">713) </w:t>
      </w:r>
      <w:bookmarkStart w:id="14" w:name="xdx_90C_edei--LocalPhoneNumber_c20260818"/>
      <w:bookmarkEnd w:id="14"/>
      <w:r>
        <w:rPr>
          <w:rFonts w:ascii="Times New Roman;Times;Serif" w:hAnsi="Times New Roman;Times;Serif"/>
          <w:b/>
          <w:i w:val="false"/>
          <w:caps w:val="false"/>
          <w:smallCaps w:val="false"/>
          <w:sz w:val="20"/>
        </w:rPr>
        <w:t>935-0122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5" w:name="xdx_90D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6" w:name="xdx_901_edei--SolicitingMaterial_c202608"/>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7" w:name="xdx_906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14d-2(b) under the Exchange Act (17 CFR 240.14d-2(b))</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 w:name="xdx_90F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13e-4(c) under the Exchange Act (17 CFR 240.13e-4(c))</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30" w:type="dxa"/>
          <w:right w:w="0" w:type="dxa"/>
        </w:tblCellMar>
      </w:tblPr>
      <w:tblGrid>
        <w:gridCol w:w="2750"/>
        <w:gridCol w:w="60"/>
        <w:gridCol w:w="1610"/>
        <w:gridCol w:w="60"/>
        <w:gridCol w:w="3950"/>
      </w:tblGrid>
      <w:tr>
        <w:trPr/>
        <w:tc>
          <w:tcPr>
            <w:tcW w:w="275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95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sz w:val="20"/>
              </w:rPr>
            </w:pPr>
            <w:bookmarkStart w:id="19" w:name="xdx_902_edei--Security12bTitle_c20260818"/>
            <w:bookmarkEnd w:id="19"/>
            <w:r>
              <w:rPr>
                <w:sz w:val="20"/>
              </w:rPr>
              <w:t>Common Stock, $0.001 par value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D_edei--TradingSymbol_c20260818__2"/>
            <w:bookmarkEnd w:id="20"/>
            <w:r>
              <w:rPr>
                <w:sz w:val="20"/>
              </w:rPr>
              <w:t>EPM</w:t>
            </w:r>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center"/>
              <w:rPr>
                <w:sz w:val="20"/>
              </w:rPr>
            </w:pPr>
            <w:bookmarkStart w:id="21" w:name="xdx_907_edei--SecurityExchangeName_c2026"/>
            <w:bookmarkEnd w:id="21"/>
            <w:r>
              <w:rPr>
                <w:sz w:val="20"/>
              </w:rPr>
              <w:t>NYSE American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83"/>
        <w:jc w:val="left"/>
        <w:rPr/>
      </w:pPr>
      <w:r>
        <w:rPr/>
        <w:t> </w:t>
      </w:r>
    </w:p>
    <w:tbl>
      <w:tblPr>
        <w:tblW w:w="3065" w:type="dxa"/>
        <w:jc w:val="left"/>
        <w:tblInd w:w="0" w:type="dxa"/>
        <w:tblLayout w:type="fixed"/>
        <w:tblCellMar>
          <w:top w:w="0" w:type="dxa"/>
          <w:left w:w="0" w:type="dxa"/>
          <w:bottom w:w="0" w:type="dxa"/>
          <w:right w:w="0" w:type="dxa"/>
        </w:tblCellMar>
      </w:tblPr>
      <w:tblGrid>
        <w:gridCol w:w="75"/>
        <w:gridCol w:w="2990"/>
      </w:tblGrid>
      <w:tr>
        <w:trPr/>
        <w:tc>
          <w:tcPr>
            <w:tcW w:w="75"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right"/>
              <w:rPr/>
            </w:pPr>
            <w:r>
              <w:rPr/>
              <w:t>     </w:t>
            </w:r>
            <w:r>
              <w:rPr>
                <w:sz w:val="20"/>
              </w:rPr>
              <w:t>Emerging growth company      </w:t>
            </w:r>
            <w:bookmarkStart w:id="22" w:name="xdx_905_edei--EntityEmergingGrowthCompan"/>
            <w:bookmarkEnd w:id="22"/>
            <w:r>
              <w:rPr>
                <w:sz w:val="20"/>
              </w:rPr>
              <w:t>☐</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Evolution Petroleum Corporation (the “Company”) entered into an underwriting agreement (the “Underwriting Agreement”) with Roth Capital Partners, LLC, as representative (the “Representative”) of the several underwriters named therein (the “Underwriters”), pursuant to which the Company agreed to sell and issue to the Underwriters an aggregate of 3,700,000 shares (the “Shares”) of the Company’s common stock, par value $0.001 per share (the “Common Stock”), at a price of $3.25 per share (the “Offering”). In addition, under the terms of the Underwriting Agreement, the Company granted the Underwriters an option, exercisable for 30 days, to purchase an additional 555,000 shares (the “Option Shares”) at a price of $3.25 per share and the Underwriters exercised the option in full on August 19, 2026 (the “Option Exercise”). The Company received net proceeds of approximately $12.4 million from the Offering and the Option Exercise, after deducting underwriting discounts and commissions and estimated offering expenses payable by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closed on August 20, 2026. The Offering was made pursuant to an effective shelf registration statement on Form S-3 (File No. 333-292785) (the “Registration Statement”), previously filed with the Securities and Exchange Commission (the “Commission”) and declared effective on January 27, 2026, and related prospectus supplement dated 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contains customary representations, warranties, agreements by the Company, indemnification obligations of the Company and the Underwriters, including for liabilities under the Securities Act of 1933, as amended (the “Securities Act”), other obligations of the parties and termination provisions. In addition, subject to certain exceptions, the Company and its executive officers and directors have agreed not to sell or otherwise dispose of any shares of Common Stock or securities convertible into or exchangeable or exercisable for Common Stock held by them for a period ending 60 days after the date of the Underwriting Agreement without first obtaining the written consent of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Underwriting Agreement does not purport to be complete and is qualified in its entirety by reference to the full text of the Underwriting Agreement, a copy of which is filed as Exhibit 1.1 hereto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opinion and consent of Fennemore Craig, P.C., counsel to the Company, relating to the validity of the Shares and the Option Shares is filed herewith as Exhibit 5.1 and is incorporated by reference into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the Company issued a press release announcing the pricing of the underwritten public offering, A copy of the press release is furnished as Exhibit 99.1 hereto.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shall not be deemed “filed” for purposes of Section 18 of the Securities Exchange Act of 1934, as amended (the “Exchange Act”), or otherwise subject to the liability of that section, nor shall it be deemed incorporated by reference in any filing under the Securities Act or the Exchange Act, except as shall be expressly set forth by reference in such a filing.</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
        <w:gridCol w:w="9555"/>
      </w:tblGrid>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br/>
              <w:t>No.</w:t>
            </w:r>
          </w:p>
        </w:tc>
        <w:tc>
          <w:tcPr>
            <w:tcW w:w="95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center"/>
              <w:rPr/>
            </w:pPr>
            <w:r>
              <w:rPr/>
              <w:t> </w:t>
            </w:r>
          </w:p>
        </w:tc>
      </w:tr>
      <w:tr>
        <w:trPr/>
        <w:tc>
          <w:tcPr>
            <w:tcW w:w="650" w:type="dxa"/>
            <w:tcBorders/>
            <w:vAlign w:val="center"/>
          </w:tcPr>
          <w:p>
            <w:pPr>
              <w:pStyle w:val="TableContents"/>
              <w:bidi w:val="0"/>
              <w:spacing w:before="0" w:after="283"/>
              <w:jc w:val="left"/>
              <w:rPr/>
            </w:pPr>
            <w:hyperlink w:anchor="tm2623576d1_ex1-1.htm">
              <w:r>
                <w:rPr>
                  <w:rStyle w:val="InternetLink"/>
                </w:rPr>
                <w:t>1.1</w:t>
              </w:r>
            </w:hyperlink>
          </w:p>
        </w:tc>
        <w:tc>
          <w:tcPr>
            <w:tcW w:w="9555" w:type="dxa"/>
            <w:tcBorders/>
            <w:vAlign w:val="center"/>
          </w:tcPr>
          <w:p>
            <w:pPr>
              <w:pStyle w:val="TableContents"/>
              <w:bidi w:val="0"/>
              <w:spacing w:before="0" w:after="283"/>
              <w:jc w:val="left"/>
              <w:rPr/>
            </w:pPr>
            <w:hyperlink w:anchor="tm2623576d1_ex1-1.htm">
              <w:r>
                <w:rPr>
                  <w:rStyle w:val="InternetLink"/>
                </w:rPr>
                <w:t>Underwriting Agreement, dated August 18, 2026, by and among the Company and Roth Capital Partners, LLC as representative of the several underwriters.</w:t>
              </w:r>
            </w:hyperlink>
          </w:p>
        </w:tc>
      </w:tr>
      <w:tr>
        <w:trPr/>
        <w:tc>
          <w:tcPr>
            <w:tcW w:w="650" w:type="dxa"/>
            <w:tcBorders/>
            <w:vAlign w:val="center"/>
          </w:tcPr>
          <w:p>
            <w:pPr>
              <w:pStyle w:val="TableContents"/>
              <w:bidi w:val="0"/>
              <w:spacing w:before="0" w:after="283"/>
              <w:jc w:val="left"/>
              <w:rPr/>
            </w:pPr>
            <w:hyperlink w:anchor="tm2623576d1_ex5-1.htm">
              <w:r>
                <w:rPr>
                  <w:rStyle w:val="InternetLink"/>
                  <w:rFonts w:ascii="Times New Roman;Times;Serif" w:hAnsi="Times New Roman;Times;Serif"/>
                  <w:sz w:val="20"/>
                </w:rPr>
                <w:t>5.1</w:t>
              </w:r>
            </w:hyperlink>
          </w:p>
        </w:tc>
        <w:tc>
          <w:tcPr>
            <w:tcW w:w="9555" w:type="dxa"/>
            <w:tcBorders/>
            <w:vAlign w:val="center"/>
          </w:tcPr>
          <w:p>
            <w:pPr>
              <w:pStyle w:val="TableContents"/>
              <w:bidi w:val="0"/>
              <w:spacing w:before="0" w:after="283"/>
              <w:jc w:val="left"/>
              <w:rPr/>
            </w:pPr>
            <w:hyperlink w:anchor="tm2623576d1_ex5-1.htm">
              <w:r>
                <w:rPr>
                  <w:rStyle w:val="InternetLink"/>
                  <w:rFonts w:ascii="Times New Roman;Times;Serif" w:hAnsi="Times New Roman;Times;Serif"/>
                  <w:sz w:val="20"/>
                </w:rPr>
                <w:t>Opinion of Fennemore Craig, P.C.</w:t>
              </w:r>
            </w:hyperlink>
          </w:p>
        </w:tc>
      </w:tr>
      <w:tr>
        <w:trPr/>
        <w:tc>
          <w:tcPr>
            <w:tcW w:w="650" w:type="dxa"/>
            <w:tcBorders/>
            <w:vAlign w:val="center"/>
          </w:tcPr>
          <w:p>
            <w:pPr>
              <w:pStyle w:val="TableContents"/>
              <w:bidi w:val="0"/>
              <w:spacing w:before="0" w:after="283"/>
              <w:jc w:val="left"/>
              <w:rPr/>
            </w:pPr>
            <w:hyperlink w:anchor="tm2623576d1_ex5-1.htm">
              <w:r>
                <w:rPr>
                  <w:rStyle w:val="InternetLink"/>
                  <w:rFonts w:ascii="Times New Roman;Times;Serif" w:hAnsi="Times New Roman;Times;Serif"/>
                  <w:sz w:val="20"/>
                </w:rPr>
                <w:t>23.1</w:t>
              </w:r>
            </w:hyperlink>
          </w:p>
        </w:tc>
        <w:tc>
          <w:tcPr>
            <w:tcW w:w="9555" w:type="dxa"/>
            <w:tcBorders/>
            <w:vAlign w:val="center"/>
          </w:tcPr>
          <w:p>
            <w:pPr>
              <w:pStyle w:val="TableContents"/>
              <w:bidi w:val="0"/>
              <w:spacing w:before="0" w:after="283"/>
              <w:jc w:val="left"/>
              <w:rPr/>
            </w:pPr>
            <w:hyperlink w:anchor="tm2623576d1_ex5-1.htm">
              <w:r>
                <w:rPr>
                  <w:rStyle w:val="InternetLink"/>
                  <w:rFonts w:ascii="Times New Roman;Times;Serif" w:hAnsi="Times New Roman;Times;Serif"/>
                  <w:sz w:val="20"/>
                </w:rPr>
                <w:t>Consent of Fennermore Craig, P.C. (contained in Exhibit 5.1).</w:t>
              </w:r>
            </w:hyperlink>
          </w:p>
        </w:tc>
      </w:tr>
      <w:tr>
        <w:trPr/>
        <w:tc>
          <w:tcPr>
            <w:tcW w:w="650" w:type="dxa"/>
            <w:tcBorders/>
            <w:vAlign w:val="center"/>
          </w:tcPr>
          <w:p>
            <w:pPr>
              <w:pStyle w:val="TableContents"/>
              <w:bidi w:val="0"/>
              <w:spacing w:before="0" w:after="283"/>
              <w:jc w:val="left"/>
              <w:rPr/>
            </w:pPr>
            <w:hyperlink w:anchor="tm2623576d1_ex99-1.htm">
              <w:r>
                <w:rPr>
                  <w:rStyle w:val="InternetLink"/>
                  <w:rFonts w:ascii="Times New Roman;Times;Serif" w:hAnsi="Times New Roman;Times;Serif"/>
                  <w:sz w:val="20"/>
                </w:rPr>
                <w:t>99.1</w:t>
              </w:r>
            </w:hyperlink>
          </w:p>
        </w:tc>
        <w:tc>
          <w:tcPr>
            <w:tcW w:w="9555" w:type="dxa"/>
            <w:tcBorders/>
            <w:vAlign w:val="center"/>
          </w:tcPr>
          <w:p>
            <w:pPr>
              <w:pStyle w:val="TableContents"/>
              <w:bidi w:val="0"/>
              <w:spacing w:before="0" w:after="283"/>
              <w:jc w:val="left"/>
              <w:rPr/>
            </w:pPr>
            <w:hyperlink w:anchor="tm2623576d1_ex99-1.htm">
              <w:r>
                <w:rPr>
                  <w:rStyle w:val="InternetLink"/>
                  <w:rFonts w:ascii="Times New Roman;Times;Serif" w:hAnsi="Times New Roman;Times;Serif"/>
                  <w:sz w:val="20"/>
                </w:rPr>
                <w:t>Evolution Petroleum Corporation Press Release dated August 19, 2026, announcing the pricing of the underwritten public offering.</w:t>
              </w:r>
            </w:hyperlink>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20, 2026</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320"/>
        <w:gridCol w:w="4520"/>
      </w:tblGrid>
      <w:tr>
        <w:trPr/>
        <w:tc>
          <w:tcPr>
            <w:tcW w:w="75" w:type="dxa"/>
            <w:tcBorders/>
            <w:vAlign w:val="center"/>
          </w:tcPr>
          <w:p>
            <w:pPr>
              <w:pStyle w:val="TableContents"/>
              <w:bidi w:val="0"/>
              <w:spacing w:before="0" w:after="283"/>
              <w:jc w:val="left"/>
              <w:rPr/>
            </w:pPr>
            <w:r>
              <w:rPr/>
              <w:t> </w:t>
            </w:r>
          </w:p>
        </w:tc>
        <w:tc>
          <w:tcPr>
            <w:tcW w:w="48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EVOLUTION PETROLEUM CORPORATION</w:t>
            </w:r>
          </w:p>
        </w:tc>
      </w:tr>
      <w:tr>
        <w:trPr/>
        <w:tc>
          <w:tcPr>
            <w:tcW w:w="75" w:type="dxa"/>
            <w:tcBorders/>
            <w:vAlign w:val="center"/>
          </w:tcPr>
          <w:p>
            <w:pPr>
              <w:pStyle w:val="TableContents"/>
              <w:bidi w:val="0"/>
              <w:spacing w:before="0" w:after="283"/>
              <w:jc w:val="left"/>
              <w:rPr/>
            </w:pPr>
            <w:r>
              <w:rPr/>
              <w:t> </w:t>
            </w:r>
          </w:p>
        </w:tc>
        <w:tc>
          <w:tcPr>
            <w:tcW w:w="48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Ryan Stash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Ryan Stash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3576d1_ex1-1.htm"/>
      <w:bookmarkStart w:id="24" w:name="kstm2623576d1_ex11"/>
      <w:bookmarkEnd w:id="23"/>
      <w:bookmarkEnd w:id="24"/>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752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EVOLUTION PETROLEUM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3,700,000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7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Suite 400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Representative of the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Underwriters named on Schedule 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Evolution Petroleum Corporation,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subject to the terms and conditions stated herein, to issue and sell to the several underwriters named in Schedule I hereto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or each, an “</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for whom Roth Capital Partners, LLC is acting as the representative (the “</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an aggregate of 3,700,000 authorized but unissued shares (the “</w:t>
      </w:r>
      <w:r>
        <w:rPr>
          <w:rFonts w:ascii="Times New Roman;Times;Serif" w:hAnsi="Times New Roman;Times;Serif"/>
          <w:b w:val="false"/>
          <w:i w:val="false"/>
          <w:caps w:val="false"/>
          <w:smallCaps w:val="false"/>
          <w:sz w:val="20"/>
          <w:u w:val="single"/>
        </w:rPr>
        <w:t>Firm Shares</w:t>
      </w:r>
      <w:r>
        <w:rPr>
          <w:rFonts w:ascii="Times New Roman;Times;Serif" w:hAnsi="Times New Roman;Times;Serif"/>
          <w:b w:val="false"/>
          <w:i w:val="false"/>
          <w:caps w:val="false"/>
          <w:smallCaps w:val="false"/>
          <w:sz w:val="20"/>
        </w:rPr>
        <w:t>”) of common stock,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Company. The Company also proposes to sell to the Underwriters, upon the terms and conditions set forth herein, up to an additional 555,000 shares of Common Stock (the “</w:t>
      </w:r>
      <w:r>
        <w:rPr>
          <w:rFonts w:ascii="Times New Roman;Times;Serif" w:hAnsi="Times New Roman;Times;Serif"/>
          <w:b w:val="false"/>
          <w:i w:val="false"/>
          <w:caps w:val="false"/>
          <w:smallCaps w:val="false"/>
          <w:sz w:val="20"/>
          <w:u w:val="single"/>
        </w:rPr>
        <w:t>Option Shares</w:t>
      </w:r>
      <w:r>
        <w:rPr>
          <w:rFonts w:ascii="Times New Roman;Times;Serif" w:hAnsi="Times New Roman;Times;Serif"/>
          <w:b w:val="false"/>
          <w:i w:val="false"/>
          <w:caps w:val="false"/>
          <w:smallCaps w:val="false"/>
          <w:sz w:val="20"/>
        </w:rPr>
        <w:t>”). The Firm Shares and the Option Shares are hereinafter collectively referred to as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several Underwriters hereby confirm their agreement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1.</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Registration Statement and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with the U.S.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 registration statement on Form S-3 (File No. 333-292785)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the rules and regulations of the Commission thereunder (the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val="false"/>
          <w:i w:val="false"/>
          <w:caps w:val="false"/>
          <w:smallCaps w:val="false"/>
          <w:sz w:val="20"/>
        </w:rPr>
        <w:t>”) and such amendments to such registration statement (including post-effective amendments) as may have been required to the date of this Agreement. Such registration statement, as amended (including any post-effective amendments), has been declared effective by the Commission. The registration statement (including post-effective amendments), and all documents and information (if any) deemed to be a part of, or incorporated by reference into, the registration statement through incorporation by reference or otherwise at the time of effectiveness thereof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the exhibits and any schedules thereto at the Effective Time and the documents and information otherwise incorporated by reference or included therein by the Securities Act or otherwise pursuant to the Rules and Regulations at the Effective Time, including all information retroactively deemed to be a part of the Registration Statement pursuant to Rule 430B(e) promulgated under the Securities Act or, retroactively, deemed to be a part of the Registration Statement pursuant to Rule 430B(f) promulgated under the Securities Act (the “</w:t>
      </w:r>
      <w:r>
        <w:rPr>
          <w:rFonts w:ascii="Times New Roman;Times;Serif" w:hAnsi="Times New Roman;Times;Serif"/>
          <w:b w:val="false"/>
          <w:i w:val="false"/>
          <w:caps w:val="false"/>
          <w:smallCaps w:val="false"/>
          <w:sz w:val="20"/>
          <w:u w:val="single"/>
        </w:rPr>
        <w:t>430B Information</w:t>
      </w:r>
      <w:r>
        <w:rPr>
          <w:rFonts w:ascii="Times New Roman;Times;Serif" w:hAnsi="Times New Roman;Times;Serif"/>
          <w:b w:val="false"/>
          <w:i w:val="false"/>
          <w:caps w:val="false"/>
          <w:smallCaps w:val="false"/>
          <w:sz w:val="20"/>
        </w:rPr>
        <w:t>”) and information deemed to be a part of the Registration Statement pursuant to Rule 430C promulgated under the Securities Act (the “</w:t>
      </w:r>
      <w:r>
        <w:rPr>
          <w:rFonts w:ascii="Times New Roman;Times;Serif" w:hAnsi="Times New Roman;Times;Serif"/>
          <w:b w:val="false"/>
          <w:i w:val="false"/>
          <w:caps w:val="false"/>
          <w:smallCaps w:val="false"/>
          <w:sz w:val="20"/>
          <w:u w:val="single"/>
        </w:rPr>
        <w:t>430C Information</w:t>
      </w:r>
      <w:r>
        <w:rPr>
          <w:rFonts w:ascii="Times New Roman;Times;Serif" w:hAnsi="Times New Roman;Times;Serif"/>
          <w:b w:val="false"/>
          <w:i w:val="false"/>
          <w:caps w:val="false"/>
          <w:smallCaps w:val="false"/>
          <w:sz w:val="20"/>
        </w:rPr>
        <w:t>”), that in any case has not been superseded or modified, is herein called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If the Company has filed or files an abbreviated registration statement pursuant to Rule 462(b) under the Securities Act (the “</w:t>
      </w:r>
      <w:r>
        <w:rPr>
          <w:rFonts w:ascii="Times New Roman;Times;Serif" w:hAnsi="Times New Roman;Times;Serif"/>
          <w:b w:val="false"/>
          <w:i w:val="false"/>
          <w:caps w:val="false"/>
          <w:smallCaps w:val="false"/>
          <w:sz w:val="20"/>
          <w:u w:val="single"/>
        </w:rPr>
        <w:t>Rule 462 Registration Statement</w:t>
      </w:r>
      <w:r>
        <w:rPr>
          <w:rFonts w:ascii="Times New Roman;Times;Serif" w:hAnsi="Times New Roman;Times;Serif"/>
          <w:b w:val="false"/>
          <w:i w:val="false"/>
          <w:caps w:val="false"/>
          <w:smallCaps w:val="false"/>
          <w:sz w:val="20"/>
        </w:rPr>
        <w:t>”), then any reference herein to the term Registration Statement shall include such Rule</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462 Registration Statement. The term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means any preliminary prospectus supplement, subject to completion, relating to the offering and sale of the Shares, filed by the Company with the Commission pursuant to Rule 424(b) of the Rules and Regulations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for use in connection with the offering and sale of the Shares, together with the Base Prospectus (as defined herein) attached to or used with such preliminary prospectus supplement, including any documents incorporated therein by reference, and any 430B Information or 430C Information with respect to the Registration Statement. The term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means the prospectus included in the Registration Statement at the Effective Time, including any documents incorporated therein by reference. The term “</w:t>
      </w:r>
      <w:r>
        <w:rPr>
          <w:rFonts w:ascii="Times New Roman;Times;Serif" w:hAnsi="Times New Roman;Times;Serif"/>
          <w:b w:val="false"/>
          <w:i w:val="false"/>
          <w:caps w:val="false"/>
          <w:smallCaps w:val="false"/>
          <w:sz w:val="20"/>
          <w:u w:val="single"/>
        </w:rPr>
        <w:t>Statutory Prospectus</w:t>
      </w:r>
      <w:r>
        <w:rPr>
          <w:rFonts w:ascii="Times New Roman;Times;Serif" w:hAnsi="Times New Roman;Times;Serif"/>
          <w:b w:val="false"/>
          <w:i w:val="false"/>
          <w:caps w:val="false"/>
          <w:smallCaps w:val="false"/>
          <w:sz w:val="20"/>
        </w:rPr>
        <w:t xml:space="preserve">” means the Preliminary Prospectus, if any, and the Base Prospectus, each as amended and supplemented immediately prior to the Time of Sale (as defined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including any document incorporated by reference therein, and any prospectus supplement. For purposes of the foregoing definition, 430B Information shall be considered to be included in the Statutory Prospectus only as of the actual time that the form of prospectus is filed with the Commission pursuant to Rule 424(b) and not retroactively.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filing with the Commission pursuant to Rule 424(b) under the Securities Act a final prospectus supplement to the Base Prospectus relating to the offering and sale of the Shares that discloses the public offering price, and other final terms of the offering and sale of the Shares. Such final prospectus supplement, as so filed, along with the Base Prospectus, including any documents incorporated therein by reference, and any 430B Information or 430C Information, is hereinafter called the “</w:t>
      </w:r>
      <w:r>
        <w:rPr>
          <w:rFonts w:ascii="Times New Roman;Times;Serif" w:hAnsi="Times New Roman;Times;Serif"/>
          <w:b w:val="false"/>
          <w:i w:val="false"/>
          <w:caps w:val="false"/>
          <w:smallCaps w:val="false"/>
          <w:sz w:val="20"/>
          <w:u w:val="single"/>
        </w:rPr>
        <w:t>Final Prospectus</w:t>
      </w:r>
      <w:r>
        <w:rPr>
          <w:rFonts w:ascii="Times New Roman;Times;Serif" w:hAnsi="Times New Roman;Times;Serif"/>
          <w:b w:val="false"/>
          <w:i w:val="false"/>
          <w:caps w:val="false"/>
          <w:smallCaps w:val="false"/>
          <w:sz w:val="20"/>
        </w:rPr>
        <w:t>.” The Final Prospectus, the Statutory Prospectus and any Preliminary Prospectus in the form in which they were included in the Registration Statement or filed with the Commission pursuant to Rule 424 under the Securities Act is each hereinafter called a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All references made herein to the Registration Statement, the Base Prospectus, any Preliminary Prospectus, the Statutory Prospectus or to the Final Prospectus shall be deemed to refer to and include any documents incorporated by reference therein and any reference to any amendment or supplement to the Registration Statement, the Base Prospectus, any Preliminary Prospectus, the Statutory Prospectus or the Final Prospectus shall be deemed to refer to and include any document filed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the Rules and Regulations, incorporated by reference in such Registration Statement, the Base Prospectus, any Preliminary Prospectus, the Statutory Prospectus or the Final Prospectus,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2.</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Representations and Warranties of the Company Regarding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represents and warrants to, and agrees with, the several Underwriters, as of the date hereof, and as of the Closing Date (as defined in Section 4(d) below) and as of each Option Closing Date (as defined in Section 4(b) below),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No Material Misstatements or Omissions</w:t>
      </w:r>
      <w:r>
        <w:rPr>
          <w:rFonts w:ascii="Times New Roman;Times;Serif" w:hAnsi="Times New Roman;Times;Serif"/>
          <w:b w:val="false"/>
          <w:i w:val="false"/>
          <w:caps w:val="false"/>
          <w:smallCaps w:val="false"/>
          <w:sz w:val="20"/>
        </w:rPr>
        <w:t>. At each time of effectiveness, at the date hereof, at the Closing Date, and at each Option Closing Date, if any, the Registration Statement and any post-effective amendment thereto complied, complies or will comply, as applicable, in all material respects with the requirements of the Securities Act and the Rules and Regulations and did not, does not, and will not, as the case may be, contain any untrue statement of a material fact or omit to state a material fact required to be stated therein or necessary to make the statements therein not misleading. The Time of Sale Disclosure Package (as defined in Section 2(a)(iv)(A)(1) below) as of 7:45 P.M. (Eastern time) (the “</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xml:space="preserve">”) on the date hereof, at the Closing Date and on each Option Closing Date, if any, and the Final Prospectus, as amended or supplemented, as of its date, at the time of filing pursuant to Rule 424(b) under the Securities Act, at the Closing Date and at each Option Closing Date, if any, and any individual Written Testing-the-Waters Communication (as defined in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when considered together with the Time of Sale Disclosure Package, did not, does not and will not contain any untrue statement of a material fact or omit to state a material fact required to be stated therein or necessary to make the statements therein, in the light of the circumstances under which they were made, not misleading. The representations and warranties set forth in the two immediately preceding sentences shall not apply to statements in or omissions from the Registration Statement, the Time of Sale Disclosure Package, any Prospectus or any Written Testing-the-Waters Communication in reliance upon, and in conformity with, written information furnished to the Company by any Underwriter specifically for use in the preparation thereof, which written information is described in Section 7(f) and it being agreed and understood that the only such information is as described in Section 7(f). The Registration Statement contains all exhibits and schedules required to be filed by the Securities Act or the Rules and Regulations. No order preventing or suspending the effectiveness or use of the Registration Statement or any Prospectus is in effect and no proceedings for such purpose have been instituted or are pending, or, to the knowledge of the Company, are contemplated or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Marketing Materials</w:t>
      </w:r>
      <w:r>
        <w:rPr>
          <w:rFonts w:ascii="Times New Roman;Times;Serif" w:hAnsi="Times New Roman;Times;Serif"/>
          <w:b w:val="false"/>
          <w:i w:val="false"/>
          <w:caps w:val="false"/>
          <w:smallCaps w:val="false"/>
          <w:sz w:val="20"/>
        </w:rPr>
        <w:t>. The Company has not distributed any prospectus or other offering material in connection with the offering and sale of the Shares other than the Time of Sale Disclosure Package and the roadshow or investor presentations delivered to and approved by the Representative for use in connection with the marketing of the offering of the Shares (the “</w:t>
      </w:r>
      <w:r>
        <w:rPr>
          <w:rFonts w:ascii="Times New Roman;Times;Serif" w:hAnsi="Times New Roman;Times;Serif"/>
          <w:b w:val="false"/>
          <w:i w:val="false"/>
          <w:caps w:val="false"/>
          <w:smallCaps w:val="false"/>
          <w:sz w:val="20"/>
          <w:u w:val="single"/>
        </w:rPr>
        <w:t>Marketing Materials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Incorporated Documents</w:t>
      </w:r>
      <w:r>
        <w:rPr>
          <w:rFonts w:ascii="Times New Roman;Times;Serif" w:hAnsi="Times New Roman;Times;Serif"/>
          <w:b w:val="false"/>
          <w:i w:val="false"/>
          <w:caps w:val="false"/>
          <w:smallCaps w:val="false"/>
          <w:sz w:val="20"/>
        </w:rPr>
        <w:t>. The documents incorporated by reference in the Registration Statement, the Prospectus and the Time of Sale Disclosure Package, when they were filed with the Commission complied in all material respects with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Time of Sale Disclosure Package, when such documents are filed with the Commission, will comply in all material respects with the requirements of the Exchange Act and will not contain any untrue statement of a material fact or omit to state a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i w:val="false"/>
          <w:caps w:val="false"/>
          <w:smallCaps w:val="false"/>
          <w:sz w:val="20"/>
        </w:rPr>
        <w:t>Testing-the-Waters Communication</w:t>
      </w:r>
      <w:r>
        <w:rPr>
          <w:rFonts w:ascii="Times New Roman;Times;Serif" w:hAnsi="Times New Roman;Times;Serif"/>
          <w:b w:val="false"/>
          <w:i w:val="false"/>
          <w:caps w:val="false"/>
          <w:smallCaps w:val="false"/>
          <w:sz w:val="20"/>
        </w:rPr>
        <w:t>. The Company (i) has not engaged in any Testing-the-Waters Communication and (ii) has not authorized anyone to engage in Testing-the-Waters Communications. The Company has not distributed any Testing-the-Waters Communication that is a written communication within the meaning of Rule 405 under the Securities Act (“</w:t>
      </w:r>
      <w:r>
        <w:rPr>
          <w:rFonts w:ascii="Times New Roman;Times;Serif" w:hAnsi="Times New Roman;Times;Serif"/>
          <w:b w:val="false"/>
          <w:i w:val="false"/>
          <w:caps w:val="false"/>
          <w:smallCaps w:val="false"/>
          <w:sz w:val="20"/>
          <w:u w:val="single"/>
        </w:rPr>
        <w:t>Written Testing-the-Waters Communications</w:t>
      </w:r>
      <w:r>
        <w:rPr>
          <w:rFonts w:ascii="Times New Roman;Times;Serif" w:hAnsi="Times New Roman;Times;Serif"/>
          <w:b w:val="false"/>
          <w:i w:val="false"/>
          <w:caps w:val="false"/>
          <w:smallCaps w:val="false"/>
          <w:sz w:val="20"/>
        </w:rPr>
        <w:t xml:space="preserve">”), other than those previously provided to the Underwriter and listed on </w:t>
      </w:r>
      <w:r>
        <w:rPr>
          <w:rFonts w:ascii="Times New Roman;Times;Serif" w:hAnsi="Times New Roman;Times;Serif"/>
          <w:b w:val="false"/>
          <w:i w:val="false"/>
          <w:caps w:val="false"/>
          <w:smallCaps w:val="false"/>
          <w:sz w:val="20"/>
          <w:u w:val="single"/>
        </w:rPr>
        <w:t>Schedule V</w:t>
      </w:r>
      <w:r>
        <w:rPr>
          <w:rFonts w:ascii="Times New Roman;Times;Serif" w:hAnsi="Times New Roman;Times;Serif"/>
          <w:b w:val="false"/>
          <w:i w:val="false"/>
          <w:caps w:val="false"/>
          <w:smallCaps w:val="false"/>
          <w:sz w:val="20"/>
        </w:rPr>
        <w:t xml:space="preserve"> hereto. “</w:t>
      </w:r>
      <w:r>
        <w:rPr>
          <w:rFonts w:ascii="Times New Roman;Times;Serif" w:hAnsi="Times New Roman;Times;Serif"/>
          <w:b w:val="false"/>
          <w:i w:val="false"/>
          <w:caps w:val="false"/>
          <w:smallCaps w:val="false"/>
          <w:sz w:val="20"/>
          <w:u w:val="single"/>
        </w:rPr>
        <w:t>Testing-the-Waters Communication</w:t>
      </w:r>
      <w:r>
        <w:rPr>
          <w:rFonts w:ascii="Times New Roman;Times;Serif" w:hAnsi="Times New Roman;Times;Serif"/>
          <w:b w:val="false"/>
          <w:i w:val="false"/>
          <w:caps w:val="false"/>
          <w:smallCaps w:val="false"/>
          <w:sz w:val="20"/>
        </w:rPr>
        <w:t>” means any oral or written communication with potential investors undertaken in reliance on Section 5(d) of the Securities Act. Each Written Testing-the-Waters Communication, did not, as of the Applicable Time, and at all times through the completion of the public offer and sale of the Shares will not, include any information that conflicted, conflicts or will conflict with the information contained in the Registration Statement, the Time of Sale Disclosure Package and the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Accurate Disclosure</w:t>
      </w:r>
      <w:r>
        <w:rPr>
          <w:rFonts w:ascii="Times New Roman;Times;Serif" w:hAnsi="Times New Roman;Times;Serif"/>
          <w:b w:val="false"/>
          <w:i w:val="false"/>
          <w:caps w:val="false"/>
          <w:smallCaps w:val="false"/>
          <w:sz w:val="20"/>
        </w:rPr>
        <w:t>. (A) The Company has provided a copy to the Underwriters of each Issuer Free Writing Prospectus (as defined below) used in the sale of the Shares. The Company has filed all Issuer Free Writing Prospectuses required to be so filed with the Commission, and no order preventing or suspending the effectiveness or use of any Issuer Free Writing Prospectus is in effect and no proceedings for such purpose have been instituted or are pending, or, to the knowledge of the Company, are contemplated or threatened by the Commission. When taken together with the rest of the Time of Sale Disclosure Package or the Final Prospectus, no Issuer Free Writing Prospectus, as of its issue date and at all subsequent times through the completion of the public offer and sale of Shares, has, does or will include (1) any untrue statement of a material fact or omission to state any material fact necessary in order to make the statements therein, in the light of the circumstances under which they were made, not misleading, or (2) information that conflicted, conflicts or will conflict with the information contained in the Registration Statement or the Final Prospectus. The representations and warranties set forth in the immediately preceding sentence shall not apply to statements in or omissions from the Time of Sale Disclosure Package, the Final Prospectus or any Issuer Free Writing Prospectus in reliance upon, and in conformity with, written information furnished to the Company by any Underwriter specifically for use in the preparation thereof, which written information is described in Section 7(f). As used in this paragraph and elsewhere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Time of Sale Disclosure Package</w:t>
      </w:r>
      <w:r>
        <w:rPr>
          <w:rFonts w:ascii="Times New Roman;Times;Serif" w:hAnsi="Times New Roman;Times;Serif"/>
          <w:b w:val="false"/>
          <w:i w:val="false"/>
          <w:caps w:val="false"/>
          <w:smallCaps w:val="false"/>
          <w:sz w:val="20"/>
        </w:rPr>
        <w:t xml:space="preserve">” means the Statutory Prospectus and each Issuer Free Writing Prospectus and the description of the transaction provided by the Underwriters included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under the Securities Act, relating to the Shares that (x) is required to be filed with the Commission by the Company, (y) a “road show for an offering that is a written communication” within the meaning of Rule 433(d)(8)(i), whether or not required to be filed with the Commission, or (z) is exempt from filing pursuant to Rule 433(d)(5)(i) or (d)(8) under the Securities Act, in each case in the form filed or required to be filed with the Commission or, if not required to be filed, in the form retained in the Company’s records pursuant to Rule 433(g)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filing of the Registration Statement and at the date hereof, the Company was not and is not an “ineligible issuer,” as defined in Rule 405 under the Securities Act or an “excluded issuer” as defined in Rule 164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Issuer Free Writing Prospectus listed on Schedule III satisfied, as of its issue date and at all subsequent times through the Prospectus Delivery Period (as defined in Section 5(a)(ii) below), all other conditions as may be applicable to its use as set forth in Rules 164 and 433 under the Securities Act, including any legend, record-keeping or other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The financial statements of the Company, together with the related notes and schedules, included or incorporated by reference in the Registration Statement, the Time of Sale Disclosure Package and the Final Prospectus comply in all material respects with the applicable requirements of the Securities Act and the Exchange Act, and the rules and regulations of the Commission thereunder, and present fairly, in all material respects, the financial condition of the Company and its consolidated subsidiaries as of the dates indicated and the consolidated results of their operations and changes in cash flows for the periods therein specified in conformity with U.S.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consistently applied throughout the periods involved (except for non-GAAP financial measures presented in compliance with the applicable rules and regulations of the Commission). The supporting schedules included or incorporated by reference in the Registration Statement, if any, present fairly, in all material respects, the information required to be stated therein. The financial data set forth in the Registration Statement, the Time of Sale Disclosure Package and the Final Prospectus present fairly, in all material respects, the information shown therein on a basis consistent with that of the audited and unaudited financial statements included therein. No other financial statements or schedules are required under the Securities Act, the Exchange Act, or the rules and regulations of the Commission to be included or incorporated by reference in the Registration Statement, the Time of Sale Disclosure Package or the Final Prospectus. All disclosures contained in the Registration Statement, the Time of Sale Disclosure Package and the Final Prospectus, or incorporated by reference therein, regarding “non-GAAP financial measures” (as such term is defined by the rules and regulations of the Commission) comply in all material respects with Regulation G of the Exchange Act and Item 10 of Regulation S-K of the Securities Act,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i w:val="false"/>
          <w:caps w:val="false"/>
          <w:smallCaps w:val="false"/>
          <w:sz w:val="20"/>
        </w:rPr>
        <w:t>Independent Accountants.</w:t>
      </w:r>
      <w:r>
        <w:rPr>
          <w:rFonts w:ascii="Times New Roman;Times;Serif" w:hAnsi="Times New Roman;Times;Serif"/>
          <w:b w:val="false"/>
          <w:i w:val="false"/>
          <w:caps w:val="false"/>
          <w:smallCaps w:val="false"/>
          <w:sz w:val="20"/>
        </w:rPr>
        <w:t xml:space="preserve"> Baker Tilly US, LLP, which has expressed its opinion with respect to the financial statements and schedules of the Company included or incorporated by reference as a part of the Registration Statement, the Time of Sale Disclosure Package and the Final Prospectus, is an independent public accounting firm with respect to the Company within the meaning of the Securities Act and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i w:val="false"/>
          <w:caps w:val="false"/>
          <w:smallCaps w:val="false"/>
          <w:sz w:val="20"/>
        </w:rPr>
        <w:t>Independent Petroleum Engineers.</w:t>
      </w:r>
      <w:r>
        <w:rPr>
          <w:rFonts w:ascii="Times New Roman;Times;Serif" w:hAnsi="Times New Roman;Times;Serif"/>
          <w:b w:val="false"/>
          <w:i w:val="false"/>
          <w:caps w:val="false"/>
          <w:smallCaps w:val="false"/>
          <w:sz w:val="20"/>
        </w:rPr>
        <w:t xml:space="preserve"> DeGoyler &amp; MacNaughton and Cawley, Gillespie and Associates, Inc., whose reports on the oil and gas reserve estimates of the Company are incorporated by reference in the Registration Statement, the Time of Sale Disclosure Package and the Final Prospectus, are both independent petroleum engineers in accordance with guidelines established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i w:val="false"/>
          <w:caps w:val="false"/>
          <w:smallCaps w:val="false"/>
          <w:sz w:val="20"/>
        </w:rPr>
        <w:t>Accounting and Disclosure Controls.</w:t>
      </w:r>
      <w:r>
        <w:rPr>
          <w:rFonts w:ascii="Times New Roman;Times;Serif" w:hAnsi="Times New Roman;Times;Serif"/>
          <w:b w:val="false"/>
          <w:i w:val="false"/>
          <w:caps w:val="false"/>
          <w:smallCaps w:val="false"/>
          <w:sz w:val="20"/>
        </w:rPr>
        <w:t xml:space="preserve"> The Company and its subsidiaries maintain systems of “internal control over financial reporting” (as defined under Rules 13a-15 and 15d-15 under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references in the Registration Statement, the Time of Sale Disclosure Package and the Final Prospectus fairly present the information called for in all material respects and are prepared in accordance with the Commission’s rules and guidelines applicable thereto. Since the date of the latest audited financial statements included in the Registration Statement, the Time of Sale Disclosure Package and the Final Prospectus, there has been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maintain “disclosure controls and procedures” (as defined in Rule 13a-15(e) of the Exchange Act) which are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the Registration Statement, the Time of Sale Disclosure Package and the Final Prospectus, since June 30, 2025,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t>. The Company had a reasonable basis for, and made in good faith, each “forward-looking statement” (within the meaning of Section 27A of the Securities Act or Section 21E of the Exchange Act) contained or incorporated by reference in the Registration Statement, the Time of Sale Disclosure Package, the Final Prospectus or the Marketing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i w:val="false"/>
          <w:caps w:val="false"/>
          <w:smallCaps w:val="false"/>
          <w:sz w:val="20"/>
        </w:rPr>
        <w:t>Statistical and Marketing-Related Data</w:t>
      </w:r>
      <w:r>
        <w:rPr>
          <w:rFonts w:ascii="Times New Roman;Times;Serif" w:hAnsi="Times New Roman;Times;Serif"/>
          <w:b w:val="false"/>
          <w:i w:val="false"/>
          <w:caps w:val="false"/>
          <w:smallCaps w:val="false"/>
          <w:sz w:val="20"/>
        </w:rPr>
        <w:t>. All statistical or market-related data included or incorporated by reference in the Registration Statement, the Time of Sale Disclosure Package or the Final Prospectus, or included in the Marketing Materials, are based on or derived from sources that the Company reasonably believes to be reliable and accurate, and the Company has obtained the written consent to the use of such data from such sources, to the extent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i w:val="false"/>
          <w:caps w:val="false"/>
          <w:smallCaps w:val="false"/>
          <w:sz w:val="20"/>
        </w:rPr>
        <w:t>Reserve Report Data.</w:t>
      </w:r>
      <w:r>
        <w:rPr>
          <w:rFonts w:ascii="Times New Roman;Times;Serif" w:hAnsi="Times New Roman;Times;Serif"/>
          <w:b w:val="false"/>
          <w:i w:val="false"/>
          <w:caps w:val="false"/>
          <w:smallCaps w:val="false"/>
          <w:sz w:val="20"/>
        </w:rPr>
        <w:t xml:space="preserve"> The oil and gas reserve estimates of the Company, which are incorporated by reference in the Registration Statement, the Time of Sale Disclosure Package and the Final Prospectus, or included in the Marketing Materials, are derived from reports that have been prepared by independent reserve engineers in accordance with Commission guidelines applied on a consistent basis throughout the periods involved, and the Company has no reason to believe that such estimates do not fairly reflect, in all material respects, the oil and gas reserves of the Company, or the present value of future net cash flows therefrom, as of the dates indicated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The Common Stock is registered pursuant to Section 12(b) of the Exchange Act and is approved for listing on the NYSE American (the “</w:t>
      </w:r>
      <w:r>
        <w:rPr>
          <w:rFonts w:ascii="Times New Roman;Times;Serif" w:hAnsi="Times New Roman;Times;Serif"/>
          <w:b w:val="false"/>
          <w:i w:val="false"/>
          <w:caps w:val="false"/>
          <w:smallCaps w:val="false"/>
          <w:sz w:val="20"/>
          <w:u w:val="single"/>
        </w:rPr>
        <w:t>NYSE American</w:t>
      </w:r>
      <w:r>
        <w:rPr>
          <w:rFonts w:ascii="Times New Roman;Times;Serif" w:hAnsi="Times New Roman;Times;Serif"/>
          <w:b w:val="false"/>
          <w:i w:val="false"/>
          <w:caps w:val="false"/>
          <w:smallCaps w:val="false"/>
          <w:sz w:val="20"/>
        </w:rPr>
        <w:t>”). There is no action pending by the Company or, to the Company’s knowledge, the NYSE American to delist the Common Stock from the NYSE American, nor has the Company received any notification that the NYSE American is contemplating terminating such listing. When issued, the Shares will be listed on the NYSE American.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i w:val="false"/>
          <w:caps w:val="false"/>
          <w:smallCaps w:val="false"/>
          <w:sz w:val="20"/>
        </w:rPr>
        <w:t>Absence of Manipulation</w:t>
      </w:r>
      <w:r>
        <w:rPr>
          <w:rFonts w:ascii="Times New Roman;Times;Serif" w:hAnsi="Times New Roman;Times;Serif"/>
          <w:b w:val="false"/>
          <w:i w:val="false"/>
          <w:caps w:val="false"/>
          <w:smallCaps w:val="false"/>
          <w:sz w:val="20"/>
        </w:rPr>
        <w:t>. The Company has not taken, directly or indirectly, any action that is designed to or that has constituted or that would reasonably be expected to cause or result in the stabilization or manipulation of the price of any security of the Company to facilitate the sale or resale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The Company is not and, after giving effect to the offering and sale of the Shares and the application of the net proceeds thereof, will not be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Representations and Warranties Regarding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represents and warrants to, and agrees with, the several Underwriters, as of the date hereof and as of the Closing Date and as of each Option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Good Standing</w:t>
      </w:r>
      <w:r>
        <w:rPr>
          <w:rFonts w:ascii="Times New Roman;Times;Serif" w:hAnsi="Times New Roman;Times;Serif"/>
          <w:b w:val="false"/>
          <w:i w:val="false"/>
          <w:caps w:val="false"/>
          <w:smallCaps w:val="false"/>
          <w:sz w:val="20"/>
        </w:rPr>
        <w:t>. Each of the Company and its subsidiaries has been duly organized and is validly existing as a corporation or other entity in good standing under the laws of its jurisdiction of organization. Each of the Company and its subsidiaries has the power and authority (corporate or otherwise) to own its properties and conduct its business as currently being carried on and as described in the Registration Statement, the Time of Sale Disclosure Package and the Prospectus, and is duly qualified to do business as a foreign corporation or other entity in good standing in each jurisdiction in which it owns or leases real property or in which the conduct of its business makes such qualification necessary, except where the failure to so qualify would not have or be reasonably likely to result in a material adverse effect upon the business, prospects, properties, operations, condition (financial or otherwise) or results of operations of the Company and its subsidiaries, taken as a whole, or in its ability to perform its obligations under this Agreement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Authorization</w:t>
      </w:r>
      <w:r>
        <w:rPr>
          <w:rFonts w:ascii="Times New Roman;Times;Serif" w:hAnsi="Times New Roman;Times;Serif"/>
          <w:b w:val="false"/>
          <w:i w:val="false"/>
          <w:caps w:val="false"/>
          <w:smallCaps w:val="false"/>
          <w:sz w:val="20"/>
        </w:rPr>
        <w:t>. The Company has the corporate power and authority to enter into this Agreement and to authorize, issue and sell the Shares as contemplated by this Agreement.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Contracts</w:t>
      </w:r>
      <w:r>
        <w:rPr>
          <w:rFonts w:ascii="Times New Roman;Times;Serif" w:hAnsi="Times New Roman;Times;Serif"/>
          <w:b w:val="false"/>
          <w:i w:val="false"/>
          <w:caps w:val="false"/>
          <w:smallCaps w:val="false"/>
          <w:sz w:val="20"/>
        </w:rPr>
        <w:t>. The execution, delivery and performance of this Agreement and the consummation of the transactions herein contemplated (including the issuance of the Shares as described in the Time of Sale Disclosure Package and the Prospectus under the caption “Use of Proceeds”) will not (A) result in a breach or violation of any of the terms and provisions of, or constitute a default under, any law, order, rule or regulation to which the Company or any subsidiary is subject, or by which any property or asset of the Company or any subsidiary is bound or affected, except to the extent that such breach, violation or default would not result in a Material Adverse Effect, (B) conflict with, result in any violation or breach of, or constitute a default (or an event that with notice or lapse of time or both would become a default) under, or give to others any right of termination, amendment, acceleration or cancellation (with or without notice, lapse of time or both) (a “</w:t>
      </w:r>
      <w:r>
        <w:rPr>
          <w:rFonts w:ascii="Times New Roman;Times;Serif" w:hAnsi="Times New Roman;Times;Serif"/>
          <w:b w:val="false"/>
          <w:i w:val="false"/>
          <w:caps w:val="false"/>
          <w:smallCaps w:val="false"/>
          <w:sz w:val="20"/>
          <w:u w:val="single"/>
        </w:rPr>
        <w:t>Default Acceleration Event</w:t>
      </w:r>
      <w:r>
        <w:rPr>
          <w:rFonts w:ascii="Times New Roman;Times;Serif" w:hAnsi="Times New Roman;Times;Serif"/>
          <w:b w:val="false"/>
          <w:i w:val="false"/>
          <w:caps w:val="false"/>
          <w:smallCaps w:val="false"/>
          <w:sz w:val="20"/>
        </w:rPr>
        <w:t>”) of, any contract, indenture, mortgage, deed of trust, loan or credit agreement, note, lease or other agreement or instrument to which such entity is a party or by which it is bound or to which any of the properties or assets of such entity is subject (the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except to the extent that such conflict, default or Default Acceleration Event would not result in a Material Adverse Effect, or (C) result in a breach or violation of any of the terms and provisions of, or constitute a default under, the Company’s charter, by-laws or similar organization document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i w:val="false"/>
          <w:caps w:val="false"/>
          <w:smallCaps w:val="false"/>
          <w:sz w:val="20"/>
        </w:rPr>
        <w:t>No Violations</w:t>
      </w:r>
      <w:r>
        <w:rPr>
          <w:rFonts w:ascii="Times New Roman;Times;Serif" w:hAnsi="Times New Roman;Times;Serif"/>
          <w:b w:val="false"/>
          <w:i w:val="false"/>
          <w:caps w:val="false"/>
          <w:smallCaps w:val="false"/>
          <w:sz w:val="20"/>
        </w:rPr>
        <w:t>. Neither the Company nor any of its subsidiaries is in violation, breach or default under its certificate of incorporation, by-laws or other equivalent organizational or governing documents. In addition, none of the Company nor any of its subsidiaries is (A) in default (or, to the knowledge of the Company, with the giving of notice or lapse of time, would be in default) in the performance or observance of any obligation, agreement, covenant or condition contained in any Contracts, except for such defaults that would not, individually or in the aggregate, reasonably be expected to have a Material Adverse Effect or (B)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Consents</w:t>
      </w:r>
      <w:r>
        <w:rPr>
          <w:rFonts w:ascii="Times New Roman;Times;Serif" w:hAnsi="Times New Roman;Times;Serif"/>
          <w:b w:val="false"/>
          <w:i w:val="false"/>
          <w:caps w:val="false"/>
          <w:smallCaps w:val="false"/>
          <w:sz w:val="20"/>
        </w:rPr>
        <w:t>. No consents, approvals, orders, authorizations or filings are required on the part of the Company in connection with the execution, delivery or performance of this Agreement and the issue and sale of the Shares, except (A) the registration under the Securities Act of the Shares, which has been effected, (B) the necessary filings and approvals from the NYSE American to list the Shares, (C) such consents, approvals, authorizations, registrations or qualifications as may be required under state or foreign securities or Blue Sky laws and the rules of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in connection with the purchase and distribution of the Shares by the several Underwriters, (D) such consents and approvals as have been obtained and are in full force and effect and (E) such consents and approvals, which if not obtained or made,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i w:val="false"/>
          <w:caps w:val="false"/>
          <w:smallCaps w:val="false"/>
          <w:sz w:val="20"/>
        </w:rPr>
        <w:t>Capitalization</w:t>
      </w:r>
      <w:r>
        <w:rPr>
          <w:rFonts w:ascii="Times New Roman;Times;Serif" w:hAnsi="Times New Roman;Times;Serif"/>
          <w:b w:val="false"/>
          <w:i w:val="false"/>
          <w:caps w:val="false"/>
          <w:smallCaps w:val="false"/>
          <w:sz w:val="20"/>
        </w:rPr>
        <w:t>. The Company has an authorized capitalization as set forth in the Registration Statement, the Time of Sale Disclosure Package and the Final Prospectus. All of the issued and outstanding shares of capital stock of the Company are duly authorized and validly issued, fully paid and nonassessable, and have been issued in compliance with all applicable securities laws, and conform to the description thereof in the Registration Statement, the Time of Sale Disclosure Package and the Final Prospectus. All of the issued shares of capital stock or other equity interests of each subsidiary of the Company have been duly and validly authorized and issued, are fully paid and non-assessable (except as otherwise described in the Registration Statement, the Time of Sale Disclosure Package and the Final Prospectus) and, except as set forth in the Registration Statement, the Time of Sale Disclosure Package and the Final Prospectus, are owned directly or indirectly by the Company, free and clear of all liens, encumbrances, equities or claims, other than those arising under the Company’s Credit Agreement, dated as of April 11, 2016, as amended. Except for the issuances of options or restricted stock in the ordinary course of business, since the respective dates as of which information is provided in the Registration Statement, the Time of Sale Disclosure Package or the Final Prospectus, the Company has not entered into or granted any convertible or exchangeable securities, options, warrants, agreements, contracts or other rights in existence, in each case, to purchase or acquire from the Company any shares of the capital stock of the Company. The Shares, when issued and paid for as provided herein, will be duly authorized and validly issued, fully paid and nonassessable, will be issued in compliance with all applicable securities laws, and will be free of preemptive, registration or similar rights and will conform to the description of the capital stock of the Company contained in the Registration Statement, the Time of Sale Disclosure Package and the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Each of the Company and its subsidiaries has (A) filed all foreign, federal, state and local tax returns (as hereinafter defined) required to be filed with taxing authorities prior to the date hereof or has duly obtained extensions of time for the filing thereof (except where the failure to file would not have a Material Adverse Effect) and (B) paid all taxes (as hereinafter defined) shown as due and payable on such returns that were filed and has paid all taxes imposed on or assessed against the Company or such respective subsidiary (except for cases in which the failure to pay would not have a Material Adverse Effect or except as currently being contested in good faith and for which reserves required by GAAP have been created in the financial statements of the Company and its subsidiaries). There is no action, suit or proceeding or, to the Company’s knowledge, investigation or audit by any taxing authority in connection with any of the returns or taxes asserted as due from the Company or its subsidiaries, and no waivers of statutes of limitation with respect to the returns or collection of taxes have been given by or requested from the Company or its subsidiaries. The term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Times New Roman;Times;Serif" w:hAnsi="Times New Roman;Times;Serif"/>
          <w:b w:val="false"/>
          <w:i w:val="false"/>
          <w:caps w:val="false"/>
          <w:smallCaps w:val="false"/>
          <w:sz w:val="20"/>
          <w:u w:val="single"/>
        </w:rPr>
        <w:t>returns</w:t>
      </w:r>
      <w:r>
        <w:rPr>
          <w:rFonts w:ascii="Times New Roman;Times;Serif" w:hAnsi="Times New Roman;Times;Serif"/>
          <w:b w:val="false"/>
          <w:i w:val="false"/>
          <w:caps w:val="false"/>
          <w:smallCaps w:val="false"/>
          <w:sz w:val="20"/>
        </w:rPr>
        <w:t>” means all returns, declarations, reports, statements, and other documents required to be filed in respect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i w:val="false"/>
          <w:caps w:val="false"/>
          <w:smallCaps w:val="false"/>
          <w:sz w:val="20"/>
        </w:rPr>
        <w:t>Material Change</w:t>
      </w:r>
      <w:r>
        <w:rPr>
          <w:rFonts w:ascii="Times New Roman;Times;Serif" w:hAnsi="Times New Roman;Times;Serif"/>
          <w:b w:val="false"/>
          <w:i w:val="false"/>
          <w:caps w:val="false"/>
          <w:smallCaps w:val="false"/>
          <w:sz w:val="20"/>
        </w:rPr>
        <w:t>. Since the respective dates as of which information is given (including information incorporated by reference) in the Registration Statement, the Time of Sale Disclosure Package or the Final Prospectus, (A) neither the Company nor any of its subsidiaries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(other than a change in the number of outstanding shares of Common Stock due to the issuance of shares upon the exercise of outstanding options or warrants, upon the conversion of outstanding shares of preferred stock or other convertible securities or the issuance of restricted stock awards or restricted stock units under the Company’s existing stock awards plan, or any new grants thereof in the ordinary course of business), (D) there has not been any material change in the Company’s long-term or short-term debt, and (E) there has not been the occurrence of 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i w:val="false"/>
          <w:caps w:val="false"/>
          <w:smallCaps w:val="false"/>
          <w:sz w:val="20"/>
        </w:rPr>
        <w:t>Absence of Proceedings</w:t>
      </w:r>
      <w:r>
        <w:rPr>
          <w:rFonts w:ascii="Times New Roman;Times;Serif" w:hAnsi="Times New Roman;Times;Serif"/>
          <w:b w:val="false"/>
          <w:i w:val="false"/>
          <w:caps w:val="false"/>
          <w:smallCaps w:val="false"/>
          <w:sz w:val="20"/>
        </w:rPr>
        <w:t>. Except as set forth in the Registration Statement, the Time of Sale Disclosure Package and the Final Prospectus, there is not pending or, to the knowledge of the Company, threatened, any action, suit or proceeding to which the Company or any of its subsidiaries is a party or of which any property or assets of the Company or any of its subsidiaries is the subject before or by any Governmental Entity, which is reasonably likely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The Company and each of its subsidiaries holds, and is in compliance with, all franchises, grants, authorizations, licenses, permits, easements, consents, certificates and orders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of any governmental or self-regulatory agency, authority or body required for the conduct of its business as described in the Registration Statement, the Time of Sale Disclosure Package and the Final Prospectus, and all such Permits are in full force and effect, in each case, except where the failure to hold, or comply with, any of the Permits is not reasonably likely to result in a Material Adverse Effect or adversely affect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The Company and each subsidiary have title to their respective properties as follows: (A) with respect to oil and gas properties underlying the Company’s estimates of its net proved oil and natural gas reserves incorporated by reference in the Registration Statement, the Time of Sale Disclosure Package and the Final Prospectus, such title is defensible title, free and clear of all liens, security interests, pledges, charges, encumbrances, mortgages and restrictions, and (B) with respect to real and personal property other than that appurtenant to oil and gas properties, such title is good and marketable title free and clear of all liens, security interests, pledges, charges, encumbrances, mortgages and restrictions, in each case of clauses (A) and (B), except for such liens, security interests, pledges, charges, encumbrances, mortgages and restrictions as are described in the Registration Statement, the Time of Sale Disclosure Package and the Final Prospectus or such as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i w:val="false"/>
          <w:caps w:val="false"/>
          <w:smallCaps w:val="false"/>
          <w:sz w:val="20"/>
        </w:rPr>
        <w:t>Subsidiary Matters</w:t>
      </w:r>
      <w:r>
        <w:rPr>
          <w:rFonts w:ascii="Times New Roman;Times;Serif" w:hAnsi="Times New Roman;Times;Serif"/>
          <w:b w:val="false"/>
          <w:i w:val="false"/>
          <w:caps w:val="false"/>
          <w:smallCaps w:val="false"/>
          <w:sz w:val="20"/>
        </w:rPr>
        <w:t>. ARKLA Petroleum, LLC, a Louisiana limited liability company and a subsidiary of NGS Sub. Corp., a Delaware corporation which is a wholly-owned subsidiary of the Company, owns no assets or properties and as of the date hereof, is not conducting business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The Company and each of its subsidiaries owns or possesses or has valid right to use all patents, patent applications, trademarks, service marks, trade names, trademark registrations, service mark registrations, copyrights, licenses, inventions, trade secrets and similar rights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necessary for the conduct of the business of the Company and its subsidiaries as currently carried on and as described in the Registration Statement, the Time of Sale Disclosure Package and the Final Prospectus, except to the extent that the failure to own or possess adequate rights to use such Intellectual Property would not have a Material Adverse Effect. To the knowledge of the Company, no action or use by the Company or any of its subsidiaries involves or gives rise to any infringement of, or license or similar fees for, any Intellectual Property of others, except where such action, use, license or fee would not result in a Material Adverse Effect. Neither the Company nor any of its subsidiaries has received any notice alleging any such infringement or fee. To the Company’s knowledge, none of the technology employed by, and material to the business of, the Company or any subsidiary has been obtained or is being used by the Company or such subsidiary in violation of any contractual obligation binding on the Company or such subsidiary or, to the Company’s knowledge, any of the officers, directors or employees of the Company or any subsidiary, or, to the Company’s knowledge, otherwise in violation of the rights of any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i w:val="false"/>
          <w:caps w:val="false"/>
          <w:smallCaps w:val="false"/>
          <w:sz w:val="20"/>
        </w:rPr>
        <w:t>Employment Matters</w:t>
      </w:r>
      <w:r>
        <w:rPr>
          <w:rFonts w:ascii="Times New Roman;Times;Serif" w:hAnsi="Times New Roman;Times;Serif"/>
          <w:b w:val="false"/>
          <w:i w:val="false"/>
          <w:caps w:val="false"/>
          <w:smallCaps w:val="false"/>
          <w:sz w:val="20"/>
        </w:rPr>
        <w:t>. There is (A) no unfair labor practice complaint pending against the Company, or any of its subsidiaries, nor to the Company’s knowledge, threatened against it or any of its subsidiaries, before the National Labor Relations Board, any state or local labor relation board or any foreign labor relations board, and no grievance or arbitration proceeding arising out of or under any collective bargaining agreement is so pending against the Company or any of its subsidiaries, or, to the Company’s knowledge, threatened against it and (B) no labor disturbance by the employees of the Company or any of its subsidiaries exists or, to the Company’s knowledge, is imminent, and the Company is not aware of any existing or imminent labor disturbance by the employees of any of its or its subsidiaries, principal suppliers, manufacturers, customers or contractors, in each case, that would have a Material Adverse Effect. The Company is not aware that any key employee or significant group of employees of the Company or any subsidiary plans to terminate employment with the Company or any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i w:val="false"/>
          <w:caps w:val="false"/>
          <w:smallCaps w:val="false"/>
          <w:sz w:val="20"/>
        </w:rPr>
        <w:t>ERISA Compliance</w:t>
      </w:r>
      <w:r>
        <w:rPr>
          <w:rFonts w:ascii="Times New Roman;Times;Serif" w:hAnsi="Times New Roman;Times;Serif"/>
          <w:b w:val="false"/>
          <w:i w:val="false"/>
          <w:caps w:val="false"/>
          <w:smallCaps w:val="false"/>
          <w:sz w:val="20"/>
        </w:rPr>
        <w:t>. To the Company’s knowledge, each material employee pension benefit plan, within the meaning of Section 3(2)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that is subject to Title IV of ERISA, that is maintained, administered or contributed to by the Company for employees of the Company has been maintained in material compliance with its terms and the requirements of ERISA and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no non-exempt prohibited transaction, within the meaning of Section 406 of ERISA or Section 4975 of the Code, has occurred which would result in a material liability to the Company with respect to any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i w:val="false"/>
          <w:caps w:val="false"/>
          <w:smallCaps w:val="false"/>
          <w:sz w:val="20"/>
        </w:rPr>
        <w:t>Environmental Matters</w:t>
      </w:r>
      <w:r>
        <w:rPr>
          <w:rFonts w:ascii="Times New Roman;Times;Serif" w:hAnsi="Times New Roman;Times;Serif"/>
          <w:b w:val="false"/>
          <w:i w:val="false"/>
          <w:caps w:val="false"/>
          <w:smallCaps w:val="false"/>
          <w:sz w:val="20"/>
        </w:rPr>
        <w:t>. Except as set forth in the Registration Statement, the Time of Sale Disclosure Package and the Final Prospectus, the Company and its subsidiaries (A)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(B) have received and is in compliance with all permits, licenses or other approvals required of it under applicable Environmental Laws to conduct its businesses as described in the Registration Statement and the Prospectus; and (C) have not received written notice of any actual or potential liability for the investigation or remediation of any disposal or release of hazardous or toxic substances or wastes, pollutants or contaminants, except, in the case of any of clauses (A), (B) or (C) above, for any such failure to comply or failure to receive required permits, licenses, other approvals or liability as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r>
        <w:rPr>
          <w:rFonts w:ascii="Times New Roman;Times;Serif" w:hAnsi="Times New Roman;Times;Serif"/>
          <w:b/>
          <w:i w:val="false"/>
          <w:caps w:val="false"/>
          <w:smallCaps w:val="false"/>
          <w:sz w:val="20"/>
        </w:rPr>
        <w:t>SOX Compliance</w:t>
      </w:r>
      <w:r>
        <w:rPr>
          <w:rFonts w:ascii="Times New Roman;Times;Serif" w:hAnsi="Times New Roman;Times;Serif"/>
          <w:b w:val="false"/>
          <w:i w:val="false"/>
          <w:caps w:val="false"/>
          <w:smallCaps w:val="false"/>
          <w:sz w:val="20"/>
        </w:rPr>
        <w:t>. The Company is in compliance in all material respects with all applicable provisions of the Sarbanes-Oxley Act of 2002 and all rules and regulations promulgated thereunder or implementing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The operations of the Company and its subsidiaries are, and for the past three years have been conducted at all times, in compliance in all material respects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Governmental Entity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w:t>
      </w:r>
      <w:r>
        <w:rPr>
          <w:rFonts w:ascii="Times New Roman;Times;Serif" w:hAnsi="Times New Roman;Times;Serif"/>
          <w:b/>
          <w:i w:val="false"/>
          <w:caps w:val="false"/>
          <w:smallCaps w:val="false"/>
          <w:sz w:val="20"/>
        </w:rPr>
        <w:t>Foreign Corrupt Practices Act</w:t>
      </w:r>
      <w:r>
        <w:rPr>
          <w:rFonts w:ascii="Times New Roman;Times;Serif" w:hAnsi="Times New Roman;Times;Serif"/>
          <w:b w:val="false"/>
          <w:i w:val="false"/>
          <w:caps w:val="false"/>
          <w:smallCaps w:val="false"/>
          <w:sz w:val="20"/>
        </w:rPr>
        <w:t>. Neither the Company nor any of its subsidiaries, or any director or officer of the Company or any subsidiary, nor, to the knowledge of the Company, any employee, representative, agent, affiliate of the Company or any of its subsidiaries or any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have conducted their businesses in compliance with the FCPA and have instituted and maintain, or are subject to, policies and procedures reasonably designed to ensure continued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Neither the Company nor any director or officer, nor, to the Company’s knowledge, employee, affiliate, agent or representative of the Company is a government, individual or entity (in this paragraph (xx),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that is, or is 50% or more owned or controlled by a Person that is currently the subject or target of any sanctions administered or enforced by the Office of Foreign Assets Control of the U.S. Department of the Treasury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the European Union, His Majesty’s Treasury, or other relevant sanctions authority with jurisdiction over the Company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located, organized or resident in a country or territory that is the subject of comprehensive Sanctions (as of the effective date of this Agreement, the Crimea region of Ukraine, the so-called Donetsk People’s Republic, the so-called Luhansk People’s Republic, the Kherson and Zaporizhzhia regions of Ukraine, Cuba, Iran and North Korea) (collectively, a “</w:t>
      </w:r>
      <w:r>
        <w:rPr>
          <w:rFonts w:ascii="Times New Roman;Times;Serif" w:hAnsi="Times New Roman;Times;Serif"/>
          <w:b w:val="false"/>
          <w:i w:val="false"/>
          <w:caps w:val="false"/>
          <w:smallCaps w:val="false"/>
          <w:sz w:val="20"/>
          <w:u w:val="single"/>
        </w:rPr>
        <w:t>Sanctioned Territory</w:t>
      </w:r>
      <w:r>
        <w:rPr>
          <w:rFonts w:ascii="Times New Roman;Times;Serif" w:hAnsi="Times New Roman;Times;Serif"/>
          <w:b w:val="false"/>
          <w:i w:val="false"/>
          <w:caps w:val="false"/>
          <w:smallCaps w:val="false"/>
          <w:sz w:val="20"/>
        </w:rPr>
        <w:t>”); provided however, that for the purposes of this paragraph (xx), no Person shall be an affiliate of the Company solely by reason of owning less than a majority of any class of voting securities of the Company. The Company will not directly or knowingly indirectly use the proceeds of the offering of the securities hereunder, or lend, contribute or otherwise make available such proceeds to any subsidiary, joint venture partner or other Person, for the purpose of financing the activities of any person currently the subject or target of any sanctions administered or enforced by OFAC. Except as detailed in the Prospectus, for the past three years, the Company has not knowingly engaged in and is not now knowingly engaged in any dealings or transactions with any Person that at the time of the dealing or transaction is or was the subject or target of Sanctions or with any Sanctioned Territory, in each case in violation of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The Company and each of its subsidiaries carries or is covered by, insurance, with insurers of recognized financial responsibility, in such amounts and covering such risks as is adequate for the conduct of its business and the value of its properties and as is customary for companies engaged in similar businesses in similar industries. The Company has no reason to believe that it or any of its subsidiaries will not be able to (i) renew their existing insurance coverage as and when such policies expire or (ii) obtain comparable coverage from similar institutions as may be necessary or appropriate to conduct their business as now conducted at a cost that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t>
      </w:r>
      <w:r>
        <w:rPr>
          <w:rFonts w:ascii="Times New Roman;Times;Serif" w:hAnsi="Times New Roman;Times;Serif"/>
          <w:b/>
          <w:i w:val="false"/>
          <w:caps w:val="false"/>
          <w:smallCaps w:val="false"/>
          <w:sz w:val="20"/>
        </w:rPr>
        <w:t>Books and Records</w:t>
      </w:r>
      <w:r>
        <w:rPr>
          <w:rFonts w:ascii="Times New Roman;Times;Serif" w:hAnsi="Times New Roman;Times;Serif"/>
          <w:b w:val="false"/>
          <w:i w:val="false"/>
          <w:caps w:val="false"/>
          <w:smallCaps w:val="false"/>
          <w:sz w:val="20"/>
        </w:rPr>
        <w:t>. The minute books of the Company and each of its subsidiaries have been made available to the Underwriters and counsel for the Underwriters, and such books (A) contain a complete summary of all meetings and actions of the board of directors (including each board committee) and stockholders of the Company (or analogous governing bodies and interest holders, as applicable), and each of its subsidiaries since the time of its respective incorporation or organization through the date of the latest meeting and action, and (B) accurately in all material respects reflect all transactions referred to in such minutes.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w:t>
      </w:r>
      <w:r>
        <w:rPr>
          <w:rFonts w:ascii="Times New Roman;Times;Serif" w:hAnsi="Times New Roman;Times;Serif"/>
          <w:b/>
          <w:i w:val="false"/>
          <w:caps w:val="false"/>
          <w:smallCaps w:val="false"/>
          <w:sz w:val="20"/>
        </w:rPr>
        <w:t>No Undisclosed Contracts</w:t>
      </w:r>
      <w:r>
        <w:rPr>
          <w:rFonts w:ascii="Times New Roman;Times;Serif" w:hAnsi="Times New Roman;Times;Serif"/>
          <w:b w:val="false"/>
          <w:i w:val="false"/>
          <w:caps w:val="false"/>
          <w:smallCaps w:val="false"/>
          <w:sz w:val="20"/>
        </w:rPr>
        <w:t>. There is no Contract or document required by the Securities Act or by the Rules and Regulations to be described in the Registration Statement, the Time of Sale Disclosure Package or in the Final Prospectus or to be filed as an exhibit to the Registration Statements which is not so described or filed therein as required; and all descriptions of any such Contracts or documents contained in the Registration Statement, the Time of Sale Disclosure Package and in the Final Prospectus are accurate and complete descriptions of such documents in all material respects. Other than as described in the Registration Statement, the Time of Sale Disclosure Package and the Final Prospectus, no such Contract has been suspended or terminated for convenience or default by the Company or any subsidiary party thereto or, to the Company’s knowledge, any of the other parties thereto, and neither the Company nor any of its subsidiaries has received notice, and the Company has no knowledge, of any such pending or threatened suspension or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w:t>
      </w:r>
      <w:r>
        <w:rPr>
          <w:rFonts w:ascii="Times New Roman;Times;Serif" w:hAnsi="Times New Roman;Times;Serif"/>
          <w:b/>
          <w:i w:val="false"/>
          <w:caps w:val="false"/>
          <w:smallCaps w:val="false"/>
          <w:sz w:val="20"/>
        </w:rPr>
        <w:t>No Undisclosed Relationships</w:t>
      </w:r>
      <w:r>
        <w:rPr>
          <w:rFonts w:ascii="Times New Roman;Times;Serif" w:hAnsi="Times New Roman;Times;Serif"/>
          <w:b w:val="false"/>
          <w:i w:val="false"/>
          <w:caps w:val="false"/>
          <w:smallCaps w:val="false"/>
          <w:sz w:val="20"/>
        </w:rPr>
        <w:t>. No relationship, direct or indirect, exists between or among the Company or any of its subsidiaries on the one hand, and the directors, officers, stockholders (or analogous interest holders), customers or suppliers of the Company or any of its subsidiaries on the other hand, which is required to be described in the Registration Statement, the Time of Sale Disclosure Package or the Final Prospectus and which is not so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w:t>
      </w:r>
      <w:r>
        <w:rPr>
          <w:rFonts w:ascii="Times New Roman;Times;Serif" w:hAnsi="Times New Roman;Times;Serif"/>
          <w:b/>
          <w:i w:val="false"/>
          <w:caps w:val="false"/>
          <w:smallCaps w:val="false"/>
          <w:sz w:val="20"/>
        </w:rPr>
        <w:t>Insider Transactions</w:t>
      </w:r>
      <w:r>
        <w:rPr>
          <w:rFonts w:ascii="Times New Roman;Times;Serif" w:hAnsi="Times New Roman;Times;Serif"/>
          <w:b w:val="false"/>
          <w:i w:val="false"/>
          <w:caps w:val="false"/>
          <w:smallCaps w:val="false"/>
          <w:sz w:val="20"/>
        </w:rPr>
        <w:t>. All transactions by the Company with office holders or control persons of the Company have been duly approved by the board of directors of the Company, or duly appointed committees or officers thereof, if and to the extent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w:t>
      </w:r>
      <w:r>
        <w:rPr>
          <w:rFonts w:ascii="Times New Roman;Times;Serif" w:hAnsi="Times New Roman;Times;Serif"/>
          <w:b/>
          <w:i w:val="false"/>
          <w:caps w:val="false"/>
          <w:smallCaps w:val="false"/>
          <w:sz w:val="20"/>
        </w:rPr>
        <w:t>No Registration Rights</w:t>
      </w:r>
      <w:r>
        <w:rPr>
          <w:rFonts w:ascii="Times New Roman;Times;Serif" w:hAnsi="Times New Roman;Times;Serif"/>
          <w:b w:val="false"/>
          <w:i w:val="false"/>
          <w:caps w:val="false"/>
          <w:smallCaps w:val="false"/>
          <w:sz w:val="20"/>
        </w:rPr>
        <w:t>. No person or entity has the right to require registration of Common Stock or other securities of the Company or any of its subsidiaries within ninety (90) days of the date hereof because of the filing or effectiveness of the Registration Statement or otherwise, except for persons and entities who have expressly waived such right in writing or who have been given timely and proper written notice and have failed to exercise such right within the time or times required under the terms and conditions of such right. Except as described in the Registration Statement, the Time of Sale Disclosure Package and the Final Prospectus, there are no persons with registration rights or similar rights to have any securities registered by the Company or any of its subsidiaries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w:t>
      </w:r>
      <w:r>
        <w:rPr>
          <w:rFonts w:ascii="Times New Roman;Times;Serif" w:hAnsi="Times New Roman;Times;Serif"/>
          <w:b/>
          <w:i w:val="false"/>
          <w:caps w:val="false"/>
          <w:smallCaps w:val="false"/>
          <w:sz w:val="20"/>
        </w:rPr>
        <w:t>Cybersecurity.</w:t>
      </w:r>
      <w:r>
        <w:rPr>
          <w:rFonts w:ascii="Times New Roman;Times;Serif" w:hAnsi="Times New Roman;Times;Serif"/>
          <w:b w:val="false"/>
          <w:i w:val="false"/>
          <w:caps w:val="false"/>
          <w:smallCaps w:val="false"/>
          <w:sz w:val="20"/>
        </w:rPr>
        <w:t xml:space="preserve"> To the knowledge of the Company, (A) there has been no security breach or other compromise of any of the Company or its subsidiaries’ information technology and computer systems, networks, hardware, software, data and databases (including the data and information of their respective customers, employees, suppliers, vendors and other third parties maintained, processed or stored by the Company and its subsidiaries),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that requires notification under applicable law, (B) neither the Company nor its subsidiaries have received any written notice of any security breach or other compromise to their IT Systems and Data that requires notification under applicable law, and (C) the Company and its subsidiaries have implemented appropriate controls, policies, procedures and safeguards, as well as backup and disaster recovery technology, as required by applicable law to maintain and protect the integrity and security of their IT Systems and Data, except as would not, in the case of clauses (A) and (B) above,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The Company and its subsidiaries, to the Company’s knowledge, are, and at all times prior hereto have been, in compliance in all material respects with all applicable state, federal, and international data privacy, security and consumer protection laws and regulations (collectively, the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To facilitate compliance with the Privacy Laws, the Company and its subsidiaries have in place and take commercially reasonable steps to comply in all material respects with their policies and procedures relating to data privacy and security and the collection, storage, use, disclosure, handling, and analysis of Personal Data.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identifiable” information as applied by the Federal Trade Commission; and (iii) any other information that allows the identification of such natural person, or his or her family, or permits the collection or analysis of any data related to an identified person’s health or sexual orientation. Neither the Company nor any subsidiary: (A) has received written notice of any violation of any of the Privacy Laws; (B) is currently conducting or paying for, in whole or in part, any investigation, remediation, or other corrective action pursuant to any Privacy Law; or (C) is a party to any order, decree, or agreement that imposes any obligation or liability under any Privacy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w:t>
      </w:r>
      <w:r>
        <w:rPr>
          <w:rFonts w:ascii="Times New Roman;Times;Serif" w:hAnsi="Times New Roman;Times;Serif"/>
          <w:b/>
          <w:i w:val="false"/>
          <w:caps w:val="false"/>
          <w:smallCaps w:val="false"/>
          <w:sz w:val="20"/>
        </w:rPr>
        <w:t>No Finder’s Fee</w:t>
      </w:r>
      <w:r>
        <w:rPr>
          <w:rFonts w:ascii="Times New Roman;Times;Serif" w:hAnsi="Times New Roman;Times;Serif"/>
          <w:b w:val="false"/>
          <w:i w:val="false"/>
          <w:caps w:val="false"/>
          <w:smallCaps w:val="false"/>
          <w:sz w:val="20"/>
        </w:rPr>
        <w:t>. There are no claims, payments, issuances, arrangements or understandings for services in the nature of a finder’s, consulting or origination fee with respect to the introduction of the Company to any of the Underwriters or the sale of the Shares hereunder or any other arrangements, agreements, understandings, payments or issuances with respect to the Company that may affect the Underwriters’ compensation, as determined by FINRA.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w:t>
      </w:r>
      <w:r>
        <w:rPr>
          <w:rFonts w:ascii="Times New Roman;Times;Serif" w:hAnsi="Times New Roman;Times;Serif"/>
          <w:b/>
          <w:i w:val="false"/>
          <w:caps w:val="false"/>
          <w:smallCaps w:val="false"/>
          <w:sz w:val="20"/>
        </w:rPr>
        <w:t>No Fees.</w:t>
      </w:r>
      <w:r>
        <w:rPr>
          <w:rFonts w:ascii="Times New Roman;Times;Serif" w:hAnsi="Times New Roman;Times;Serif"/>
          <w:b w:val="false"/>
          <w:i w:val="false"/>
          <w:caps w:val="false"/>
          <w:smallCaps w:val="false"/>
          <w:sz w:val="20"/>
        </w:rPr>
        <w:t xml:space="preserve"> Except as disclosed to the Underwriters in writing, the Company has not made any direct or indirect payments (in cash, securities or otherwise) to (A) any person, as a finder’s fee, investing fee or otherwise, in consideration of such person raising capital for the Company or introducing to the Company persons who provided capital to the Company, (B) any FINRA member, or (C) any person or entity that has any direct or indirect affiliation or association with any FINRA member within the twelve (12) month period prior to the date on which the Registration Statement was filed with the Commission (“</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or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        </w:t>
      </w:r>
      <w:r>
        <w:rPr>
          <w:rFonts w:ascii="Times New Roman;Times;Serif" w:hAnsi="Times New Roman;Times;Serif"/>
          <w:b/>
          <w:i w:val="false"/>
          <w:caps w:val="false"/>
          <w:smallCaps w:val="false"/>
          <w:sz w:val="20"/>
        </w:rPr>
        <w:t>Proceeds</w:t>
      </w:r>
      <w:r>
        <w:rPr>
          <w:rFonts w:ascii="Times New Roman;Times;Serif" w:hAnsi="Times New Roman;Times;Serif"/>
          <w:b w:val="false"/>
          <w:i w:val="false"/>
          <w:caps w:val="false"/>
          <w:smallCaps w:val="false"/>
          <w:sz w:val="20"/>
        </w:rPr>
        <w:t>. None of the net proceeds of the offering will be paid by the Company to any participating FINRA member or any affiliate or associate of any participating FINRA member, except as specifically authorized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       </w:t>
      </w:r>
      <w:r>
        <w:rPr>
          <w:rFonts w:ascii="Times New Roman;Times;Serif" w:hAnsi="Times New Roman;Times;Serif"/>
          <w:b/>
          <w:i w:val="false"/>
          <w:caps w:val="false"/>
          <w:smallCaps w:val="false"/>
          <w:sz w:val="20"/>
        </w:rPr>
        <w:t>No FINRA Affiliations</w:t>
      </w:r>
      <w:r>
        <w:rPr>
          <w:rFonts w:ascii="Times New Roman;Times;Serif" w:hAnsi="Times New Roman;Times;Serif"/>
          <w:b w:val="false"/>
          <w:i w:val="false"/>
          <w:caps w:val="false"/>
          <w:smallCaps w:val="false"/>
          <w:sz w:val="20"/>
        </w:rPr>
        <w:t>. To the Company’s knowledge and except as disclosed to the Representative in writing, no (A) officer or director of the Company or its subsidiaries, (B) owner of ten percent (10%) or more of any class of the Company’s securities or (C) owner of any amount of the Company’s unregistered securities acquired within the one-hundred and eighty (180) day period prior to the Filing Date, has any direct or indirect affiliation or association with any FINRA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(xxxiii)      </w:t>
      </w:r>
      <w:r>
        <w:rPr>
          <w:rFonts w:ascii="Times New Roman;Times;Serif" w:hAnsi="Times New Roman;Times;Serif"/>
          <w:b/>
          <w:i w:val="false"/>
          <w:caps w:val="false"/>
          <w:smallCaps w:val="false"/>
          <w:sz w:val="20"/>
        </w:rPr>
        <w:t>Related Party Transactions</w:t>
      </w:r>
      <w:r>
        <w:rPr>
          <w:rFonts w:ascii="Times New Roman;Times;Serif" w:hAnsi="Times New Roman;Times;Serif"/>
          <w:b w:val="false"/>
          <w:i w:val="false"/>
          <w:caps w:val="false"/>
          <w:smallCaps w:val="false"/>
          <w:sz w:val="20"/>
        </w:rPr>
        <w:t>. No relationship, direct or indirect, exists between or among any of the Company or any affiliate of the Company, on the one hand, and any director, officer, member, stockholder, customer or supplier of the Company or any affiliate of the Company, on the other hand, which is required by the Securities Act to be disclosed pursuant to the requirements of Item 404 of Regulation S-K which has not been so disclosed. Except as disclosed in the Registration Statement, the Time of Sale Disclosure Package or the Final Prospectus, there are no outstanding loans, advances (except advances for business expenses in the ordinary course of business) or guarantees of indebtedness by the Company or any affiliate of the Company to or for the benefit of any of the officers or directors of the Company or any affiliate of the Company or any of their respective family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(xxxiv)      </w:t>
      </w:r>
      <w:r>
        <w:rPr>
          <w:rFonts w:ascii="Times New Roman;Times;Serif" w:hAnsi="Times New Roman;Times;Serif"/>
          <w:b/>
          <w:i w:val="false"/>
          <w:caps w:val="false"/>
          <w:smallCaps w:val="false"/>
          <w:sz w:val="20"/>
        </w:rPr>
        <w:t>No Financial Advisor</w:t>
      </w:r>
      <w:r>
        <w:rPr>
          <w:rFonts w:ascii="Times New Roman;Times;Serif" w:hAnsi="Times New Roman;Times;Serif"/>
          <w:b w:val="false"/>
          <w:i w:val="false"/>
          <w:caps w:val="false"/>
          <w:smallCaps w:val="false"/>
          <w:sz w:val="20"/>
        </w:rPr>
        <w:t>. Other than the Underwriters, no person has the right to act as an underwriter or as a financial advisor to the Company in connection with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       </w:t>
      </w:r>
      <w:r>
        <w:rPr>
          <w:rFonts w:ascii="Times New Roman;Times;Serif" w:hAnsi="Times New Roman;Times;Serif"/>
          <w:b/>
          <w:i w:val="false"/>
          <w:caps w:val="false"/>
          <w:smallCaps w:val="false"/>
          <w:sz w:val="20"/>
        </w:rPr>
        <w:t>Certain Statements</w:t>
      </w:r>
      <w:r>
        <w:rPr>
          <w:rFonts w:ascii="Times New Roman;Times;Serif" w:hAnsi="Times New Roman;Times;Serif"/>
          <w:b w:val="false"/>
          <w:i w:val="false"/>
          <w:caps w:val="false"/>
          <w:smallCaps w:val="false"/>
          <w:sz w:val="20"/>
        </w:rPr>
        <w:t>. The statements set forth in the Registration Statement, the Time of Sale Disclosure Package and the Final Prospectus under the captions “Material U.S. Federal Income Tax Considerations - Non-U.S. Holders,” insofar as they purport to describe the provisions of the laws and documents referred to therein, are accurate, complete and fair in all material respects, and under the caption “Description of Capital Stock” insofar as they purport to constitute a summary of (A) the terms of the Company’s outstanding securities, (B) the terms of the Shares, and (C) the terms of the documents referred to therein, are accurate, complete and fair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      </w:t>
      </w:r>
      <w:r>
        <w:rPr>
          <w:rFonts w:ascii="Times New Roman;Times;Serif" w:hAnsi="Times New Roman;Times;Serif"/>
          <w:b/>
          <w:i w:val="false"/>
          <w:caps w:val="false"/>
          <w:smallCaps w:val="false"/>
          <w:sz w:val="20"/>
        </w:rPr>
        <w:t>Prior Sales of Securities</w:t>
      </w:r>
      <w:r>
        <w:rPr>
          <w:rFonts w:ascii="Times New Roman;Times;Serif" w:hAnsi="Times New Roman;Times;Serif"/>
          <w:b w:val="false"/>
          <w:i w:val="false"/>
          <w:caps w:val="false"/>
          <w:smallCaps w:val="false"/>
          <w:sz w:val="20"/>
        </w:rPr>
        <w:t>. Except as set forth in the Registration Statement, the Time of Sale Disclosure Package and the Final Prospectus, the Company has not sold or issued any shares of Common Stock that would be integrated with the offering of the Shares contemplated by this Agreement pursuant to the Securities Act, the Rules and Regulations or the interpretations thereof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certificate signed by any officer of the Company and delivered to the Representative on behalf of the Underwriters or to counsel for the Underwriters shall be deemed a representation and warranty by the Company to the Underwriters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4.</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Purchase, Sale and Delivery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basis of the representations, warranties and agreements herein contained, but subject to the terms and conditions herein set forth, the Company agrees to issue and sell the Firm Shares to the several Underwriters, and the several Underwriters agree, severally and not jointly, to purchase the Firm Shares set forth opposite the names of the Underwriters in Schedule I hereto. The purchase price to be paid by the Underwriters to the Company for each Firm Share shall be $3.055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grants to the Underwriters the option to purchase some or all of the Option Shares and, upon the basis of the warranties and representations and subject to the terms and conditions herein set forth, the Underwriters shall have the right, severally and not jointly, to purchase at the purchase price set forth in Section 4(a) all or any portion of the Option Shares as may be necessary to cover over-allotments made in connection with the transactions contemplated hereby. This option may be exercised by the Underwriters at any time and from time to time on or before the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hereof, by written notice to the Company (the “</w:t>
      </w:r>
      <w:r>
        <w:rPr>
          <w:rFonts w:ascii="Times New Roman;Times;Serif" w:hAnsi="Times New Roman;Times;Serif"/>
          <w:b w:val="false"/>
          <w:i w:val="false"/>
          <w:caps w:val="false"/>
          <w:smallCaps w:val="false"/>
          <w:sz w:val="20"/>
          <w:u w:val="single"/>
        </w:rPr>
        <w:t>Option Notice</w:t>
      </w:r>
      <w:r>
        <w:rPr>
          <w:rFonts w:ascii="Times New Roman;Times;Serif" w:hAnsi="Times New Roman;Times;Serif"/>
          <w:b w:val="false"/>
          <w:i w:val="false"/>
          <w:caps w:val="false"/>
          <w:smallCaps w:val="false"/>
          <w:sz w:val="20"/>
        </w:rPr>
        <w:t>”). The Option Notice shall set forth the aggregate number of Option Shares as to which the option is being exercised, and the date and time when the Option Shares are to be delivered (such date and time being herein referred to as the “</w:t>
      </w:r>
      <w:r>
        <w:rPr>
          <w:rFonts w:ascii="Times New Roman;Times;Serif" w:hAnsi="Times New Roman;Times;Serif"/>
          <w:b w:val="false"/>
          <w:i w:val="false"/>
          <w:caps w:val="false"/>
          <w:smallCaps w:val="false"/>
          <w:sz w:val="20"/>
          <w:u w:val="single"/>
        </w:rPr>
        <w:t>Option Closing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Option Closing Date shall not be earlier than the Closing Date nor earlier than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business day after the date on which the option shall have been exercised nor later than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date on which the option shall have been exercised unless the Company and the Representative otherwise agree. If the Underwriters elect to purchase less than all of the Option Shares, the Company agrees to sell to each Underwriter the number of Option Shares obtained by multiplying the number of Option Shares specified in such notice by a fraction, the numerator of which is the number of Option Shares set forth opposite the name of the Underwriter in Schedule I hereto under the caption “Number of Option Shares to be Sold” and the denominator of which is the total number of Option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 of the purchase price for and delivery of the Option Shares shall be made on an Option Closing Date in the same manner and at the same office as the payment for the Firm Shares as set forth in subparagraph (d)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Firm Shares will be delivered by the Company to the Representative, for the respective accounts of the several Underwriters, against payment of the purchase price therefor by wire transfer of same day funds payable to the order of the Company at the offices of Roth Capital Partners, LLC, 888 San Clemente Drive, Suite 400, Newport Beach, CA 92660, or such other location as may be mutually acceptable, at 6:00 a.m. Pacific Time, on the third (or if the Firm Shares are priced, as contemplated by Rule 15c6-1(c) under the Exchange Act, after 4:30 p.m. Eastern time, the fourth) full business day following the date hereof, or at such other time and date as the Representative and the Company determine pursuant to Rule 15c6-1(a) under the Exchange Act, or, in the case of the Option Shares, at such date and time set forth in the Option Notice. The time and date of delivery of the Firm Shares is referred to herein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On the Closing Date, the Company shall deliver the Firm Shares, which shall be registered in the name or names and shall be in such denominations as the Representative may request on behalf of the Underwriters at least one (1) business day before the Closing Date, to the respective accounts of the several Underwriters, which delivery shall be made through the facilities of the Depository Trust Company’s DWAC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is understood that the Representative has been authorized, for its own account and the accounts of the several Underwriters, to accept delivery of and receipt for, and make payment of the purchase price for, the Firm Shares and any Option Shares the Underwriters have agreed to purchase. The Representative, individually and not as the Representative of the Underwriters, may (but shall not be obligated to) make payment for any Shares to be purchased by any Underwriter whose funds shall not have been received by the Representative by the Closing Date or any Option Closing Date, as the case may be, for the account of such Underwriter, but any such payment shall not relieve such Underwriter from any of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1492"/>
        <w:gridCol w:w="8430"/>
      </w:tblGrid>
      <w:tr>
        <w:trPr/>
        <w:tc>
          <w:tcPr>
            <w:tcW w:w="28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b/>
                <w:i/>
              </w:rPr>
            </w:pPr>
            <w:r>
              <w:rPr>
                <w:b/>
                <w:i/>
              </w:rPr>
              <w:t>5.</w:t>
            </w:r>
          </w:p>
        </w:tc>
        <w:tc>
          <w:tcPr>
            <w:tcW w:w="8430" w:type="dxa"/>
            <w:tcBorders/>
            <w:vAlign w:val="center"/>
          </w:tcPr>
          <w:p>
            <w:pPr>
              <w:pStyle w:val="TableContents"/>
              <w:bidi w:val="0"/>
              <w:spacing w:before="0" w:after="283"/>
              <w:jc w:val="both"/>
              <w:rPr>
                <w:b/>
                <w:i/>
              </w:rPr>
            </w:pPr>
            <w:r>
              <w:rPr>
                <w:b/>
                <w:i/>
              </w:rPr>
              <w:t>Covenants.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01"/>
        <w:gridCol w:w="9749"/>
      </w:tblGrid>
      <w:tr>
        <w:trPr/>
        <w:tc>
          <w:tcPr>
            <w:tcW w:w="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(a)</w:t>
            </w:r>
          </w:p>
        </w:tc>
        <w:tc>
          <w:tcPr>
            <w:tcW w:w="9749" w:type="dxa"/>
            <w:tcBorders/>
            <w:vAlign w:val="center"/>
          </w:tcPr>
          <w:p>
            <w:pPr>
              <w:pStyle w:val="TableContents"/>
              <w:bidi w:val="0"/>
              <w:spacing w:before="0" w:after="283"/>
              <w:jc w:val="both"/>
              <w:rPr/>
            </w:pPr>
            <w:r>
              <w:rPr/>
              <w:t>The Company covenants and agrees with the Underwriters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prepare the Final Prospectus in a form approved by the Representative and file such Final Prospectus with the Commission pursuant to Rule 424(b) under the Securities Act promptly following the execution and delivery of this Agreement, or, if applicable, such earlier time as may be required by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period beginning on the date hereof and ending on the later of the Closing Date or such date as determined by the Representative the Final Prospectus is no longer required by law to be delivered in connection with sales by an underwriter or dealer (the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prior to amending or supplementing the Registration Statement, including any Rule 462 Registration Statement, the Time of Sale Disclosure Package or the Final Prospectus, the Company shall furnish to the Representative for review and comment a copy of each such proposed amendment or supplement, and the Company shall not file any such proposed amendment or supplement to which the Representative reasonably objects.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From the date of this Agreement until the end of the Prospectus Delivery Period, the Company shall promptly advise the Representative in writing (A) of the receipt of any comments of, or requests for additional or supplemental information from, the Commission, (B) of the time and date of any filing of any post-effective amendment to the Registration Statement or any amendment or supplement to the Time of Sale Disclosure Package, the Final Prospectus or any Issuer Free Writing Prospectus, (C) of the time and date that any post-effective amendment to the Registration Statement becomes effective and (D) of the issuance by the Commission of any stop order suspending the effectiveness of the Registration Statement or of any order preventing or suspending its use or the use of the Time of Sale Disclosure Package, the Final Prospectus or any Issuer Free Writing Prospectus, or of any proceedings to remove, suspend or terminate from listing or quotation the Common Stock from any securities exchange upon which it is listed for trading or included or designated for quotation, or of the threatening or initiation of any proceedings for any of such purposes. If the Commission shall enter any such stop order at any time during the Prospectus Delivery Period, the Company will use its reasonable efforts to obtain the lifting of such order at the earliest possible moment. Additionally, the Company agrees that it shall comply with the provisions of Rules 424(b), 430A, 430B or 430C as applicable, under the Securities Act and will use its reasonable efforts to confirm that any filings made by the Company under Rule 424(b) or Rule 433 were received in a timely manner by the Commission (without reliance on Rule 424(b)(8) or 164(b)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During the Prospectus Delivery Period, the Company will comply with all requirements imposed upon it by the Securities Act, as now and hereafter amended, and by the Rules and Regulations, as from time to time in force, and by the Exchange Act, as now and hereafter amended, so far as necessary to permit the continuance of sales of or dealings in the Shares as contemplated by the provisions hereof, the Time of Sale Disclosure Package, the Registration Statement and the Final Prospectus. If during the Prospectus Delivery Period any event occurs the result of which would cause the Final Prospectus (or if the Final Prospectus is not yet available to prospective purchasers, the Time of Sale Disclosure Package) to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Representative or counsel to the Underwriters to amend the Registration Statement or supplement the Final Prospectus (or if the Final Prospectus is not yet available to prospective purchasers, the Time of Sale Disclosure Package) to comply with the Securities Act, or to file under the Exchange Act any document that would be deemed to be incorporated by reference in the Final Prospectus in order to comply with the Securities Act or the Exchange Act, the Company will promptly notify the Representative, allow the Representative the opportunity to provide reasonable comments on such amendment, prospectus supplement or document, and will amend the Registration Statement or supplement the Final Prospectus (or if the Final Prospectus is not yet available to prospective purchasers, the Time of Sale Disclosure Package) or file such document (at the expense of the Company) so as to correct such statement or omission or effect such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during the Prospectus Delivery Period there occurred or occurs an event the result of which such Issuer Free Writing Prospectus conflicted or would conflict with the information contained in the Registration Statement or any Prospectus or included or would include, when taken together with the Time of Sale Disclosure Package, an untrue statement of a material fact or omitted or would omit to state a material fact necessary in order to make the statements therein, in the light of the circumstances prevailing at that subsequent time, not misleading, the Company will promptly notify the Representative and will promptly amend or supplement, at its own expense, such Issuer Free Writing Prospectus to eliminate or correct such conflict, untrue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take or cause to be taken all necessary action to qualify the Shares for sale under the securities laws of such jurisdictions as the Representative reasonably designates and to continue such qualifications in effect so long as required for the distribution of the Shares, except that the Company shall not be required in connection therewith to qualify as a foreign corporation or as a dealer in securities in any jurisdiction in which it is not so qualified, to execute a general consent to service of process in any state or to subject itself to taxation in respect of doing business in any jurisdiction in which it is not otherwise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will furnish to the Underwriters and counsel to the Underwriters copies of the Registration Statement, each Prospectus, any Issuer Free Writing Prospectus, and all amendments and supplements to such documents, in each case as soon as available and in such quantities as the Underwriters may from time to time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The Company will make generally available to its security holders as soon as practicable, but in any event not later than fifteen (15) months after the end of the Company’s current fiscal quarter, an earnings statement (which need not be audited) covering a twelve (12) month period that shall satisfy the provisions of Section 11(a) of the Securities Act and Rule 158 of the Rules and Regulations;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will be deemed to have made available such statements to its security holders to the extent they are filed on the Commission’s Electronic Data Gathering, Analysis and Retrieval System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The Company, whether or not the transactions contemplated hereunder are consummated or this Agreement is terminated, will pay or cause to be paid (A) all expenses (including transfer taxes allocated to the respective transferees) incurred in connection with the delivery to the Underwriters of the Shares (including all fees and expenses of the registrar and transfer agent of the Shares (if other than the Company)), and the cost of preparing and printing stock certificates, (B) all expenses and fees (including, without limitation, fees and expenses of the Company’s counsel) in connection with the preparation, printing, filing, delivery, and shipping of the Registration Statement (including the financial statements therein and all amendments, schedules, and exhibits thereto), the Shares, the Time of Sale Disclosure Package, any Prospectus, the Final Prospectus, any Issuer Free Writing Prospectus and any amendment thereof or supplement thereto, (C) all reasonable filing fees incurred in connection with the qualification of the Shares for offering and sale by the Underwriters or by dealers under the securities or blue sky laws of the states and other jurisdictions that the Representative shall designate, (D) all reasonable expenses and application fees incurred in connection with any required review and approval by FINRA of the terms of the sale of the Shares, (E) all expenses and application fees related to the listing of the Shares on the NYSE American, if any, and (F) all other costs and expenses of the Company incident to the performance of its obligations hereunder that are not otherwise specifically provided for herein. The Company will reimburse the Representative for its reasonable and documented out-of-pocket expenses, including legal fees and disbursements of the Representative’s legal counsel, and data services, in each case reasonably incurred in connection with the purchase and sale of the Shares contemplated 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such expenses to be reimbursed by the Company shall not exceed $185,000 without the Company’s prior written consent. If this Agreement is terminated by the Representative in accordance with the provisions of Section 6, Section 9 or Section 10, the Company will, subject to the cap described in the previous sentence, reimburse the Underwriters for all out-of-pocket disbursements (including, but not limited to, reasonable fees and disbursements of counsel, travel expenses, postage, facsimile and telephone charges) incurred by the Underwriters in connection with their investigation, preparing to market and marketing the Shares or in contemplation of performing their obligations hereunder. Except as provided in this Section 5(a)(viii), the Underwriters shall pay their own costs and expenses, including the costs and expenses of their counsel, any transfer taxes on the Shares that they may sell, and the expenses of advertising any offering of the Shares made by the Underwriters and travel.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Company intends to apply the net proceeds from the sale of the Shares to be sold by it hereunder for the purposes set forth in the Registration Statement, the Time of Sale Disclosure Package and the Final Prospectus under the heading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The Company represents and agrees that, unless it obtains the prior written consent of the Representative, and each Underwriter, severally, and not jointly, represents and agrees that, unless it obtains the prior written consent of the Company, it has not made and will not make any offer relating to the Shares that would constitute an Issuer Free Writing Prospectus;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prior written consent of the parties hereto shall be deemed to have been given in respect of the free writing prospectuses included in Schedule III. Any such free writing prospectus consented to by the Company and the Representative is hereinafter referred to as a “</w:t>
      </w:r>
      <w:r>
        <w:rPr>
          <w:rFonts w:ascii="Times New Roman;Times;Serif" w:hAnsi="Times New Roman;Times;Serif"/>
          <w:b w:val="false"/>
          <w:i w:val="false"/>
          <w:caps w:val="false"/>
          <w:smallCaps w:val="false"/>
          <w:sz w:val="20"/>
          <w:u w:val="single"/>
        </w:rPr>
        <w:t>Permitted Free Writing Prospectus</w:t>
      </w:r>
      <w:r>
        <w:rPr>
          <w:rFonts w:ascii="Times New Roman;Times;Serif" w:hAnsi="Times New Roman;Times;Serif"/>
          <w:b w:val="false"/>
          <w:i w:val="false"/>
          <w:caps w:val="false"/>
          <w:smallCaps w:val="false"/>
          <w:sz w:val="20"/>
        </w:rPr>
        <w:t>.” The Company represents that it has treated or agrees that it will treat each Permitted Free Writing Prospectus as an “issuer free writing prospectus,” as defined in Rule 433, and has complied or will comply with the requirements of Rule 433 applicable to any Permitted Free Writing Prospectus, including timely Commission filing where required, legending and record-keeping.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Company hereby agrees that, without the prior written consent of the Representative, it will not, during the period ending sixty (60) days after the date hereof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(i) offer, pledge, issue, sell, contract to sell, purchase, contract to purchase, lend, or otherwise transfer or dispose of, directly or indirectly, any shares of Common Stock or any securities convertible into or exercisable or exchangeable for Common Stock;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or (iii) file any registration statement with the Commission relating to the offering of any shares of Common Stock or any securities convertible into or exercisable or exchangeable for Common Stock. The restrictions contained in the preceding sentence shall not apply to (1) the Shares to be sold hereunder, (2) the issuance of Common Stock upon the exercise of options or warrants or the conversion of outstanding preferred stock or other outstanding convertible securities disclosed as outstanding in the Registration Statement (excluding exhibits thereto), the Time of Sale Disclosure Package, and the Final Prospectus, (3) the issuance of employee stock options not exercisable during the Lock-Up Period and the grant of restricted stock awards or restricted stock units or shares of Common Stock pursuant to equity incentive plans described in the Registration Statement (excluding exhibits thereto), the Time of Sale Disclosure Package, and the Final Prospectus, (4) any offers or sales pursuant that certain Sales Agreement, dated February 11, 2026 between the Company and Roth Capital Partners, LLC, Northland Securities, Inc. and A.G.P./Alliance Global Partners, as may be amended from time to time, (5) the issuance of shares of Common Stock or any securities convertible into, or exercisable or exchangeable for, Common Stock, in connection with any merger or acquisition of securities, businesses, property or other assets or strategic investment (including any joint venture, strategic alliance or partnership, equipment leasing arrangement or debt financing) approved by a majority of the disinterested directors of the Company, provided that such securities are issued as “restricted securities” (as defined in Rule 144) and such securities carry no registration rights that require or permit the filing of any registration statement in connection therewith during the prohibition period in this paragraph, and provided that any such issuance shall only be to a person or entity (or to the equityholders of an entity)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or (6) the filing by the Company of any registration statement on Form S-8 or a successor form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The Company hereby agrees, during a period of three (3) years from the Effective Date, to furnish to the Representative copies of all reports or other communications (financial or other) furnished to shareholders, and to deliver to the Representative as soon as reasonably practicable upon availability, copies of any reports and financial statements furnished to or filed with the Commission or any national securities exchange on which any class of securities of the Company is listed;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information or documents available on the EDGAR shall be considered delivered for purposes of this Section 5(a)(xii).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Company hereby agrees to engage and maintain, at its expense, a registrar and transfer agent for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Company hereby agrees to use its reasonable best efforts to obtain approval to list the Shares on the NYSE American.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Company will advise the Representative and counsel to the Underwriters if the Company becomes aware that any officer or director of the Company or any of its subsidiaries, or any owner of five percent (5%) of more of any class of the Company’s securities, is or becomes an affiliate or associated person of a FINRA member participating in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The Company hereby agrees not to take, directly or indirectly, any action designed to cause or result in, or that has constituted or might reasonably be expected to constitute, under the Exchange Act or otherwise, the stabilization or manipulation of the price of any securities of the Company to facilitate the sale or resale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6.            Conditions of the Underwriter’s Obligations. </w:t>
      </w:r>
      <w:r>
        <w:rPr>
          <w:rFonts w:ascii="Times New Roman;Times;Serif" w:hAnsi="Times New Roman;Times;Serif"/>
          <w:b w:val="false"/>
          <w:i w:val="false"/>
          <w:caps w:val="false"/>
          <w:smallCaps w:val="false"/>
          <w:sz w:val="20"/>
        </w:rPr>
        <w:t>The respective obligations of the several Underwriters hereunder to purchase the Shares are subject to the accuracy, as of the date hereof and at all times through the Closing Date, and on each Option Closing Date (as if made on the Closing Date or such Option Closing Date, as applicable), of and compliance with all representations, warranties and agreements of the Company contained herein, the performance by the Company of its obligations hereunder and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filing of the Final Prospectus, or any amendment or supplement thereto, or any Issuer Free Writing Prospectus, is required under the Securities Act or the Rules and Regulations, the Company shall have filed the Final Prospectus (or such amendment or supplement) or such Issuer Free Writing Prospectus with the Commission in the manner and within the time period so required (without reliance on Rule 424(b)(8) or 164(b) under the Securities Act); the Registration Statement shall remain effective; no stop order suspending the effectiveness of the Registration Statement or any part thereof, any Rule 462 Registration Statement, or any amendment thereof, nor suspending or preventing the use of the Time of Sale Disclosure Package, any Prospectus, the Final Prospectus or any Issuer Free Writing Prospectus shall have been issued; no proceedings for the issuance of such an order shall have been initiated or threatened by the Commission; any request of the Commission or the Representative for additional information (to be included in the Registration Statement, the Time of Sale Disclosure Package, any Prospectus, the Final Prospectus, any Issuer Free Writing Prospectus or otherwise) shall have been complied with to the satisfaction of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Shares shall be approved for listing on the NYSE American, subject to official notice of issuance.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093"/>
        <w:gridCol w:w="8962"/>
      </w:tblGrid>
      <w:tr>
        <w:trPr/>
        <w:tc>
          <w:tcPr>
            <w:tcW w:w="15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both"/>
              <w:rPr/>
            </w:pPr>
            <w:r>
              <w:rPr/>
              <w:t>[Intentionally Omitted].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Representative shall not have reasonably determined, and advised the Company, that the Registration Statement, the Time of Sale Disclosure Package, any Prospectus, the Final Prospectus, or any amendment thereof or supplement thereto, or any Issuer Free Writing Prospectus, contains an untrue statement of fact which, in the reasonable opinion of the Representative, is material, or omits to state a fact which, in the reasonable opinion of the Representative, is material and is required to be stated therein or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or after the date hereof (i) no downgrading shall have occurred in the rating accorded any of the Company’s securities by any “nationally recognized statistical organization,” as that term is defined by the Commission for purposes of Rule 436(g)(2) under the Securities Act, and (ii) no such organization shall have publicly announced that it has under surveillance or review, with possible negative implications, its rating of any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On the Closing Date and on each Option Closing Date, there shall have been furnished to the Representative, for the benefit of the Underwriters, (i) the opinion of Fennemore Craig, P.C., Nevada counsel to the Company, each dated the Closing Date or the Option Closing Date, as applicable, and addressed to the Underwriters, in form and substance reasonably satisfactory to the Representative, to the effect set forth in Exhibit B-1 and (ii) the opinion and negative assurance letter of Mayer Brown LLP, counsel to the Company, each dated the Closing Date or the Option Closing Date, as applicable, and addressed to the Underwriters, in form and substance reasonably satisfactory to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the Closing Date and on each Option Closing Date, there shall have been furnished to the Representative, for the benefit of the Underwriters, the negative assurance letter of Porter Hedges LLP, counsel to the Underwriters, dated the Closing Date or the Option Closing Date, as applicable, and addressed to the Underwriters, in form and substance reasonably satisfactory to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Representative, for the benefit of the Underwriters, shall have received a letter from Baker Tilly US, LLP, on the date hereof and on the Closing Date and on each Option Closing Date, addressed to the Underwriters, confirming that they are independent public accountants within the meaning of the Securities Act and are in compliance with the applicable requirements relating to the qualifications of accountants under Rule 2-01 of Regulation S-X of the Commission, and confirming, as of the date of each such letter (or, with respect to matters involving changes or developments since the respective dates as of which specified financial information is given in the Registration Statement, the Time of Sale Disclosure Package and the Final Prospectus, as of a date not prior to the date hereof or more than five (5) days prior to the date of such letter), the conclusions and findings of said firm with respect to the financial information and other matters required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Representative, for the benefit of the Underwriters, shall have received a letter from each of DeGoyler &amp; MacNaughton and Cawley, Gillespie and Associates, Inc. on the date hereof a letter dated the date hereof addressed to the Underwriters, in form and substance satisfactory to the Representative, stating the conclusions and findings of such firm with respect to the oil and natural gas reserves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 the Closing Date and on each Option Closing Date, there shall have been furnished to the Representative, for the benefit of the Underwriters, a certificate, dated the Closing Date and on each Option Closing Date and addressed to the Underwriters, signed by the chief executive officer and the chief financial officer of the Company, in their capacity as officers of the Company,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in this Agreement that are qualified by materiality or by reference to any Material Adverse Effect are true and correct in all respects, and all other representations and warranties of the Company in this Agreement are true and correct, in all material respects, as if made at and as of the Closing Date and on the Option Closing Date, and the Company has complied with all the agreements and satisfied all the conditions on its part required to be performed or satisfied at or prior to the Closing Date or on the Option Closing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or other order (A) suspending the effectiveness of the Registration Statement or any part thereof or any amendment thereof, (B) suspending the qualification of the Shares for offering or sale, or (C) suspending or preventing the use of the Time of Sale Disclosure Package, any Prospectus, the Final Prospectus or any Issuer Free Writing Prospectus, has been issued, and no proceeding for that purpose has been instituted or, to their knowledge, is contemplated by the Commission or any state or regulatory body;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has been no occurrence of any event resulting or reasonably likely to result in a Material Adverse Effect during the period from and after the date of this Agreement and prior to the Closing Date or on the Option Closing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 the Closing Date and on each Option Closing Date, there shall have been furnished to the Representative a certificate, dated the date hereof and addressed to the Representative, signed by the Chief Financial Officer of the Company (the “</w:t>
      </w:r>
      <w:r>
        <w:rPr>
          <w:rFonts w:ascii="Times New Roman;Times;Serif" w:hAnsi="Times New Roman;Times;Serif"/>
          <w:b w:val="false"/>
          <w:i w:val="false"/>
          <w:caps w:val="false"/>
          <w:smallCaps w:val="false"/>
          <w:sz w:val="20"/>
          <w:u w:val="single"/>
        </w:rPr>
        <w:t>CFO Certificate</w:t>
      </w:r>
      <w:r>
        <w:rPr>
          <w:rFonts w:ascii="Times New Roman;Times;Serif" w:hAnsi="Times New Roman;Times;Serif"/>
          <w:b w:val="false"/>
          <w:i w:val="false"/>
          <w:caps w:val="false"/>
          <w:smallCaps w:val="false"/>
          <w:sz w:val="20"/>
        </w:rPr>
        <w:t>”), in form and substance reasonably satisfactory to the Underwriter, covering certain financial and operational data included or incorporated by reference in the Registration Statement, the Time of Sale Disclosure Package and the Final Prospectus and other customary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On or before the date hereof, the Representative shall have received duly executed lock-up agreement (each a “</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in the form set forth on Exhibit A hereto, by and between the Representative and each of the parties specified in Schedule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shall have furnished to the Underwriters and their counsel such additional documents, certificates and evidence as the Representative or its counsel may have reasonably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specified in this Section 6 shall not have been fulfilled when and as required to be fulfilled, this Agreement may be terminated by the Representative by notice to the Company at any time at or prior to the Closing Date or on the Option Closing Date, as applicable, and such termination shall be without liability of any party to any other party, except that Section 5(a)(viii), Section 7 and Section 9 shall survive any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7.</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Indemnification and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agrees to indemnify, defend and hold harmless each Underwriter, its affiliates, directors and officers and employees, and each person, if any, who controls such Underwriter within the meaning of Section 15 of the Securities Act or Section 20 of the Exchange Act, from and against any losses, claims, damages or liabilities to which such party may become subject, under the Securities Act or otherwise (including in settlement of any litigation if such settlement is effected with the written consent of the Company), insofar as such losses, claims, damages or liabilities (or actions in respect thereof) arise out of or are based upon (i) an untrue statement or alleged untrue statement of a material fact contained in the Registration Statement, including the information deemed to be a part of the Registration Statement at the time of effectiveness and at any subsequent time pursuant to Rules 430A and 430B of the Rules and Regulations, or arise out of or are based upon the omission from the Registration Statement, or alleged omission to state therein, a material fact required to be stated therein or necessary to make the statements therein not misleading, or (ii) an untrue statement or alleged untrue statement of a material fact contained in the Time of Sale Disclosure Package, any Prospectus, the Final Prospectus, or any amendment or supplement thereto, any Issuer Free Writing Prospectus, any Written Testing-the-Waters Communication, or the Marketing Materials or in any other materials used in connection with the offering of the Shares, or arise out of or are based upon the omission or alleged omission to state therein a material fact required to be stated therein or necessary to make the statements therein, in light of the circumstances under which they were made, not misleading;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indemnity shall not inure to the benefit of any Underwriter (or any person controlling such Underwriter) in any such case to the extent that any such loss, claim, damage, liability or action arises out of or is based upon an untrue statement or alleged untrue statement or omission or alleged omission made in the Registration Statement, the Time of Sale Disclosure Package, any Prospectus, any Written Testing-the-Waters Communication, the Final Prospectus, or any amendment or supplement thereto or any Issuer Free Writing Prospectus, in reliance upon and in conformity with written information furnished to the Company by the related Underwriter specifically for use in the preparation thereof, which written information is described in Section 7(f).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severally and not jointly, will indemnify, defend and hold harmless the Company, its directors and each officer of the Company who signs the Registration Statement and each person, if any, who controls the Company within the meaning of Section 15 of the Securities Act or Section 20 of the Exchange Act, from and against any losses, claims, damages or liabilities to which such party may become subject, under the Securities Act or otherwise (including in settlement of any litigation, if such settlement is effected with the written consent of such Underwriter), insofar as such losses, claims, damages or liabilities (or actions in respect thereof) arise out of or are based upon an untrue statement or alleged untrue statement of a material fact contained in the Registration Statement, the Time of Sale Disclosure Package, any Prospectus, the Final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Time of Sale Disclosure Package, any Prospectus, the Final Prospectus, or any amendment or supplement thereto or any Issuer Free Writing Prospectus in reliance upon and in conformity with written information furnished to the Company by such Underwriter specifically for use in the preparation thereof, which written information is described in Section 7(f), and will reimburse such party for any legal or other expenses reasonably incurred by such party in connection with evaluating, investigating, and defending against any such loss, claim, damage, liability or action. The obligation of each Underwriter to indemnify the Company (including any controlling person, director or officer thereof) shall be limited to the amount of the underwriting discount applicable to the Shares to be purchased by such Underwriter hereunder actually received by such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failure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(i) the indemnified party has reasonably concluded (based on advice of counsel) that there may be legal defenses available to it or other indemnified parties that are different from or in addition to those available to the indemnifying party, (ii)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(iii) the indemnifying party has not in fact employed counsel reasonably satisfactory to the indemnified party to assume the defense of such action within a reasonable time after receiving notice of the commencement of the action, the indemnified party shall have the right to employ a single counsel to represent it in any claim in respect of which indemnity may be sought under subsection (a) or (b) of this Section 7, in which event the reasonable fees and expenses of such separate counsel shall be borne by the indemnifying party or parties and reimbursed to the indemnified party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indemnifying party under this Section 7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a party or could be named and indemnity was or would be sought hereunder by such indemnified party, unless such settlement, compromise or consent (a) includes an unconditional release of such indemnified party from all liability for claims that are the subject matter of such action, suit or proceeding and (b) does not include a statement as to or an admission of fault, culpability or a failure to act by or on behalf of any indemnified party. If the indemnification provided for in this Section 7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and sale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 received by the Underwriters, in each case as set forth in the table on the cover page of the Final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relevant intent, knowledge, access to information and opportunity to correct or prevent such untrue statement or omission. The Company and the Underwriters agree that it would not be just and equitable if contributions pursuant to this subsection (d) were to be determined by pro rata allocation or by any other method of allocation that does not take account of the equitable considerations referred to in the first sentence of this subsection (d).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against any action or claim that is the subject of this subsection (d). Notwithstanding the provisions of this subsection (d), no Underwriter shall be required to contribute any amount in excess of the amount of the underwriting discount applicable to the Shares to be purchased by such Underwriter hereunder actually received by such Underwriter. No person guilty of fraudulent misrepresentation (within the meaning of Section 11(f) of the Securities Act) shall be entitled to contribution from any person who was not guilty of such fraudulent misrepresentation. The Underwriters’ respective obligations to contribute as provided in this Section 7 are several in proportion to their respective underwriting commitments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obligations of the Company under this Section 7 shall be in addition to any liability that the Company may otherwise have and the benefits of such obligations shall extend, upon the same terms and conditions, to each person, if any, who controls any Underwriter within the meaning of Section 15 of the Securities Act or Section 20 of the Exchange Act; and the obligations of each Underwriter under this Section 7 shall be in addition to any liability that each Underwriter may otherwise have and the benefits of such obligations shall extend, upon the same terms and conditions, to the Company, and its officers, directors and each person who controls the Company within the meaning of Section 15 of the Securities Act or Section 20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purposes of this Agreement, each Underwriter severally confirms, and the Company acknowledges, that there is no information concerning such Underwriter furnished in writing to the Company by such Underwriter specifically for preparation of or inclusion in the Registration Statement, the Time of Sale Disclosure Package, any Prospectus, the Final Prospectus or any Issuer Free Writing Prospectus, other than the statement set forth in the last paragraph on the cover page of the Prospectus, the marketing and legal names of each Underwriter, and the statements set forth in the “Underwriting” section of the Registration Statement, the Time of Sale Disclosure Package, and the Final Prospectus only insofar as such statements relate to the amount of selling concession and re-allowance, if any, or to over-allotment, stabilization and related activities that may be undertaken by such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8.            Representations and Agreements to Survive Delivery</w:t>
      </w:r>
      <w:r>
        <w:rPr>
          <w:rFonts w:ascii="Times New Roman;Times;Serif" w:hAnsi="Times New Roman;Times;Serif"/>
          <w:b w:val="false"/>
          <w:i w:val="false"/>
          <w:caps w:val="false"/>
          <w:smallCaps w:val="false"/>
          <w:sz w:val="20"/>
        </w:rPr>
        <w:t>. All representations, warranties, and agreements of the Company contained herein or in certificates delivered pursuant hereto, including, but not limited to, the agreements of the several Underwriters and the Company contained in Section 5(a)(viii) and Section 7 hereof, shall remain operative and in full force and effect regardless of any investigation made by or on behalf of the several Underwriters or any controlling person thereof, or the Company or any of its officers, directors, or controlling persons, and shall survive delivery of, and payment for, the Shares to and by the Underwriters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9.</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Representative shall have the right to terminate this Agreement by giving notice to the Company as hereinafter specified at any time at or prior to the Closing Date or any Option Closing Date (as to the Option Shares to be purchased on such Option Closing Date only), if (i) in the reasonable discretion of the Representative, there has occurred any material adverse change in the securities markets or any event, act or occurrence that has materially disrupted, or in the opinion of the Representative, will in the future materially disrupt, the securities markets or there shall be such a material adverse change in general financial, political or economic conditions or the effect of international conditions on the financial markets in the United States is such as to make it, in the reasonable judgment of the Representative, inadvisable or impracticable to market the Shares or enforce contracts for the sale of the Shares (ii) trading in the Company’s Common Stock shall have been suspended by the Commission or the NYSE American or trading in securities generally on the Nasdaq Stock Market, the NYSE or the NYSE American shall have been suspended, (iii) minimum or maximum prices for trading shall have been fixed, or maximum ranges for prices for securities shall have been required, on the Nasdaq Stock Market, the NYSE or NYSE American, by such exchange or by order of the Commission or any other Governmental Entity having jurisdiction, (iv) a banking moratorium shall have been declared by federal or state authorities, (v) there shall have occurred any attack on, outbreak or escalation of hostilities or act of terrorism involving the United States, any declaration by the United States of a national emergency or war, any substantial change or development involving a prospective substantial change in United States or other international political, financial or economic conditions or any other calamity or crisis, or (vi) the Company suffers any loss by strike, fire, flood, earthquake, accident or other calamity, whether or not covered by insurance, which would reasonably be expected to result in a Material Adverse Effect, or (vii) in the reasonable judgment of the Representative, there has been, since the time of execution of this Agreement or since the respective dates as of which information is given in the Registration Statement, the Time of Sale Disclosure Package or the Final Prospectus, any material adverse change in the assets, properties, condition, financial or otherwise, or in the results of operations, business affairs or business prospects of the Company and its subsidiaries considered as a whole, whether or not arising in the ordinary course of business. Any such termination shall be without liability of any party to any other party except that the provisions of Section 5(a)(viii) and Section 7 hereof shall at all times be effective and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Representative elects to terminate this Agreement as provided in this Section, the Company and the other Underwriters shall be notified promptly by the Representative by telephone, confirmed by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10.          Substitution of Underwriters</w:t>
      </w:r>
      <w:r>
        <w:rPr>
          <w:rFonts w:ascii="Times New Roman;Times;Serif" w:hAnsi="Times New Roman;Times;Serif"/>
          <w:b w:val="false"/>
          <w:i w:val="false"/>
          <w:caps w:val="false"/>
          <w:smallCaps w:val="false"/>
          <w:sz w:val="20"/>
        </w:rPr>
        <w:t>. If any Underwriter or Underwriters shall default in its or their obligations to purchase Shares hereunder on the Closing Date or any Option Closing Date and the aggregate number of Shares which such defaulting Underwriter or Underwriters agreed but failed to purchase does not exceed ten percent (10%) of the total number of Shares to be purchased by all Underwriters on such Closing Date or Option Closing Date, the other Underwriters shall be obligated severally, in proportion to their respective commitments hereunder, to purchase the Shares which such defaulting Underwriter or Underwriters agreed but failed to purchase on such Closing Date or Option Closing Date. If any Underwriter or Underwriters shall so default and the aggregate number of Shares with respect to which such default or defaults occur is more than ten percent (10%) of the total number of Shares to be purchased by all Underwriters on such Closing Date or Option Closing Date and arrangements satisfactory to the remaining Underwriters and the Company for the purchase of such Shares by other persons are not made within forty-eight (48) hours after such default, this Agreement shall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remaining Underwriters or substituted Underwriters are required hereby or agree to take up all or part of the Shares of a defaulting Underwriter or Underwriters on such Closing Date or Option Closing Date as provided in this Section 10, (i) the Company shall have the right to postpone such Closing Date or Option Closing Date for a period of not more than five (5) full business days in order to permit the Company to effect whatever changes in the Registration Statement, the Final Prospectus, or in any other documents or arrangements, which may thereby be made necessary, and the Company agrees to promptly file any amendments to the Registration Statement or the Final Prospectus which may thereby be made necessary, and (ii) the respective numbers of Shares to be purchased by the remaining Underwriters or substituted Underwriters shall be taken as the basis of their underwriting obligation for all purposes of this Agreement. Nothing herein contained shall relieve any defaulting Underwriter of its liability to the Company or any other Underwriter for damages occasioned by its default hereunder. Any termination of this Agreement pursuant to this Section 10 shall be without liability on the part of any non-defaulting Underwriters or the Company, except that the representations, warranties, covenants, indemnities, agreements and other statements set forth in Section 2 and 3, the obligations with respect to expenses to be paid or reimbursed pursuant to the provisions of Section 5(a)(viii) and Section 7 and Sections 9 through 17, inclusive, shall not terminate and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term “Underwriter” shall be deemed to include any person substituted for a defaulting Underwriter under this Section 10. Any action taken under this Section 10 shall not relieve any defaulting Underwriter from liability in respect of any default of such Underwriter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11.          Notices</w:t>
      </w:r>
      <w:r>
        <w:rPr>
          <w:rFonts w:ascii="Times New Roman;Times;Serif" w:hAnsi="Times New Roman;Times;Serif"/>
          <w:b w:val="false"/>
          <w:i w:val="false"/>
          <w:caps w:val="false"/>
          <w:smallCaps w:val="false"/>
          <w:sz w:val="20"/>
        </w:rPr>
        <w:t>. Except as otherwise provided herein, all communications hereunder shall be in writing and, if to the Representative, shall be mailed, delivered or telecopied to Roth Capital Partners, LLC, 800 San Clemente Drive, Suite 400, Newport Beach, CA 92660, telecopy number: (949) 720-7227, Attention: Managing Director; and if to the Company, shall be mailed, delivered or telecopied to it at Evolution Petroleum Corporation, 1155 Dairy Ashford St. Suite 425, Houston, Texas 77079, telecopy number: 713-935-0199, Attention: President and Chief Executive Officer; or in each case to such other address as the person to be notified may have requested in writing. Any party to this Agreement may change such address for notices by sending to the parties to this Agreement written notice of a new address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12.          Persons Entitled to Benefit of Agreement</w:t>
      </w:r>
      <w:r>
        <w:rPr>
          <w:rFonts w:ascii="Times New Roman;Times;Serif" w:hAnsi="Times New Roman;Times;Serif"/>
          <w:b w:val="false"/>
          <w:i w:val="false"/>
          <w:caps w:val="false"/>
          <w:smallCaps w:val="false"/>
          <w:sz w:val="20"/>
        </w:rPr>
        <w:t>. This Agreement shall inure to the benefit of and be binding upon the parties hereto and their respective successors and assigns and the controlling persons, officers and directors referred to in Section 7.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any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13.          Absence of Fiduciary Relationship</w:t>
      </w:r>
      <w:r>
        <w:rPr>
          <w:rFonts w:ascii="Times New Roman;Times;Serif" w:hAnsi="Times New Roman;Times;Serif"/>
          <w:b w:val="false"/>
          <w:i w:val="false"/>
          <w:caps w:val="false"/>
          <w:smallCaps w:val="false"/>
          <w:sz w:val="20"/>
        </w:rPr>
        <w:t>. The Company acknowledges and agrees that: (a) each Underwriter has been retained solely to act as underwriter in connection with the sale of the Shares and that no fiduciary, advisory or agency relationship between the Company and any Underwriter has been created in respect of any of the transactions contemplated by this Agreement, irrespective of whether such Underwriter has advised or is advising the Company on other matters; (b) the price and other terms of the Shares set forth in this Agreement were established by the Company following discussions and arms-length negotiations with the Underwriters and the Company is capable of evaluating and understanding and understands and accepts the terms, risks and conditions of the transactions contemplated by this Agreement; (c) it has been advised that the Underwriters and their affiliates are engaged in a broad range of transactions that may involve interests that differ from those of the Company and that no Underwriter has any obligation to disclose such interest and transactions to the Company by virtue of any fiduciary, advisory or agency relationship; and (d) it has been advised that each Underwriter is acting, in respect of the transactions contemplated by this Agreement, solely for the benefit of such Underwriter, and not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14.          Amendments and Waivers</w:t>
      </w:r>
      <w:r>
        <w:rPr>
          <w:rFonts w:ascii="Times New Roman;Times;Serif" w:hAnsi="Times New Roman;Times;Serif"/>
          <w:b w:val="false"/>
          <w:i w:val="false"/>
          <w:caps w:val="false"/>
          <w:smallCaps w:val="false"/>
          <w:sz w:val="20"/>
        </w:rPr>
        <w:t>. 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be deemed or constitute a continuing waiver unless otherwise expressly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15.          Partial Unenforceability</w:t>
      </w:r>
      <w:r>
        <w:rPr>
          <w:rFonts w:ascii="Times New Roman;Times;Serif" w:hAnsi="Times New Roman;Times;Serif"/>
          <w:b w:val="false"/>
          <w:i w:val="false"/>
          <w:caps w:val="false"/>
          <w:smallCaps w:val="false"/>
          <w:sz w:val="20"/>
        </w:rPr>
        <w:t>. The invalidity or unenforceability of any section, paragraph, clause or provision of this Agreement shall not affect the validity or enforceability of any other section, paragraph, clause 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16.          Governing Law</w:t>
      </w:r>
      <w:r>
        <w:rPr>
          <w:rFonts w:ascii="Times New Roman;Times;Serif" w:hAnsi="Times New Roman;Times;Serif"/>
          <w:b w:val="false"/>
          <w:i w:val="false"/>
          <w:caps w:val="false"/>
          <w:smallCaps w:val="false"/>
          <w:sz w:val="20"/>
        </w:rPr>
        <w:t>. This Agreement and any Proceeding (as defined in Section 17 below)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17.          Submission to Jurisdiction</w:t>
      </w:r>
      <w:r>
        <w:rPr>
          <w:rFonts w:ascii="Times New Roman;Times;Serif" w:hAnsi="Times New Roman;Times;Serif"/>
          <w:b w:val="false"/>
          <w:i w:val="false"/>
          <w:caps w:val="false"/>
          <w:smallCaps w:val="false"/>
          <w:sz w:val="20"/>
        </w:rPr>
        <w:t>. The Company irrevocably (a) submits to the jurisdiction of the Supreme Court of the State of New York, Borough of Manhattan or the United States District Court for the Southern District of New York for the purpose of any suit, action, or other proceeding arising out of this Agreement, or any of the agreements or transactions contemplated by this Agreement, the Registration Statement, the Time of Sale Disclosure Package, any Prospectus and the Final Prospectus (each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(b) agrees that all claims in respect of any Proceeding may be heard and determined in any such court, (c) waives, to the fullest extent permitted by law, any immunity from jurisdiction of any such court or from any legal process therein, (d) agrees not to commence any Proceeding other than in such courts, and (e) waives, to the fullest extent permitted by law, any claim that such Proceeding is brought in an inconvenient forum. EACH OF THE COMPANY (ON BEHALF OF ITSELF AND, TO THE FULLEST EXTENT PERMITTED BY LAW, ON BEHALF OF ITS RESPECTIVE EQUITY HOLDERS AND CREDITORS) AND EACH UNDERWRITER HEREBY WAIVE(S) ANY RIGHT IT MAY HAVE TO A TRIAL BY JURY IN RESPECT OF ANY CLAIM BASED UPON, ARISING OUT OF OR IN CONNECTION WITH THIS AGREEMENT AND THE TRANSACTIONS CONTEMPLATED BY THIS AGREEMENT, THE REGISTRATION STATEMENT, THE TIME OF SALE DISCLOSURE PACKAGE, ANY PROSPECTUS AND THE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18.          Counterparts. </w:t>
      </w:r>
      <w:r>
        <w:rPr>
          <w:rFonts w:ascii="Times New Roman;Times;Serif" w:hAnsi="Times New Roman;Times;Serif"/>
          <w:b w:val="false"/>
          <w:i w:val="false"/>
          <w:caps w:val="false"/>
          <w:smallCaps w:val="false"/>
          <w:sz w:val="20"/>
        </w:rPr>
        <w:t>This Agreement may be executed and delivered (including by facsimile transmission or electronic mail) in one or more counterparts and, if executed in more than one counterpart, the executed counterparts shall each be deemed to be an original and all such counterparts shall together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sign and return to the Company the enclosed duplicates of this letter whereupon this letter will become a binding agreement between the Company and the several Underwriters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80"/>
        <w:gridCol w:w="545"/>
        <w:gridCol w:w="4865"/>
      </w:tblGrid>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EVOLUTION PETROLEUM CORPORATION</w:t>
            </w:r>
          </w:p>
        </w:tc>
      </w:tr>
      <w:tr>
        <w:trPr/>
        <w:tc>
          <w:tcPr>
            <w:tcW w:w="80" w:type="dxa"/>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Ryan Stash</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Stash</w:t>
            </w:r>
          </w:p>
        </w:tc>
      </w:tr>
      <w:tr>
        <w:trPr/>
        <w:tc>
          <w:tcPr>
            <w:tcW w:w="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tbl>
      <w:tblPr>
        <w:tblW w:w="7944" w:type="dxa"/>
        <w:jc w:val="left"/>
        <w:tblInd w:w="0" w:type="dxa"/>
        <w:tblLayout w:type="fixed"/>
        <w:tblCellMar>
          <w:top w:w="0" w:type="dxa"/>
          <w:left w:w="0" w:type="dxa"/>
          <w:bottom w:w="0" w:type="dxa"/>
          <w:right w:w="0" w:type="dxa"/>
        </w:tblCellMar>
      </w:tblPr>
      <w:tblGrid>
        <w:gridCol w:w="798"/>
        <w:gridCol w:w="7066"/>
        <w:gridCol w:w="80"/>
      </w:tblGrid>
      <w:tr>
        <w:trPr/>
        <w:tc>
          <w:tcPr>
            <w:tcW w:w="786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as of the date first above-mentioned by the Representative of the several Underwriters</w:t>
            </w:r>
          </w:p>
        </w:tc>
        <w:tc>
          <w:tcPr>
            <w:tcW w:w="80" w:type="dxa"/>
            <w:tcBorders/>
            <w:vAlign w:val="center"/>
          </w:tcPr>
          <w:p>
            <w:pPr>
              <w:pStyle w:val="TableContents"/>
              <w:bidi w:val="0"/>
              <w:spacing w:before="0" w:after="283"/>
              <w:jc w:val="left"/>
              <w:rPr/>
            </w:pPr>
            <w:r>
              <w:rPr/>
              <w:t> </w:t>
            </w:r>
          </w:p>
        </w:tc>
      </w:tr>
      <w:tr>
        <w:trPr/>
        <w:tc>
          <w:tcPr>
            <w:tcW w:w="78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78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 LLC</w:t>
            </w:r>
          </w:p>
        </w:tc>
        <w:tc>
          <w:tcPr>
            <w:tcW w:w="80" w:type="dxa"/>
            <w:tcBorders/>
            <w:vAlign w:val="center"/>
          </w:tcPr>
          <w:p>
            <w:pPr>
              <w:pStyle w:val="TableContents"/>
              <w:bidi w:val="0"/>
              <w:spacing w:before="0" w:after="283"/>
              <w:jc w:val="left"/>
              <w:rPr/>
            </w:pPr>
            <w:r>
              <w:rPr/>
              <w:t> </w:t>
            </w:r>
          </w:p>
        </w:tc>
      </w:tr>
      <w:tr>
        <w:trPr/>
        <w:tc>
          <w:tcPr>
            <w:tcW w:w="78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06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Aaron M. Gurewitz</w:t>
            </w:r>
          </w:p>
        </w:tc>
        <w:tc>
          <w:tcPr>
            <w:tcW w:w="80" w:type="dxa"/>
            <w:tcBorders/>
            <w:vAlign w:val="center"/>
          </w:tcPr>
          <w:p>
            <w:pPr>
              <w:pStyle w:val="TableContents"/>
              <w:bidi w:val="0"/>
              <w:spacing w:before="0" w:after="283"/>
              <w:jc w:val="left"/>
              <w:rPr/>
            </w:pPr>
            <w:r>
              <w:rPr/>
              <w:t> </w:t>
            </w:r>
          </w:p>
        </w:tc>
      </w:tr>
      <w:tr>
        <w:trPr/>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0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M. Gurewitz</w:t>
            </w:r>
          </w:p>
        </w:tc>
        <w:tc>
          <w:tcPr>
            <w:tcW w:w="80" w:type="dxa"/>
            <w:tcBorders/>
            <w:vAlign w:val="center"/>
          </w:tcPr>
          <w:p>
            <w:pPr>
              <w:pStyle w:val="TableContents"/>
              <w:bidi w:val="0"/>
              <w:spacing w:before="0" w:after="283"/>
              <w:jc w:val="left"/>
              <w:rPr/>
            </w:pPr>
            <w:r>
              <w:rPr/>
              <w:t> </w:t>
            </w:r>
          </w:p>
        </w:tc>
      </w:tr>
      <w:tr>
        <w:trPr/>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0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 and Head of Investment Banking</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2240"/>
        <w:gridCol w:w="65"/>
        <w:gridCol w:w="133"/>
        <w:gridCol w:w="1731"/>
        <w:gridCol w:w="65"/>
        <w:gridCol w:w="65"/>
        <w:gridCol w:w="159"/>
        <w:gridCol w:w="1705"/>
        <w:gridCol w:w="80"/>
      </w:tblGrid>
      <w:tr>
        <w:trPr/>
        <w:tc>
          <w:tcPr>
            <w:tcW w:w="224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Firm 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Option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Purchased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to be Purchased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3,237,500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485,625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462,500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3,700,000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Schedule-I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Term Sheet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1"/>
        <w:gridCol w:w="8604"/>
      </w:tblGrid>
      <w:tr>
        <w:trPr/>
        <w:tc>
          <w:tcPr>
            <w:tcW w:w="1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86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Evolution Petroleum Corporation (the “Company”)</w:t>
            </w:r>
          </w:p>
        </w:tc>
      </w:tr>
      <w:tr>
        <w:trPr/>
        <w:tc>
          <w:tcPr>
            <w:tcW w:w="1601" w:type="dxa"/>
            <w:tcBorders/>
            <w:vAlign w:val="center"/>
          </w:tcPr>
          <w:p>
            <w:pPr>
              <w:pStyle w:val="TableContents"/>
              <w:bidi w:val="0"/>
              <w:spacing w:before="0" w:after="283"/>
              <w:jc w:val="left"/>
              <w:rPr>
                <w:caps w:val="false"/>
                <w:smallCaps w:val="false"/>
              </w:rPr>
            </w:pPr>
            <w:r>
              <w:rPr>
                <w:caps w:val="false"/>
                <w:smallCaps w:val="false"/>
              </w:rPr>
              <w:t> </w:t>
            </w:r>
          </w:p>
        </w:tc>
        <w:tc>
          <w:tcPr>
            <w:tcW w:w="8604"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Symbol:</w:t>
            </w:r>
          </w:p>
        </w:tc>
        <w:tc>
          <w:tcPr>
            <w:tcW w:w="86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EPM</w:t>
            </w:r>
          </w:p>
        </w:tc>
      </w:tr>
      <w:tr>
        <w:trPr/>
        <w:tc>
          <w:tcPr>
            <w:tcW w:w="1601" w:type="dxa"/>
            <w:tcBorders/>
            <w:vAlign w:val="center"/>
          </w:tcPr>
          <w:p>
            <w:pPr>
              <w:pStyle w:val="TableContents"/>
              <w:bidi w:val="0"/>
              <w:spacing w:before="0" w:after="283"/>
              <w:jc w:val="left"/>
              <w:rPr>
                <w:caps w:val="false"/>
                <w:smallCaps w:val="false"/>
              </w:rPr>
            </w:pPr>
            <w:r>
              <w:rPr>
                <w:caps w:val="false"/>
                <w:smallCaps w:val="false"/>
              </w:rPr>
              <w:t> </w:t>
            </w:r>
          </w:p>
        </w:tc>
        <w:tc>
          <w:tcPr>
            <w:tcW w:w="8604"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86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3,700,000 shares of common stock, par value $0.001 per share (the “Common Stock”), of the Company</w:t>
            </w:r>
          </w:p>
        </w:tc>
      </w:tr>
      <w:tr>
        <w:trPr/>
        <w:tc>
          <w:tcPr>
            <w:tcW w:w="1601" w:type="dxa"/>
            <w:tcBorders/>
            <w:vAlign w:val="center"/>
          </w:tcPr>
          <w:p>
            <w:pPr>
              <w:pStyle w:val="TableContents"/>
              <w:bidi w:val="0"/>
              <w:spacing w:before="0" w:after="283"/>
              <w:jc w:val="left"/>
              <w:rPr>
                <w:caps w:val="false"/>
                <w:smallCaps w:val="false"/>
              </w:rPr>
            </w:pPr>
            <w:r>
              <w:rPr>
                <w:caps w:val="false"/>
                <w:smallCaps w:val="false"/>
              </w:rPr>
              <w:t> </w:t>
            </w:r>
          </w:p>
        </w:tc>
        <w:tc>
          <w:tcPr>
            <w:tcW w:w="8604"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Over-allotment option:</w:t>
            </w:r>
          </w:p>
        </w:tc>
        <w:tc>
          <w:tcPr>
            <w:tcW w:w="86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an additional 555,000 shares of Common Stock</w:t>
            </w:r>
          </w:p>
        </w:tc>
      </w:tr>
      <w:tr>
        <w:trPr/>
        <w:tc>
          <w:tcPr>
            <w:tcW w:w="1601" w:type="dxa"/>
            <w:tcBorders/>
            <w:vAlign w:val="center"/>
          </w:tcPr>
          <w:p>
            <w:pPr>
              <w:pStyle w:val="TableContents"/>
              <w:bidi w:val="0"/>
              <w:spacing w:before="0" w:after="283"/>
              <w:jc w:val="left"/>
              <w:rPr>
                <w:caps w:val="false"/>
                <w:smallCaps w:val="false"/>
              </w:rPr>
            </w:pPr>
            <w:r>
              <w:rPr>
                <w:caps w:val="false"/>
                <w:smallCaps w:val="false"/>
              </w:rPr>
              <w:t> </w:t>
            </w:r>
          </w:p>
        </w:tc>
        <w:tc>
          <w:tcPr>
            <w:tcW w:w="8604"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w:t>
            </w:r>
          </w:p>
        </w:tc>
        <w:tc>
          <w:tcPr>
            <w:tcW w:w="86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 per share of Common Stock</w:t>
            </w:r>
          </w:p>
        </w:tc>
      </w:tr>
      <w:tr>
        <w:trPr/>
        <w:tc>
          <w:tcPr>
            <w:tcW w:w="1601" w:type="dxa"/>
            <w:tcBorders/>
            <w:vAlign w:val="center"/>
          </w:tcPr>
          <w:p>
            <w:pPr>
              <w:pStyle w:val="TableContents"/>
              <w:bidi w:val="0"/>
              <w:spacing w:before="0" w:after="283"/>
              <w:jc w:val="left"/>
              <w:rPr>
                <w:caps w:val="false"/>
                <w:smallCaps w:val="false"/>
              </w:rPr>
            </w:pPr>
            <w:r>
              <w:rPr>
                <w:caps w:val="false"/>
                <w:smallCaps w:val="false"/>
              </w:rPr>
              <w:t> </w:t>
            </w:r>
          </w:p>
        </w:tc>
        <w:tc>
          <w:tcPr>
            <w:tcW w:w="8604"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discount:</w:t>
            </w:r>
          </w:p>
        </w:tc>
        <w:tc>
          <w:tcPr>
            <w:tcW w:w="86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$0.195 per share of Common Stock</w:t>
            </w:r>
          </w:p>
        </w:tc>
      </w:tr>
      <w:tr>
        <w:trPr/>
        <w:tc>
          <w:tcPr>
            <w:tcW w:w="1601" w:type="dxa"/>
            <w:tcBorders/>
            <w:vAlign w:val="center"/>
          </w:tcPr>
          <w:p>
            <w:pPr>
              <w:pStyle w:val="TableContents"/>
              <w:bidi w:val="0"/>
              <w:spacing w:before="0" w:after="283"/>
              <w:jc w:val="left"/>
              <w:rPr>
                <w:caps w:val="false"/>
                <w:smallCaps w:val="false"/>
              </w:rPr>
            </w:pPr>
            <w:r>
              <w:rPr>
                <w:caps w:val="false"/>
                <w:smallCaps w:val="false"/>
              </w:rPr>
              <w:t> </w:t>
            </w:r>
          </w:p>
        </w:tc>
        <w:tc>
          <w:tcPr>
            <w:tcW w:w="8604"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net proceeds:</w:t>
            </w:r>
          </w:p>
        </w:tc>
        <w:tc>
          <w:tcPr>
            <w:tcW w:w="86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$10.8 million ($12.4 million if the overallotment option is exercised in full) after deducting the underwriting discount and estimated offering expenses payable by the Company.</w:t>
            </w:r>
          </w:p>
        </w:tc>
      </w:tr>
      <w:tr>
        <w:trPr/>
        <w:tc>
          <w:tcPr>
            <w:tcW w:w="1601" w:type="dxa"/>
            <w:tcBorders/>
            <w:vAlign w:val="center"/>
          </w:tcPr>
          <w:p>
            <w:pPr>
              <w:pStyle w:val="TableContents"/>
              <w:bidi w:val="0"/>
              <w:spacing w:before="0" w:after="283"/>
              <w:jc w:val="left"/>
              <w:rPr>
                <w:caps w:val="false"/>
                <w:smallCaps w:val="false"/>
              </w:rPr>
            </w:pPr>
            <w:r>
              <w:rPr>
                <w:caps w:val="false"/>
                <w:smallCaps w:val="false"/>
              </w:rPr>
              <w:t> </w:t>
            </w:r>
          </w:p>
        </w:tc>
        <w:tc>
          <w:tcPr>
            <w:tcW w:w="8604"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date:</w:t>
            </w:r>
          </w:p>
        </w:tc>
        <w:tc>
          <w:tcPr>
            <w:tcW w:w="86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r>
      <w:tr>
        <w:trPr/>
        <w:tc>
          <w:tcPr>
            <w:tcW w:w="1601" w:type="dxa"/>
            <w:tcBorders/>
            <w:vAlign w:val="center"/>
          </w:tcPr>
          <w:p>
            <w:pPr>
              <w:pStyle w:val="TableContents"/>
              <w:bidi w:val="0"/>
              <w:spacing w:before="0" w:after="283"/>
              <w:jc w:val="left"/>
              <w:rPr>
                <w:caps w:val="false"/>
                <w:smallCaps w:val="false"/>
              </w:rPr>
            </w:pPr>
            <w:r>
              <w:rPr>
                <w:caps w:val="false"/>
                <w:smallCaps w:val="false"/>
              </w:rPr>
              <w:t> </w:t>
            </w:r>
          </w:p>
        </w:tc>
        <w:tc>
          <w:tcPr>
            <w:tcW w:w="8604"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date:</w:t>
            </w:r>
          </w:p>
        </w:tc>
        <w:tc>
          <w:tcPr>
            <w:tcW w:w="86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tc>
      </w:tr>
      <w:tr>
        <w:trPr/>
        <w:tc>
          <w:tcPr>
            <w:tcW w:w="1601" w:type="dxa"/>
            <w:tcBorders/>
            <w:vAlign w:val="center"/>
          </w:tcPr>
          <w:p>
            <w:pPr>
              <w:pStyle w:val="TableContents"/>
              <w:bidi w:val="0"/>
              <w:spacing w:before="0" w:after="283"/>
              <w:jc w:val="left"/>
              <w:rPr>
                <w:caps w:val="false"/>
                <w:smallCaps w:val="false"/>
              </w:rPr>
            </w:pPr>
            <w:r>
              <w:rPr>
                <w:caps w:val="false"/>
                <w:smallCaps w:val="false"/>
              </w:rPr>
              <w:t> </w:t>
            </w:r>
          </w:p>
        </w:tc>
        <w:tc>
          <w:tcPr>
            <w:tcW w:w="8604"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w:t>
            </w:r>
          </w:p>
        </w:tc>
        <w:tc>
          <w:tcPr>
            <w:tcW w:w="86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Roth Capital Partners, LLC </w:t>
              <w:br/>
              <w:t>Northland Securities,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Schedule-II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Schedule-III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officers, directors and stockholders executing Lock-Up Agreements</w:t>
      </w:r>
    </w:p>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15"/>
        <w:gridCol w:w="1595"/>
      </w:tblGrid>
      <w:tr>
        <w:trPr/>
        <w:tc>
          <w:tcPr>
            <w:tcW w:w="215" w:type="dxa"/>
            <w:tcBorders/>
            <w:vAlign w:val="center"/>
          </w:tcPr>
          <w:p>
            <w:pPr>
              <w:pStyle w:val="TableContents"/>
              <w:bidi w:val="0"/>
              <w:spacing w:before="0" w:after="283"/>
              <w:jc w:val="left"/>
              <w:rPr/>
            </w:pPr>
            <w:r>
              <w:rPr/>
              <w:t>1.</w:t>
            </w:r>
          </w:p>
        </w:tc>
        <w:tc>
          <w:tcPr>
            <w:tcW w:w="1595" w:type="dxa"/>
            <w:tcBorders/>
            <w:vAlign w:val="center"/>
          </w:tcPr>
          <w:p>
            <w:pPr>
              <w:pStyle w:val="TableContents"/>
              <w:bidi w:val="0"/>
              <w:spacing w:before="0" w:after="283"/>
              <w:jc w:val="both"/>
              <w:rPr/>
            </w:pPr>
            <w:r>
              <w:rPr/>
              <w:t>Robert S. Herlin</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15"/>
        <w:gridCol w:w="1835"/>
      </w:tblGrid>
      <w:tr>
        <w:trPr/>
        <w:tc>
          <w:tcPr>
            <w:tcW w:w="215" w:type="dxa"/>
            <w:tcBorders/>
            <w:vAlign w:val="center"/>
          </w:tcPr>
          <w:p>
            <w:pPr>
              <w:pStyle w:val="TableContents"/>
              <w:bidi w:val="0"/>
              <w:spacing w:before="0" w:after="283"/>
              <w:jc w:val="left"/>
              <w:rPr/>
            </w:pPr>
            <w:r>
              <w:rPr/>
              <w:t>2.</w:t>
            </w:r>
          </w:p>
        </w:tc>
        <w:tc>
          <w:tcPr>
            <w:tcW w:w="1835" w:type="dxa"/>
            <w:tcBorders/>
            <w:vAlign w:val="center"/>
          </w:tcPr>
          <w:p>
            <w:pPr>
              <w:pStyle w:val="TableContents"/>
              <w:bidi w:val="0"/>
              <w:spacing w:before="0" w:after="283"/>
              <w:jc w:val="both"/>
              <w:rPr/>
            </w:pPr>
            <w:r>
              <w:rPr/>
              <w:t>Edward J. DiPaolo</w:t>
            </w:r>
          </w:p>
        </w:tc>
      </w:tr>
    </w:tbl>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15"/>
        <w:gridCol w:w="2090"/>
      </w:tblGrid>
      <w:tr>
        <w:trPr/>
        <w:tc>
          <w:tcPr>
            <w:tcW w:w="215" w:type="dxa"/>
            <w:tcBorders/>
            <w:vAlign w:val="center"/>
          </w:tcPr>
          <w:p>
            <w:pPr>
              <w:pStyle w:val="TableContents"/>
              <w:bidi w:val="0"/>
              <w:spacing w:before="0" w:after="283"/>
              <w:jc w:val="left"/>
              <w:rPr/>
            </w:pPr>
            <w:r>
              <w:rPr/>
              <w:t>3.</w:t>
            </w:r>
          </w:p>
        </w:tc>
        <w:tc>
          <w:tcPr>
            <w:tcW w:w="2090" w:type="dxa"/>
            <w:tcBorders/>
            <w:vAlign w:val="center"/>
          </w:tcPr>
          <w:p>
            <w:pPr>
              <w:pStyle w:val="TableContents"/>
              <w:bidi w:val="0"/>
              <w:spacing w:before="0" w:after="283"/>
              <w:jc w:val="both"/>
              <w:rPr/>
            </w:pPr>
            <w:r>
              <w:rPr/>
              <w:t>Marjorie A. Hargrave</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15"/>
        <w:gridCol w:w="1760"/>
      </w:tblGrid>
      <w:tr>
        <w:trPr/>
        <w:tc>
          <w:tcPr>
            <w:tcW w:w="215" w:type="dxa"/>
            <w:tcBorders/>
            <w:vAlign w:val="center"/>
          </w:tcPr>
          <w:p>
            <w:pPr>
              <w:pStyle w:val="TableContents"/>
              <w:bidi w:val="0"/>
              <w:spacing w:before="0" w:after="283"/>
              <w:jc w:val="left"/>
              <w:rPr/>
            </w:pPr>
            <w:r>
              <w:rPr/>
              <w:t>4.</w:t>
            </w:r>
          </w:p>
        </w:tc>
        <w:tc>
          <w:tcPr>
            <w:tcW w:w="1760" w:type="dxa"/>
            <w:tcBorders/>
            <w:vAlign w:val="center"/>
          </w:tcPr>
          <w:p>
            <w:pPr>
              <w:pStyle w:val="TableContents"/>
              <w:bidi w:val="0"/>
              <w:spacing w:before="0" w:after="283"/>
              <w:jc w:val="both"/>
              <w:rPr/>
            </w:pPr>
            <w:r>
              <w:rPr/>
              <w:t>William E. Dozier</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15"/>
        <w:gridCol w:w="1535"/>
      </w:tblGrid>
      <w:tr>
        <w:trPr/>
        <w:tc>
          <w:tcPr>
            <w:tcW w:w="215" w:type="dxa"/>
            <w:tcBorders/>
            <w:vAlign w:val="center"/>
          </w:tcPr>
          <w:p>
            <w:pPr>
              <w:pStyle w:val="TableContents"/>
              <w:bidi w:val="0"/>
              <w:spacing w:before="0" w:after="283"/>
              <w:jc w:val="left"/>
              <w:rPr/>
            </w:pPr>
            <w:r>
              <w:rPr/>
              <w:t>5.</w:t>
            </w:r>
          </w:p>
        </w:tc>
        <w:tc>
          <w:tcPr>
            <w:tcW w:w="1535" w:type="dxa"/>
            <w:tcBorders/>
            <w:vAlign w:val="center"/>
          </w:tcPr>
          <w:p>
            <w:pPr>
              <w:pStyle w:val="TableContents"/>
              <w:bidi w:val="0"/>
              <w:spacing w:before="0" w:after="283"/>
              <w:jc w:val="both"/>
              <w:rPr/>
            </w:pPr>
            <w:r>
              <w:rPr/>
              <w:t>Myra C. Bierria</w:t>
            </w:r>
          </w:p>
        </w:tc>
      </w:tr>
    </w:tbl>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15"/>
        <w:gridCol w:w="1475"/>
      </w:tblGrid>
      <w:tr>
        <w:trPr/>
        <w:tc>
          <w:tcPr>
            <w:tcW w:w="215" w:type="dxa"/>
            <w:tcBorders/>
            <w:vAlign w:val="center"/>
          </w:tcPr>
          <w:p>
            <w:pPr>
              <w:pStyle w:val="TableContents"/>
              <w:bidi w:val="0"/>
              <w:spacing w:before="0" w:after="283"/>
              <w:jc w:val="left"/>
              <w:rPr/>
            </w:pPr>
            <w:r>
              <w:rPr/>
              <w:t>6.</w:t>
            </w:r>
          </w:p>
        </w:tc>
        <w:tc>
          <w:tcPr>
            <w:tcW w:w="1475" w:type="dxa"/>
            <w:tcBorders/>
            <w:vAlign w:val="center"/>
          </w:tcPr>
          <w:p>
            <w:pPr>
              <w:pStyle w:val="TableContents"/>
              <w:bidi w:val="0"/>
              <w:spacing w:before="0" w:after="283"/>
              <w:jc w:val="both"/>
              <w:rPr/>
            </w:pPr>
            <w:r>
              <w:rPr/>
              <w:t>Kelly W. Loyd</w:t>
            </w:r>
          </w:p>
        </w:tc>
      </w:tr>
    </w:tbl>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215"/>
        <w:gridCol w:w="1115"/>
      </w:tblGrid>
      <w:tr>
        <w:trPr/>
        <w:tc>
          <w:tcPr>
            <w:tcW w:w="215" w:type="dxa"/>
            <w:tcBorders/>
            <w:vAlign w:val="center"/>
          </w:tcPr>
          <w:p>
            <w:pPr>
              <w:pStyle w:val="TableContents"/>
              <w:bidi w:val="0"/>
              <w:spacing w:before="0" w:after="283"/>
              <w:jc w:val="left"/>
              <w:rPr/>
            </w:pPr>
            <w:r>
              <w:rPr/>
              <w:t>7.</w:t>
            </w:r>
          </w:p>
        </w:tc>
        <w:tc>
          <w:tcPr>
            <w:tcW w:w="1115" w:type="dxa"/>
            <w:tcBorders/>
            <w:vAlign w:val="center"/>
          </w:tcPr>
          <w:p>
            <w:pPr>
              <w:pStyle w:val="TableContents"/>
              <w:bidi w:val="0"/>
              <w:spacing w:before="0" w:after="283"/>
              <w:jc w:val="both"/>
              <w:rPr/>
            </w:pPr>
            <w:r>
              <w:rPr/>
              <w:t>Ryan Stash</w:t>
            </w:r>
          </w:p>
        </w:tc>
      </w:tr>
    </w:tbl>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215"/>
        <w:gridCol w:w="1445"/>
      </w:tblGrid>
      <w:tr>
        <w:trPr/>
        <w:tc>
          <w:tcPr>
            <w:tcW w:w="215" w:type="dxa"/>
            <w:tcBorders/>
            <w:vAlign w:val="center"/>
          </w:tcPr>
          <w:p>
            <w:pPr>
              <w:pStyle w:val="TableContents"/>
              <w:bidi w:val="0"/>
              <w:spacing w:before="0" w:after="283"/>
              <w:jc w:val="left"/>
              <w:rPr/>
            </w:pPr>
            <w:r>
              <w:rPr/>
              <w:t>8.</w:t>
            </w:r>
          </w:p>
        </w:tc>
        <w:tc>
          <w:tcPr>
            <w:tcW w:w="1445" w:type="dxa"/>
            <w:tcBorders/>
            <w:vAlign w:val="center"/>
          </w:tcPr>
          <w:p>
            <w:pPr>
              <w:pStyle w:val="TableContents"/>
              <w:bidi w:val="0"/>
              <w:spacing w:before="0" w:after="283"/>
              <w:jc w:val="both"/>
              <w:rPr/>
            </w:pPr>
            <w:r>
              <w:rPr/>
              <w:t>J. Mark Bunch</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15"/>
        <w:gridCol w:w="1565"/>
      </w:tblGrid>
      <w:tr>
        <w:trPr/>
        <w:tc>
          <w:tcPr>
            <w:tcW w:w="215" w:type="dxa"/>
            <w:tcBorders/>
            <w:vAlign w:val="center"/>
          </w:tcPr>
          <w:p>
            <w:pPr>
              <w:pStyle w:val="TableContents"/>
              <w:bidi w:val="0"/>
              <w:spacing w:before="0" w:after="283"/>
              <w:jc w:val="left"/>
              <w:rPr/>
            </w:pPr>
            <w:r>
              <w:rPr/>
              <w:t>9.</w:t>
            </w:r>
          </w:p>
        </w:tc>
        <w:tc>
          <w:tcPr>
            <w:tcW w:w="1565" w:type="dxa"/>
            <w:tcBorders/>
            <w:vAlign w:val="center"/>
          </w:tcPr>
          <w:p>
            <w:pPr>
              <w:pStyle w:val="TableContents"/>
              <w:bidi w:val="0"/>
              <w:spacing w:before="0" w:after="283"/>
              <w:jc w:val="both"/>
              <w:rPr/>
            </w:pPr>
            <w:r>
              <w:rPr/>
              <w:t>Kelly M. Beatty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Schedule-IV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Testing-the-Waters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Schedule-V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you, as the representative (the “Representative”) of the several underwriters named therein, propose to enter into an Underwriting Agreement (the “Underwriting Agreement”) with Evolution Petroleum Corporation, a Nevada corporation (the “Company”), relating to a proposed offering of securities of the Company (the “Offering”) including shares of the common stock, par value $0.001 per share (the “Common Stock”). Capitalized terms used herein and not otherwise defined shall have the meanings set forth in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foregoing, and in order to induce you to participate in the Offering, and for other good and valuable consideration receipt of which is hereby acknowledged, the undersigned hereby agrees that, without the prior written consent of the Representative (which consent may be withheld in its sole discretion), the undersigned will not, during the period (the “Lock-Up Period”) beginning on the date hereof and ending on the date sixty (60) days after the date of the final prospectus relating to the Offering (the “Final Prospectus”), (1) offer, pledge, announce the intention to sell, sell, contract to sell, sell any option or contract to purchase, purchase any option or contract to sell, grant any option, right or warrant to purchase, or otherwise transfer or dispose of, directly or indirectly, or file (or participate in the filing of) a registration statement with the Securities and Exchange Commission in respect of, any shares of Common Stock or any securities convertible into or exercisable or exchangeable for shares of Common Stock (including without limitation, shares of Common Stock which may be deemed to be beneficially owned by the undersigned in accordance with the rules and regulations of the Securities and Exchange Commission and securities which may be issued upon exercise of a stock option or warrant), (2) enter into any swap or other agreement that transfers, in whole or in part, any of the economic consequences of ownership of the shares of, whether any such transaction described in clause (1) or (2) above is to be settled by delivery of shares of Common Stock or such other securities, in cash or otherwise, (3) make any demand for or exercise any right with respect to, the registration of any shares of Common Stock or any security convertible into or exercisable or exchangeable for shares of Common Stock, or (4) publicly announce an intention to effect any transaction specified in clause (1), (2) or (3)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Exhibit-A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restrictions set forth in clause (1) and (2) above shall not apply to (a) transfers (i) as a bona fide gift or gifts;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donee or donees thereof agree to be bound in writing by the restrictions set forth herein;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such transfer shall not involve a disposition for value, (ii) to any trust for the direct or indirect benefit of the undersigned or the immediate family of the undersigned;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trustee of the trust agrees to be bound in writing by the restrictions set forth herein;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such transfer shall not involve a disposition for value, (iii) pursuant to a will or other testamentary document or applicable laws of descent or intestate succession, (iv) by operation of law, such as pursuant to a qualified domestic order or divorce settlement, or (v) to a legal entity all of the beneficial ownership of which is held by the undersigned or the immediate family of the undersigned;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legal entity agrees to be bound in writing by the restrictions set forth herein; (b) the acquisition or exercise of any stock option issued pursuant to the Company’s existing stock option plan, including any exercise effected by the delivery of shares of Common Stock of the Company held by the undersigned or on a “cashless” or “net exercise” basis or to cover tax withholding; (c) the purchase or sale of the Company’s securities pursuant to a plan, contract or instruction that complies with Rule 10b5-1 that was in effect prior to the date hereof; or (d) the transfer of shares of Common Stock pursuant to a bona fide third party tender offer, merger, consolidation, or other similar transaction made to all holders of the Common Stock involving a change of control (as defined below) of the Company. In addition, the restrictions set forth herein shall not apply to the establishment of a new trading plan that complies with Rule 10b5-1;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restrictions shall apply in full force to sales pursuant to such trading plan during the Lock-Up Period. For purposes of this Lock-Up Agreement, “immediate family” shall mean any relationship by blood, marriage or adoption, not more remote than first cousin.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restrictions are expressly agreed to preclude the undersigned from engaging in any hedging or other transaction which is designed to or reasonably expected to lead to or result in a sale or disposition of shares of Common Stock even if such securities would be disposed of by someone other than the undersigned. Such prohibited hedging or other transactions would include without limitation any short sale or any purchase, sale or grant of any right (including without limitation any put option or put equivalent position or call option or call equivalent position) with respect to any of the shares of Common Stock or with respect to any security that includes, relates to, or derives any significant part of its value from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agrees and consents to the entry of stop transfer instructions with the Company’s transfer agent and registrar or depositary against the transfer of the undersigned’s shares of Common Stock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Representative may be required or choose to provide certain Regulation Best Interest and Form CRS disclosures to you in connection with the Offering, the Representative and the other Underwriters are not making a recommendation to you to enter into this Lock-Up Agreement, and nothing set forth in such disclosures is intended to suggest that the Representative or any Underwriter is making such a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Exhibit-A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the Underwriting Agreement does not become effective on or before August 18, 2026, or if the Underwriting Agreement (other than the provisions thereof which survive termination) shall terminate or be terminated prior to payment for and delivery of the securities to be sold thereunder, the undersigned shall be released from all obligations under this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and any Proceeding (as defined below) shall be governed by and construed in accordance with the laws of the State of New York, without regard to the conflict of laws principles thereof. The undersigned irrevocably (i) submits to the jurisdiction of the Supreme Court of the State of New York, Borough of Manhattan and the United States District Court for the Southern District of New York, for the purpose of any suit, action, or other proceeding arising out of this Lock-Up Agreement (each a “Proceeding”), (ii) agrees that all claims in respect of any Proceeding may be heard and determined in any such court, (iii) waives, to the fullest extent permitted by law, any immunity from jurisdiction of any such court or from any legal process therein, (iv) agrees not to commence any Proceeding other than in such courts, and (v) waives, to the fullest extent permitted by law, any claim that such Proceeding is brought in an inconvenient forum.</w:t>
      </w:r>
    </w:p>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80"/>
        <w:gridCol w:w="1400"/>
      </w:tblGrid>
      <w:tr>
        <w:trPr/>
        <w:tc>
          <w:tcPr>
            <w:tcW w:w="8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8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Exhibit-A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 Counsel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is a corporation duly incorporated and is a validly existing corporation in good standing under the laws of the State of Nevada, with the corporate power to own, lease and operate its properties, and to conduct its business as described in the Registration Statement and the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has all requisite corporate power and authority to execute and deliver the Underwriting Agreement and to perform its obligations under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execution, delivery and performance of the Underwriting Agreement has been duly authorized by all necessary corporate action on the part of the Company and the Underwriting Agreement has been duly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Shares to be issued and sold by the Company to the Underwriters under the Underwriting Agreement have been duly authorized in accordance with the Articles of Incorporation and the Amended Bylaws of the Company (together, as amended, the “Company Governing Documents”) and, when issued and delivered by the Company pursuant to the Underwriting Agreement against payment of the consideration set forth therein, will be validly issued in accordance with the Company Governing Documents, free of preemptive rights set forth in or provided for by Nevada law or the Company Governing Documents,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holders of outstanding shares of capital stock of the Company are not entitled to any preemptive right or right of first refusal (i) set forth in or provided for by the Company Governing Documents, or (ii) to our knowledge, granted by the Company in any currently effective written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No consent, approval, authorization or filing with or order of any State of Nevada court or Governmental Entity having jurisdiction over the Company is required, under the laws, rules and regulations of the State of Nevada, for the consummation by the Company of the transactions contemplated by the Underwriting Agreement, except such as may be required under blue sky laws in connection with the purchase and distribution of the Shares by you in the manner contemplated in the Underwriting Agreement and in the Final Prospectus, as to which we express no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execution and delivery of the Underwriting Agreement by the Company, the performance by the Company of its obligations thereunder and the issuance and sale of the Shares will not result in a breach or violation of (or constitute any event that with notice, lapse of time or both would result in a breach of violation of): (i) the Company Governing Documents, (ii) any statute, rule, or regulation of the State of Nevada which, in our experience, is typically applicable to transactions of the nature contemplated by the Underwriting Agreement and is applicable to the Company, or (iii) any currently effective order, writ, judgment, injunction, decree, or award that names and has been entered against the Company and of which we have knowledge, in each case of clauses (ii) and (iii), the breach or violation of which would materially and adversely affect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statements set forth in the Final Prospectus under the caption “Description of Capital Stock” insofar as such statements purport to constitute a summary of the terms of the Company’s outstanding Common Stock, are an accurate summary in all material respects to the extent such statements constitute matters of law or summaries of legal matters; provided however, we express no opinion as to the number of outstanding shares of Common Stock or validity of the issuance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25" w:name="tm2623576d1_ex5-1.htm"/>
      <w:bookmarkStart w:id="26" w:name="kstm2623576d1_ex51"/>
      <w:bookmarkEnd w:id="25"/>
      <w:bookmarkEnd w:id="2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14070" cy="114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4070" cy="114300"/>
                    </a:xfrm>
                    <a:prstGeom prst="rect">
                      <a:avLst/>
                    </a:prstGeom>
                  </pic:spPr>
                </pic:pic>
              </a:graphicData>
            </a:graphic>
          </wp:inline>
        </w:drawing>
      </w:r>
      <w:r>
        <w:rPr>
          <w:caps w:val="false"/>
          <w:smallCaps w:val="false"/>
        </w:rPr>
        <w:t> </w:t>
      </w:r>
    </w:p>
    <w:tbl>
      <w:tblPr>
        <w:tblW w:w="3470" w:type="dxa"/>
        <w:jc w:val="left"/>
        <w:tblInd w:w="0" w:type="dxa"/>
        <w:tblLayout w:type="fixed"/>
        <w:tblCellMar>
          <w:top w:w="0" w:type="dxa"/>
          <w:left w:w="0" w:type="dxa"/>
          <w:bottom w:w="0" w:type="dxa"/>
          <w:right w:w="0" w:type="dxa"/>
        </w:tblCellMar>
      </w:tblPr>
      <w:tblGrid>
        <w:gridCol w:w="75"/>
        <w:gridCol w:w="60"/>
        <w:gridCol w:w="3335"/>
      </w:tblGrid>
      <w:tr>
        <w:trPr/>
        <w:tc>
          <w:tcPr>
            <w:tcW w:w="7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7800 Rancharrah Parkway</w:t>
            </w:r>
          </w:p>
        </w:tc>
      </w:tr>
      <w:tr>
        <w:trPr/>
        <w:tc>
          <w:tcPr>
            <w:tcW w:w="7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NV 89511</w:t>
            </w:r>
          </w:p>
        </w:tc>
      </w:tr>
      <w:tr>
        <w:trPr/>
        <w:tc>
          <w:tcPr>
            <w:tcW w:w="7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w:t>
            </w:r>
            <w:r>
              <w:rPr>
                <w:rFonts w:ascii="Times New Roman;Times;Serif" w:hAnsi="Times New Roman;Times;Serif"/>
                <w:b w:val="false"/>
                <w:i w:val="false"/>
                <w:caps w:val="false"/>
                <w:smallCaps w:val="false"/>
                <w:sz w:val="20"/>
              </w:rPr>
              <w:t xml:space="preserve"> (775) 788-2200 | </w:t>
            </w:r>
            <w:r>
              <w:rPr>
                <w:rFonts w:ascii="Times New Roman;Times;Serif" w:hAnsi="Times New Roman;Times;Serif"/>
                <w:b/>
                <w:i w:val="false"/>
                <w:caps w:val="false"/>
                <w:smallCaps w:val="false"/>
                <w:sz w:val="20"/>
              </w:rPr>
              <w:t>FX</w:t>
            </w:r>
            <w:r>
              <w:rPr>
                <w:rFonts w:ascii="Times New Roman;Times;Serif" w:hAnsi="Times New Roman;Times;Serif"/>
                <w:b w:val="false"/>
                <w:i w:val="false"/>
                <w:caps w:val="false"/>
                <w:smallCaps w:val="false"/>
                <w:sz w:val="20"/>
              </w:rPr>
              <w:t xml:space="preserve"> (775) 786-1177</w:t>
            </w:r>
          </w:p>
        </w:tc>
      </w:tr>
      <w:tr>
        <w:trPr/>
        <w:tc>
          <w:tcPr>
            <w:tcW w:w="7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fennemorecraig.com</w:t>
            </w:r>
          </w:p>
        </w:tc>
      </w:tr>
      <w:tr>
        <w:trPr/>
        <w:tc>
          <w:tcPr>
            <w:tcW w:w="7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Evolution Petroleum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 Dairy Ashford, Suite 425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77079</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
        <w:gridCol w:w="350"/>
        <w:gridCol w:w="3170"/>
      </w:tblGrid>
      <w:tr>
        <w:trPr/>
        <w:tc>
          <w:tcPr>
            <w:tcW w:w="60" w:type="dxa"/>
            <w:tcBorders/>
            <w:vAlign w:val="center"/>
          </w:tcPr>
          <w:p>
            <w:pPr>
              <w:pStyle w:val="TableContents"/>
              <w:bidi w:val="0"/>
              <w:spacing w:before="0" w:after="283"/>
              <w:ind w:left="0" w:right="0" w:hanging="200"/>
              <w:jc w:val="left"/>
              <w:rPr/>
            </w:pPr>
            <w:r>
              <w:rPr/>
              <w:t> </w:t>
            </w:r>
          </w:p>
        </w:tc>
        <w:tc>
          <w:tcPr>
            <w:tcW w:w="350" w:type="dxa"/>
            <w:tcBorders/>
            <w:vAlign w:val="center"/>
          </w:tcPr>
          <w:p>
            <w:pPr>
              <w:pStyle w:val="TableContents"/>
              <w:bidi w:val="0"/>
              <w:spacing w:before="0" w:after="283"/>
              <w:ind w:left="0" w:right="0" w:hanging="200"/>
              <w:jc w:val="left"/>
              <w:rPr/>
            </w:pPr>
            <w:r>
              <w:rPr/>
              <w:t>Re:</w:t>
            </w:r>
          </w:p>
        </w:tc>
        <w:tc>
          <w:tcPr>
            <w:tcW w:w="3170" w:type="dxa"/>
            <w:tcBorders/>
            <w:vAlign w:val="center"/>
          </w:tcPr>
          <w:p>
            <w:pPr>
              <w:pStyle w:val="TableContents"/>
              <w:bidi w:val="0"/>
              <w:spacing w:before="0" w:after="283"/>
              <w:jc w:val="left"/>
              <w:rPr/>
            </w:pPr>
            <w:r>
              <w:rPr/>
              <w:t>Evolution Petroleum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special Nevada counsel to Evolution Petroleum Corporation, a Nevada corporation (the “Company”), in connection with a prospectus supplement (the “Prospectus”) to a registration statement on Form S-3, Registration No. 333-292785 (the “Registration Statement”), filed with the Securities and Exchange Commission (the “Commission”) relating to the offering under the Securities Act of 1933, as amended (the “Securities Act”), of up to 3,700,000 shares (the “Firm Shares”), and an additional 555,000 shares (the “Option Shares”, and together with the Firm Share, the “Shares”) of the Company’s common stock, $0.001 par value per share (“Common Stock”), pursuant to the terms of an Underwriting Agreement, as defined below. Capitalized terms used herein and not otherwise defined shall have the meanings set forth in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rendering this opinion, we have examined originals, or copies certified or otherwise identified to our satisfaction as being true copies, of such records, documents, instruments and certificates as, in our judgment, are necessary or appropriate to enable us to render the opinions set forth below, including, but not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Underwriting Agreement (the “Underwriting Agreement”) dated as of August 18, 2026 between the Company and Roth Capital Partners, LLC, as the Representative of the Several Underwriters named on Schedule I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Registration Statement and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Articles of Incorporation and Amended and Restated Bylaws of the Company, each as amended to date (collectively, the “Governing Documents”);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Resolutions adopted by the Board of Directors and the Pricing Committee of the Company with respect to the filing of the Prospectus, the entry into the Underwriting Agreement by the Company, and the issuance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814070" cy="114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14070" cy="114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such legal and factual examinations and inquiries as we have deemed necessary or appropriate for the purposes of this opinion. We have also obtained from officers and agents of the Company and from public officials, and have relied upon, such certificates, representations and assurances as we have deemed necessary and appropriate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in our examination, we have, with your permission, assumed without independent verification, that (i) all documents submitted to us as originals are authentic, the signatures on all documents that we examined are genuine, and all documents submitted to us as certified, conformed, photostatic, electronic or facsimile copies conform to the original document; and (ii) all corporate records made available to us by the Company and all public records we have reviewed are accurate and complete. We note that the Company has reserved, and assume it will continue to maintain reserved, a sufficient number of shares of its duly authorized, but unissued, shares of the Common Stock as is necessary to provide for the issuance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shall be deemed an opinion as to the laws of any jurisdiction other than the State of Nevada. We express no opinion concerning any securities law or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Shares have been duly authorized by the Company for issuance and sale in accordance with the terms of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When issued and delivered by the Company in accordance with the Underwriting Agreement against payment of the consideration set forth in the Underwriting Agreement, the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issued in the State of Nevada. By issuing this opinion, Fennemore Craig, P.C. (i) shall not be deemed to be transacting business in any other state or jurisdiction other than the State of Nevada and (ii) does not consent to the jurisdiction of any state other than the State of Nevada. Any claim or cause of action arising out of the opinions expressed herein must be brought in the State of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your filing this opinion as an exhibit to the Form 8-K and to the reference to our firm contained under the heading “Legal Matters” in the Prospectus. We further consent to the incorporation by reference of this opinion and consent in any prospectus supplement to the Registration Statement filed pursuant to Rule 424(b) under the Securities Act with respect to the Shares. In giving these consents, we do not thereby admit that we are within the category of persons whose consent is required under Section 7 of the Securities Act, the rules and regulations of the Commission promulgated thereunder, or Item 509 of Regulation S-K. 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or the Shares.</w:t>
      </w:r>
    </w:p>
    <w:p>
      <w:pPr>
        <w:pStyle w:val="TextBody"/>
        <w:bidi w:val="0"/>
        <w:spacing w:before="0" w:after="0"/>
        <w:ind w:left="0" w:right="0" w:hanging="0"/>
        <w:jc w:val="left"/>
        <w:rPr>
          <w:caps w:val="false"/>
          <w:smallCaps w:val="false"/>
        </w:rPr>
      </w:pPr>
      <w:r>
        <w:rPr>
          <w:caps w:val="false"/>
          <w:smallCaps w:val="false"/>
        </w:rPr>
        <w:t> </w:t>
      </w:r>
    </w:p>
    <w:tbl>
      <w:tblPr>
        <w:tblW w:w="2390" w:type="dxa"/>
        <w:jc w:val="left"/>
        <w:tblInd w:w="0" w:type="dxa"/>
        <w:tblLayout w:type="fixed"/>
        <w:tblCellMar>
          <w:top w:w="0" w:type="dxa"/>
          <w:left w:w="0" w:type="dxa"/>
          <w:bottom w:w="0" w:type="dxa"/>
          <w:right w:w="0" w:type="dxa"/>
        </w:tblCellMar>
      </w:tblPr>
      <w:tblGrid>
        <w:gridCol w:w="75"/>
        <w:gridCol w:w="2315"/>
      </w:tblGrid>
      <w:tr>
        <w:trPr/>
        <w:tc>
          <w:tcPr>
            <w:tcW w:w="7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Fennemore Craig, P.C.</w:t>
            </w:r>
          </w:p>
        </w:tc>
      </w:tr>
      <w:tr>
        <w:trPr/>
        <w:tc>
          <w:tcPr>
            <w:tcW w:w="7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Fennemore Craig, P.C.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CDOL/TMOR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7" w:name="tm2623576d1_ex99-1.htm"/>
      <w:bookmarkStart w:id="28" w:name="kstm2623576d1_ex991"/>
      <w:bookmarkEnd w:id="27"/>
      <w:bookmarkEnd w:id="28"/>
      <w:r>
        <w:rPr>
          <w:b/>
          <w:sz w:val="20"/>
        </w:rPr>
        <w:t>Exhibit 99.1</w:t>
      </w:r>
      <w:r>
        <w:br w:type="page"/>
      </w:r>
    </w:p>
    <w:p>
      <w:pPr>
        <w:pStyle w:val="TextBody"/>
        <w:bidi w:val="0"/>
        <w:spacing w:before="0" w:after="283"/>
        <w:jc w:val="left"/>
        <w:rPr/>
      </w:pPr>
      <w:r>
        <w:rPr/>
        <w:t> </w:t>
      </w:r>
    </w:p>
    <w:p>
      <w:pPr>
        <w:pStyle w:val="TextBody"/>
        <w:bidi w:val="0"/>
        <w:jc w:val="center"/>
        <w:rPr/>
      </w:pPr>
      <w:r>
        <w:rPr/>
        <w:drawing>
          <wp:inline distT="0" distB="0" distL="0" distR="0">
            <wp:extent cx="1847850"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47850" cy="5048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Evolution Petroleum Announces Pricing of Public Offering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HOUSTON, TX — August 19, 2026 (GLOBE NEWSWIRE)</w:t>
      </w:r>
      <w:r>
        <w:rPr>
          <w:rFonts w:ascii="Times New Roman;Times;Serif" w:hAnsi="Times New Roman;Times;Serif"/>
          <w:b w:val="false"/>
          <w:i w:val="false"/>
          <w:caps w:val="false"/>
          <w:smallCaps w:val="false"/>
          <w:sz w:val="20"/>
        </w:rPr>
        <w:t xml:space="preserve"> — Evolution Petroleum Corporation (NYSE American: EPM) ("Evolution" or the “Company”) today announced the pricing on August 18, 2026, of its previously announced registered underwritten public offering of common stock. The Company priced the underwritten offering of 3,700,000 shares of common stock, at a public offering price of $3.25 per share (the “Offering”), for total expected gross proceeds of approximately $12,025,000 before underwriting discounts and commissions and estimated offering expenses. Evolution has granted the underwriters a 30-day option to purchase up to an additional 555,000 shares of its common stock at the public offering price, less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Offering is expected to occur on August 20, 2026, subject to satisfaction of customary closing conditions. The Company intends to use the net proceeds from the Offering to fund a portion of the purchase price of the previously announced acquisition of oil and natural gas mineral and royalty interests located in the Permian Basin, together with borrowings under its senior secured reserve-based credit facility and cash on hand, and for general corporate purposes, which may include the repayment of a portion of the outstanding borrowings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is not conditioned on the consummation of the Acquisition, and the Company cannot assure that the Acquisition will be consummated on the terms described above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is acting as sole book-running manager, Northland Capital Markets is acting as co-manager, and A.G.P./Alliance Global Partners is acting as financial advisor for the Offering. This press release shall not constitute an offer to sell or the solicitation of an offer to buy any securities nor will there be any sale of these securities in any state or other jurisdiction in which such offer, solicitation or sale would be unlawful prior to registration or qualification under the securities laws of any such state or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Offering is being made pursuant to an effective shelf registration statement on Form S-3, which became effective on January 27, 2026. The Offering will be made only by means of a prospectus supplement and the accompanying prospectus, copies of which may be obtained on the Securities and Exchange Commission's (“SEC”)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or by contacting the sole book-running manager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Prospectus Department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Suite 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800-678-9147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rothecm@roth.com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Evolution Petroleum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Evolution Petroleum Corporation is an independent energy company focused on maximizing total shareholder returns through the ownership of and investment in onshore oil and natural gas properties in the U.S. The Company aims to build and maintain a diversified portfolio of long-life oil and natural gas properties through acquisitions, selective development opportunities, production enhancements, and other exploitation efforts. Visit </w:t>
      </w:r>
      <w:r>
        <w:rPr>
          <w:rFonts w:ascii="Times New Roman;Times;Serif" w:hAnsi="Times New Roman;Times;Serif"/>
          <w:b w:val="false"/>
          <w:i w:val="false"/>
          <w:caps w:val="false"/>
          <w:smallCaps w:val="false"/>
          <w:sz w:val="20"/>
          <w:u w:val="single"/>
        </w:rPr>
        <w:t>www.evolutionpetroleum.com</w:t>
      </w:r>
      <w:r>
        <w:rPr>
          <w:rFonts w:ascii="Times New Roman;Times;Serif" w:hAnsi="Times New Roman;Times;Serif"/>
          <w:b w:val="false"/>
          <w:i w:val="false"/>
          <w:caps w:val="false"/>
          <w:smallCaps w:val="false"/>
          <w:sz w:val="20"/>
        </w:rPr>
        <w:t xml:space="preserve">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Forward-looking statements are based on current expectations, estimates, projections, management’s beliefs and assumptions, and include any statement that is not a current or historical fact. Such statements include those relating to the Offering; the anticipated use of proceeds; the Acquisition, including the anticipated benefits, timing, and consummation thereof; drilling locations and potential drilling activities; potential acquisitions; potential, probable and possible reserves; expected future operating or financial results; cash flow and anticipated liquidity; business and capital allocation strategy; future dividend policies, and other plans, objectives, expectations and intentions . These forward-looking statements may generally, but not always, be identified by words such as “may”, “expected”, “estimated”, “projected”, “potential”, “anticipated”, “forecasted” or other words indicating future events or outcomes. Although the Company believes the expectations and forecasts reflected in the forward-looking statements are reasonable, it can give no assurance they will prove to be correct. These statements are based on current plans and assumptions and are subject to a number of risks and uncertainties including those outlined in the prospectus supplement and accompanying prospectus for this Offering, as well as the Company’s Annual Report on Form 10-K and Quarterly Reports on Forms 10-Q and other filings with the SEC. Therefore, actual results may differ materially from the expectations, estimates or assumptions expressed in or implied by any such forward-looking statement. The Company cautions readers not to place undue reliance on forward-looking statements, which speak only as of the date of this press release. The Company undertakes no obligation to update forward-looking statements to reflect events or circumstances occurring after the date of this release,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935-0122</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ir@evolutionpetroleum.com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22901</Words>
  <Characters>122131</Characters>
  <CharactersWithSpaces>146374</CharactersWithSpaces>
  <Paragraphs>920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