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236-1_424b5.htm"/>
        <w:bookmarkStart w:id="1" w:name="kstm2623236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21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40" w:before="557" w:after="437"/>
        <w:ind w:left="21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File No. 333-292785</w:t>
      </w:r>
      <w:r>
        <w:rPr>
          <w:rFonts w:ascii="Times New Roman;Times;serif" w:hAnsi="Times New Roman;Times;serif"/>
          <w:b/>
          <w:i w:val="false"/>
          <w:caps w:val="false"/>
          <w:smallCaps w:val="false"/>
          <w:color w:val="000000"/>
          <w:sz w:val="2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FC0014"/>
          <w:sz w:val="20"/>
        </w:rPr>
      </w:pPr>
      <w:r>
        <w:rPr>
          <w:rFonts w:ascii="Times New Roman;Times;serif" w:hAnsi="Times New Roman;Times;serif"/>
          <w:b w:val="false"/>
          <w:i w:val="false"/>
          <w:caps w:val="false"/>
          <w:smallCaps w:val="false"/>
          <w:color w:val="FC0014"/>
          <w:spacing w:val="4"/>
          <w:sz w:val="20"/>
        </w:rPr>
        <w:t>Subject to Completion</w:t>
      </w:r>
      <w:r>
        <w:rPr>
          <w:rFonts w:ascii="Times New Roman;Times;serif" w:hAnsi="Times New Roman;Times;serif"/>
          <w:b w:val="false"/>
          <w:i w:val="false"/>
          <w:caps w:val="false"/>
          <w:smallCaps w:val="false"/>
          <w:color w:val="FC0014"/>
          <w:sz w:val="20"/>
        </w:rPr>
        <w:t xml:space="preserve"> </w:t>
        <w:br/>
      </w:r>
      <w:r>
        <w:rPr>
          <w:rFonts w:ascii="Times New Roman;Times;serif" w:hAnsi="Times New Roman;Times;serif"/>
          <w:b w:val="false"/>
          <w:i w:val="false"/>
          <w:caps w:val="false"/>
          <w:smallCaps w:val="false"/>
          <w:color w:val="FC0014"/>
          <w:spacing w:val="4"/>
          <w:sz w:val="20"/>
        </w:rPr>
        <w:t>Preliminary Prospectus Supplement, Dated August 18,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January 27,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2466975" cy="6572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4669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5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Evolution Petroleum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offering        shares of our common stock. Our common stock is listed on the NYSE American under the symbol “EPM.” On August 14, 2026, the last sale price of our common stock as reported on the NYSE American was $3.76 per share.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is being underwritten on a firm commitment basis. We have granted the underwriters an option to purchase up to an additional        shares of common stock from us to cover over-allotments, at the public offering price, less the underwriting discount. The underwriters may exercise this option at any time and from time to time during the 30-day period from the date of this prospectus supplement. </w:t>
      </w:r>
    </w:p>
    <w:p>
      <w:pPr>
        <w:pStyle w:val="TextBody"/>
        <w:bidi w:val="0"/>
        <w:spacing w:lineRule="atLeast" w:line="24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An investment in our common stock involves significant risks. These risks are described under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and under similar headings in the documents incorporated by reference into this prospectus supplement and the accompanying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500" w:type="dxa"/>
        <w:jc w:val="left"/>
        <w:tblInd w:w="1753" w:type="dxa"/>
        <w:tblLayout w:type="fixed"/>
        <w:tblCellMar>
          <w:top w:w="0" w:type="dxa"/>
          <w:left w:w="0" w:type="dxa"/>
          <w:bottom w:w="28" w:type="dxa"/>
          <w:right w:w="0" w:type="dxa"/>
        </w:tblCellMar>
      </w:tblPr>
      <w:tblGrid>
        <w:gridCol w:w="4370"/>
        <w:gridCol w:w="109"/>
        <w:gridCol w:w="109"/>
        <w:gridCol w:w="109"/>
        <w:gridCol w:w="226"/>
        <w:gridCol w:w="826"/>
        <w:gridCol w:w="109"/>
        <w:gridCol w:w="109"/>
        <w:gridCol w:w="109"/>
        <w:gridCol w:w="109"/>
        <w:gridCol w:w="226"/>
        <w:gridCol w:w="826"/>
        <w:gridCol w:w="109"/>
        <w:gridCol w:w="154"/>
      </w:tblGrid>
      <w:tr>
        <w:trPr/>
        <w:tc>
          <w:tcPr>
            <w:tcW w:w="4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you to “Underwriting” in this prospectus supplement for additional information regarding underwriting compensation.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common stock to purchasers on or about        , 2026 through the book-entry facilities of the Depository Trust Company.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32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Roth Capital Partners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7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0"/>
        <w:gridCol w:w="109"/>
        <w:gridCol w:w="109"/>
        <w:gridCol w:w="109"/>
        <w:gridCol w:w="109"/>
        <w:gridCol w:w="592"/>
        <w:gridCol w:w="109"/>
        <w:gridCol w:w="155"/>
      </w:tblGrid>
      <w:tr>
        <w:trPr/>
        <w:tc>
          <w:tcPr>
            <w:tcW w:w="7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CSRF">
              <w:r>
                <w:rPr>
                  <w:rStyle w:val="InternetLink"/>
                  <w:spacing w:val="4"/>
                </w:rPr>
                <w:t xml:space="preserve">CAUTIONARY STATEMENT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CSRF">
              <w:r>
                <w:rPr>
                  <w:rStyle w:val="InternetLink"/>
                  <w:spacing w:val="4"/>
                </w:rPr>
                <w:t>S-iii</w:t>
              </w:r>
            </w:hyperlink>
            <w:hyperlink w:anchor="s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S-8</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CAP">
              <w:r>
                <w:rPr>
                  <w:rStyle w:val="InternetLink"/>
                  <w:spacing w:val="4"/>
                </w:rPr>
                <w:t>S-9</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MUFI">
              <w:r>
                <w:rPr>
                  <w:rStyle w:val="InternetLink"/>
                  <w:spacing w:val="4"/>
                </w:rPr>
                <w:t>S-10</w:t>
              </w:r>
            </w:hyperlink>
            <w:hyperlink w:anchor="sM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UND">
              <w:r>
                <w:rPr>
                  <w:rStyle w:val="InternetLink"/>
                  <w:spacing w:val="4"/>
                </w:rPr>
                <w:t>S-15</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S-27</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EXP">
              <w:r>
                <w:rPr>
                  <w:rStyle w:val="InternetLink"/>
                  <w:spacing w:val="4"/>
                </w:rPr>
                <w:t>S-27</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S-28</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IBR">
              <w:r>
                <w:rPr>
                  <w:rStyle w:val="InternetLink"/>
                  <w:spacing w:val="4"/>
                </w:rPr>
                <w:t>S-28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z w:val="20"/>
        </w:rPr>
        <w:t xml:space="preserve"> </w:t>
      </w:r>
    </w:p>
    <w:tbl>
      <w:tblPr>
        <w:tblW w:w="8812" w:type="dxa"/>
        <w:jc w:val="left"/>
        <w:tblInd w:w="1393" w:type="dxa"/>
        <w:tblLayout w:type="fixed"/>
        <w:tblCellMar>
          <w:top w:w="0" w:type="dxa"/>
          <w:left w:w="0" w:type="dxa"/>
          <w:bottom w:w="28" w:type="dxa"/>
          <w:right w:w="0" w:type="dxa"/>
        </w:tblCellMar>
      </w:tblPr>
      <w:tblGrid>
        <w:gridCol w:w="7717"/>
        <w:gridCol w:w="109"/>
        <w:gridCol w:w="109"/>
        <w:gridCol w:w="109"/>
        <w:gridCol w:w="109"/>
        <w:gridCol w:w="395"/>
        <w:gridCol w:w="109"/>
        <w:gridCol w:w="155"/>
      </w:tblGrid>
      <w:tr>
        <w:trPr/>
        <w:tc>
          <w:tcPr>
            <w:tcW w:w="77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STATEMENTS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CSRF">
              <w:r>
                <w:rPr>
                  <w:rStyle w:val="InternetLink"/>
                  <w:spacing w:val="4"/>
                </w:rPr>
                <w:t>2</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OUCO">
              <w:r>
                <w:rPr>
                  <w:rStyle w:val="InternetLink"/>
                  <w:spacing w:val="4"/>
                </w:rPr>
                <w:t>6</w:t>
              </w:r>
            </w:hyperlink>
            <w:hyperlink w:anchor="tOU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10</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DS">
              <w:r>
                <w:rPr>
                  <w:rStyle w:val="InternetLink"/>
                  <w:spacing w:val="4"/>
                </w:rPr>
                <w:t>12</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23</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LEMA">
              <w:r>
                <w:rPr>
                  <w:rStyle w:val="InternetLink"/>
                  <w:spacing w:val="4"/>
                </w:rPr>
                <w:t>26</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26</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WYCF">
              <w:r>
                <w:rPr>
                  <w:rStyle w:val="InternetLink"/>
                  <w:spacing w:val="4"/>
                </w:rPr>
                <w:t>26</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IIBR">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contains specific information about the terms on which we are offering and selling our common stock and also adds to and updates information contained in the accompanying prospectus and documents incorporated by reference herein and therein. The second part is the accompanying prospectus, which contains and incorporates by reference more general information, some of which may not apply to this offering. Under this prospectus supplement and the accompanying prospectus, we may offer and sell shares of our common stock. This prospectus supplement and the accompanying prospectus are part of a registration statement on Form S-3 that we filed with the Securities and Exchange Commission (the “SEC”) using a “shelf” registration process. We urge you to carefully read this prospectus supplement, the information incorporated by reference, the accompanying prospectus, and any free writing prospectus that we authorize to be distributed to you before buying any of the securities being offered under this prospectus supplement. This prospectus supplement may supplement,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prospectus supplement, contained in, or incorporated by reference into, the accompanying prospectus, or contained in any free writing prospectus we have authorized to be distributed to you in connection with this offering. We have not, and the underwriters have not, authorized anyone to provide you with different or inconsistent information. You should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the accompanying prospectus and any free writing prospectus authorized to be distributed by us is accurate only as of the date on the front of the applicable document and that any information we have incorporated by reference is accurate only as of the date of the document incorporated by reference, regardless of the time of delivery of this prospectus supplement, the accompanying prospectus, any free writing prospectus or any sale of a security. Our business, assets, financial condition, results of operations and prospects may have changed since such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making any representation to you regarding the legality of an investment in the common stock by you under applicable law. You should consult with your own legal advisors as to the legal, tax, business, financial and related aspects of a purchase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contained on or accessible through our website, www.evolutionpetroleum.com, does not constitute part of this prospectus supplement or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this prospectus supplement, references to the “Company,” “we,” “us,” and “our” refer to Evolution Petroleum Corporation and its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S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documents incorporated herein and therein by reference contain forward-looking statements within the meaning of the Private Securities Litigation Reform Act of 1995, Section 27A of the Securities Act of 1933, as amended (the “Securities Act”), and Section 21E of the Securities Exchange Act of 1934, as amended (the “Exchange Act”).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of plans, strategies and objectives, including anticipated development activity and capital spending;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capital allocation strategy, capital structure, anticipated sources of funding, growth in long-term shareholder value and ability to preserve balance sheet strength; </w:t>
      </w:r>
      <w:r>
        <mc:AlternateContent>
          <mc:Choice Requires="wps">
            <w:drawing>
              <wp:anchor behindDoc="0" distT="7493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complete future acquisitions and the need for additional capital to complete future acquisitions; </w:t>
      </w:r>
      <w:r>
        <mc:AlternateContent>
          <mc:Choice Requires="wps">
            <w:drawing>
              <wp:anchor behindDoc="0" distT="7493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benefits of our multi-basin portfolio, including operational and commodity flexibility;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maximize cash flow and the application of excess cash flows to pay dividends;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natural gas liquids (“NGLs”) production and commodity mix;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oil, natural gas and NGL prices;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drilling and completions activity; </w:t>
      </w:r>
      <w:r>
        <mc:AlternateContent>
          <mc:Choice Requires="wps">
            <w:drawing>
              <wp:anchor behindDoc="0" distT="7493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operational risks by our third-party operators, including accidents, equipment failures, fires, and releases of toxic or hazardous materials; </w:t>
      </w:r>
      <w:r>
        <mc:AlternateContent>
          <mc:Choice Requires="wps">
            <w:drawing>
              <wp:anchor behindDoc="0" distT="7493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NGL reserves and recoverable quantities;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the availability of other sources of liquidity to meet financial obligations throughout commodity price cycles;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our ability to obtain funding based on environmental, social, and corporate governance performance;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interest expense;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debt and financial ratios, finance growth and comply with financial covenants;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outcomes of risk management programs, including exposure to commodity price and interest rate fluctuations, the volume of oil and natural gas production hedged, and the markets or physical sales locations hedged;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changes in federal, state and local, rules and regulations;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compliance with current or proposed environmental requirements, including the costs thereof;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greenhouse gas (“GHG”) emissions limitations and renewable energy incentives;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adequacy of provisions for abandonment and site reclamation costs;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operational and financial flexibility, discipline and ability to respond to evolving market conditions;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declaration and payment of future dividends and any anticipated repurchase of our outstanding common shares;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adequacy of our provision for taxes and legal claims;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cost inflation and expected cost structures, including expected operating, transportation, processing and labor expenses; </w:t>
      </w:r>
      <w:r>
        <mc:AlternateContent>
          <mc:Choice Requires="wps">
            <w:drawing>
              <wp:anchor behindDoc="0" distT="0" distB="0" distL="254000" distR="0" simplePos="0" locked="0" layoutInCell="1" allowOverlap="1" relativeHeight="29">
                <wp:simplePos x="0" y="0"/>
                <wp:positionH relativeFrom="column">
                  <wp:align>left</wp:align>
                </wp:positionH>
                <wp:positionV relativeFrom="line">
                  <wp:posOffset>635</wp:posOffset>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competitiveness relative to our peers, including with respect to capital, materials, people, assets and production; </w:t>
      </w:r>
      <w:r>
        <mc:AlternateContent>
          <mc:Choice Requires="wps">
            <w:drawing>
              <wp:anchor behindDoc="0" distT="7239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oil, natural gas and NGL inventories and global demand for oil, natural gas and NGLs; </w:t>
      </w:r>
      <w:r>
        <mc:AlternateContent>
          <mc:Choice Requires="wps">
            <w:drawing>
              <wp:anchor behindDoc="0" distT="7239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outlook of the oil and natural gas industry generally, including impacts from changes to the geopolitical environment; </w:t>
      </w:r>
      <w:r>
        <mc:AlternateContent>
          <mc:Choice Requires="wps">
            <w:drawing>
              <wp:anchor behindDoc="0" distT="7239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weather events; </w:t>
      </w:r>
      <w:r>
        <mc:AlternateContent>
          <mc:Choice Requires="wps">
            <w:drawing>
              <wp:anchor behindDoc="0" distT="7239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staffing levels; </w:t>
      </w:r>
      <w:r>
        <mc:AlternateContent>
          <mc:Choice Requires="wps">
            <w:drawing>
              <wp:anchor behindDoc="0" distT="7239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payments related to our commitments, obligations and contingencies, and the ability to satisfy the same; </w:t>
      </w:r>
      <w:r>
        <mc:AlternateContent>
          <mc:Choice Requires="wps">
            <w:drawing>
              <wp:anchor behindDoc="0" distT="7239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accounting and tax pronouncements, rule changes and standards; and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factors detailed under the section “Risk Factors” and in our periodic filings with the SEC.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commodity prices and basis differentials;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shelf prospectuses;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contained in our corporate guidance included or incorporated by reference into this prospectus supplement; </w:t>
      </w:r>
      <w:r>
        <mc:AlternateContent>
          <mc:Choice Requires="wps">
            <w:drawing>
              <wp:anchor behindDoc="0" distT="7239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attractive commodity or financial hedges and the enforceability of risk management programs; </w:t>
      </w:r>
      <w:r>
        <mc:AlternateContent>
          <mc:Choice Requires="wps">
            <w:drawing>
              <wp:anchor behindDoc="0" distT="7239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that counterparties will fulfill their obligations pursuant to gathering, processing, transportation and marketing agreements; </w:t>
      </w:r>
      <w:r>
        <mc:AlternateContent>
          <mc:Choice Requires="wps">
            <w:drawing>
              <wp:anchor behindDoc="0" distT="7239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adequate gathering, transportation, processing and storage facilities; </w:t>
      </w:r>
      <w:r>
        <mc:AlternateContent>
          <mc:Choice Requires="wps">
            <w:drawing>
              <wp:anchor behindDoc="0" distT="7239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assumed tax, royalty and regulatory regimes;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and projections made in light of, and generally consistent with, our historical experience and our perception of historical industry trends; and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assumptions contained herein.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that the assumptions, risks and uncertainties referenced above, and in the other documents incorporated herein by reference,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third-party operating risks and other risk factors as described under the Risk Factors sections of this prospectus supplement, the accompanying prospectus and our previously filed Annual Report on Form 10-K for the fiscal year ended June 30, 2025 and our subsequent filings with the SEC, as well as the other disclosures contained herein, therein, and as also may be described from time to time in future reports we file with the SEC. There also may be other factors that we cannot anticipate or that are not described in this report, generally because we do not currently perceive them to be material. Such factors could cause results to differ materially from our expectations.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about us but does not contain all the information that may be important to you. This prospectus supplement and the accompanying prospectus include or incorporate by reference specific terms of the offering and information about our business and financial data. You should carefully read this entire prospectus supplement and the accompanying prospectus, including the matters set forth under the caption “Risk Factors,” beginning on page </w:t>
      </w:r>
      <w:hyperlink w:anchor="sRIFA">
        <w:r>
          <w:rPr>
            <w:rStyle w:val="InternetLink"/>
          </w:rPr>
          <w:t>S-5</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the information incorporated by reference into this prospectus supplement and the accompanying prospectus before making an investment decision.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estimates of our proved oil and natural gas reserves as of June 30, 2025 that are incorporated by reference into this prospectus supplement are derived from the reports of DeGolyer &amp; MacNaughton and Cawley, Gillespie &amp; Associates, Inc., our independent reservoir engineering firms.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independent energy company focused on maximizing returns to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 and other exploitation efforts on our oil and natural gas properties.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oil and natural gas properties consist of non-operated working and mineral interests in the following areas: the SCOOP and STACK plays of the Anadarko Basin located in central Oklahoma; the Chaveroo Field in Chaves and Roosevelt Counties of New Mexico; the Jonah 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carbon dioxide (CO₂) enhanced oil recovery project; the TexMex interests located in Lea, Eddy and Chaves Counties, New Mexico and Stephens County, Texas; and small overriding royalty and mineral interests in Texas and Louisiana.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Select Preliminary Fiscal Year 2026 Results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date of this prospectus supplement, we have not finalized our financial and operating results for the three months ended June 30, 2026 or the fiscal year ended June 30, 2026. Based on preliminary information currently available to management, we estimate that certain of our financial and operating results for these periods ranged approximately as set forth below. These preliminary estimated unaudited financial results are derived from our internal records, are inherently uncertain and remain subject to the completion of our financial closing and reporting processes, final adjustments and other developments that may arise before our results for these periods are finalized. The preliminary estimated unaudited financial results included below are forward-looking statements and may differ materially from actual results,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“Cautionary Statement Regarding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provided ranges, rather than specific amounts, because our normal reporting processes have not been completed. During the course of our review, we may identify items that would require adjustments to, and could materially affect, our final results. Accordingly, you should not place undue reliance on this preliminary data. See the sections titled “Risk Factors” and “Cautionary Statement Regarding Forward-Looking Statements” in this prospectus supplement and in the documents incorporated by reference for additional information regarding factors that could result in differences between the preliminary estimated ranges of our financial and other data presented below and the actual financial and other data we will report for such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estimates should not be viewed as a substitute for our full interim or annual financial statements prepared in accordance with generally accepted accounting principles in the United States (“GAAP”). In addition, these preliminary estimated unaudited financial results are for informational purposes only and are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 necessarily indicative of the results to be achieved as of any future date or for any future period. The estimates included in this prospectus supplement have been prepared by, and are the responsibility of, our management. Our independent registered public accounting firm, Baker Tilly US, LLP, has not audited, reviewed, examined, compiled, nor applied agreed-upon procedures with respect to this preliminary financial data. Accordingly, Baker Tilly US, LLP does not express an opinion or any other form of assurance with respect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fiscal year ended June 30, 2026, we expect: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average daily production of crude oil, natural gas and natural gas liquids to be between 6,800 BOEPD and 7,200 BOEPD;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lease operating expenses to be between $48 million and $52 million; and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total revenues to be between $84 million and $88 million.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cash and cash equivalents were $6.1 million; borrowings outstanding under our senior secured credit facility were $56.5 million; and net debt was $50.4 million.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Acquisition of Mineral and Royalty Interests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18, 2026, we entered into a purchase and sale agreement (the “Purchase Agreement”) with a non-affiliated private seller (the “Seller”), to acquire the Seller’s oil and natural gas mineral and royalty interests located in the Permian Basin (the “Acquired Assets”), for a total purchase price of approximately $16 million, subject to customary adjustments (the “Acquisition”). We expect the Acquisition to close in August 2026, subject to satisfaction of specified closing conditions. The effective date of the Acquisition is August 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information received from the Seller, we estimate that the current monthly production of the Acquired Assets is approximately 210 Boe/d (38% oil, 27% NGLs, and 35% natural gas) (on a 6:1 basis). In addition, we believe that the Acquired Assets will generate approximately $3.9 million of cash flow over the next twelve months based on estimated commodity prices of $75 per barrel of crude oil and $3.50 per mcf of natural gas, adjusted for field differentials. We further estimate that, as of August 1, 2026, the Acquired Assets consisted of approximately 3,420 net royalty acres (normalized to 1/8th) and 2,157 gross wells and locations (5.24 net) in the Permian Basin. The net royalty acres included 2,418 in Reagan County, 692 in Upton County, 214 in Glasscock County, 83 in Midland County and 13 in Martin County.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based on the information received from the Seller, that as of August 1, 2026, the Acquired Assets consisted of 832 gross producing wells, 34 gross drilled but uncompleted wells, seven gross completed wells, and 27 gross permitted locations. The Acquired Assets also consisted of an estimated 1,257 gross (2.64 net) upside locations. The upside locations are controlled by premier operators in the Permian Basin such as ExxonMobil, Diamondback, Apache, Crescent Energy, Permian Resources, ConocoPhillips, Occidental, Double Eagle, and SM Energy. As of August 11, 2026, there were seven active rigs drilling on the Acquired Assets’ acreage.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Reserve engineering is a complex and subjective process of estimating underground accumulations of oil and natural gas that cannot be measured in an exact way, and the accuracy of any reserve estimate is a function of the quality of available data and of engineering and geological interpretation and judgment. As a result, estimates prepared by one engineer may vary from those prepared by another.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assessment and estimates of the assets to be acquired in the Acquisition to date have been limited. Even when the Acquisition closes, our assessment of these assets may not reveal all existing or potential problems, nor will it permit us to become familiar enough with the properties to assess fully their capabilities and deficiencies.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“Risk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fund the purchase price of the Acquisition through a combination of cash on hand, borrowings under our revolving credit facility, and net proceeds from this offering.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“Use of Proceeds.” The closing of this offering is not conditioned upon the closing or the consummation of the Acquisition, and we cannot assure you that we will consummate the Acquisition on the terms described herein or at all.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“Risk Factors.”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Nevada corporation. Our principal executive offices are located at 1155 Dairy Ashford Road, Suite 425, Houston, Texas 77079. Our telephone number is (713) 935-0122. We maintain a website at www.evolutionpetroleum.com, which contains information about us. Our website and the information contained on it and connected to it is not incorporated by reference into this prospectus and does not otherwise constitute part of this prospectus. Our common stock is listed and traded on the NYSE American under the symbol “EPM.”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8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this offering. Certain of the terms and conditions described below are subject to important limitations and exceptions.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Evolution Petroleum Corporation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Being Offered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par value $0.001 per share.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Outstanding After This Offering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(or      shares of our common stock if the underwriters exercise their option to purchase additional shares in full).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 to Purchase Additional Shares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granted the underwriters an option to purchase up to          additional shares of our common stock. This option is exercisable, in whole or in part, for a period of 30 days from the date of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estimate that, after deducting underwriting discounts and commissions and estimated offering expenses payable by us, we will receive approximately $      million of net proceeds from this offering, or $      million if the underwriters exercise in full their option to purchase additional shares.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of this offering to (i) finance a portion of the purchase price for the Acquisition, together with borrowing under our senior secured reserve-based credit facility (the “Credit Facility”) and cash on hand, and (ii) for general corporate purposes, which may include the repayment of a portion of the outstanding borrowings under the Credit Facility. Pending the potential use of a portion of the net proceeds of this offering to fund a portion of the purchase price for the Acquisition, we may temporarily apply such portion of the net proceeds to repay outstanding borrowings under our Credit Facility. This offering is not conditioned on the consummation of the Acquisition.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NYSE American Symbol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EPM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An investment in our securities involves a high degree of risk. Before making an investment decision, investors should carefully consider the information set forth in the section of this prospectus supplement entitled “Risk Factors” beginning on page </w:t>
      </w:r>
      <w:hyperlink w:anchor="sRIFA">
        <w:r>
          <w:rPr>
            <w:rStyle w:val="InternetLink"/>
          </w:rPr>
          <w:t>S-5</w:t>
        </w:r>
      </w:hyperlink>
      <w:r>
        <w:rPr>
          <w:rFonts w:ascii="Times New Roman;Times;serif" w:hAnsi="Times New Roman;Times;serif"/>
          <w:b w:val="false"/>
          <w:i w:val="false"/>
          <w:caps w:val="false"/>
          <w:smallCaps w:val="false"/>
          <w:color w:val="000000"/>
          <w:spacing w:val="4"/>
          <w:sz w:val="20"/>
          <w:bdr w:val="single" w:sz="8" w:space="1" w:color="000000"/>
        </w:rPr>
        <w:t xml:space="preserve">, as well as the other risks and uncertainties described in the documents that we file with the SEC that are incorporated herein by reference.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Transfer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Continental Stock Transfer &amp; Trust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indicated, in this prospectus supplement, the number of shares of common stock to be outstanding after this offering is based on 35,949,843 shares issued and outstanding as of August 12, 2026. This number: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assumes no exercise by the underwriters of their option to purchase additional shares of our common stock; and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excludes (i) 2,061,776 shares of our common stock reserved for issuance under our Amended and Restated 2016 Equity Incentive Plan; and (ii) 140,479 shares of our common stock underlying outstanding unvested contingent performance share units.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our securities involves a high degree of risk. Before deciding whether to invest in our securities, you should consider carefully all the information we have included or incorporated by reference into this prospectus supplement and the accompanying prospectus and other information which may be incorporated by reference into this prospectus supplement and the accompanying prospectus as provided under “Incorporation by Reference.” In particular, you should consider the risk factors under the heading “Risk Factors” in our </w:t>
      </w:r>
      <w:hyperlink r:id="rId3">
        <w:r>
          <w:rPr>
            <w:rStyle w:val="InternetLink"/>
          </w:rPr>
          <w:t>Annual Report on Form 10-K for the year ended June 30, 2025</w:t>
        </w:r>
      </w:hyperlink>
      <w:r>
        <w:rPr>
          <w:rFonts w:ascii="Times New Roman;Times;serif" w:hAnsi="Times New Roman;Times;serif"/>
          <w:b w:val="false"/>
          <w:i/>
          <w:caps w:val="false"/>
          <w:smallCaps w:val="false"/>
          <w:color w:val="000000"/>
          <w:spacing w:val="4"/>
          <w:sz w:val="20"/>
        </w:rPr>
        <w:t xml:space="preserve">, which is incorporated by reference into this prospectus supplement and accompanying prospectus, as those risk factors are amended or supplemented by our subsequent filings with the SEC. This prospectus supplement also contains forward-looking statements that involve risks and uncertainties. See “Cautionary Statement Regarding Forward-Looking Statements.” Our actual results could differ materially from those anticipated in the forward-looking statements as a result of certain factors, including the risks described in the documents incorporated by reference into this prospectus supplement and the accompanying prospectus. There may be additional risks that we do not presently know of or that we currently believe are immaterial, which could also impair our business and financial position. If any of these risks occur, this could expose us to liability, and our business, prospects, financial condition or results of operations could be adversely affected. As a result,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and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discussion of risks related to our business and operations and our common stock, please see “Item 1A. Risk Factors” and “Item 7. Management’s Discussion and Analysis of Financial Condition and Results of Operations” in our </w:t>
      </w:r>
      <w:hyperlink r:id="rId4">
        <w:r>
          <w:rPr>
            <w:rStyle w:val="InternetLink"/>
          </w:rPr>
          <w:t>Annual Report on Form 10-K for our fiscal year ended June 30, 2025</w:t>
        </w:r>
      </w:hyperlink>
      <w:r>
        <w:rPr>
          <w:rFonts w:ascii="Times New Roman;Times;serif" w:hAnsi="Times New Roman;Times;serif"/>
          <w:b w:val="false"/>
          <w:i w:val="false"/>
          <w:caps w:val="false"/>
          <w:smallCaps w:val="false"/>
          <w:color w:val="000000"/>
          <w:spacing w:val="4"/>
          <w:sz w:val="20"/>
        </w:rPr>
        <w:t xml:space="preserve">, as well as similar disclosures contained in our subsequent filings with the SEC that are incorporated by reference into this prospectus supplement. </w:t>
      </w:r>
      <w:r>
        <w:rPr>
          <w:rFonts w:ascii="Times New Roman;Times;serif" w:hAnsi="Times New Roman;Times;serif"/>
          <w:b w:val="false"/>
          <w:i/>
          <w:caps w:val="false"/>
          <w:smallCaps w:val="false"/>
          <w:color w:val="000000"/>
          <w:spacing w:val="4"/>
          <w:sz w:val="20"/>
        </w:rPr>
        <w:t>See</w:t>
      </w:r>
      <w:r>
        <w:rPr>
          <w:rFonts w:ascii="Times New Roman;Times;serif" w:hAnsi="Times New Roman;Times;serif"/>
          <w:b w:val="false"/>
          <w:i w:val="false"/>
          <w:caps w:val="false"/>
          <w:smallCaps w:val="false"/>
          <w:color w:val="000000"/>
          <w:spacing w:val="4"/>
          <w:sz w:val="20"/>
        </w:rPr>
        <w:t xml:space="preserve"> “Incorporation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will have broad discretion as to the use of the proceeds from this offering, and may not use the proceeds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in the application of the net proceeds from this offering and could spend the proceeds in ways that may not improve our business, financial condition or results of operations or enhance the value of our common stock. Our failure to apply these funds effectively could have a material adverse effect on our business and cause the price of our common stock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Resales of our common stock in the public market following this offering may cause the trading price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Resales of a substantial number of shares of our common stock could depress the trading price of our common stock. This offering of new shares of our common stock could result in resales of our common stock by our current stockholders concerned about the potential dilution of their holdings. If our stockholders sell substantial amounts of our common stock in the public market following the offering contemplated by this prospectus supplement, the trading price of our common stock could fall.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stock price has been and may continue to be volatile.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variations in our results of operations;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fluctuations in the commodity prices of oil and natural gas;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conditions and trends in the oil and natural gas industry;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demands on institutional funds that hold our stock; and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political and market conditions.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 of dividends on our common stock has been in the past, and could be in the future, reduced or eliminated.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(the “Board”) declared cash dividends on our common stock for the first time in December 2013 and we have declared and paid quarterly cash dividends since that time. However, there is no certainty that dividends will be declared by our Board in the future. Any payment of cash dividends on our common stock in the future will be dependent upon the amount of funds legally available, our earnings, if any, our financial condition, our business plan, restrictions contained in current or future debt instruments, contractual covenants or arrangements we may enter into, our anticipated capital requirements, and other factors that our Board may think are relevant. Although it is our intent to maintain a steady dividend for our shareholders, there is no guarantee that we will be able to do so.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representative of the underwriters of this offering may waive or release parties to the lock-up agreements entered into in connection with this offering, which could adversely affect the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all of our directors and executive officers, have agreed or will agree to certain restrictions with respect to the sale or other disposition of our common stock (or securities exercisable or exchangeable therefor) for a period of 60 days following the date of this prospectus supplement. The representative of the underwriters, at any time and without notice, may release all or any portion of our common stock (or securities exercisable or exchangeable therefor) subject to the foregoing agreements. See the section entitled “Underwriting” for more information. If the restrictions are waived, then the common stock, subject to compliance with the Securities Act or exceptions therefrom, will be available for sale into the public markets, which could cause the market price of our common stock to decline and impair our ability to raise capital. Sales of a substantial number of shares upon expiration of the lock-up agreements, the perception that such sales may occur, or early release of these agreements, could cause our market price to fall or make it more difficult for you to sell your shares of common stock at a time and price that you deem appropriate.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shares of our common stock in this offering will be dilutive to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of      shares of our common stock in this offering (or      shares if the underwriters exercise their option to purchase additional shares in full) will dilute the ownership interests and voting power of our stockholders. As a result of this offering, our stockholders would experience immediate dilution. This dilution of ownership could, among other things, reduce existing stockholders’ influence over matters submitted to a vote of stockholders, including the election of directors and the approval of significant corporate transactions. In addition, the increase in the number of shares of our common stock outstanding as a result of this offering could have an adverse effect on the market price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our shares or other securities in the future could have rights superior to existing shareholders. The price per share at which we sell additional shares of our common stock or other securities convertible or exchangeable for our common stock in future transactions may be higher or lower than the price per share in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Acquisition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consummate the Acquisition, and this offering is not conditioned on the consummation of the Acquisition.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not conditioned upon the consummation of the Acquisition. In addition, the consummation of the Acquisition is not conditioned upon the successful completion of this offering. The Acquisition is subject to the satisfaction or waiver of customary closing conditions, and we cannot assure you that the Acquisition will be consummated in the anticipated time frame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Acquisition is subject to specified closing conditions and to the right of one or both of the parties to terminate the transaction. If one or more of the closing conditions are not satisfied,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may not be completed. Some of these conditions are beyond our control, and we may elect not to take actions necessary to satisfy these conditions or to ensure that the transaction is not otherwise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Because this offering is not conditioned upon the consummation of the Acquisition, upon the closing of this offering, you will become a holder of our common stock regardless of whether the Acquisition is consummated, delayed or terminated. If the Acquisition is delayed, terminated or consummated on terms different than those described herein, the market price of our common stock may decline to the extent that the price of our common stock reflects a market assumption that the Acquisition will be consummated on the terms described herein or at all. Further, a failed transaction may result in negative publicity or a negative impression of us in the investment community and may affect our relationships with our business partners. </w:t>
      </w:r>
      <w:r>
        <w:rPr>
          <w:rFonts w:ascii="Times New Roman;Times;serif" w:hAnsi="Times New Roman;Times;serif"/>
          <w:b w:val="false"/>
          <w:i/>
          <w:caps w:val="false"/>
          <w:smallCaps w:val="false"/>
          <w:color w:val="000000"/>
          <w:spacing w:val="4"/>
          <w:sz w:val="20"/>
        </w:rPr>
        <w:t>See</w:t>
      </w:r>
      <w:r>
        <w:rPr>
          <w:rFonts w:ascii="Times New Roman;Times;serif" w:hAnsi="Times New Roman;Times;serif"/>
          <w:b w:val="false"/>
          <w:i w:val="false"/>
          <w:caps w:val="false"/>
          <w:smallCaps w:val="false"/>
          <w:color w:val="000000"/>
          <w:spacing w:val="4"/>
          <w:sz w:val="20"/>
        </w:rPr>
        <w:t xml:space="preserve"> “Summary — Recent Developments — Acquisition of Mineral and Royalty Interests” for more information regarding the Acquisition.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achieve the expected benefits of the Acquisition and our assessment and estimates of the assets to be acquired in the Acquisition may prove to be incorrect.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consummate the Acquisition, we may not be able to achieve the expected benefits of the Acquisition. There can be no assurance that the Acquisition will be beneficial to us. We may not be able to integrate the assets acquired in the Acquisition without increases in costs or other difficulties. Any unexpected costs or delays incurred in connection with the integration of the Acquisition could have an adverse effect on our business, results of operations, financial condition and prospects, as well as the market price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assessment and estimates of the assets to be acquired in the Acquisition to date have been limited and may prove to be incorrect. Even by the time of closing, our assessment of these assets may not reveal all existing or potential problems. We may be required to assume the risk that the assets may not perform in accordance with our expectations. Our ability to make specified claims against the seller generally expires over time and we may be left with no recourse for liabilities and other problems associated with the Acquisition that we do not discover prior to the expiration date related to such matters under the purchase agreement with the seller.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may decline as a result of the Acquisition if, among other things, the integration of the assets to be acquired in the Acquisition is unsuccessful or if transaction costs related to the Acquisition are greater than expected. The market price of our common stock may decline if we do not achieve the perceived benefits of the Acquisition as rapidly or to the extent anticipated by us or by securities market participants or if the effect of the Acquisition on our business, results of operations or financial condition or prospects is not consistent with our expectations or those of securities market participants.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acquisitions we complete, including the Acquisition, are subject to substantial risks that could reduce our ability to pay dividends to our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do make acquisitions that we believe will increase the amount of cash available to pay dividends to our stockholders, these acquisitions, including the Acquisition, may nevertheless result in a decrease in the amount of cash available to pay dividends. Any acquisition, including the Acquisition, involves potential risks, including,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our assumptions about estimated proved reserves, future production, drilling locations, prices, revenues, capital expenditures and production costs;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assumption of unknown liabilities, losses or costs for which we are not indemnified or for which any indemnity we receive is inadequate;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obtain satisfactory title to the assets we acquire; and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occurrence of other significant changes, such as impairment of oil and natural gas properties, goodwill or other intangible assets, asset devaluation or restructuring charges.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after deducting underwriting discounts and commissions and estimated offering expenses payable by us, there will be approximately $      million of net proceeds from this offering, or $      million if the underwriters exercise in full their option to purchase additional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of this offering to (i) finance a portion of the purchase price for the Acquisition, together with borrowing under our Credit Facility and cash on hand, and (ii) for general corporate purposes, which may include the repayment of a portion of the outstanding borrowings under the Credit Facility. Pending the potential use of a portion of the net proceeds of this offering to fund a portion of the purchase price for the Acquisition, we may temporarily apply such portion of the net proceeds to repay outstanding borrowings under our Credit Facility. This offering is not conditioned on the consummation of the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$56.5 million in borrowings outstanding under our Credit Facility and $0.8 million in letters of credit outstanding, with an annual weighted average interest rate of 6.69% for the year ended June 30, 2026. Our Credit Facility matures on June 30, 2028.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unaudited cash and cash equivalents and capitalization as of March 31, 2026 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actual basis;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adjusted basis to give effect to this offering, assuming no exercise by the underwriters of their over-allotment option, after deducting estimated underwriting discounts and commissions and estimated offering expenses payable by us; and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adjusted basis to give effect to the consummation of the Acquisition, assuming a portion of the consideration is paid through a combination of borrowings under our Credit Facility and cash on hand. See “Use of Proceeds.”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the following table in conjunction with “Use of Proceeds,” included elsewhere in this prospectus supplement and our consolidated financial statements and related notes included in our </w:t>
      </w:r>
      <w:hyperlink r:id="rId5">
        <w:r>
          <w:rPr>
            <w:rStyle w:val="InternetLink"/>
          </w:rPr>
          <w:t>Annual Report on Form 10-K for the year ended June 30, 2025</w:t>
        </w:r>
      </w:hyperlink>
      <w:r>
        <w:rPr>
          <w:rFonts w:ascii="Times New Roman;Times;serif" w:hAnsi="Times New Roman;Times;serif"/>
          <w:b w:val="false"/>
          <w:i w:val="false"/>
          <w:caps w:val="false"/>
          <w:smallCaps w:val="false"/>
          <w:color w:val="000000"/>
          <w:spacing w:val="4"/>
          <w:sz w:val="20"/>
        </w:rPr>
        <w:t xml:space="preserve"> and our </w:t>
      </w:r>
      <w:hyperlink r:id="rId6">
        <w:r>
          <w:rPr>
            <w:rStyle w:val="InternetLink"/>
          </w:rPr>
          <w:t>Quarterly Reports on Form 10-Q for the three months ended March 31, 2026</w:t>
        </w:r>
      </w:hyperlink>
      <w:r>
        <w:rPr>
          <w:rFonts w:ascii="Times New Roman;Times;serif" w:hAnsi="Times New Roman;Times;serif"/>
          <w:b w:val="false"/>
          <w:i w:val="false"/>
          <w:caps w:val="false"/>
          <w:smallCaps w:val="false"/>
          <w:color w:val="000000"/>
          <w:spacing w:val="4"/>
          <w:sz w:val="20"/>
        </w:rPr>
        <w:t xml:space="preserve"> as incorporated by reference herein. </w:t>
      </w:r>
    </w:p>
    <w:tbl>
      <w:tblPr>
        <w:tblW w:w="8812" w:type="dxa"/>
        <w:jc w:val="left"/>
        <w:tblInd w:w="1393" w:type="dxa"/>
        <w:tblLayout w:type="fixed"/>
        <w:tblCellMar>
          <w:top w:w="0" w:type="dxa"/>
          <w:left w:w="0" w:type="dxa"/>
          <w:bottom w:w="28" w:type="dxa"/>
          <w:right w:w="0" w:type="dxa"/>
        </w:tblCellMar>
      </w:tblPr>
      <w:tblGrid>
        <w:gridCol w:w="4712"/>
        <w:gridCol w:w="109"/>
        <w:gridCol w:w="109"/>
        <w:gridCol w:w="109"/>
        <w:gridCol w:w="226"/>
        <w:gridCol w:w="886"/>
        <w:gridCol w:w="109"/>
        <w:gridCol w:w="109"/>
        <w:gridCol w:w="109"/>
        <w:gridCol w:w="109"/>
        <w:gridCol w:w="226"/>
        <w:gridCol w:w="536"/>
        <w:gridCol w:w="109"/>
        <w:gridCol w:w="109"/>
        <w:gridCol w:w="109"/>
        <w:gridCol w:w="109"/>
        <w:gridCol w:w="226"/>
        <w:gridCol w:w="536"/>
        <w:gridCol w:w="109"/>
        <w:gridCol w:w="156"/>
      </w:tblGrid>
      <w:tr>
        <w:trPr/>
        <w:tc>
          <w:tcPr>
            <w:tcW w:w="47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26" w:type="dxa"/>
            <w:gridSpan w:val="16"/>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As of March 31, 2026</w:t>
            </w:r>
            <w:r>
              <w:rPr>
                <w:spacing w:val="-2"/>
                <w:sz w:val="10"/>
              </w:rPr>
              <w:t>(4)</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7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As adjusted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As further</w:t>
            </w:r>
            <w:r>
              <w:rPr/>
              <w:t xml:space="preserve"> </w:t>
              <w:br/>
            </w:r>
            <w:r>
              <w:rPr>
                <w:spacing w:val="-3"/>
              </w:rPr>
              <w:t xml:space="preserve">adjusted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26" w:type="dxa"/>
            <w:gridSpan w:val="16"/>
            <w:tcBorders/>
            <w:tcMar>
              <w:bottom w:w="0" w:type="dxa"/>
            </w:tcMar>
            <w:vAlign w:val="center"/>
          </w:tcPr>
          <w:p>
            <w:pPr>
              <w:pStyle w:val="TableContents"/>
              <w:bidi w:val="0"/>
              <w:spacing w:before="0" w:after="0"/>
              <w:jc w:val="center"/>
              <w:rPr/>
            </w:pPr>
            <w:r>
              <w:rPr>
                <w:spacing w:val="-3"/>
              </w:rPr>
              <w:t>(in thousands, except share</w:t>
            </w:r>
            <w:r>
              <w:rPr/>
              <w:t xml:space="preserve"> </w:t>
              <w:br/>
            </w:r>
            <w:r>
              <w:rPr>
                <w:spacing w:val="-3"/>
              </w:rPr>
              <w:t xml:space="preserve">and per share amounts) </w:t>
            </w:r>
          </w:p>
        </w:tc>
        <w:tc>
          <w:tcPr>
            <w:tcW w:w="156" w:type="dxa"/>
            <w:tcBorders/>
            <w:tcMar>
              <w:bottom w:w="0" w:type="dxa"/>
            </w:tcMar>
            <w:vAlign w:val="center"/>
          </w:tcPr>
          <w:p>
            <w:pPr>
              <w:pStyle w:val="TableContents"/>
              <w:bidi w:val="0"/>
              <w:spacing w:before="0" w:after="283"/>
              <w:jc w:val="left"/>
              <w:rPr/>
            </w:pPr>
            <w:r>
              <w:rPr/>
              <w:t>​</w:t>
            </w:r>
          </w:p>
        </w:tc>
      </w:tr>
      <w:tr>
        <w:trPr/>
        <w:tc>
          <w:tcPr>
            <w:tcW w:w="4712" w:type="dxa"/>
            <w:tcBorders/>
            <w:shd w:fill="CCEEFF" w:val="clear"/>
            <w:tcMar>
              <w:bottom w:w="0" w:type="dxa"/>
            </w:tcMar>
            <w:vAlign w:val="center"/>
          </w:tcPr>
          <w:p>
            <w:pPr>
              <w:pStyle w:val="TableContents"/>
              <w:bidi w:val="0"/>
              <w:spacing w:lineRule="atLeast" w:line="142" w:before="0" w:after="0"/>
              <w:jc w:val="left"/>
              <w:rPr/>
            </w:pPr>
            <w:r>
              <w:rPr>
                <w:spacing w:val="4"/>
              </w:rPr>
              <w:t>Cash and cash equivalents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2,616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3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3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712" w:type="dxa"/>
            <w:tcBorders/>
            <w:tcMar>
              <w:bottom w:w="0" w:type="dxa"/>
            </w:tcMar>
            <w:vAlign w:val="center"/>
          </w:tcPr>
          <w:p>
            <w:pPr>
              <w:pStyle w:val="TableContents"/>
              <w:bidi w:val="0"/>
              <w:spacing w:before="0" w:after="283"/>
              <w:jc w:val="left"/>
              <w:rPr/>
            </w:pPr>
            <w:r>
              <w:rPr>
                <w:spacing w:val="4"/>
              </w:rPr>
              <w:t>Long-term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712"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4"/>
              </w:rPr>
              <w:t>Credit Facility</w:t>
            </w:r>
            <w:r>
              <w:rPr>
                <w:spacing w:val="3"/>
                <w:sz w:val="13"/>
              </w:rPr>
              <w:t>(2)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56,500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712"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long-term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712" w:type="dxa"/>
            <w:tcBorders/>
            <w:shd w:fill="CCEEFF" w:val="clear"/>
            <w:tcMar>
              <w:bottom w:w="0" w:type="dxa"/>
            </w:tcMar>
            <w:vAlign w:val="center"/>
          </w:tcPr>
          <w:p>
            <w:pPr>
              <w:pStyle w:val="TableContents"/>
              <w:bidi w:val="0"/>
              <w:spacing w:before="0" w:after="283"/>
              <w:jc w:val="left"/>
              <w:rPr>
                <w:spacing w:val="4"/>
              </w:rPr>
            </w:pPr>
            <w:r>
              <w:rPr>
                <w:spacing w:val="4"/>
              </w:rPr>
              <w:t xml:space="preserve">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712" w:type="dxa"/>
            <w:tcBorders/>
            <w:tcMar>
              <w:bottom w:w="0" w:type="dxa"/>
            </w:tcMar>
            <w:vAlign w:val="center"/>
          </w:tcPr>
          <w:p>
            <w:pPr>
              <w:pStyle w:val="TableContents"/>
              <w:bidi w:val="0"/>
              <w:spacing w:before="0" w:after="0"/>
              <w:ind w:left="200" w:right="0" w:hanging="200"/>
              <w:jc w:val="left"/>
              <w:rPr/>
            </w:pPr>
            <w:r>
              <w:rPr>
                <w:spacing w:val="4"/>
              </w:rPr>
              <w:t>Common Stock, par value $0.001 per share, 100,000,000 shares authorized; 35,821,410 shares issued and outstanding (actual);</w:t>
            </w:r>
            <w:r>
              <w:rPr/>
              <w:t xml:space="preserve"> </w:t>
              <w:br/>
            </w:r>
            <w:r>
              <w:rPr>
                <w:spacing w:val="4"/>
              </w:rPr>
              <w:t>         shares issued and outstanding, (as adjusted), respectively</w:t>
            </w:r>
            <w:r>
              <w:rPr>
                <w:spacing w:val="3"/>
                <w:szCs w:val="13"/>
              </w:rPr>
              <w: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71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71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5,473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3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3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71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58,408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712"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114,908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536"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53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cash and cash equivalents were $6.1 million.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had $56.5 million outstanding borrowings and $0.8 million in letters of credit outstanding resulting in $7.7 million of available borrowing capacity remaining under our Credit Facility. As of June 30, 2026, we had approximately $56.5 million in borrowings outstanding under our Credit Facility, with $0.8 million in letters of credit outstanding and net debt was $50.4 million. </w:t>
      </w:r>
      <w:r>
        <mc:AlternateContent>
          <mc:Choice Requires="wps">
            <w:drawing>
              <wp:anchor behindDoc="0" distT="508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June 30, 2026, 35,949,843 shares of common stock were issued and outstanding. The as adjusted number assumes no exercise by the underwriters of their option to purchase additional shares of our common stock; and excludes (i) 2,061,776 shares of our common stock reserved for issuance under our Amended and Restated 2016 Equity Incentive Plan; and (ii) 140,479 shares of our common stock underlying outstanding unvested contingent performance share units.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does not reflect the ranges of estimates as of June 30, 2026 included under “Prospectus Summary — Recent Developments — Select Preliminary Fiscal Year 2026 Results”. </w:t>
      </w:r>
      <w:r>
        <mc:AlternateContent>
          <mc:Choice Requires="wps">
            <w:drawing>
              <wp:anchor behindDoc="0" distT="508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MUF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considerations related to the ownership and disposition of our common stock by U.S. holders and non-U.S. holders, each as defined below, acquired pursuant to this offering. This discussion assumes that a holder will hold our common stock issued pursuant to this offering as capital assets within the meaning of Section 1221 of the Internal Revenue Code (the “Code”) (generally, property held for investment purposes). This summary does not address all aspects of U.S. federal income taxation that may be relevant to a particular investor in light of the investor’s individual circumstances, and does not purport to be a complete analysis of all the potential tax considerations relating thereto. In addition, this discussion does not address (1) other U.S. federal tax laws, such as estate and gift tax laws, (2) state, local, or non-U.S. tax consequences, (3) the special tax rules that may apply to certain investors, including, without limitation, banks, insurance companies, financial institutions, controlled foreign corporations, passive foreign investment companies, brokers, dealers or traders in securities, grantor trusts, personal holding companies, taxpayers who have elected mark-to-market accounting, tax-exempt entities, regulated investment companies, real estate investment trusts, entities or arrangements classified as partnerships for U.S. federal income tax purposes or other pass-through entities (or investors in such entities or arrangements), pension plans, U.S. holders having a “functional currency” other than the U.S. dollar, corporations that accumulate earnings to avoid U.S. federal income tax, taxpayers required to accelerate the recognition of any item of gross income as a result of such income being reported on an applicable financial statement, taxpayers subject to the base erosion and anti-abuse tax, or U.S. expatriates and former long-term residents of the United States, (4) the special tax rules that may apply to investors that acquire, hold, or dispose of our common stock as part of a straddle, hedge, constructive sale, conversion, or other integrated or risk reduction transaction, or (5) the impact, if any, of the alternative minimum tax or the Medicare tax imposed on net investment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on current provisions of the Code, applicable U.S. Department of the Treasury (“Treasury”) regulations promulgated thereunder, judicial opinions, and published rulings of the Internal Revenue Service (the “IRS”), all as in effect on the date of this prospectus supplement and all of which are subject to differing interpretations or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treatment of a partnership (or any other entity or arrangement treated as a partnership for U.S. federal income tax purposes) and each partner thereof will generally depend upon the status and activities of the partnership and such partner. A holder that is treated as a partnership for U.S. federal income tax purposes or a partner in such partnership should consult its own tax advisor regarding the U.S. federal income tax consequences applicable to it and its partners of the ownership and disposition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ONLY A SUMMARY OF THE MATERIAL U.S. FEDERAL INCOME TAX CONSIDERATIONS RELATED TO THE OWNERSHIP AND DISPOSITION OF OUR COMMON STOCK BY U.S. HOLDERS AND NON-U.S. HOLDERS. IT IS NOT TAX ADVICE. EACH PROSPECTIVE INVESTOR SHOULD CONSULT ITS OWN TAX ADVISOR WITH RESPECT TO THE PARTICULAR TAX CONSEQUENCES OF THE OWNERSHIP AND DISPOSITION OF OUR COMMON STOCK, INCLUDING THE APPLICABILITY AND EFFECT OF ANY STATE, LOCAL, AND NON-U.S. TAX LAWS, AS WELL AS U.S. FEDERAL ESTATE AND GIFT TAX LAWS, AND ANY APPLICABLE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any beneficial owner of our common stock that, for U.S. federal income tax purposes, is treated as any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pay distributions in cash or other property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with the tax consequences described under “— Sale or Other Taxable Disposition”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we pay to a U.S. holder that is a taxable corporation generally will qualify for the dividends received deduction if the requisite holding period is satisfied. With certain exceptions, and provided certain holding period requirements are met, dividends we pay to a non-corporate U.S. holder generally will constitute “qualified dividends” that will be subject to tax at the rate accorded to long-term capital gains.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sale or other taxable disposition of our common stock, a U.S. holder generally will recognize capital gain or loss. Any such capital gain or loss generally will be long-term capital gain or loss if the U.S. holder’s holding period for the common stock so disposed of exceeds one year. Long-term capital gains recognized by non-corporate U.S. holders will be eligible to be taxed at reduced rates relative to tax rates for short-term gains and other types of income.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amount of gain or loss recognized by a U.S. holder is an amount equal to the difference between (1) the sum of the amount of cash and the fair market value of any property received in such disposition and (2) the U.S. holder’s adjusted tax basis in its common stock so disposed of. A U.S. holder’s adjusted tax basis in its common stock generally will equal the U.S. holder’s initial basis less any prior distributions treated as a return of capital. A U.S. holder’s initial basis in its common stock received pursuant to this offering will generally equal the U.S. holder’s acquisition cost.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information reporting requirements may apply to dividends paid to a U.S. holder and to the proceeds of the sale or other disposition of our common stock, unless the U.S. holder is an exempt recipient. Backup withholding may apply to such payments if the U.S. holder fails to provide a taxpayer identification number or a certification of exempt status or has been notified by the IRS that it is subject to backup withholding (and such notification has not been withdrawn).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amounts withheld under the backup withholding rules will be allowed as a refund or a credit against a 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any beneficial owner of our common stock that is neither a “U.S. person” nor an entity treated as a partnership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pay cash or distribute property to holders of shares of common stock, such distributions generally will constitute dividends for U.S. federal income tax purposes to the extent paid from our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accumulated earnings and profits, as determined under U.S. federal income tax principles. Distributions in excess of current and accumulated earnings and profits will constitute a return of capital that will be applied against and reduce (but not below zero) the non-U.S. holder’s adjusted tax basis in our common stock. Any remaining excess will be treated as gain from the sale or exchange of the common stock and will be treated as described under “Sale or Other Taxable Disposition”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summary below regarding backup withholding and FATCA (as defined below), which is discussed below, dividends paid to a non-U.S. holder that are not effectively connected with the non-U.S. holder’s conduct of a trade or business in the United States generally will be subject to withholding of U.S. federal income tax at a rate of 30% of the gross amount of the dividend or such lower rate as may be specified by an applicable income tax treaty. A non-U.S. holder that wishes to claim the benefit of an applicable tax treaty withholding rate generally will be required to (1) duly complete and execute an IRS Form W-8BEN or an IRS Form W-8BEN-E (or any successor form of the foregoing) and certify under penalties of perjury that such holder is not a U.S. person and is eligible for the benefits of the applicable tax treaty or (2) if our common stock is held through certain foreign intermediaries, satisfy the relevant certification requirements of applicable Treasury regulations. These forms may need to be periodically updated.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eligible for a reduced rate of withholding of U.S. federal income tax pursuant to an income tax treaty may be able to obtain a refund of any excess amounts withheld by timely filing an appropriate claim for refund with the IRS. Non-U.S. holders should consult their own tax advisors regarding their entitlement to benefits under an applicable income tax treaty and the manner of claiming the benefits of such treaty (including, without limitation, the need to obtain a U.S. taxpayer identification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that are effectively connected with a non-U.S. holder’s conduct of a trade or business in the United States (and, if required by an applicable income tax treaty, attributable to a permanent establishment or fixed base maintained by the non-U.S. holder in the United States) generally are subject to U.S. federal income tax on a net income basis at the U.S. federal income tax rates generally applicable to a U.S. person and are not subject to withholding of U.S. federal income tax, provided that the non-U.S. holder establishes an exemption from such withholding by complying with certain certification and disclosure requirements (generally by providing a duly completed and executed IRS Form W-8ECI (or any successor form thereof)). Any such effectively connected dividends (and, if required, dividends attributable to a U.S. permanent establishment or fixed base) received by a non-U.S. holder that is treated as a foreign corporation for U.S. federal income tax purposes may be subject to an additional branch profits tax at a 30% rate, or such lower rate as may be specified by an applicable income tax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summary below regarding backup withholding and FATCA, any gain recognized by a non-U.S. holder on a sale or other taxable disposition of our common stock generally will not be subject to U.S. federal income tax, unless: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of the non-U.S. holder in the United States (and, if required by an applicable income tax treaty, is attributable to a U.S. permanent establishment or fixed base of the non-U.S. holder), </w:t>
      </w:r>
      <w:r>
        <mc:AlternateContent>
          <mc:Choice Requires="wps">
            <w:drawing>
              <wp:anchor behindDoc="0" distT="9906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a period or periods aggregating 183 days or more in the taxable year of that disposition, and certain other conditions are met, or </w:t>
      </w:r>
      <w:r>
        <mc:AlternateContent>
          <mc:Choice Requires="wps">
            <w:drawing>
              <wp:anchor behindDoc="0" distT="9906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have been a United States real property holding corporation (a “USRPHC”) for U.S. federal income tax purposes at any time during the shorter of the five-year period ending on the date of disposition or the period that the non-U.S. holder held the common stock. </w:t>
      </w:r>
      <w:r>
        <mc:AlternateContent>
          <mc:Choice Requires="wps">
            <w:drawing>
              <wp:anchor behindDoc="0" distT="9906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recognized by a non-U.S. holder that is described in clause (1) above generally will be subject to U.S. federal income tax at the income tax rates generally applicable to a U.S. person, and such non-U.S. holder will be required to file a U.S. federal income tax return. Any gain of a non-U.S. holder that is treated as a foreign corporation for U.S. federal income tax purposes that is described in clause (1) above may also be subject to an additional branch profits tax at a 30% rate, or such lower rate as may be specified by an applicable income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non-U.S. holder that is described in clause (2) above generally will be subject to a flat 30% tax (or a lower applicable tax treaty rate) on the U.S. source capital gain derived from the disposition, which may be offset by U.S. source capital losses during the taxable year of the disposition.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clause (3) above, a U.S. corporation generally is a USRPHC if the fair market value of its U.S. real property interests equals or exceeds 50% of the sum of the fair market value of its worldwide real property interests plus its other assets used or held for use in a trade or business. Based on the nature of our business and the assets that we own, we expect that we currently are a USRPHC. Assuming we are a USRPHC, subject to the next sentence, a non-U.S. holder generally will be taxed on gain recognized on the sale, exchange or other taxable disposition of our common stock in the same manner as if such non-U.S. holder were a United States person and a 15% withholding tax may apply to the gross proceeds from the sale, exchange or other taxable disposition of our common stock (including a redemption treated as a sale or exchange for U.S. federal income tax purposes or a distribution treated as a return of capital, as described under “— Distributions on Common Stock” above). A non-U.S. holder generally will not be subject to U.S. net federal income tax as a result of our being a USRPHC upon the disposition of our common stock as long as our common stock is regularly traded and such non-U.S. holder holds 5% or less of our common stock throughout the shorter of the five-year period ending on the date of the sale or other taxable disposition or the non-U.S. holder’s holding period. Our common stock is currently listed on the NYSE American and, although no assurance can be given, we expect that, for as long as our common stock continues to be so listed, the common stock will be treated as “regularly traded on an established securities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are urged to consult their own tax advisors regarding the potential applicability of these rules, as well as any income tax treaty in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must report annually to the IRS and to each non-U.S. holder of our common stock the amount of dividends paid to such holder on our common stock, the tax, if any, withheld with respect to those dividends, and such holder’s name and address. Copies of the information returns reporting those dividends and withholding taxes may also be made available to the tax authorities in the country in which the non-U.S. holder is a resident under the provisions of an applicable income tax treaty or agreement. Information reporting also is generally required with respect to the proceeds from sales and other dispositions of our common stock to or through the U.S. office (and, in certain cases, the foreign office) of a broker, unless the non-U.S. holder establishes that it is not a U.S.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some circumstances, Treasury regulations require backup withholding of U.S. federal income tax on reportable payments with respect to our common stock. A non-U.S. holder generally may eliminate the requirement for backup withholding by providing certification of its foreign status, under penalties of perjury, on a duly completed and executed IRS Form W-8BEN, IRS Form W-8BEN-E, or other applicable IRS Form W-8 (or any successor form of the foregoing) or by otherwise establishing an exemption. Notwithstanding the foregoing, backup withholding and information reporting may apply if either we or our paying agent has actual knowledge, or reason to know, that a holder is a U.S. person. Backup withholding is not an additional tax. Rather, the amount of any backup withholding will be allowed as a credit against a non-U.S. holder’s U.S. federal income tax liability, if any, and may entitle such non-U.S. holder to a refund, provided that certain required information is timely furnished to the IRS. Non-U.S. holders are urged to consult their own tax advisors regarding the application of backup withholding and the availability of and procedure for obtaining an exemption from backup withholding in their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Treasury regulations thereunder, commonly referred to as “FATCA,” generally impose a U.S. federal withholding tax of 30% on certain types of payments, including payments of U.S.-source dividends such as dividends, if any, paid on our common stock made to (1) “foreign financial institutions” ​(including, in some cases, when such foreign financial institution is acting as an intermediary) unless they agree to collect and disclose to the IRS information regarding their direct and indirect U.S. account holders and (2) certain non-financial foreign entities (including, in some cases, when such non-financial foreign entity is acting as an intermediary) unless they certify certain information regarding their direct and indirect U.S. owners. The IRS has issued proposed regulations (on which taxpayers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rely until final regulations are issued) that would generally not apply these withholding requirements to gross proceeds from the disposition of assets such as our common stock.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pay any additional amounts to non-U.S. holders in respect of any amounts withheld, including pursuant to FATCA. Under certain circumstances, a non-U.S. holder may be eligible for refunds or credits of such taxes. Non-U.S. holders are urged to consult with their own tax advisors regarding the effect, if any, of the FATCA provisions on them based on their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INVESTORS CONSIDERING THE PURCHASE OF OUR COMMON STOCK ARE URGED TO CONSULT THEIR OWN TAX ADVISORS REGARDING THE APPLICATION OF THE U.S. FEDERAL INCOME TAX LAWS TO THEIR PARTICULAR SITUATIONS AND THE APPLICABILITY AND EFFECT OF U.S. FEDERAL ESTATE AND GIFT TAX LAWS AND ANY STATE, LOCAL OR NON-U.S. TAX LAWS AND TAX TREATIES.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N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underwriting agreement with Roth Capital Partners, LLC, acting as the representative of the several underwriters named below with respect to the shares of common stock subject to this offering. Subject to the terms and conditions of the underwriting agreement, we have agreed to sell to the underwriters, and the underwriters have severally agreed to purchase from us, the number of shares of our common stock provided below opposite their respective names. Our common stock trades on the NYSE American. </w:t>
      </w:r>
    </w:p>
    <w:tbl>
      <w:tblPr>
        <w:tblW w:w="4422" w:type="dxa"/>
        <w:jc w:val="left"/>
        <w:tblInd w:w="1393" w:type="dxa"/>
        <w:tblLayout w:type="fixed"/>
        <w:tblCellMar>
          <w:top w:w="0" w:type="dxa"/>
          <w:left w:w="0" w:type="dxa"/>
          <w:bottom w:w="43" w:type="dxa"/>
          <w:right w:w="0" w:type="dxa"/>
        </w:tblCellMar>
      </w:tblPr>
      <w:tblGrid>
        <w:gridCol w:w="2867"/>
        <w:gridCol w:w="109"/>
        <w:gridCol w:w="109"/>
        <w:gridCol w:w="1183"/>
        <w:gridCol w:w="154"/>
      </w:tblGrid>
      <w:tr>
        <w:trPr/>
        <w:tc>
          <w:tcPr>
            <w:tcW w:w="2867"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67" w:type="dxa"/>
            <w:tcBorders/>
            <w:shd w:fill="CCEEFF" w:val="clear"/>
            <w:tcMar>
              <w:bottom w:w="0" w:type="dxa"/>
            </w:tcMar>
            <w:vAlign w:val="center"/>
          </w:tcPr>
          <w:p>
            <w:pPr>
              <w:pStyle w:val="TableContents"/>
              <w:bidi w:val="0"/>
              <w:spacing w:before="0" w:after="283"/>
              <w:jc w:val="left"/>
              <w:rPr/>
            </w:pPr>
            <w:r>
              <w:rPr>
                <w:spacing w:val="4"/>
              </w:rPr>
              <w:t>Roth Capital Partners,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3" w:type="dxa"/>
            <w:tcBorders/>
            <w:shd w:fill="CCEEFF" w:val="clear"/>
            <w:tcMar>
              <w:bottom w:w="0" w:type="dxa"/>
            </w:tcMar>
            <w:vAlign w:val="center"/>
          </w:tcPr>
          <w:p>
            <w:pPr>
              <w:pStyle w:val="TableContents"/>
              <w:bidi w:val="0"/>
              <w:spacing w:before="0" w:after="0"/>
              <w:jc w:val="center"/>
              <w:rPr/>
            </w:pPr>
            <w:r>
              <w:rPr>
                <w:spacing w:val="4"/>
              </w:rPr>
              <w:t>      </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7" w:type="dxa"/>
            <w:tcBorders/>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3" w:type="dxa"/>
            <w:tcBorders>
              <w:bottom w:val="double" w:sz="8" w:space="0" w:color="000000"/>
            </w:tcBorders>
            <w:tcMar>
              <w:bottom w:w="5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 of the underwriters to purchase the shares of common stock offered by this prospectus supplement and the accompanying base prospectus is subject to certain conditions. The underwriters are obligated to purchase all of the shares of common stock offered hereby if any of the shares are purchased. However, the underwriters are not required to take or pay for the shares of common stock covered by the underwriters’ over-allotment option described below. The underwriters expect to deliver the shares of common stock to purchasers on or about August   , 2026, subject to the satisfaction of customary closing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the underwriters an option to buy up to an additional        shares of common stock from us at the public offering price, less the underwriting discounts and commissions, to cover over-allotments, if any. The underwriters may exercise this option at any time, in whole or in part, during the 30-day period after the date of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Discounts, Commissions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the shares of common stock purchased pursuant to the underwriting agreement to the public at the public offering price set forth on the cover page of this prospectus supplement and to certain dealers at that price less a concession not in excess of $      per share of common stock. After this offering, the public offering price, concession and reallowance to dealers may be changed by the underwriters. No such change shall change the amount of proceeds to be received by us as set forth on the cover page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and commissions payable to the underwriters by us in connection with this offering (assuming both the exercise and non-exercise of the over-allotment option to purchase additional shares of common stock we have granted to the underwriters): </w:t>
      </w:r>
    </w:p>
    <w:tbl>
      <w:tblPr>
        <w:tblW w:w="8812" w:type="dxa"/>
        <w:jc w:val="left"/>
        <w:tblInd w:w="1393" w:type="dxa"/>
        <w:tblLayout w:type="fixed"/>
        <w:tblCellMar>
          <w:top w:w="0" w:type="dxa"/>
          <w:left w:w="0" w:type="dxa"/>
          <w:bottom w:w="28" w:type="dxa"/>
          <w:right w:w="0" w:type="dxa"/>
        </w:tblCellMar>
      </w:tblPr>
      <w:tblGrid>
        <w:gridCol w:w="4197"/>
        <w:gridCol w:w="109"/>
        <w:gridCol w:w="109"/>
        <w:gridCol w:w="109"/>
        <w:gridCol w:w="226"/>
        <w:gridCol w:w="824"/>
        <w:gridCol w:w="109"/>
        <w:gridCol w:w="109"/>
        <w:gridCol w:w="109"/>
        <w:gridCol w:w="109"/>
        <w:gridCol w:w="226"/>
        <w:gridCol w:w="825"/>
        <w:gridCol w:w="109"/>
        <w:gridCol w:w="109"/>
        <w:gridCol w:w="109"/>
        <w:gridCol w:w="109"/>
        <w:gridCol w:w="226"/>
        <w:gridCol w:w="825"/>
        <w:gridCol w:w="109"/>
        <w:gridCol w:w="155"/>
      </w:tblGrid>
      <w:tr>
        <w:trPr/>
        <w:tc>
          <w:tcPr>
            <w:tcW w:w="41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68"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Per Share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5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1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68"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26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Without</w:t>
            </w:r>
            <w:r>
              <w:rPr/>
              <w:t xml:space="preserve"> </w:t>
              <w:br/>
            </w:r>
            <w:r>
              <w:rPr>
                <w:spacing w:val="-3"/>
              </w:rPr>
              <w:t>Over-</w:t>
            </w:r>
            <w:r>
              <w:rPr/>
              <w:t xml:space="preserve"> </w:t>
              <w:br/>
            </w:r>
            <w:r>
              <w:rPr>
                <w:spacing w:val="-3"/>
              </w:rPr>
              <w:t xml:space="preserve">allotment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With </w:t>
            </w:r>
            <w:r>
              <w:rPr/>
              <w:br/>
            </w:r>
            <w:r>
              <w:rPr>
                <w:spacing w:val="-3"/>
              </w:rPr>
              <w:t>Over-</w:t>
            </w:r>
            <w:r>
              <w:rPr/>
              <w:t xml:space="preserve"> </w:t>
              <w:br/>
            </w:r>
            <w:r>
              <w:rPr>
                <w:spacing w:val="-3"/>
              </w:rPr>
              <w:t xml:space="preserve">allotment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197"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197"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4"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19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4" w:type="dxa"/>
            <w:tcBorders>
              <w:bottom w:val="single" w:sz="2"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5" w:type="dxa"/>
            <w:tcBorders>
              <w:bottom w:val="single" w:sz="2"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agreed to reimburse the representative of the underwriters for certain documented out-of-pocket expenses, including the fees and disbursements of their legal counsel, up to an aggregate of $185,000. We estimate that the total expenses payable by us in connection with this offering, other than the underwriting discount and commissions referred to above, will be approximately $      .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underwriting agreement, we have agreed to indemnify the underwriters and certain of their controlling persons against certain liabilities, including liabilities under the Securities Act, 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 to payments that the underwriters or such other indemnified parties may be required to make in respect of those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Lock-Up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not to, during the period ending sixty days after the date of this prospectus supplement (the “Lock-Up Period”) (1) offer, pledge, issue, sell, contract to sell, purchase, contract to purchase, lend, or otherwise transfer or dispose of, directly or indirectly, any shares of common stock or any securities convertible into or exercisable or exchangeable for common stock;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SEC relating to the offering of any shares of common stock or any securities convertible into or exercisable or exchangeable for common stock. These restrictions do not apply to: (a) the shares of common stock to be sold in this offering, (b) the issuance of common stock upon the exercise of options or warrants or the conversion of outstanding preferred stock or other outstanding convertible securities disclosed as outstanding herein, (c) the issuance of employee stock options not exercisable during the Lock-Up Period and the grant of restricted stock awards or restricted stock units or shares of common stock pursuant to equity incentive plans described herein, (d) the issuance of shares of common stock pursuant to our “at-the-market” equity offering program under our equity distribution agreement, dated as of February 11, 2026, as may be amended from time to time, (e) the filing by the Company of any registration statement on Form S-8 or a successor form thereto, or (f) the issuance of shares of common stock or any securities convertible into, or exercisable or exchangeable for, common stock, in connection with any merger or acquisition of securities, businesses, property or other assets or strategic investment (including any joint venture, strategic alliance or partnership, equipment leasing arrangement or debt financing) consummated during the Lock-Up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each of our directors and executive officers has agreed not to, during the Lock-Up Period: (1) offer, pledge, announce the intention to sell, sell, contract to sell, sell any option or contract to purchase, purchase any option or contract to sell, grant any option, right or warrant to purchase, make any short sale or otherwise transfer or dispose of, directly or indirectly, or file (or participate in the filing of) a registration statement with the SEC in respect of, any shares of common stock or any securities convertible into or exercisable or exchangeable for, or that represents the right to receive, shares of common stock (including without limitation, shares of common stock which may be deemed to be beneficially owned by the holder in accordance with the rules and regulations of the SEC and securities which may be issued upon exercise of a stock option or warrant) whether now owned or hereafter acquired, (2) enter into any swap or other agreement that transfers, in whole or in part, any of the economic consequences of ownership of the shares of common stock, whether any such transaction described in clause (1) or (2) above is to be settled by delivery of shares of common stock or such other securities, in cash or otherwise, (3) make any demand for or exercise any right with respect to, the registration of any shares of common stock or any security convertible into or exercisable or exchangeable for shares of common stock, or (4) publicly announce an intention to effect any transaction specified in clause (1), (2) or (3) above. These restrictions do not apply to (a) transfers of such securities (i) as a bona fide gift or gifts; (ii) to any trust for the direct or indirect benefit of the holder or the immediate family of the holder; (iii) pursuant to a will or other testamentary document or applicable laws of descent or intestate succession; (iv) by operation of law, such as pursuant to a qualified domestic order or divorce settlement, or (v) to a legal entity all of the beneficial ownership of which is held by the holder or the immediate family of the holder; (b) the acquisition or exercise of any stock option issued pursuant to the Company’s existing stock option plan, including any exercise effected by the delivery of shares of common stock held by the holder or on a “cashless” or “net exercise” basis or to cover tax withholding; (c) the purchase or sale of the Company’s securities pursuant to a plan, contract or instruction that complies with Rule 10b5-1 that was in effect prior to the date of this prospectus; and (d) the transfer of shares of common stock pursuant to a bona fide third-party tender offer, merger, consolidation, or other similar transaction made to all holders of the common stock involving a change of control of the Company. In addition, the foregoing restrictions shall not apply to the establishment of a new trading plan that complies with Rule 10b5-1; provided, however, that the restrictions shall apply in full force to sales pursuant to such trading plan during the Lock-Up Period.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may be made available in electronic format on websites or through other online services maintained by the underwriters or by their affiliates. Other than this prospectus supplement and the accompanying base prospectus in electronic format, the information on the underwriters’ website and any information contained in any other websites maintained by the underwriters is not part of this prospectus supplement, the accompanying base prospectus or the registration statement of which this prospectus supplement and the accompanying base prospectus forms a part, has not been approved and/or endorsed by us or any underwriter in its capacity as underwriter,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engage in stabilizing transactions, over-allotment transactions, syndicate covering transactions and penalty bids in accordance with Regulation M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Stabilizing transactions permit bids to purchase the underlying security so long as the stabilizing bids do not exceed a specified maximum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underwriters to reclaim a selling concession from a syndicate member when the common stock originally sold by the syndicate member is purchased in a stabilizing or syndicate covering transaction to cover syndicate short positions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also engage in passive market making transactions in our common stock. Passive market making may stabilize the market price of the common stock at a level above that which might otherwise prevail in the open market and, if commenced,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make any representation or prediction as to the direction or magnitude of any effect that the transactions described above may have on the price of our shares of common stock. In addition, neither we nor the underwriters make any representation that the underwriters will engage in these transactions or that any transaction, if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underwriters and/or their affiliates have provided, and may in the future provide, various investment banking and other financial services for us for which services they have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21, 2024, we entered into an At-the-Market (“ATM”) equity Sales Agreement with Roth Capital Partners, LLC (the “Lead Agent”), Northland Securities Inc., and A.G.P./Alliance Global Partners (the “Original Agreement”) pursuant to which the Company may issue and sell, from time to time, up to $30.0 million of shares of common stock through or to the Lead Agent, acting as agent or principal to facilitate acquisitions and other general corporate purposes. On February 11, 2026, the Company executed a new ATM equity Sales Agreement, substantially consistent with the Original Agreement (the “ATM Sales Agreements”) restoring the $30.0 million common stock sales capacity.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Restrictions Outside 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this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constitute a disclosure document or a prospectus under Chapter 6D.2 of the Corporations Act 2001 (the “Corporations Act”);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provided in Australia only to select investors who are able to demonstrate that they fall within one or more of the categories of investors, available under section 708 of the Corporations Act, or Exempt Investors.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in this prospectus supplement may not be directly or indirectly offered for subscription or purchased or sold, and no invitations to subscribe for or buy the securities may be issued, and no draft or definitive offering memorandum, advertisement or other offering material relating to any securities offered by this prospectus supplement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any offer of securities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offered by this prospectus supplement you undertake to us that you will not, for a period of 12 months from the date of issue of the securities, offer, transfer, assign or otherwise alienate those securities to investors in Australia except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where disclosure to investors is not required under Chapter 6D.2 of the Corporations Act or where a compliant disclosure document is prepared and lodged with ASIC.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British Virgin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by this prospectus supplement are not being, and may not be offered to the public or to any person in the British Virgin Islands for purchase or subscription by or on our behalf. The securities may be offered to companies incorporated under the BVI Business Companies Act, 2004 (British Virgin Islands) (BVI Companies), but only where the offer will be made to, and received by, the relevant BVI Company entirely outside of the British Virgin Islands.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securities may be sold in Canada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securities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China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This prospectus supplement will not be circulated or distributed in the People’s Republic of China and the securities will not be offered or sold, and will not be offered or sold to any person for re-offering or resale directly or indirectly to any residents of the People’s Republic of China (excluding, for purposes of this paragraph, Hong Kong Special Administrative Region, Macau Special Administrative Region and Taiwan), except pursuant to any applicable laws and regulations of the People’s Republic of China. Neither this prospectus supplement nor any advertisement or other offering material may be distributed or published in the People’s Republic of China, except under circumstances that will result in compliance with applicable laws and regulations. The securities may not be offered or sold directly or indirectly in the People’s Republic of China to legal or natural persons other than directly to “qualified domestic institutional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Dubai International Financial Centre (DIFC)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an “EEA State”) no securities have been offered or will be offered pursuant to this offering to the public in an EEA State prior to the publication of a prospectus in relation to the securities which has been approved by the competent authority in such EEA State or, where appropriate, approved in another EEA State and notified to the competent authority in such EEA State, all in accordance with the EU Prospectus Regulation (as defined below), except that offers of securities may be made to the public in such EEA State at any time under the following exemptions under the EU Prospectus Regulation: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Article 2 of the EU Prospectus Regulation; </w:t>
      </w:r>
      <w:r>
        <mc:AlternateContent>
          <mc:Choice Requires="wps">
            <w:drawing>
              <wp:anchor behindDoc="0" distT="6731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the EU Prospectus Regulation), subject to obtaining the prior consent of the underwriters for any such offer; or </w:t>
      </w:r>
      <w:r>
        <mc:AlternateContent>
          <mc:Choice Requires="wps">
            <w:drawing>
              <wp:anchor behindDoc="0" distT="6731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EU Prospectus Regulation; </w:t>
      </w:r>
      <w:r>
        <mc:AlternateContent>
          <mc:Choice Requires="wps">
            <w:drawing>
              <wp:anchor behindDoc="0" distT="6731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such offer of securities shall require us or any underwriter to publish a prospectus pursuant to Article 3 of the EU Prospectus Regulation or supplement a prospectus pursuant to Article 23 of the EU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securities in any EEA State means the communication in any form and by any means of sufficient information on the terms of the offer and any securities to be offered so as to enable an investor to decide to purchase or subscribe for any securities, and the expression “EU Prospectus Regulation” means Regulation (EU) 2017/1129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European Economic Area selling restriction is in addition to any other selling restrictions set out above and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and any other offering material relating to the securities have not been, and will not be, submitted to the AMF for approval in France and, accordingly, may not be distributed or caused to be distributed, directly or indirectly, to the public in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Ireland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action may be taken with respect to the securities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 (b) 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Israel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State of Israel this prospectus supplement shall not be regarded as an offer to the public to purchase securities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5728-1968. We have not and will not distribute this prospectus supplement or make, distribute or direct an offer to subscribe for securities to any person within the State of Israel, other than to Qualified Investors and up to 35 Addressed Investors. Qualified Investors may have to submit written evidence that they meet the definitions set out in the First Addendum to the Israeli Securities Law, 5728-1968.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securities; (iv) that the securities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of their identity and may have to sign and submit a declaration containing, inter alia, the Addressed Investor’s name, address and passport number or Israeli identification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Italy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offering of the securities in the Republic of Italy has not been authorized by the Italian Securities and Exchange Commission (</w:t>
      </w:r>
      <w:r>
        <w:rPr>
          <w:rFonts w:ascii="Times New Roman;Times;serif" w:hAnsi="Times New Roman;Times;serif"/>
          <w:b w:val="false"/>
          <w:i/>
          <w:caps w:val="false"/>
          <w:smallCaps w:val="false"/>
          <w:color w:val="000000"/>
          <w:spacing w:val="4"/>
          <w:sz w:val="20"/>
        </w:rPr>
        <w:t>Commissione Nazionale per le Società e la Borsa</w:t>
      </w:r>
      <w:r>
        <w:rPr>
          <w:rFonts w:ascii="Times New Roman;Times;serif" w:hAnsi="Times New Roman;Times;serif"/>
          <w:b w:val="false"/>
          <w:i w:val="false"/>
          <w:caps w:val="false"/>
          <w:smallCaps w:val="false"/>
          <w:color w:val="000000"/>
          <w:spacing w:val="4"/>
          <w:sz w:val="20"/>
        </w:rPr>
        <w:t xml:space="preserve">) (the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February 24, 1998 (“Decree No. 58”), other than: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Italian qualified investors, as defined in Article 100 of Decree no. 58 by reference to Article 34-ter of CONSOB Regulation no. 11971 of 14 May 1999 (“Regulation no. 11971”) as amended (“Qualified Investors”); and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other circumstances that are exempt from the rules on public offer pursuant to Article 100 of Decree No. 58 and Article 34-ter of Regulation no. 11971 as amended.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sale or delivery of the securities or distribution of any offer document relating to the securities in Italy (excluding placements where a Qualified Investor solicits an offer from the issuer) under the paragraphs above must be: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made by investment firms, banks or financial intermediaries permitted to conduct such activities in Italy in accordance with Legislative Decree no. 385 of 1 September 1993 (as amended), Decree no. 58, CONSOB Regulation no. 20307 of 15 February 2018, all as amended, and any other applicable laws;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Article 129 of the Banking Act, as amended from time to time, and the implementing guidelines of the Bank of Italy, as amended from time to time, pursuant to which the Bank of Italy may request information on the offering or issue of securities in Italy; and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all relevant Italian securities, tax and exchange controls and any other applicable laws.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with such rules may result in the sale of such securities being declared null and void and in the liability of the entity transferring the securities for any damages suffered by the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Korea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under the Financial Investments Services and Capital Markets Act of Korea and the decrees and regulations thereunder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securities have not been listed on any of the securities exchanges in the world including, without limitation, the Korea Exchange in Korea. Furthermore, the purchaser of the shares shall comply with all applicable regulatory requirements (including but not limited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Malaysia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prospectus or other offering material or document in connection with the offer and sale of the securities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Zealand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has not been registered, filed with or approved by any New Zealand regulatory authority under the Financial Markets Conduct Act 2013 (the “FMC Act”). The securities may only be offered or sold in New Zealand (or allotted with a view to being offered for sale in New Zealand) to a person who: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an investment business within the meaning of clause 37 of Schedule 1 of the FMC Act;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meets the investment activity criteria specified in clause 38 of Schedule 1 of the FMC Act;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large within the meaning of clause 39 of Schedule 1 of the FMC Act;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government agency within the meaning of clause 40 of Schedule 1 of the FMC Act; or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an eligible investor within the meaning of clause 41 of Schedule 1 of the FMC Act.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Saudi Arabia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may not be distributed in the Kingdom of Saudi Arabia except to such persons as are permitted under the Offer of Securities and Continuing Obligations Regulations as issued by the board of the Saudi Arabian Capital Market Authority (CMA) pursuant to resolution number 3-123-2017 dated 27 December 2017,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relating to the securities. If you do not understand the contents of this prospectus supplement, you should consult an authorized financial adviser.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has acknowledged that this prospectus supplement has not been registered as a prospectus with the Monetary Authority of Singapore. Accordingly, the underwriter has represented and agreed that it has not offered or sold any securities offered by this prospectus supplement or caused such securities to be made the subject of an invitation for subscription or purchase and will not offer or sell any securities offered by this prospectus supplement or cause such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an institutional investor (as defined in Section 4A of the Securities and Futures Act (Chapter 289) of Singapore, as modified or amended from time to time (the SFA)) pursuant to Section 274 of the SFA;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relevant person (as defined in Section 275(2) of the SFA) pursuant to Section 275(1) of the SFA, or any person pursuant to Section 275(1A) of the SFA, and in accordance with the conditions specified in Section 275 of the SFA;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otherwise pursuant to, and in accordance with the conditions of, any other applicable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securities are subscribed or purchased under Section 275 of the SFA by a relevant person which is: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trust (where the trustee is not an accredited investor) whose sole purpose is to hold investments and each beneficiary of the trust is an individual who is an accredited investor,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an institutional investor or to a relevant person, or to any person arising from an offer referred to in Section 275(1A) or Section 276(4)(i)(B) of the SFA;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where no consideration is or will be given for the transfer;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where the transfer is by operation of law;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 specified in Section 276(7) of the SFA;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specified in Regulation 37A of the Securities and Futures (Offers of Investments) (Securities and Securities-based Derivatives Contracts) Regulations 2018.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South Africa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 </w:t>
      </w:r>
    </w:p>
    <w:tbl>
      <w:tblPr>
        <w:tblW w:w="8812" w:type="dxa"/>
        <w:jc w:val="left"/>
        <w:tblInd w:w="1393" w:type="dxa"/>
        <w:tblLayout w:type="fixed"/>
        <w:tblCellMar>
          <w:top w:w="0" w:type="dxa"/>
          <w:left w:w="0" w:type="dxa"/>
          <w:bottom w:w="0" w:type="dxa"/>
          <w:right w:w="0" w:type="dxa"/>
        </w:tblCellMar>
      </w:tblPr>
      <w:tblGrid>
        <w:gridCol w:w="124"/>
        <w:gridCol w:w="1286"/>
        <w:gridCol w:w="109"/>
        <w:gridCol w:w="109"/>
        <w:gridCol w:w="7029"/>
        <w:gridCol w:w="155"/>
      </w:tblGrid>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spacing w:val="4"/>
              </w:rPr>
              <w:t>Section 96 (1) (a)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before="0" w:after="283"/>
              <w:jc w:val="left"/>
              <w:rPr>
                <w:spacing w:val="4"/>
              </w:rPr>
            </w:pPr>
            <w:r>
              <w:rPr>
                <w:spacing w:val="4"/>
              </w:rPr>
              <w:t xml:space="preserve">the offer, transfer, sale, renunciation or delivery is to: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40" w:before="0" w:after="0"/>
              <w:ind w:left="400" w:right="0" w:hanging="0"/>
              <w:jc w:val="left"/>
              <w:rPr>
                <w:spacing w:val="4"/>
              </w:rPr>
            </w:pPr>
            <w:r>
              <w:rPr>
                <w:spacing w:val="4"/>
              </w:rPr>
              <w:t xml:space="preserve">persons whose ordinary business, or part of whose ordinary business, is to deal in securities, as principal or agent;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the South African Public Investment Corporation;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persons or entities regulated by the Reserve Bank of South Africa;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54000" cy="52578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authorised financial service providers under South African law;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54000" cy="52578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financial institutions recognised as such under South African law;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40" w:before="0" w:after="0"/>
              <w:ind w:left="400" w:right="0" w:hanging="0"/>
              <w:jc w:val="left"/>
              <w:rPr>
                <w:spacing w:val="4"/>
              </w:rPr>
            </w:pPr>
            <w:r>
              <w:rPr>
                <w:spacing w:val="4"/>
              </w:rPr>
              <w:t xml:space="preserve">a wholly owned subsidiary of any person or entity contemplated in (c), (d) or (e), acting as agent in the capacity of an authorised portfolio manager for a pension fund, or as manager for a collective investment scheme (in each case duly registered as such under South African law); or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54000" cy="52578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any combination of the person in (i) to (vi); or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254000" cy="52578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spacing w:val="4"/>
              </w:rPr>
            </w:pPr>
            <w:r>
              <w:rPr>
                <w:spacing w:val="4"/>
              </w:rPr>
              <w:t xml:space="preserve">Section 96 (1) (b)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before="0" w:after="283"/>
              <w:jc w:val="left"/>
              <w:rPr/>
            </w:pPr>
            <w:r>
              <w:rPr>
                <w:spacing w:val="4"/>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made available in this prospectus supplement should not be considered as “advice” as defined in the South African Financial Advisory and Intermediary Services Act, 2002.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does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any person which is a professional client as defined under the FinSA;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any other circumstances falling within Article 36 FinSA in connection with Article 44 of the Swiss Financial Services Ordinance,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securities shall require the Company or the underwriter to publish a prospectus pursuant to Article 35 FinSA.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listed or admitted to trading on a trading venue in Switzerland.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Arab Emirates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We may not render services relating to the securities within the United Arab Emirates, including the receipt of applications and/or the allotment or redemption of such shares. No offer or invitation to subscribe for securities is valid or permitted in the Dubai International Financial Centre.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the United Kingdom, no securities have been offered or will be offered pursuant to the offering to the public in the United Kingdom, except in circumstances falling within an exception (or a combination of exceptions) set out in Part 1 of Schedule 1 to the Public Offers and Admissions to Trading Regulations 2024 (the “POATRs”) which include, amongst other exceptions, offers of the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person which is a qualified investor as defined in paragraph 15 of Schedule 1 to the POATRs;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in paragraph 15 of Schedule 1 to the POATRs), subject to obtaining the prior consent of the underwriter for any such offer.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Kingdom, the offering is only addressed to, and is directed only at, “qualified investors” as defined in paragraph 15 of Schedule 1 to the POATRs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securities in the United Kingdom means the communication in any form and by any means of sufficient information on the terms of the offerings and the shares to be offered so as to enable an investor to decide to buy or subscribe for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LEMA"/>
      <w:bookmarkEnd w:id="12"/>
      <w:r>
        <w:rPr>
          <w:rFonts w:ascii="calibri;arial;sans-serif" w:hAnsi="calibri;arial;sans-serif"/>
          <w:b w:val="false"/>
          <w:i w:val="false"/>
          <w:caps w:val="false"/>
          <w:smallCaps w:val="false"/>
          <w:color w:val="000000"/>
          <w:sz w:val="16"/>
        </w:rPr>
        <w:t>​</w:t>
      </w:r>
      <w:bookmarkStart w:id="13" w:name="s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issuance of the common stock and certain other legal matters in connection with the issuance of the common stock will be passed upon for us by Mayer Brown LLP and Fennemore Craig, P.C., Reno, Nevada. Certain matters will be passed upon for the underwriters by Porter Hedges LLP, Houston, Texas.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Evolution Petroleum Corporation as of June 30, 2025 and 2024 and for the years then ended incorporated in this prospectus supplement by reference from the Company’s </w:t>
      </w:r>
      <w:hyperlink r:id="rId7">
        <w:r>
          <w:rPr>
            <w:rStyle w:val="InternetLink"/>
          </w:rPr>
          <w:t>Annual Report on Form 10-K for the year ended June 30, 2025</w:t>
        </w:r>
      </w:hyperlink>
      <w:r>
        <w:rPr>
          <w:rFonts w:ascii="Times New Roman;Times;serif" w:hAnsi="Times New Roman;Times;serif"/>
          <w:b w:val="false"/>
          <w:i w:val="false"/>
          <w:caps w:val="false"/>
          <w:smallCaps w:val="false"/>
          <w:color w:val="000000"/>
          <w:spacing w:val="4"/>
          <w:sz w:val="20"/>
        </w:rPr>
        <w:t xml:space="preserve">, have been audited by Baker Tilly US, LLP, an independent registered public accounting firm, as stated in their report. Such consolidated financial statements are incorporated by reference in reliance upon the report of such firm given their authority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estimates of the oil and gas reserves for Evolution Petroleum Corporation and subsidiaries and related future net cash flows and the present values thereof incorporated by reference into this prospectus supplement from the Company’s </w:t>
      </w:r>
      <w:hyperlink r:id="rId8">
        <w:r>
          <w:rPr>
            <w:rStyle w:val="InternetLink"/>
          </w:rPr>
          <w:t>Annual Report on Form 10-K for the year ended June 30, 2025</w:t>
        </w:r>
      </w:hyperlink>
      <w:r>
        <w:rPr>
          <w:rFonts w:ascii="Times New Roman;Times;serif" w:hAnsi="Times New Roman;Times;serif"/>
          <w:b w:val="false"/>
          <w:i w:val="false"/>
          <w:caps w:val="false"/>
          <w:smallCaps w:val="false"/>
          <w:color w:val="000000"/>
          <w:spacing w:val="4"/>
          <w:sz w:val="20"/>
        </w:rPr>
        <w:t xml:space="preserve"> were based in part upon engineering reports prepared by DeGolyer and MacNaughton and Cawley, Gillespie and Associates, Inc., both independent petroleum engineers. These estimates are included and incorporated herein in reliance on the authority of such firms as experts in such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WYCF"/>
      <w:bookmarkEnd w:id="14"/>
      <w:r>
        <w:rPr>
          <w:rFonts w:ascii="calibri;arial;sans-serif" w:hAnsi="calibri;arial;sans-serif"/>
          <w:b w:val="false"/>
          <w:i w:val="false"/>
          <w:caps w:val="false"/>
          <w:smallCaps w:val="false"/>
          <w:color w:val="000000"/>
          <w:sz w:val="16"/>
        </w:rPr>
        <w:t>​</w:t>
      </w:r>
      <w:bookmarkStart w:id="15" w:name="sIB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 and periodic reporting requirements of the Exchange Act and, in accordance therewith, file periodic reports, proxy statements, and other information with the SEC. Such periodic reports, proxy statements and other information are available at the website of the SEC at http://www.sec.gov. We also furnish our stockholders with annual reports containing our financial statements audited by an independent registered public accounting firm and quarterly reports containing our unaudited financial information. We maintain a website at www.evolutionpetroleum.com.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this material is electronically filed with, or furnished to, the SEC. Information contained on, or that is or becomes accessible through, our website does not constitute a part of this prospectus supplement. The reference to our website or web address does not constitute incorporation by reference of the information contained at that 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it, which means that we can disclose important information to you by referring you to those documents. The information incorporated by reference is an important part of this prospectus supplement and the accompanying prospectus, and information that we file later with the SEC will automatically update and supersede this information. We incorporate by reference the documents listed below and any future filings made with the SEC under Sections 13(a), 13(c), 14 or 15(d) of the Exchange Act from the date of the prospectus supplement until all of the shares of our common stock offered hereby have been sold or the offering is otherwise terminated (in each case, other than any portions of any such documents that are not deemed “filed” under the Exchange Act in accordance with the Exchange Act and applicable SEC rules):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9">
        <w:r>
          <w:rPr>
            <w:rStyle w:val="InternetLink"/>
          </w:rPr>
          <w:t>Annual Report on Form 10-K for the fiscal year ended June 30, 2025, filed with the SEC on September 17, 2025</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10">
        <w:r>
          <w:rPr>
            <w:rStyle w:val="InternetLink"/>
          </w:rPr>
          <w:t>definitive proxy statement on Schedule 14A, filed with the SEC on October 23, 2025</w:t>
        </w:r>
      </w:hyperlink>
      <w:r>
        <w:rPr>
          <w:rFonts w:ascii="Times New Roman;Times;serif" w:hAnsi="Times New Roman;Times;serif"/>
          <w:b w:val="false"/>
          <w:i w:val="false"/>
          <w:caps w:val="false"/>
          <w:smallCaps w:val="false"/>
          <w:color w:val="000000"/>
          <w:spacing w:val="4"/>
          <w:sz w:val="20"/>
        </w:rPr>
        <w:t xml:space="preserve">, incorporated by reference into the Form 10-K);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fiscal quarters ended September 30, 2025, filed with the SEC on </w:t>
      </w:r>
      <w:hyperlink r:id="rId11">
        <w:r>
          <w:rPr>
            <w:rStyle w:val="InternetLink"/>
          </w:rPr>
          <w:t>November 12, 2025</w:t>
        </w:r>
      </w:hyperlink>
      <w:r>
        <w:rPr>
          <w:rFonts w:ascii="Times New Roman;Times;serif" w:hAnsi="Times New Roman;Times;serif"/>
          <w:b w:val="false"/>
          <w:i w:val="false"/>
          <w:caps w:val="false"/>
          <w:smallCaps w:val="false"/>
          <w:color w:val="000000"/>
          <w:spacing w:val="4"/>
          <w:sz w:val="20"/>
        </w:rPr>
        <w:t xml:space="preserve">, December 31, 2025, filed with the SEC on </w:t>
      </w:r>
      <w:hyperlink r:id="rId12">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and March 31, 2026, filed with the SEC on </w:t>
      </w:r>
      <w:hyperlink r:id="rId13">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4">
        <w:r>
          <w:rPr>
            <w:rStyle w:val="InternetLink"/>
          </w:rPr>
          <w:t>November 12, 2025</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December 9, 2025</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February 10,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and </w:t>
      </w:r>
      <w:hyperlink r:id="rId19">
        <w:r>
          <w:rPr>
            <w:rStyle w:val="InternetLink"/>
          </w:rPr>
          <w:t>August </w:t>
        </w:r>
      </w:hyperlink>
      <w:hyperlink r:id="rId20">
        <w:r>
          <w:rPr>
            <w:rStyle w:val="InternetLink"/>
          </w:rPr>
          <w:t>18</w:t>
        </w:r>
      </w:hyperlink>
      <w:hyperlink r:id="rId21">
        <w:r>
          <w:rPr>
            <w:rStyle w:val="InternetLink"/>
          </w:rPr>
          <w:t>, 2026</w:t>
        </w:r>
      </w:hyperlink>
      <w:r>
        <w:rPr>
          <w:rFonts w:ascii="Times New Roman;Times;serif" w:hAnsi="Times New Roman;Times;serif"/>
          <w:b w:val="false"/>
          <w:i w:val="false"/>
          <w:caps w:val="false"/>
          <w:smallCaps w:val="false"/>
          <w:color w:val="000000"/>
          <w:spacing w:val="4"/>
          <w:sz w:val="20"/>
        </w:rPr>
        <w:t xml:space="preserve"> (excluding Item 7.01); and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w:t>
      </w:r>
      <w:hyperlink r:id="rId22">
        <w:r>
          <w:rPr>
            <w:rStyle w:val="InternetLink"/>
          </w:rPr>
          <w:t>Form 8-A filed on July 13, 2006</w:t>
        </w:r>
      </w:hyperlink>
      <w:r>
        <w:rPr>
          <w:rFonts w:ascii="Times New Roman;Times;serif" w:hAnsi="Times New Roman;Times;serif"/>
          <w:b w:val="false"/>
          <w:i w:val="false"/>
          <w:caps w:val="false"/>
          <w:smallCaps w:val="false"/>
          <w:color w:val="000000"/>
          <w:spacing w:val="4"/>
          <w:sz w:val="20"/>
        </w:rPr>
        <w:t xml:space="preserve">, and any amendment or report that may be filed from time to time for the purpose of updating, changing or modifying the description of our common stock.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Evolution Petroleum Corporation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1155 Dairy Ashford Road, Suite 425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77079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(713) 935-0122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incorporated by reference or provided in this prospectus supplement or the accompanying prospectus. We have not authorized anyone else to provide you with different information. You should not assume that the information in this prospectus supplement or the accompanying prospectus is accurate as of any date other than the date on the front of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762125" cy="466725"/>
            <wp:effectExtent l="0" t="0" r="0" b="0"/>
            <wp:docPr id="10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 descr=""/>
                    <pic:cNvPicPr>
                      <a:picLocks noChangeAspect="1" noChangeArrowheads="1"/>
                    </pic:cNvPicPr>
                  </pic:nvPicPr>
                  <pic:blipFill>
                    <a:blip r:embed="rId23"/>
                    <a:stretch>
                      <a:fillRect/>
                    </a:stretch>
                  </pic:blipFill>
                  <pic:spPr bwMode="auto">
                    <a:xfrm>
                      <a:off x="0" y="0"/>
                      <a:ext cx="17621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EVOLUTION PETROLEUM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$500,000,000</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from time to time in one or more offerings, up to $500,000,000 in the aggregate of common stock, preferred stock, warrants to purchase our common stock or preferred stock, or debt securities, at prices and on terms that we will determine at the time of the offering. Preferred stock and debt securities may also be convertible into preferred stock or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Each time we sell securities, to the extent required by applicable law, we will provide a supplement to this prospectus that contains specific information about the offering and the terms of the securities being offered. The supplement may also add, update or change information contained in this prospectus. </w:t>
      </w:r>
      <w:r>
        <w:rPr>
          <w:rFonts w:ascii="Times New Roman;Times;serif" w:hAnsi="Times New Roman;Times;serif"/>
          <w:b/>
          <w:i w:val="false"/>
          <w:caps w:val="false"/>
          <w:smallCaps w:val="false"/>
          <w:color w:val="000000"/>
          <w:spacing w:val="-4"/>
          <w:sz w:val="20"/>
        </w:rPr>
        <w:t>You should carefully read this prospectus, all prospectus supplements and all other documents incorporated by reference in this prospectus before you invest in our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offer the securities in amounts, at prices and on terms to be determined by market conditions at the time of the offerings. The securities may be offered separately or together in any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offered and sold on a delayed or continuous basis directly by us or through underwriters, agents or dealers as designated from time to time, through a combination of these methods or any other method as provided in the applicable prospectus supplement. The supplements to this prospectus will designate the terms of our plan of distribution. See the discussion under the heading “Plan of Distribution” for more information on the topic.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offices are located at 1155 Dairy Ashford Road, Suite 425, Houston, Texas 77079, and our telephone number is (713) 935-0122. Our common stock trades on the NYSE American under the symbol “EPM.”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 Please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5</w:t>
        </w:r>
      </w:hyperlink>
      <w:r>
        <w:rPr>
          <w:rFonts w:ascii="Times New Roman;Times;serif" w:hAnsi="Times New Roman;Times;serif"/>
          <w:b/>
          <w:i w:val="false"/>
          <w:caps w:val="false"/>
          <w:smallCaps w:val="false"/>
          <w:color w:val="000000"/>
          <w:spacing w:val="-4"/>
          <w:sz w:val="20"/>
        </w:rPr>
        <w:t xml:space="preserve"> of this prospectus and any similar section contained in any applicable prospectus supplement for a discussion of certain risks that you should consider before investing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sell securities unless accompanied by a prospectus supplement. </w:t>
      </w:r>
    </w:p>
    <w:p>
      <w:pPr>
        <w:pStyle w:val="TextBody"/>
        <w:bidi w:val="0"/>
        <w:spacing w:lineRule="atLeast" w:line="240" w:before="24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January 27,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7"/>
        <w:gridCol w:w="109"/>
        <w:gridCol w:w="109"/>
        <w:gridCol w:w="109"/>
        <w:gridCol w:w="109"/>
        <w:gridCol w:w="395"/>
        <w:gridCol w:w="109"/>
        <w:gridCol w:w="155"/>
      </w:tblGrid>
      <w:tr>
        <w:trPr/>
        <w:tc>
          <w:tcPr>
            <w:tcW w:w="77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STATEMENTS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CSRF">
              <w:r>
                <w:rPr>
                  <w:rStyle w:val="InternetLink"/>
                  <w:spacing w:val="4"/>
                </w:rPr>
                <w:t>2</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OUCO">
              <w:r>
                <w:rPr>
                  <w:rStyle w:val="InternetLink"/>
                  <w:spacing w:val="4"/>
                </w:rPr>
                <w:t>6</w:t>
              </w:r>
            </w:hyperlink>
            <w:hyperlink w:anchor="tOU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10</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DS">
              <w:r>
                <w:rPr>
                  <w:rStyle w:val="InternetLink"/>
                  <w:spacing w:val="4"/>
                </w:rPr>
                <w:t>12</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23</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LEMA">
              <w:r>
                <w:rPr>
                  <w:rStyle w:val="InternetLink"/>
                  <w:spacing w:val="4"/>
                </w:rPr>
                <w:t>26</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26</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WYCF">
              <w:r>
                <w:rPr>
                  <w:rStyle w:val="InternetLink"/>
                  <w:spacing w:val="4"/>
                </w:rPr>
                <w:t>26</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IIBR">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Securities and Exchange Commission (the “SEC”) using a “shelf” registration process. Using this process, we may sell any combination of the securities described in this prospectus in one or more offerings up to a total dollar amount of $500,000,000.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that we may offer. Each time we use this prospectus to offer securities, we will provide a prospectus supplement that will describe the specific terms of the offering. The prospectus supplement may also add to or update other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your investment decision, you should rely only on the information contained or incorporated by reference in this prospectus and any prospectus supplement we may authorize to be delivered to you. This prospectus incorporates important business and financial information about us that is not included in or delivered with this prospectus. You may obtain a copy of this information, without charge, as described in the “Where You Can Find More Information” section. We have not authorized anyone to provide you with any other information. If you receive any other information, you should not rely on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appearing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reserves and prospects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read this entire prospectus together with the documents incorporated by reference into this prospectus before making a decision whether to invest in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requires otherwise or unless otherwise noted, all references in this prospectus or any prospectus supplement to “EPM” and to the “Company,” “Registrant,” “we,” “us” or “our” are to Evolution Petroleum Corporation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SR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STATEMENTS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referenced herein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of plans, strategies and objectives, including anticipated development activity and capital spending;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capital allocation strategy, capital structure, anticipated sources of funding, growth in long-term shareholder value and ability to preserve balance sheet strength;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complete future acquisitions and the need for additional capital to complete future acquisitions;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benefits of our multi-basin portfolio, including operational and commodity flexibility;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maximize cash flow and the application of excess cash flows to pay dividends;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natural gas liquids (NGLs) production and commodity mix;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oil, natural gas and NGL prices;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drilling and completions activity;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operational risks, including accidents, equipment failures, fires, and releases of toxic or hazardous materials;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NGL reserves and recoverable quantities;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the availability of other sources of liquidity to meet financial obligations throughout commodity price cycles;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our ability to obtain funding based on environmental, social, and corporate governance performance;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interest expense;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debt and financial ratios, finance growth and comply with financial covenants;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outcomes of risk management programs, including exposure to commodity price and interest rate fluctuations, the volume of oil and natural gas production hedged, and the markets or physical sales locations hedged;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changes in federal, state, provincial and local, rules and regulations;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compliance with current or proposed environmental requirements, including the costs thereof;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greenhouse gas emissions limitations and renewable energy incentives;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adequacy of provisions for abandonment and site reclamation costs;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operational and financial flexibility, discipline and ability to respond to evolving market conditions;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declaration and payment of future dividends and any anticipated repurchase of our outstanding common shares;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adequacy of our provision for taxes and legal claims;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cost inflation and expected cost structures, including expected operating, transportation, processing and labor expenses; </w:t>
      </w:r>
      <w:r>
        <mc:AlternateContent>
          <mc:Choice Requires="wps">
            <w:drawing>
              <wp:anchor behindDoc="0" distT="0" distB="0" distL="254000" distR="0" simplePos="0" locked="0" layoutInCell="1" allowOverlap="1" relativeHeight="126">
                <wp:simplePos x="0" y="0"/>
                <wp:positionH relativeFrom="column">
                  <wp:align>left</wp:align>
                </wp:positionH>
                <wp:positionV relativeFrom="line">
                  <wp:posOffset>635</wp:posOffset>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competitiveness relative to our peers, including with respect to capital, materials, people, assets and production;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oil, natural gas and NGL inventories and global demand for oil, natural gas and NGLs;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outlook of the oil and natural gas industry generally, including impacts from changes to the geopolitical environment;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weather events;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staffing levels;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payments related to our commitments, obligations and contingencies, and the ability to satisfy the same; and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accounting and tax pronouncements, rule changes and standards.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commodity prices and basis differentials;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shelf prospectuses;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contained in our corporate guidance;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attractive commodity or financial hedges and the enforceability of risk management programs;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that counterparties will fulfill their obligations pursuant to gathering, processing, transportation and marketing agreements;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adequate gathering, transportation, processing and storage facilities;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assumed tax, royalty and regulatory regimes;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and projections made in light of, and generally consistent with, our historical experience and our perception of historical industry trends; and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assumptions contained herein.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Risk Factors section of our previously filed </w:t>
      </w:r>
      <w:hyperlink r:id="rId24">
        <w:r>
          <w:rPr>
            <w:rStyle w:val="InternetLink"/>
          </w:rPr>
          <w:t>Annual Report on Form 10-K for the fiscal year ended June 30, 2025</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Quarterly Report on Form 10-Q for the quarterly period ended September 30, 2025</w:t>
        </w:r>
      </w:hyperlink>
      <w:r>
        <w:rPr>
          <w:rFonts w:ascii="Times New Roman;Times;serif" w:hAnsi="Times New Roman;Times;serif"/>
          <w:b w:val="false"/>
          <w:i w:val="false"/>
          <w:caps w:val="false"/>
          <w:smallCaps w:val="false"/>
          <w:color w:val="000000"/>
          <w:spacing w:val="4"/>
          <w:sz w:val="20"/>
        </w:rPr>
        <w:t xml:space="preserve">, as well as the other disclosures contained herein, therein, and as also may be described from time to time in future reports we file with the SEC. Readers should also consider such information in conjunction with our condensed consolidated financial statements and related notes and Item 2. Management’s Discussion and Analysis of Financial Condition and Results of Operations contained therein. There also may be other factors that we cannot anticipate or that are not described in this report, generally because we do not currently perceive them to be material. Such factors could cause results to differ materially from our expectations.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speak only as of the date they are made, and we do not undertake to update these statements other than as required by law. Readers are advised, however, to review any further disclosures we make on related subjects in our filings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RIF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You should carefully consider the risk factors and all other information contained in our most recent Annual Report on Form 10-K, in our Quarterly Reports on Form 10-Q and Current Reports on Form 8-K before investing in our securities. You should also consider similar information contained in any Annual Report on Form 10-K, Quarterly Report on Form 10-Q, Current Report on Form 8-K or other document filed by us with the SEC after the date of this prospectus before deciding to invest in our securities. If any of these risks were to occur, our business, financial condition or results of operations could be adversely affected. In that case, the trading price of our common stock or other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incorporated by reference in this prospectus are the material risks of which we are currently aware; however, they may not be the only risks that we may face. Additional risks and uncertainties not currently known to us or that we currently view as immaterial may also impair our business operations. Any of these risks could materially and adversely affect our business, financial condition, results of operations and cash flows. In that case, you may lose all or part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OUC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independent energy company focused on maximizing returns to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 and other exploitation efforts on our oil and natural gas properties.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oil and natural gas properties consist of non-operated working and mineral interests in the following areas: the SCOOP and STACK plays of the Anadarko Basin located in central Oklahoma; the Chaveroo Field in Chaves and Roosevelt Counties of New Mexico; the Jonah 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b w:val="false"/>
          <w:i w:val="false"/>
          <w:caps w:val="false"/>
          <w:smallCaps w:val="false"/>
          <w:color w:val="000000"/>
          <w:spacing w:val="3"/>
          <w:sz w:val="15"/>
        </w:rPr>
        <w:t>2</w:t>
      </w:r>
      <w:r>
        <w:rPr>
          <w:rFonts w:ascii="Times New Roman;Times;serif" w:hAnsi="Times New Roman;Times;serif"/>
          <w:b w:val="false"/>
          <w:i w:val="false"/>
          <w:caps w:val="false"/>
          <w:smallCaps w:val="false"/>
          <w:color w:val="000000"/>
          <w:spacing w:val="4"/>
          <w:sz w:val="20"/>
        </w:rPr>
        <w:t xml:space="preserve"> enhanced oil recovery project; the TexMex interests located in Lea, Eddy and Chaves Counties, New Mexico and Stephens County, Texas; as well as small overriding royalty interests in four onshore Texas wells.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Nevada corporation. Our principal executive offices are located at 1155 Dairy Ashford Road, Suite 425, Houston, Texas 77079. Our telephone number is (713) 935-0122. We maintain a website at www.evolutionpetroleum.com, which contains information about us. Our website and the information contained on it and connected to it is not incorporated by reference into this prospectus and does not otherwise constitute part of this prospectus. Our common stock is listed and traded on the NYSE American under the symbol “EPM.”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UO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specified in a prospectus supplement accompanying this prospectus, we expect to use the net proceeds from the sale of our securities for general corporate purposes, which may include, among other things, the financing of capital expenditures, reduction or refinancing of debt or other corporate obligations, recapitalization transactions, acquisitions and additions to our working capital. The actual application of proceeds from the sale of any particular tranche of securities issued hereunder will be described in the applicable prospectus supplement relating to such tranche of securities. Until we use the net proceeds from the sale of securities for these purposes, we may place the net proceeds in temporary investments.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OC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summarizes general terms and provisions that apply to our capital stock. Since this is only a summary, it does not contain all of the information that may be important to you. The summary is subject to and qualified in its entirety by reference to our Articles of Incorporation, as amended (“Articles of Incorporation”), our Bylaws, as amended (“Amended Bylaws”), which are filed as exhibits to the registration statement of which this prospectus is a part and incorporated by reference into this prospectus and the applicable provisions of the Nevada Revised Statutes (“NRS”). See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consists of 105,000,000 shares of stock, $0.001 par value per share. Of the authorized capital, 100,000,000 shares are authorized to be issued as common stock, and 5,000,000 shares are authorized to be issued as preferred stock. As of January 12, 2026, 35,000,844 shares of common stock were issued and outstanding, and no shares of preferred stock were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matters submitted to a vote of stockholders, holders of our common stock are entitled to one vote for each share registered in his or her name on our books, and they do not have cumulative voting rights. Each share of our common stock is entitled to share equally with each other share of common stock in dividends from sources legally available therefore, when, as, and if declared by the board of directors of the Company (the “Board of Directors”) and, upon our liquidation or dissolution, whether voluntary or involuntary, to share equally in the assets that are available for distribution to the holders of our common stock. The Board of Directors instituted a quarterly cash dividend on common stock in 2013. The Board of Directors reviews the quarterly dividend rate in light of our financial position and operations, forecasted results, including the outlook for commodity prices, the timing of further expansion of our producing assets and other potential growth opportunities. Holders of our common stock have no preemptive, subscription, redemption or conversion rights and there are no sinking fund provisions applicable to our common stock. The Board of Directors is authorized to issue additional shares of common stock within the limits authorized by our Articles of Incorporation and without stockholder 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and traded on the NYSE American under the symbol “EPM.”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authorized to designate and issue shares of preferred stock in one or more series without stockholder approval. The Board of Directors has discretion to determine the rights, preferences, privileges and restrictions, including voting rights, dividend rights, conversion rights, redemption privileges and liquidation preferences, of each series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series of preferred stock, we will file the terms of the preferred stock with the SEC, and the prospectus supplement relating to that offering will include a description of the specific terms of the offering, including the following specific terms: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the number of shares offered and the liquidation value of the preferred stock;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the preferred stock will be issued;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the dates on which the dividends will be payable and other terms relating to the payment of dividends on the preferred stock;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of the preferred stock;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rights of the preferred stock;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is redeemable or subject to a sinking fund, and the terms of any such redemption or sinking fund;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is convertible or exchangeable for any other securities, and the terms of any such conversion; and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rights, preferences, qualifications, limitations and restrictions of the preferred stock.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possible to state the actual effect of the issuance of any additional shares of preferred stock upon the rights of holders of our common stock until the Board of Directors determines the specific rights of the holders of the preferred stock. However, these effects might include: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restricting dividends on our common stock; </w:t>
      </w:r>
      <w:r>
        <mc:AlternateContent>
          <mc:Choice Requires="wps">
            <w:drawing>
              <wp:anchor behindDoc="0" distT="6858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diluting the voting power of our common stock; </w:t>
      </w:r>
      <w:r>
        <mc:AlternateContent>
          <mc:Choice Requires="wps">
            <w:drawing>
              <wp:anchor behindDoc="0" distT="6858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impairing the liquidation rights of our common stock; and </w:t>
      </w:r>
      <w:r>
        <mc:AlternateContent>
          <mc:Choice Requires="wps">
            <w:drawing>
              <wp:anchor behindDoc="0" distT="6858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or preventing a change in control of the Company. </w:t>
      </w:r>
      <w:r>
        <mc:AlternateContent>
          <mc:Choice Requires="wps">
            <w:drawing>
              <wp:anchor behindDoc="0" distT="6858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 Under Nevada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Combinations with Interested Stockholder.   </w:t>
      </w:r>
      <w:r>
        <w:rPr>
          <w:rFonts w:ascii="Times New Roman;Times;serif" w:hAnsi="Times New Roman;Times;serif"/>
          <w:b w:val="false"/>
          <w:i w:val="false"/>
          <w:caps w:val="false"/>
          <w:smallCaps w:val="false"/>
          <w:color w:val="000000"/>
          <w:spacing w:val="4"/>
          <w:sz w:val="20"/>
        </w:rPr>
        <w:t xml:space="preserve">Sections 78.411 – 78.444, inclusive, of the NRS contain provisions governing combinations with an interested stockholder. For purposes of the NRS, “combinations” include: (i) any merger or consolidation with any interested stockholder, (ii) any sale, lease, exchange, mortgage, pledge, transfer or other disposition to any interested stockholder of corporate assets with an aggregate market value equal to more than 5% of the aggregate market value of the corporation’s consolidated assets, more than 5% of the aggregate market value of outstanding shares of the corporation or more than 10% of the earning power or net income of the corporation, (iii) the issuance to any interested stockholder of voting shares (except pursuant to a share dividend or similar proportionate distribution) with an aggregate market value equal to 5% or more of the aggregate market value of all the outstanding shares of the corporation, (iv) the adoption of the dissolution of the corporation if proposed by or on behalf of any interested stockholder, (v) any reclassification of securities, recapitalization or corporate reorganization that will have the effect of increasing the proportionate share of the corporation’s outstanding voting shares held by any interested stockholder and (vi) any receipt by the interested stockholder of the benefit (except proportionately as a stockholder) of any loan, advance, guarantee, pledge or other financial assistance. For purposes of the NRS, an “interested stockholder” is defined to include any beneficial owner of more than 10% of any class of the voting securities of a Nevada corporation and any person who is an affiliate or associate of the corporation and was at any time during the preceding two years the beneficial owner of more than 10% of any class of the voting securities of the Nevada corporation.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provisions of the NRS statute governing combinations with interested stockholders provide that a Nevada corporation may not engage in a combination with an interested stockholder for two years after the date that the person first became an interested stockholder unless the combination or the transaction by which the person first became an interested stockholder is approved by the Board of Directors before the person first became an interested stockholder, or unless the combination is approved by the Board of Directors and sixty percent of the corporation’s voting power not beneficially owned by the interested stockholder, its affiliates and associates.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 Share Acquisitions.   </w:t>
      </w:r>
      <w:r>
        <w:rPr>
          <w:rFonts w:ascii="Times New Roman;Times;serif" w:hAnsi="Times New Roman;Times;serif"/>
          <w:b w:val="false"/>
          <w:i w:val="false"/>
          <w:caps w:val="false"/>
          <w:smallCaps w:val="false"/>
          <w:color w:val="000000"/>
          <w:spacing w:val="4"/>
          <w:sz w:val="20"/>
        </w:rPr>
        <w:t xml:space="preserve">The NRS also contains a “control share acquisitions statute.” If applicable to a Nevada corporation this statute restricts the voting rights of certain stockholders referred to as “acquiring persons,” that acquire or offer to acquire ownership of a “controlling interest” in the outstanding voting stock of an “issuing corporation.” For purposes of these provisions, a “controlling interest” means with certain exceptions the ownership of outstanding voting stock sufficient to enable the acquiring person to exercise one-fifth or more but less than one-third, one-third or more but less than a majority, or a majority or more of all voting power in the election of directors; “issuing corporation” means a Nevada corporation that has 200 or more stockholders of record, at least 100 of whom have addresses in Nevada appearing on the stock ledger of the corporation at all times during the 90 days immediately preceding such date, and which does business in Nevada directly or through an affiliated corporation. The voting rights of an acquiring person in the affected shares will be restored only if such restoration is approved by the holders of a majority of the voting power of the corporation. The NRS allows a corporation to “opt-out” of the control share acquisitions statute by providing in such corporation’s articles of incorporation or bylaws that the control share acquisitions statute does not apply to the corporation or to an acquisition of a controlling interest specifically by types of existing or future stockholders, whether or not identified. The Company has not opted out of this statute.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Continental Stock Transfer &amp; Trust Company is the transfer agent and registrar of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W"/>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common stock or preferred stock. Warrants may be issued independently or together with common stock or preferred stock offered by any prospectus supplement and may be attached to or separate from any such offered securities. Series of warrants may be issued under a separate warrant agreement entered into between us and a bank or trust company, as warrant agent, all as will be set forth in the prospectus supplement relating to the particular issue of warrants. The warrant agent would act solely as our agent in connection with the warrants and would not assume any obligation or relationship of agency or trust for or with any holders of warrants or beneficial owners of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warrants does not purport to be complete and is subject to, and is qualified in its entirety by reference to, all provisions of the warrant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is made to the prospectus supplement relating to the particular issue of warrants offered pursuant to such prospectus supplement for the terms of and information relating to such warrants, including, where applicable: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239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or prices and aggregate number of warrants offered; </w:t>
      </w:r>
      <w:r>
        <mc:AlternateContent>
          <mc:Choice Requires="wps">
            <w:drawing>
              <wp:anchor behindDoc="0" distT="7239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preferred stock purchasable upon the exercise of warrants to purchase common stock or preferred stock and the price at which such number of shares of common stock or preferred stock may be purchased upon such exercise;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material terms (including, without limitation, liquidation, dividend, conversion and voting rights) of any series of common stock or preferred stock purchasable upon exercise of warrants, including, without limitation, liquidation, dividend, conversion and voting rights;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warrants shall commence and the date on which such right shall expire;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warrants and the related securities will be separately transferable;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merger, consolidation, sale or other disposition of our business on the warrant agreements and the warrants;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applicable to such warrants;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warrant agreements and warrants may be modified;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exercise and settlement of the warrants;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the rights of holders of equity warrants, including that such holders will not be entitled to vote, receive dividends, receive notice of shareholder meetings or exercise any rights as shareholders;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warrants outstanding as of the most recent practicable date; and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warrants.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will be issued in registered form only. The exercise price for warrants will be subject to adjustment in accordance with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thereof to purchase such number of shares of common stock or preferred stock at such exercise price as shall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shall be specified in the prospectus supplement relating to such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exercise of any warrants to purchase common stock or preferred stock, holders of such warrants will not have any of the rights of holders of common stock or preferred stock, as the case may be, purchasable upon such exercise, including the right to receive payments of dividends, if any, on our common stock purchasable upon such exercise, or to exercise any applicable right to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D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conduct a portion of our operations through subsidiaries. As a result, the rights of the Company and our creditors, including holders of the debt securities, to participate in the assets of any subsidiary upon the latter’s liquidation or reorganization will be subject to the prior claims of the subsidiary’s creditors, except to the extent that we may ourselves be a creditor with recognized claims against such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either our senior debt securities or our subordinated debt securities. The senior debt securities and the subordinated debt securities will be issued under separate indentures among us,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The Indentures will be subject to and governed by certain provisions of the Trust Indenture Act of 1939, as amended (the “Trust Indenture Act”), and we refer you to the Indentures and the Trust Indenture Act for a statement of such provisions. Capitalized terms used in the summary have the meanings specified in the Indentures.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Indenture. The debt securities will be our unsecured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be subordinated in right of payment to the prior payment in full of all of our Senior Debt as described under “Subordination of Subordinated Debt Securities” and in the prospectus supplement applicable to any subordinated debt securities. If the prospectus supplement so indicates, the debt securities will be convertible into our common stock or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the price or prices at which the debt securities to be offered will be issued and will describe the following terms of such debt securities: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10287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and authorized denominations of the debt securities; </w:t>
      </w:r>
      <w:r>
        <mc:AlternateContent>
          <mc:Choice Requires="wps">
            <w:drawing>
              <wp:anchor behindDoc="0" distT="10287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senior debt securities or subordinated debt securities and, if subordinated debt securities, the related subordination terms; </w:t>
      </w:r>
      <w:r>
        <mc:AlternateContent>
          <mc:Choice Requires="wps">
            <w:drawing>
              <wp:anchor behindDoc="0" distT="10287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debt securities of the series; </w:t>
      </w:r>
      <w:r>
        <mc:AlternateContent>
          <mc:Choice Requires="wps">
            <w:drawing>
              <wp:anchor behindDoc="0" distT="10287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10287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principal of the debt securities will be payable; </w:t>
      </w:r>
      <w:r>
        <mc:AlternateContent>
          <mc:Choice Requires="wps">
            <w:drawing>
              <wp:anchor behindDoc="0" distT="0" distB="0" distL="254000" distR="0" simplePos="0" locked="0" layoutInCell="1" allowOverlap="1" relativeHeight="174">
                <wp:simplePos x="0" y="0"/>
                <wp:positionH relativeFrom="column">
                  <wp:align>left</wp:align>
                </wp:positionH>
                <wp:positionV relativeFrom="line">
                  <wp:posOffset>635</wp:posOffset>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that the debt securities will bear and the interest payment dates for the debt securities; </w:t>
      </w:r>
      <w:r>
        <mc:AlternateContent>
          <mc:Choice Requires="wps">
            <w:drawing>
              <wp:anchor behindDoc="0" distT="9779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interest will accrue; </w:t>
      </w:r>
      <w:r>
        <mc:AlternateContent>
          <mc:Choice Requires="wps">
            <w:drawing>
              <wp:anchor behindDoc="0" distT="9779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regular record date for the interest payable on any interest payment date; </w:t>
      </w:r>
      <w:r>
        <mc:AlternateContent>
          <mc:Choice Requires="wps">
            <w:drawing>
              <wp:anchor behindDoc="0" distT="9779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places where payments on the debt securities will be payable; </w:t>
      </w:r>
      <w:r>
        <mc:AlternateContent>
          <mc:Choice Requires="wps">
            <w:drawing>
              <wp:anchor behindDoc="0" distT="97790" distB="0" distL="254000" distR="0" simplePos="0" locked="0" layoutInCell="1" allowOverlap="1" relativeHeight="178">
                <wp:simplePos x="0" y="0"/>
                <wp:positionH relativeFrom="column">
                  <wp:align>left</wp:align>
                </wp:positionH>
                <wp:positionV relativeFrom="line">
                  <wp:align>top</wp:align>
                </wp:positionV>
                <wp:extent cx="254000" cy="52578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 of payment of principal and interest; </w:t>
      </w:r>
      <w:r>
        <mc:AlternateContent>
          <mc:Choice Requires="wps">
            <w:drawing>
              <wp:anchor behindDoc="0" distT="97790" distB="0" distL="254000" distR="0" simplePos="0" locked="0" layoutInCell="1" allowOverlap="1" relativeHeight="179">
                <wp:simplePos x="0" y="0"/>
                <wp:positionH relativeFrom="column">
                  <wp:align>left</wp:align>
                </wp:positionH>
                <wp:positionV relativeFrom="line">
                  <wp:align>top</wp:align>
                </wp:positionV>
                <wp:extent cx="254000" cy="525780"/>
                <wp:effectExtent l="0" t="0" r="0" b="0"/>
                <wp:wrapSquare wrapText="right"/>
                <wp:docPr id="177" name="Frame1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upon which the debt securities may be redeemed, in whole or in part, at our option; </w:t>
      </w:r>
      <w:r>
        <mc:AlternateContent>
          <mc:Choice Requires="wps">
            <w:drawing>
              <wp:anchor behindDoc="0" distT="97790" distB="0" distL="254000" distR="0" simplePos="0" locked="0" layoutInCell="1" allowOverlap="1" relativeHeight="180">
                <wp:simplePos x="0" y="0"/>
                <wp:positionH relativeFrom="column">
                  <wp:align>left</wp:align>
                </wp:positionH>
                <wp:positionV relativeFrom="line">
                  <wp:align>top</wp:align>
                </wp:positionV>
                <wp:extent cx="254000" cy="52578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sinking fund or other provisions that would obligate us to repurchase or otherwise redeem the debt securities; </w:t>
      </w:r>
      <w:r>
        <mc:AlternateContent>
          <mc:Choice Requires="wps">
            <w:drawing>
              <wp:anchor behindDoc="0" distT="97790" distB="0" distL="254000" distR="0" simplePos="0" locked="0" layoutInCell="1" allowOverlap="1" relativeHeight="181">
                <wp:simplePos x="0" y="0"/>
                <wp:positionH relativeFrom="column">
                  <wp:align>left</wp:align>
                </wp:positionH>
                <wp:positionV relativeFrom="line">
                  <wp:align>top</wp:align>
                </wp:positionV>
                <wp:extent cx="254000" cy="52578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if less than all, of the debt securities that will be payable upon declaration of acceleration of the Maturity of the debt securities; </w:t>
      </w:r>
      <w:r>
        <mc:AlternateContent>
          <mc:Choice Requires="wps">
            <w:drawing>
              <wp:anchor behindDoc="0" distT="97790" distB="0" distL="254000" distR="0" simplePos="0" locked="0" layoutInCell="1" allowOverlap="1" relativeHeight="182">
                <wp:simplePos x="0" y="0"/>
                <wp:positionH relativeFrom="column">
                  <wp:align>left</wp:align>
                </wp:positionH>
                <wp:positionV relativeFrom="line">
                  <wp:align>top</wp:align>
                </wp:positionV>
                <wp:extent cx="254000" cy="52578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defeasible; </w:t>
      </w:r>
      <w:r>
        <mc:AlternateContent>
          <mc:Choice Requires="wps">
            <w:drawing>
              <wp:anchor behindDoc="0" distT="97790" distB="0" distL="254000" distR="0" simplePos="0" locked="0" layoutInCell="1" allowOverlap="1" relativeHeight="183">
                <wp:simplePos x="0" y="0"/>
                <wp:positionH relativeFrom="column">
                  <wp:align>left</wp:align>
                </wp:positionH>
                <wp:positionV relativeFrom="line">
                  <wp:align>top</wp:align>
                </wp:positionV>
                <wp:extent cx="254000" cy="52578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w:t>
      </w:r>
      <w:r>
        <mc:AlternateContent>
          <mc:Choice Requires="wps">
            <w:drawing>
              <wp:anchor behindDoc="0" distT="97790" distB="0" distL="254000" distR="0" simplePos="0" locked="0" layoutInCell="1" allowOverlap="1" relativeHeight="184">
                <wp:simplePos x="0" y="0"/>
                <wp:positionH relativeFrom="column">
                  <wp:align>left</wp:align>
                </wp:positionH>
                <wp:positionV relativeFrom="line">
                  <wp:align>top</wp:align>
                </wp:positionV>
                <wp:extent cx="254000" cy="52578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convertible into our common stock or preferred stock and, if so, the terms and conditions upon which conversion will be effected, including the initial conversion price or conversion rate and any adjustments thereto and the conversion period; </w:t>
      </w:r>
      <w:r>
        <mc:AlternateContent>
          <mc:Choice Requires="wps">
            <w:drawing>
              <wp:anchor behindDoc="0" distT="97790" distB="0" distL="254000" distR="0" simplePos="0" locked="0" layoutInCell="1" allowOverlap="1" relativeHeight="185">
                <wp:simplePos x="0" y="0"/>
                <wp:positionH relativeFrom="column">
                  <wp:align>left</wp:align>
                </wp:positionH>
                <wp:positionV relativeFrom="line">
                  <wp:align>top</wp:align>
                </wp:positionV>
                <wp:extent cx="254000" cy="52578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in the Indenture applicable to the debt securities; </w:t>
      </w:r>
      <w:r>
        <mc:AlternateContent>
          <mc:Choice Requires="wps">
            <w:drawing>
              <wp:anchor behindDoc="0" distT="97790" distB="0" distL="254000" distR="0" simplePos="0" locked="0" layoutInCell="1" allowOverlap="1" relativeHeight="186">
                <wp:simplePos x="0" y="0"/>
                <wp:positionH relativeFrom="column">
                  <wp:align>left</wp:align>
                </wp:positionH>
                <wp:positionV relativeFrom="line">
                  <wp:align>top</wp:align>
                </wp:positionV>
                <wp:extent cx="254000" cy="525780"/>
                <wp:effectExtent l="0" t="0" r="0" b="0"/>
                <wp:wrapSquare wrapText="right"/>
                <wp:docPr id="184" name="Frame1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of our direct or indirect subsidiaries will guarantee the debt securities of that series, including the terms of subordination, if any, of such guarantees; </w:t>
      </w:r>
      <w:r>
        <mc:AlternateContent>
          <mc:Choice Requires="wps">
            <w:drawing>
              <wp:anchor behindDoc="0" distT="97790" distB="0" distL="254000" distR="0" simplePos="0" locked="0" layoutInCell="1" allowOverlap="1" relativeHeight="187">
                <wp:simplePos x="0" y="0"/>
                <wp:positionH relativeFrom="column">
                  <wp:align>left</wp:align>
                </wp:positionH>
                <wp:positionV relativeFrom="line">
                  <wp:align>top</wp:align>
                </wp:positionV>
                <wp:extent cx="254000" cy="525780"/>
                <wp:effectExtent l="0" t="0" r="0" b="0"/>
                <wp:wrapSquare wrapText="right"/>
                <wp:docPr id="185" name="Frame1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principal amount) at which we will sell the debt securities; </w:t>
      </w:r>
      <w:r>
        <mc:AlternateContent>
          <mc:Choice Requires="wps">
            <w:drawing>
              <wp:anchor behindDoc="0" distT="97790" distB="0" distL="254000" distR="0" simplePos="0" locked="0" layoutInCell="1" allowOverlap="1" relativeHeight="188">
                <wp:simplePos x="0" y="0"/>
                <wp:positionH relativeFrom="column">
                  <wp:align>left</wp:align>
                </wp:positionH>
                <wp:positionV relativeFrom="line">
                  <wp:align>top</wp:align>
                </wp:positionV>
                <wp:extent cx="254000" cy="525780"/>
                <wp:effectExtent l="0" t="0" r="0" b="0"/>
                <wp:wrapSquare wrapText="right"/>
                <wp:docPr id="186" name="Frame1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r>
        <mc:AlternateContent>
          <mc:Choice Requires="wps">
            <w:drawing>
              <wp:anchor behindDoc="0" distT="97790" distB="0" distL="254000" distR="0" simplePos="0" locked="0" layoutInCell="1" allowOverlap="1" relativeHeight="189">
                <wp:simplePos x="0" y="0"/>
                <wp:positionH relativeFrom="column">
                  <wp:align>left</wp:align>
                </wp:positionH>
                <wp:positionV relativeFrom="line">
                  <wp:align>top</wp:align>
                </wp:positionV>
                <wp:extent cx="254000" cy="52578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on transfer, sale or assignment of the debt securities; and </w:t>
      </w:r>
      <w:r>
        <mc:AlternateContent>
          <mc:Choice Requires="wps">
            <w:drawing>
              <wp:anchor behindDoc="0" distT="97790" distB="0" distL="254000" distR="0" simplePos="0" locked="0" layoutInCell="1" allowOverlap="1" relativeHeight="190">
                <wp:simplePos x="0" y="0"/>
                <wp:positionH relativeFrom="column">
                  <wp:align>left</wp:align>
                </wp:positionH>
                <wp:positionV relativeFrom="line">
                  <wp:align>top</wp:align>
                </wp:positionV>
                <wp:extent cx="254000" cy="525780"/>
                <wp:effectExtent l="0" t="0" r="0" b="0"/>
                <wp:wrapSquare wrapText="right"/>
                <wp:docPr id="188" name="Frame18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not inconsistent with the provisions of the Indenture. </w:t>
      </w:r>
      <w:r>
        <mc:AlternateContent>
          <mc:Choice Requires="wps">
            <w:drawing>
              <wp:anchor behindDoc="0" distT="97790" distB="0" distL="254000" distR="0" simplePos="0" locked="0" layoutInCell="1" allowOverlap="1" relativeHeight="191">
                <wp:simplePos x="0" y="0"/>
                <wp:positionH relativeFrom="column">
                  <wp:align>left</wp:align>
                </wp:positionH>
                <wp:positionV relativeFrom="line">
                  <wp:align>top</wp:align>
                </wp:positionV>
                <wp:extent cx="254000" cy="52578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including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be our direct-unsecured obligations and will constitute senior indebtedness (in each case as defined in the applicable Supplemental Indenture) ranking on a parity with all of our other unsecured and unsubordinated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indebtedness evidenced by the subordinated debt securities will, to the extent set forth in the Subordinated Indenture with respect to each series of subordinated debt securities, be subordinate in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payment to the prior payment in full of all of our Senior Debt, including the senior debt securities, and it may also be senior in right of payment to all of our Subordinated Debt. The prospectus supplement relating to any subordinated debt securities will summarize the subordination provisions of the Subordinated Indenture applicable to that series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and effect of such provisions upon any payment or distribution respecting that series following any liquidation, dissolution or other winding up, or any assignment for the benefit of creditors or other marshaling of assets or any bankruptcy, insolvency or similar proceedings;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and effect of such provisions in the event of specified defaults with respect to any Senior Debt, including the circumstances under which and the periods in which we will be prohibited from making payments on the subordinated debt securities; and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Senior Debt applicable to the subordinated debt securities of that series and, if the series is issued on a senior subordinated basis, the definition of Subordinated Debt applicable to that series.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also describe as of a recent date the approximate amount of Senior Debt to which the subordinated debt securities of that series will be subordinated.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each series will be issuable only in fully registered form, without coupons, and, unless otherwise specified in the applicable prospectus supplement, only in denominations of $1,000 and integral multiples or divisions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notified us that it is unwilling or unable to continue as Depositary for such Global Security or has ceased to be qualified to act as such as required by the applicable Indenture, and in either case we fail to appoint a successor Depositary within 90 days; </w:t>
      </w:r>
      <w:r>
        <mc:AlternateContent>
          <mc:Choice Requires="wps">
            <w:drawing>
              <wp:anchor behindDoc="0" distT="8509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debt securities represented by such Global Security has occurred and is continuing and the Trustee has received a written request from the Depositary to issue certificated debt securities; or </w:t>
      </w:r>
      <w:r>
        <mc:AlternateContent>
          <mc:Choice Requires="wps">
            <w:drawing>
              <wp:anchor behindDoc="0" distT="8509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circumstances exist, in addition to or in lieu of those described above, as may be described in the applicable prospectus supplement. </w:t>
      </w:r>
      <w:r>
        <mc:AlternateContent>
          <mc:Choice Requires="wps">
            <w:drawing>
              <wp:anchor behindDoc="0" distT="8509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debt securities issued in exchange for a Global Security or any portion thereof will be registered in such names as the Depositary may direct.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the Company, the Trustees or the agents of the Company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into, or transfer, lease or otherwise dispose of all or substantially all of our assets to, any successor Person (a “successor Person”), and may not permit any Person to consolidate with or merge into us, unless: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(if any)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 </w:t>
      </w:r>
      <w:r>
        <mc:AlternateContent>
          <mc:Choice Requires="wps">
            <w:drawing>
              <wp:anchor behindDoc="0" distT="10033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before and after giving pro forma effect to the transaction, no Event of Default, and no event which, after notice or lapse of time or both, would become an Event of Default, has occurred and is continuing; </w:t>
      </w:r>
      <w:r>
        <mc:AlternateContent>
          <mc:Choice Requires="wps">
            <w:drawing>
              <wp:anchor behindDoc="0" distT="100330" distB="0" distL="254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Trustee an Officer’s Certificate and an Opinion of Counsel, each stating that such consolidation, merger, conveyance or transfer and such Supplemental Indenture comply with the foregoing provisions relating to such transaction; and </w:t>
      </w:r>
      <w:r>
        <mc:AlternateContent>
          <mc:Choice Requires="wps">
            <w:drawing>
              <wp:anchor behindDoc="0" distT="10033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several other conditions, including any additional conditions with respect to any particular debt securities specified in the applicable prospectus supplement, are met. </w:t>
      </w:r>
      <w:r>
        <mc:AlternateContent>
          <mc:Choice Requires="wps">
            <w:drawing>
              <wp:anchor behindDoc="0" distT="10160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each of the following will constitute an Event of Default under the applicable Indenture with respect to debt securities of any series: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of or any premium on any debt security of that series when due, whether or not, in the case of subordinated debt securities, such payment is prohibited by the subordination provisions of the Subordinated Indenture; </w:t>
      </w:r>
      <w:r>
        <mc:AlternateContent>
          <mc:Choice Requires="wps">
            <w:drawing>
              <wp:anchor behindDoc="0" distT="10160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interest on any debt securities of that series when due, continued for 30 days, whether or not, in the case of subordinated debt securities, such payment is prohibited by the subordination provisions of the Subordinated Indenture; </w:t>
      </w:r>
      <w:r>
        <mc:AlternateContent>
          <mc:Choice Requires="wps">
            <w:drawing>
              <wp:anchor behindDoc="0" distT="10160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deposit any sinking fund payment, when due, in respect of any debt security of that series, whether or not, in the case of subordinated debt securities, such deposit is prohibited by the subordination provisions of the Subordinated Indenture; </w:t>
      </w:r>
      <w:r>
        <mc:AlternateContent>
          <mc:Choice Requires="wps">
            <w:drawing>
              <wp:anchor behindDoc="0" distT="10160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or comply with the provisions described under “Consolidation, Merger and Sale of Assets”; </w:t>
      </w:r>
      <w:r>
        <mc:AlternateContent>
          <mc:Choice Requires="wps">
            <w:drawing>
              <wp:anchor behindDoc="0" distT="0" distB="0" distL="254000" distR="0" simplePos="0" locked="0" layoutInCell="1" allowOverlap="1" relativeHeight="205">
                <wp:simplePos x="0" y="0"/>
                <wp:positionH relativeFrom="column">
                  <wp:align>left</wp:align>
                </wp:positionH>
                <wp:positionV relativeFrom="line">
                  <wp:posOffset>635</wp:posOffset>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 </w:t>
      </w:r>
      <w:r>
        <mc:AlternateContent>
          <mc:Choice Requires="wps">
            <w:drawing>
              <wp:anchor behindDoc="0" distT="10160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affecting us or any Significant Subsidiary (as will be defined therein). </w:t>
      </w:r>
      <w:r>
        <mc:AlternateContent>
          <mc:Choice Requires="wps">
            <w:drawing>
              <wp:anchor behindDoc="0" distT="10160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with respect to the Company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the Company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“Modification and Waiver”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 debt security of any series will have any right to institute any proceeding with respect to the applicable Indenture, or for the appointment of a receiver or a Trustee, or for any other remedy thereunder, unless: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to the Trustee under the applicable Indenture written notice of a continuing Event of Default with respect to the debt securities of that series; </w:t>
      </w:r>
      <w:r>
        <mc:AlternateContent>
          <mc:Choice Requires="wps">
            <w:drawing>
              <wp:anchor behindDoc="0" distT="10160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the Outstanding debt securities of that series have made written request, and such Holder or Holders have offered reasonable indemnity, to the Trustee to institute such proceeding as trustee; and </w:t>
      </w:r>
      <w:r>
        <mc:AlternateContent>
          <mc:Choice Requires="wps">
            <w:drawing>
              <wp:anchor behindDoc="0" distT="0" distB="0" distL="254000" distR="0" simplePos="0" locked="0" layoutInCell="1" allowOverlap="1" relativeHeight="209">
                <wp:simplePos x="0" y="0"/>
                <wp:positionH relativeFrom="column">
                  <wp:align>left</wp:align>
                </wp:positionH>
                <wp:positionV relativeFrom="line">
                  <wp:posOffset>635</wp:posOffset>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failed to institute such proceeding, and has not received from the Holders of a majority in principal amount of the Outstanding debt securities of that series a direction inconsistent with such request, within 60 days after such notice, request and offer. </w:t>
      </w:r>
      <w:r>
        <mc:AlternateContent>
          <mc:Choice Requires="wps">
            <w:drawing>
              <wp:anchor behindDoc="0" distT="9779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without the consent of the Holders of the debt securities, enter into one or more Supplemental Indentures for, among others, one or more of the following purposes, provided that in the case of clauses (2), (3), (4) and (6), the interests of the Holders of debt securities would not be adversely affected: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corporation to us, and the assumption by such successor of our obligations under the applicable Indenture and the debt securities of any series; </w:t>
      </w:r>
      <w:r>
        <mc:AlternateContent>
          <mc:Choice Requires="wps">
            <w:drawing>
              <wp:anchor behindDoc="0" distT="9779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covenants by us, or surrender any of our rights conferred by the applicable Indenture, for the benefit of the Holders of debt securities of any or all series; </w:t>
      </w:r>
      <w:r>
        <mc:AlternateContent>
          <mc:Choice Requires="wps">
            <w:drawing>
              <wp:anchor behindDoc="0" distT="9779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omission, defect or inconsistency in or make any other provision with respect to questions arising under the applicable Indenture; </w:t>
      </w:r>
      <w:r>
        <mc:AlternateContent>
          <mc:Choice Requires="wps">
            <w:drawing>
              <wp:anchor behindDoc="0" distT="9779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any series of debt securities, including any subordinated securities; </w:t>
      </w:r>
      <w:r>
        <mc:AlternateContent>
          <mc:Choice Requires="wps">
            <w:drawing>
              <wp:anchor behindDoc="0" distT="9779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any successor Trustee with respect to one or more series of debt securities or to facilitate the administration of the trusts thereunder by one or more Trustees in accordance with the applicable Indenture; and </w:t>
      </w:r>
      <w:r>
        <mc:AlternateContent>
          <mc:Choice Requires="wps">
            <w:drawing>
              <wp:anchor behindDoc="0" distT="97790" distB="0" distL="25400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any additional Events of Default. </w:t>
      </w:r>
      <w:r>
        <mc:AlternateContent>
          <mc:Choice Requires="wps">
            <w:drawing>
              <wp:anchor behindDoc="0" distT="9906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Modifications and amendments of an Indenture may be made by us and the applicable Trustee with the consent of the Holders of a majority in principal amount of the Outstanding debt securities of each series affected by such modification or amendment;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such modification or amendment may, without the consent of the Holder of each Outstanding debt security affected thereby: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installment of principal of or interest on, any debt security; </w:t>
      </w:r>
      <w:r>
        <mc:AlternateContent>
          <mc:Choice Requires="wps">
            <w:drawing>
              <wp:anchor behindDoc="0" distT="9906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any premium or interest on, any debt security; </w:t>
      </w:r>
      <w:r>
        <mc:AlternateContent>
          <mc:Choice Requires="wps">
            <w:drawing>
              <wp:anchor behindDoc="0" distT="9906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of an Original Issue Discount Security or any other debt security payable upon acceleration of the Maturity thereof; </w:t>
      </w:r>
      <w:r>
        <mc:AlternateContent>
          <mc:Choice Requires="wps">
            <w:drawing>
              <wp:anchor behindDoc="0" distT="9906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or currency of payment of principal of, or any premium or interest on, any debt security; </w:t>
      </w:r>
      <w:r>
        <mc:AlternateContent>
          <mc:Choice Requires="wps">
            <w:drawing>
              <wp:anchor behindDoc="0" distT="99060" distB="0" distL="25400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due on or any conversion right with respect to any debt security; </w:t>
      </w:r>
      <w:r>
        <mc:AlternateContent>
          <mc:Choice Requires="wps">
            <w:drawing>
              <wp:anchor behindDoc="0" distT="97790" distB="0" distL="25400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subordination provisions in the case of subordinated debt securities, or modify any conversion provisions, in either case in a manner adverse to the Holders of the subordinated debt securities; </w:t>
      </w:r>
      <w:r>
        <mc:AlternateContent>
          <mc:Choice Requires="wps">
            <w:drawing>
              <wp:anchor behindDoc="0" distT="97790" distB="0" distL="25400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Outstanding debt securities of any series, the consent of whose Holders is required for modification or amendment of the Indenture; </w:t>
      </w:r>
      <w:r>
        <mc:AlternateContent>
          <mc:Choice Requires="wps">
            <w:drawing>
              <wp:anchor behindDoc="0" distT="0" distB="0" distL="254000" distR="0" simplePos="0" locked="0" layoutInCell="1" allowOverlap="1" relativeHeight="223">
                <wp:simplePos x="0" y="0"/>
                <wp:positionH relativeFrom="column">
                  <wp:align>left</wp:align>
                </wp:positionH>
                <wp:positionV relativeFrom="line">
                  <wp:posOffset>635</wp:posOffset>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Outstanding debt securities of any series necessary for waiver of compliance with certain provisions of the Indenture or for waiver of certain defaults; or </w:t>
      </w:r>
      <w:r>
        <mc:AlternateContent>
          <mc:Choice Requires="wps">
            <w:drawing>
              <wp:anchor behindDoc="0" distT="100330" distB="0" distL="25400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such provisions with respect to modification, amendment or waiver. </w:t>
      </w:r>
      <w:r>
        <mc:AlternateContent>
          <mc:Choice Requires="wps">
            <w:drawing>
              <wp:anchor behindDoc="0" distT="10033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any series may waive compliance by us with certain restrictive provisions of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Indentures provides that in determining whether the Holders of the requisite principal amount of the Outstanding debt securities have given or taken any direction, notice, consent, waiver or other action under such Indenture as of any date: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Original Issue Discount Security that will be deemed to be Outstanding will be the amount of the principal that would be due and payable as of such date upon acceleration of maturity to such date; </w:t>
      </w:r>
      <w:r>
        <mc:AlternateContent>
          <mc:Choice Requires="wps">
            <w:drawing>
              <wp:anchor behindDoc="0" distT="10033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w:t>
      </w:r>
      <w:r>
        <mc:AlternateContent>
          <mc:Choice Requires="wps">
            <w:drawing>
              <wp:anchor behindDoc="0" distT="10033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w:t>
      </w:r>
      <w:r>
        <mc:AlternateContent>
          <mc:Choice Requires="wps">
            <w:drawing>
              <wp:anchor behindDoc="0" distT="10033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debt securities, including those owned by us or any of our other Affiliates, will not be deemed to be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be discharged and will cease to be of further effect as to all Outstanding debt securities of any series issued thereunder, when: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10160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r>
        <mc:AlternateContent>
          <mc:Choice Requires="wps">
            <w:drawing>
              <wp:anchor behindDoc="0" distT="101600" distB="0" distL="508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 </w:t>
      </w:r>
      <w:r>
        <mc:AlternateContent>
          <mc:Choice Requires="wps">
            <w:drawing>
              <wp:anchor behindDoc="0" distT="0" distB="0" distL="508000" distR="0" simplePos="0" locked="0" layoutInCell="1" allowOverlap="1" relativeHeight="231">
                <wp:simplePos x="0" y="0"/>
                <wp:positionH relativeFrom="column">
                  <wp:align>left</wp:align>
                </wp:positionH>
                <wp:positionV relativeFrom="line">
                  <wp:posOffset>635</wp:posOffset>
                </wp:positionV>
                <wp:extent cx="254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payable by us under the Indenture with respect to the debt securities of that series; and </w:t>
      </w:r>
      <w:r>
        <mc:AlternateContent>
          <mc:Choice Requires="wps">
            <w:drawing>
              <wp:anchor behindDoc="0" distT="10541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an Officers’ Certificate and an Opinion of Counsel to the Trustee, each stating that all conditions precedent to satisfaction and discharge of the Indenture with respect to the debt securities of that series have been satisfied. </w:t>
      </w:r>
      <w:r>
        <mc:AlternateContent>
          <mc:Choice Requires="wps">
            <w:drawing>
              <wp:anchor behindDoc="0" distT="10541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to the extent indicated in the applicable prospectus supplement, we may elect, at our option at any time, to have our obligations discharged under the provisions relating to defeasance and discharge of indebtedness, which we call “legal defeasance,” relating to defeasance of certain restrictive covenants applied to the debt securities of any series, or to any specified part of a series, which we call “covenant defeasance.”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The Indentures provide that, upon our exercise of our option (if any) to have the legal defeasance provisions applied to any debt securities, we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 </w:t>
      </w:r>
      <w:r>
        <mc:AlternateContent>
          <mc:Choice Requires="wps">
            <w:drawing>
              <wp:anchor behindDoc="0" distT="10541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 </w:t>
      </w:r>
      <w:r>
        <mc:AlternateContent>
          <mc:Choice Requires="wps">
            <w:drawing>
              <wp:anchor behindDoc="0" distT="10541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deposit and legal defeasance will not result in a breach or violation of, or constitute a default under, any agreement or instrument to which we are a party or by which we are bound; </w:t>
      </w:r>
      <w:r>
        <mc:AlternateContent>
          <mc:Choice Requires="wps">
            <w:drawing>
              <wp:anchor behindDoc="0" distT="10541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 </w:t>
      </w:r>
      <w:r>
        <mc:AlternateContent>
          <mc:Choice Requires="wps">
            <w:drawing>
              <wp:anchor behindDoc="0" distT="10541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Opinion of Counsel to the effect that such deposit shall not cause the Trustee or the trust so created to be subject to the Investment Company Act of 1940, as amended. </w:t>
      </w:r>
      <w:r>
        <mc:AlternateContent>
          <mc:Choice Requires="wps">
            <w:drawing>
              <wp:anchor behindDoc="0" distT="0" distB="0" distL="254000" distR="0" simplePos="0" locked="0" layoutInCell="1" allowOverlap="1" relativeHeight="238">
                <wp:simplePos x="0" y="0"/>
                <wp:positionH relativeFrom="column">
                  <wp:align>left</wp:align>
                </wp:positionH>
                <wp:positionV relativeFrom="line">
                  <wp:posOffset>635</wp:posOffset>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 Defeasance.   </w:t>
      </w:r>
      <w:r>
        <w:rPr>
          <w:rFonts w:ascii="Times New Roman;Times;serif" w:hAnsi="Times New Roman;Times;serif"/>
          <w:b w:val="false"/>
          <w:i w:val="false"/>
          <w:caps w:val="false"/>
          <w:smallCaps w:val="false"/>
          <w:color w:val="000000"/>
          <w:spacing w:val="4"/>
          <w:sz w:val="20"/>
        </w:rPr>
        <w:t xml:space="preserve">The Indentures provide that, upon our exercise of our option (if any) to have the covenant defeasance provisions applied to any debt securities, 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exercise either our legal defeasance or covenant defeasance option, any subsidiary guarantees will terminate.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Notices to Holders of debt securities will be given by mail to the addresses of such Holders as they may appear in the Security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Title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Trustees and any agent of us or a Trustee may treat the Person in whose name a debt security is registered as the absolute owner of the debt security (whether or not such debt security may be overdue) for the purpose of making payment and for all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and the debt securities will be governed by, and construed in accordance with, the law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enter into the Indentures with a Trustee that is qualified to act under the Trust Indenture Act and with any other Trustees chosen by us and appointed in a supplemental indenture for a particular series of debt securities. We may maintain a banking relationship in the ordinary course of business with our Trustee and one or more of its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Resignation or Removal of Trustee.   </w:t>
      </w:r>
      <w:r>
        <w:rPr>
          <w:rFonts w:ascii="Times New Roman;Times;serif" w:hAnsi="Times New Roman;Times;serif"/>
          <w:b w:val="false"/>
          <w:i w:val="false"/>
          <w:caps w:val="false"/>
          <w:smallCaps w:val="false"/>
          <w:color w:val="000000"/>
          <w:spacing w:val="4"/>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Indenture. Any resignation will require the appointment of a successor Trustee under the applicable Indenture in accordance with the terms and conditions of such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Limitations on Trustee if It Is Our Creditor.   </w:t>
      </w:r>
      <w:r>
        <w:rPr>
          <w:rFonts w:ascii="Times New Roman;Times;serif" w:hAnsi="Times New Roman;Times;serif"/>
          <w:b w:val="false"/>
          <w:i w:val="false"/>
          <w:caps w:val="false"/>
          <w:smallCaps w:val="false"/>
          <w:color w:val="000000"/>
          <w:spacing w:val="4"/>
          <w:sz w:val="20"/>
        </w:rPr>
        <w:t xml:space="preserve">Each Indenture will contain certain limitations on the right of the Trustee, in the event that it becomes our creditor, to obtain payment of claims in certain cases, or to realize on certain property received in respect of any such claim as security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Certificates and Opinions to Be Furnished to Trustee.   </w:t>
      </w:r>
      <w:r>
        <w:rPr>
          <w:rFonts w:ascii="Times New Roman;Times;serif" w:hAnsi="Times New Roman;Times;serif"/>
          <w:b w:val="false"/>
          <w:i w:val="false"/>
          <w:caps w:val="false"/>
          <w:smallCaps w:val="false"/>
          <w:color w:val="000000"/>
          <w:spacing w:val="4"/>
          <w:sz w:val="20"/>
        </w:rPr>
        <w:t>Each Indenture will provide that, in addition to other certificates or opinions that may be specifically required by other provisions of an Indenture, every application by us for action by the Trustee must be accompanied by an Officers’ Certificate and an Opinion of Counsel stating that, in the opinion of the signers, all conditions precedent to such action have been complied with by 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O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by this prospectus and applicable prospectus supplements may be sold from time to time in one or more of the following ways: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dealers; </w:t>
      </w:r>
      <w:r>
        <mc:AlternateContent>
          <mc:Choice Requires="wps">
            <w:drawing>
              <wp:anchor behindDoc="0" distT="7239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239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239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to or through a market maker or into an existing trading market, or a securities exchange or otherwise; </w:t>
      </w:r>
      <w:r>
        <mc:AlternateContent>
          <mc:Choice Requires="wps">
            <w:drawing>
              <wp:anchor behindDoc="0" distT="7239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securities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239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239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or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such methods of sale or by any other legally available means.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relating to the securities will set forth: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offering terms, including the name or names of any underwriters, dealers or agents;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and the proceeds to us from such sale;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compensation to underwriters, dealers or agents;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by underwriters or dealers to other dealers; and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sale of the securities described in this prospectus and applicable prospectus supplement by us or the underwriters or the third parties described above may be effected from time to time in one or more transactions, including privately negotiated transactions, either: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366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including in “at the market offerings”; </w:t>
      </w:r>
      <w:r>
        <mc:AlternateContent>
          <mc:Choice Requires="wps">
            <w:drawing>
              <wp:anchor behindDoc="0" distT="7366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366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366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hedging, forward sale, option or other types of transactions with third parties, or sell securities not covered by this prospectus to third parties, through a stock exchange, including block trades or ordinary broker’s transactions, or through broker-dealers acting either as principal or agent, or through an underwritten public offering, through privately negotiated transactions or through a combination of any such methods of sale.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or hedge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costs relating to all of the securities being registered under the registration statement of which this prospectus forms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agents, dealers and underwriters to indemnify them against civil liabilities, including liabilities under the Securities Act, or to contribute with respect to payments that the agents, dealers or underwriters may be required to make. Agents, dealers and underwriters may engage in transactions with us or perform services for us in the ordinary course of their businesses.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conditions, and the underwriters will be obligated to purchase all the securities if they purchase any securities. The underwriters may change from time to time any initial public offering price and any discounts or concessions allowed or reallowed or paid to dealers.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securities in the open market. These transactions may include over allotment and stabilizing transactions and purchases to cover syndicate short positions created in connection with the offering. The underwriters may also impose a penalty bid, whereby selling concessions allowed to syndicate members or other broker-dealers for the offered securities sold for their account may be reclaimed by the syndicate if such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these activities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dealers in the sale of securities, we will sell the securities to them as principals. They may then resell the securities to the public at varying prices determined by the dealers at the time of resale. The dealers participating in any sale of the securities may be deemed to be underwriters within the meaning of the Securities Act with respect to any sale of the securities. We will include in any prospectus supplement the names of the dealers and the terms of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broker-dealers or other persons acting on our behalf that participate with us in the distribution of the securities may be deemed to be underwriters and any commissions received or profit realized by them on the resale of the securities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requirement by the Financial Industry Regulatory Authority, or FINRA, the maximum commission or discount to be received by any FINRA member or independent broker-dealer may not be greater than 8% of the gross proceeds received by us for the sale of any securities being registered pursuant to SEC Rule 415 under the Securities Act. 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In that event, no underwriters or agents would be involved. We may also sell the securities through agents we designate from time to time. In the prospectus supplement, we will name any agent involved in the offer or sale of the securities, and we will describe any commissions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by us to the agent. Unless we inform you otherwise in the prospectus supplement, any agent will agree to use its reasonable best efforts to solicit purchases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the securities. We will describe the terms of any such sales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Subscription Offerings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LEMA"/>
      <w:bookmarkEnd w:id="26"/>
      <w:r>
        <w:rPr>
          <w:rFonts w:ascii="calibri;arial;sans-serif" w:hAnsi="calibri;arial;sans-serif"/>
          <w:b w:val="false"/>
          <w:i w:val="false"/>
          <w:caps w:val="false"/>
          <w:smallCaps w:val="false"/>
          <w:color w:val="000000"/>
          <w:sz w:val="16"/>
        </w:rPr>
        <w:t>​</w:t>
      </w:r>
      <w:bookmarkStart w:id="27" w:name="tEXP"/>
      <w:bookmarkEnd w:id="27"/>
      <w:r>
        <w:rPr>
          <w:rFonts w:ascii="calibri;arial;sans-serif" w:hAnsi="calibri;arial;sans-serif"/>
          <w:b w:val="false"/>
          <w:i w:val="false"/>
          <w:caps w:val="false"/>
          <w:smallCaps w:val="false"/>
          <w:color w:val="000000"/>
          <w:sz w:val="16"/>
        </w:rPr>
        <w:t>​</w:t>
      </w:r>
      <w:bookmarkStart w:id="28" w:name="tWYCF"/>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Mayer Brown LLP, will pass on the validity of certain of the securities offered by this prospectus. Fennemore Craig, P.C., Reno, Nevada, will issue an opinion about certain Nevada law matters in connection with certain of the securities offered by this prospectus. Any underwriters, dealers or agents will be advised about legal matters relating to any offering by their own legal counsel, which will be named in the related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Evolution Petroleum Corporation incorporated in this prospectus by reference from the Company’s Annual Report on Form 10-K for the year ended June 30, 2025, have been audited by Baker Tilly US, LLP, an independent registered public accounting firm, as stated in their report. Such consolidated financial statements are incorporated by reference in reliance upon the report of such firm given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estimates of the oil and gas reserves for Evolution Petroleum Corporation and subsidiaries and related future net cash flows and the present values thereof incorporated by reference in this prospectus were based in part upon engineering reports prepared by DeGolyer and MacNaughton and Cawley, Gillespie and Associates, Inc., both independent petroleum engineers. These estimates are included and incorporated herein in reliance on the authority of such firm as an expert in such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 and periodic reporting requirements of the Exchange Act, and, in accordance therewith, file periodic reports, proxy statements and other information with the SEC. Such periodic reports, proxy statements and other information are available at the website of the SEC at http://www.sec.gov. We also furnish our stockholders with annual reports containing our financial statements audited by an independent registered public accounting firm and quarterly reports containing our unaudited financial information. We maintain a website at www.evolutionpetroleum.com.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this material is electronically filed with, or furnished to, the SEC. Information contained on, or that is or becomes accessible through, our website does not constitute a part of this prospectus. The reference to our website or web address does not constitute incorporation by reference of the information contained at that site.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 should rely only on the information contained or incorporated by reference in this prospectus and the applicable prospectus supplement. We have not authorized anyone else to provide you with additional or different information. We may only use this prospectus to sell securities if it is accompanied by a prospectus supplement. We are only offering these securities in states where the offer is permitted. You should not assume that the information in this prospectus or the applicable prospectus supplement is accurate as of any date other than the dates on the front of these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IIBR"/>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 this prospectus the documents that we file with the SEC. This means that we are disclosing important information to you by referring to these filings. The information we incorporate by reference is considered a part of this prospectus, and subsequent information that we file with the SEC will automatically update and supersede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considered to be incorporated by reference in this prospectus shall be considered to be modified or superseded for purposes of this prospectus to the extent that a statement contained in this prospectus or in any other subsequently filed document that is considered to be incorporated by reference in this prospectus modifies or supersedes such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following documents that we have filed with the SEC (in each case, other than any portions of any such documents that are not deemed “filed” under the Exchange Act in accordance with the Exchange Act and applicable SEC rules): </w:t>
      </w:r>
    </w:p>
    <w:p>
      <w:pPr>
        <w:pStyle w:val="TextBody"/>
        <w:bidi w:val="0"/>
        <w:spacing w:lineRule="atLeast" w:line="240" w:before="120" w:after="0"/>
        <w:ind w:left="1993" w:right="0" w:hanging="0"/>
        <w:jc w:val="left"/>
        <w:rPr/>
      </w:pPr>
      <w:hyperlink r:id="rId26">
        <w:r>
          <w:rPr>
            <w:rStyle w:val="InternetLink"/>
          </w:rPr>
          <w:t>Annual Report on Form 10-K for the fiscal year ended June 30, 2025, filed on September 17, 2025</w:t>
        </w:r>
      </w:hyperlink>
      <w:r>
        <w:rPr>
          <w:rFonts w:ascii="Times New Roman;Times;serif" w:hAnsi="Times New Roman;Times;serif"/>
          <w:b w:val="false"/>
          <w:i w:val="false"/>
          <w:caps w:val="false"/>
          <w:smallCaps w:val="false"/>
          <w:color w:val="000000"/>
          <w:spacing w:val="4"/>
          <w:sz w:val="20"/>
        </w:rPr>
        <w:t xml:space="preserve">, including information specifically incorporated by reference into our Annual Report on Form 10-K from our </w:t>
      </w:r>
      <w:hyperlink r:id="rId27">
        <w:r>
          <w:rPr>
            <w:rStyle w:val="InternetLink"/>
          </w:rPr>
          <w:t>Definitive Proxy Statement on Schedule 14A, filed on October 23, 2025</w:t>
        </w:r>
      </w:hyperlink>
      <w:r>
        <w:rPr>
          <w:rFonts w:ascii="Times New Roman;Times;serif" w:hAnsi="Times New Roman;Times;serif"/>
          <w:b w:val="false"/>
          <w:i w:val="false"/>
          <w:caps w:val="false"/>
          <w:smallCaps w:val="false"/>
          <w:color w:val="000000"/>
          <w:spacing w:val="4"/>
          <w:sz w:val="20"/>
        </w:rPr>
        <w:t xml:space="preserve">, for our Annual Meeting of Stockholders held on December 4, 2025;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28">
        <w:r>
          <w:rPr>
            <w:rStyle w:val="InternetLink"/>
          </w:rPr>
          <w:t>Quarterly Report on Form 10-Q for the fiscal quarter ended September 30, 2025, filed on November 12,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on </w:t>
      </w:r>
      <w:hyperlink r:id="rId29">
        <w:r>
          <w:rPr>
            <w:rStyle w:val="InternetLink"/>
          </w:rPr>
          <w:t>November 12, 2025</w:t>
        </w:r>
      </w:hyperlink>
      <w:r>
        <w:rPr>
          <w:rFonts w:ascii="Times New Roman;Times;serif" w:hAnsi="Times New Roman;Times;serif"/>
          <w:b w:val="false"/>
          <w:i w:val="false"/>
          <w:caps w:val="false"/>
          <w:smallCaps w:val="false"/>
          <w:color w:val="000000"/>
          <w:spacing w:val="4"/>
          <w:sz w:val="20"/>
        </w:rPr>
        <w:t xml:space="preserve"> and </w:t>
      </w:r>
      <w:hyperlink r:id="rId30">
        <w:r>
          <w:rPr>
            <w:rStyle w:val="InternetLink"/>
          </w:rPr>
          <w:t>December 9,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the Company’s common stock contained in its registration statement on </w:t>
      </w:r>
      <w:hyperlink r:id="rId31">
        <w:r>
          <w:rPr>
            <w:rStyle w:val="InternetLink"/>
          </w:rPr>
          <w:t>Form 8-A filed on July 13, 2006</w:t>
        </w:r>
      </w:hyperlink>
      <w:r>
        <w:rPr>
          <w:rFonts w:ascii="Times New Roman;Times;serif" w:hAnsi="Times New Roman;Times;serif"/>
          <w:b w:val="false"/>
          <w:i w:val="false"/>
          <w:caps w:val="false"/>
          <w:smallCaps w:val="false"/>
          <w:color w:val="000000"/>
          <w:spacing w:val="4"/>
          <w:sz w:val="20"/>
        </w:rPr>
        <w:t xml:space="preserve">, and any amendment or report that may be filed from time to time for the purpose of updating, changing or modifying the description of the Company’s common stock.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incorporate by reference into this prospectus, any future filings we make with the SEC under Sections 13(a), 13(c), 14 or 15(d) of the Exchange Act, (i) following the date of the registration statement that contains this prospectus but prior to the effectiveness of such registration statement or (ii) after the date of this prospectus and prior to the time that we sell all the securities offered by this prospectus or each offering under this prospectus is otherwise terminated (in each case, other than any portions of any such documents that are not deemed “filed” under the Exchange Act in accordance with the Exchange Act and applicable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provide without charge to each person, including any beneficial owner, to whom a copy of this prospectus is delivered, upon written or oral request, a copy of any or all of the foregoing documents incorporated herein by reference (other than exhibits unless such exhibits are specifically incorporated by reference in such documents). Requests for copies should be directed to Ryan Stash, Senior Vice President, Chief Financial Officer and Treasurer, Evolution Petroleum Corporation, 1155 Dairy Ashford Road, Suite 425, Houston, Texas 77079, telephone (713) 935-0122.</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751" w:after="283"/>
        <w:jc w:val="center"/>
        <w:rPr>
          <w:caps w:val="false"/>
          <w:smallCaps w:val="false"/>
          <w:color w:val="000000"/>
        </w:rPr>
      </w:pPr>
      <w:r>
        <w:rPr>
          <w:caps w:val="false"/>
          <w:smallCaps w:val="false"/>
          <w:color w:val="000000"/>
        </w:rPr>
        <w:drawing>
          <wp:inline distT="0" distB="0" distL="0" distR="0">
            <wp:extent cx="2466975" cy="657225"/>
            <wp:effectExtent l="0" t="0" r="0" b="0"/>
            <wp:docPr id="26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3" descr=""/>
                    <pic:cNvPicPr>
                      <a:picLocks noChangeAspect="1" noChangeArrowheads="1"/>
                    </pic:cNvPicPr>
                  </pic:nvPicPr>
                  <pic:blipFill>
                    <a:blip r:embed="rId32"/>
                    <a:stretch>
                      <a:fillRect/>
                    </a:stretch>
                  </pic:blipFill>
                  <pic:spPr bwMode="auto">
                    <a:xfrm>
                      <a:off x="0" y="0"/>
                      <a:ext cx="24669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797"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Evolution Petroleum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3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2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400" w:before="120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Roth Capital Partners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2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 2026</w:t>
      </w:r>
      <w:r>
        <w:rPr>
          <w:rFonts w:ascii="Times New Roman;Times;serif" w:hAnsi="Times New Roman;Times;serif"/>
          <w:b w:val="false"/>
          <w:i w:val="false"/>
          <w:caps w:val="false"/>
          <w:smallCaps w:val="false"/>
          <w:color w:val="000000"/>
          <w:sz w:val="20"/>
        </w:rPr>
        <w:t xml:space="preserve"> </w:t>
      </w:r>
    </w:p>
    <w:p>
      <w:pPr>
        <w:pStyle w:val="TextBody"/>
        <w:bidi w:val="0"/>
        <w:spacing w:before="1749"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06655/000110465925090839/epm-20250630x10k.htm" TargetMode="External"/><Relationship Id="rId4" Type="http://schemas.openxmlformats.org/officeDocument/2006/relationships/hyperlink" Target="https://www.sec.gov/ix?doc=/Archives/edgar/data/1006655/000110465925090839/epm-20250630x10k.htm" TargetMode="External"/><Relationship Id="rId5" Type="http://schemas.openxmlformats.org/officeDocument/2006/relationships/hyperlink" Target="https://www.sec.gov/ix?doc=/Archives/edgar/data/1006655/000110465925090839/epm-20250630x10k.htm" TargetMode="External"/><Relationship Id="rId6" Type="http://schemas.openxmlformats.org/officeDocument/2006/relationships/hyperlink" Target="https://www.sec.gov/ix?doc=/Archives/edgar/data/1006655/000110465926060249/epm-20260331x10q.htm" TargetMode="External"/><Relationship Id="rId7" Type="http://schemas.openxmlformats.org/officeDocument/2006/relationships/hyperlink" Target="https://www.sec.gov/ix?doc=/Archives/edgar/data/1006655/000110465925090839/epm-20250630x10k.htm" TargetMode="External"/><Relationship Id="rId8" Type="http://schemas.openxmlformats.org/officeDocument/2006/relationships/hyperlink" Target="https://www.sec.gov/ix?doc=/Archives/edgar/data/1006655/000110465925090839/epm-20250630x10k.htm" TargetMode="External"/><Relationship Id="rId9" Type="http://schemas.openxmlformats.org/officeDocument/2006/relationships/hyperlink" Target="https://www.sec.gov/ix?doc=/Archives/edgar/data/1006655/000110465925090839/epm-20250630x10k.htm" TargetMode="External"/><Relationship Id="rId10" Type="http://schemas.openxmlformats.org/officeDocument/2006/relationships/hyperlink" Target="https://www.sec.gov/ix?doc=/Archives/edgar/data/1006655/000110465925101832/epm-20251204xdef14a.htm" TargetMode="External"/><Relationship Id="rId11" Type="http://schemas.openxmlformats.org/officeDocument/2006/relationships/hyperlink" Target="https://www.sec.gov/ix?doc=/Archives/edgar/data/1006655/000110465925110387/epm-20250930x10q.htm" TargetMode="External"/><Relationship Id="rId12" Type="http://schemas.openxmlformats.org/officeDocument/2006/relationships/hyperlink" Target="https://www.sec.gov/ix?doc=/Archives/edgar/data/1006655/000110465926013382/epm-20251231x10q.htm" TargetMode="External"/><Relationship Id="rId13" Type="http://schemas.openxmlformats.org/officeDocument/2006/relationships/hyperlink" Target="https://www.sec.gov/ix?doc=/Archives/edgar/data/1006655/000110465926060249/epm-20260331x10q.htm" TargetMode="External"/><Relationship Id="rId14" Type="http://schemas.openxmlformats.org/officeDocument/2006/relationships/hyperlink" Target="https://www.sec.gov/ix?doc=/Archives/edgar/data/1006655/000110465925109555/epm-20251110x8k.htm" TargetMode="External"/><Relationship Id="rId15" Type="http://schemas.openxmlformats.org/officeDocument/2006/relationships/hyperlink" Target="https://www.sec.gov/ix?doc=/Archives/edgar/data/1006655/000110465925119669/epm-20251204x8k.htm" TargetMode="External"/><Relationship Id="rId16" Type="http://schemas.openxmlformats.org/officeDocument/2006/relationships/hyperlink" Target="https://www.sec.gov/ix?doc=/Archives/edgar/data/1006655/000110465926012681/epm-20260209x8k.htm" TargetMode="External"/><Relationship Id="rId17" Type="http://schemas.openxmlformats.org/officeDocument/2006/relationships/hyperlink" Target="https://www.sec.gov/ix?doc=/Archives/edgar/data/1006655/000110465926013485/tm262831d5_8k.htm" TargetMode="External"/><Relationship Id="rId18" Type="http://schemas.openxmlformats.org/officeDocument/2006/relationships/hyperlink" Target="https://www.sec.gov/ix?doc=/Archives/edgar/data/1006655/000110465926059493/epm-20260511x8k.htm" TargetMode="External"/><Relationship Id="rId19" Type="http://schemas.openxmlformats.org/officeDocument/2006/relationships/hyperlink" Target="https://www.sec.gov/ix?doc=/Archives/edgar/data/1006655/000110465926098332/tm2623236d2_8k.htm" TargetMode="External"/><Relationship Id="rId20" Type="http://schemas.openxmlformats.org/officeDocument/2006/relationships/hyperlink" Target="https://www.sec.gov/ix?doc=/Archives/edgar/data/1006655/000110465926098332/tm2623236d2_8k.htm" TargetMode="External"/><Relationship Id="rId21" Type="http://schemas.openxmlformats.org/officeDocument/2006/relationships/hyperlink" Target="https://www.sec.gov/ix?doc=/Archives/edgar/data/1006655/000110465926098332/tm2623236d2_8k.htm" TargetMode="External"/><Relationship Id="rId22" Type="http://schemas.openxmlformats.org/officeDocument/2006/relationships/hyperlink" Target="https://www.sec.gov/Archives/edgar/data/1006655/000114420406028393/v047518_8-a12b.txt" TargetMode="External"/><Relationship Id="rId23" Type="http://schemas.openxmlformats.org/officeDocument/2006/relationships/image" Target="media/image1.jpeg"/><Relationship Id="rId24" Type="http://schemas.openxmlformats.org/officeDocument/2006/relationships/hyperlink" Target="https://www.sec.gov/ix?doc=/Archives/edgar/data/1006655/000110465925090839/epm-20250630x10k.htm" TargetMode="External"/><Relationship Id="rId25" Type="http://schemas.openxmlformats.org/officeDocument/2006/relationships/hyperlink" Target="https://www.sec.gov/ix?doc=/Archives/edgar/data/1006655/000110465925110387/epm-20250930x10q.htm" TargetMode="External"/><Relationship Id="rId26" Type="http://schemas.openxmlformats.org/officeDocument/2006/relationships/hyperlink" Target="http://www.sec.gov/ix?doc=/Archives/edgar/data/1006655/000110465925090839/epm-20250630x10k.htm" TargetMode="External"/><Relationship Id="rId27" Type="http://schemas.openxmlformats.org/officeDocument/2006/relationships/hyperlink" Target="http://www.sec.gov/ix?doc=/Archives/edgar/data/1006655/000110465925101832/epm-20251204xdef14a.htm" TargetMode="External"/><Relationship Id="rId28" Type="http://schemas.openxmlformats.org/officeDocument/2006/relationships/hyperlink" Target="http://www.sec.gov/ix?doc=/Archives/edgar/data/1006655/000110465925110387/epm-20250930x10q.htm" TargetMode="External"/><Relationship Id="rId29" Type="http://schemas.openxmlformats.org/officeDocument/2006/relationships/hyperlink" Target="http://www.sec.gov/ix?doc=/Archives/edgar/data/1006655/000110465925109555/epm-20251110x8k.htm" TargetMode="External"/><Relationship Id="rId30" Type="http://schemas.openxmlformats.org/officeDocument/2006/relationships/hyperlink" Target="http://www.sec.gov/ix?doc=/Archives/edgar/data/1006655/000110465925119669/epm-20251204x8k.htm" TargetMode="External"/><Relationship Id="rId31" Type="http://schemas.openxmlformats.org/officeDocument/2006/relationships/hyperlink" Target="http://www.sec.gov/Archives/edgar/data/1006655/000114420406028393/v047518_8-a12b.txt"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33216</Words>
  <Characters>174861</Characters>
  <CharactersWithSpaces>209661</CharactersWithSpaces>
  <Paragraphs>2193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