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ind w:left="500" w:hanging="411"/>
        <w:spacing w:after="0" w:line="213"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June 30, 2017</w:t>
      </w:r>
    </w:p>
    <w:p>
      <w:pPr>
        <w:spacing w:after="0" w:line="257" w:lineRule="exact"/>
        <w:rPr>
          <w:sz w:val="24"/>
          <w:szCs w:val="24"/>
          <w:color w:val="auto"/>
        </w:rPr>
      </w:pPr>
    </w:p>
    <w:p>
      <w:pPr>
        <w:ind w:left="500" w:hanging="370"/>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9" w:lineRule="exact"/>
        <w:rPr>
          <w:sz w:val="24"/>
          <w:szCs w:val="24"/>
          <w:color w:val="auto"/>
        </w:rPr>
      </w:pPr>
    </w:p>
    <w:p>
      <w:pPr>
        <w:ind w:left="4180"/>
        <w:spacing w:after="0"/>
        <w:tabs>
          <w:tab w:leader="none" w:pos="66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001-32942</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EVOLUTION PETROLEUM CORPORATION</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080" w:type="dxa"/>
            <w:vAlign w:val="bottom"/>
          </w:tcPr>
          <w:p>
            <w:pPr>
              <w:jc w:val="center"/>
              <w:ind w:right="1627"/>
              <w:spacing w:after="0"/>
              <w:rPr>
                <w:sz w:val="20"/>
                <w:szCs w:val="20"/>
                <w:color w:val="auto"/>
              </w:rPr>
            </w:pPr>
            <w:r>
              <w:rPr>
                <w:rFonts w:ascii="Arial" w:cs="Arial" w:eastAsia="Arial" w:hAnsi="Arial"/>
                <w:sz w:val="14"/>
                <w:szCs w:val="14"/>
                <w:b w:val="1"/>
                <w:bCs w:val="1"/>
                <w:color w:val="auto"/>
                <w:w w:val="92"/>
              </w:rPr>
              <w:t>Nevada</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41-1781991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5"/>
              </w:rPr>
              <w:t>(State or other jurisdiction of</w:t>
            </w: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gridSpan w:val="2"/>
          </w:tcPr>
          <w:p>
            <w:pPr>
              <w:jc w:val="center"/>
              <w:ind w:left="76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5140" w:type="dxa"/>
            <w:vAlign w:val="bottom"/>
            <w:gridSpan w:val="2"/>
          </w:tcPr>
          <w:p>
            <w:pPr>
              <w:jc w:val="center"/>
              <w:ind w:left="268"/>
              <w:spacing w:after="0"/>
              <w:rPr>
                <w:sz w:val="20"/>
                <w:szCs w:val="20"/>
                <w:color w:val="auto"/>
              </w:rPr>
            </w:pPr>
            <w:r>
              <w:rPr>
                <w:rFonts w:ascii="Arial" w:cs="Arial" w:eastAsia="Arial" w:hAnsi="Arial"/>
                <w:sz w:val="14"/>
                <w:szCs w:val="14"/>
                <w:color w:val="auto"/>
                <w:w w:val="94"/>
              </w:rPr>
              <w:t>incorporation or organization)</w:t>
            </w: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7140" w:type="dxa"/>
            <w:vAlign w:val="bottom"/>
            <w:gridSpan w:val="5"/>
          </w:tcPr>
          <w:p>
            <w:pPr>
              <w:jc w:val="center"/>
              <w:ind w:left="67"/>
              <w:spacing w:after="0"/>
              <w:rPr>
                <w:sz w:val="20"/>
                <w:szCs w:val="20"/>
                <w:color w:val="auto"/>
              </w:rPr>
            </w:pPr>
            <w:r>
              <w:rPr>
                <w:rFonts w:ascii="Arial" w:cs="Arial" w:eastAsia="Arial" w:hAnsi="Arial"/>
                <w:sz w:val="14"/>
                <w:szCs w:val="14"/>
                <w:b w:val="1"/>
                <w:bCs w:val="1"/>
                <w:color w:val="auto"/>
                <w:w w:val="92"/>
              </w:rPr>
              <w:t>1155 Dairy Ashford Road, Suite 425, Houston, Texas 77079</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5220" w:type="dxa"/>
            <w:vAlign w:val="bottom"/>
            <w:gridSpan w:val="3"/>
          </w:tcPr>
          <w:p>
            <w:pPr>
              <w:jc w:val="center"/>
              <w:ind w:left="1987"/>
              <w:spacing w:after="0"/>
              <w:rPr>
                <w:sz w:val="20"/>
                <w:szCs w:val="20"/>
                <w:color w:val="auto"/>
              </w:rPr>
            </w:pPr>
            <w:r>
              <w:rPr>
                <w:rFonts w:ascii="Arial" w:cs="Arial" w:eastAsia="Arial" w:hAnsi="Arial"/>
                <w:sz w:val="14"/>
                <w:szCs w:val="14"/>
                <w:color w:val="auto"/>
                <w:w w:val="94"/>
              </w:rPr>
              <w:t>(Address of principal executive offices and zip code)</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140" w:type="dxa"/>
            <w:vAlign w:val="bottom"/>
            <w:gridSpan w:val="2"/>
          </w:tcPr>
          <w:p>
            <w:pPr>
              <w:jc w:val="center"/>
              <w:ind w:right="923"/>
              <w:spacing w:after="0"/>
              <w:rPr>
                <w:sz w:val="20"/>
                <w:szCs w:val="20"/>
                <w:color w:val="auto"/>
              </w:rPr>
            </w:pPr>
            <w:r>
              <w:rPr>
                <w:rFonts w:ascii="Arial" w:cs="Arial" w:eastAsia="Arial" w:hAnsi="Arial"/>
                <w:sz w:val="14"/>
                <w:szCs w:val="14"/>
                <w:b w:val="1"/>
                <w:bCs w:val="1"/>
                <w:color w:val="auto"/>
                <w:w w:val="93"/>
              </w:rPr>
              <w:t>(713) 935-0122</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5220" w:type="dxa"/>
            <w:vAlign w:val="bottom"/>
            <w:gridSpan w:val="3"/>
          </w:tcPr>
          <w:p>
            <w:pPr>
              <w:jc w:val="center"/>
              <w:ind w:left="1987"/>
              <w:spacing w:after="0"/>
              <w:rPr>
                <w:sz w:val="20"/>
                <w:szCs w:val="20"/>
                <w:color w:val="auto"/>
              </w:rPr>
            </w:pPr>
            <w:r>
              <w:rPr>
                <w:rFonts w:ascii="Arial" w:cs="Arial" w:eastAsia="Arial" w:hAnsi="Arial"/>
                <w:sz w:val="14"/>
                <w:szCs w:val="14"/>
                <w:color w:val="auto"/>
                <w:w w:val="92"/>
              </w:rPr>
              <w:t>(Registrant's telephone number, including area code)</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06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920" w:type="dxa"/>
            <w:vAlign w:val="bottom"/>
          </w:tcPr>
          <w:p>
            <w:pPr>
              <w:spacing w:after="0"/>
              <w:rPr>
                <w:sz w:val="24"/>
                <w:szCs w:val="24"/>
                <w:color w:val="auto"/>
              </w:rPr>
            </w:pPr>
          </w:p>
        </w:tc>
        <w:tc>
          <w:tcPr>
            <w:tcW w:w="3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920" w:type="dxa"/>
            <w:vAlign w:val="bottom"/>
          </w:tcPr>
          <w:p>
            <w:pPr>
              <w:spacing w:after="0"/>
              <w:rPr>
                <w:sz w:val="19"/>
                <w:szCs w:val="19"/>
                <w:color w:val="auto"/>
              </w:rPr>
            </w:pPr>
          </w:p>
        </w:tc>
        <w:tc>
          <w:tcPr>
            <w:tcW w:w="3140" w:type="dxa"/>
            <w:vAlign w:val="bottom"/>
            <w:gridSpan w:val="3"/>
          </w:tcPr>
          <w:p>
            <w:pPr>
              <w:jc w:val="center"/>
              <w:ind w:right="80"/>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r>
        <w:trPr>
          <w:trHeight w:val="359"/>
        </w:trPr>
        <w:tc>
          <w:tcPr>
            <w:tcW w:w="51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2140" w:type="dxa"/>
            <w:vAlign w:val="bottom"/>
            <w:gridSpan w:val="2"/>
            <w:vMerge w:val="restart"/>
          </w:tcPr>
          <w:p>
            <w:pPr>
              <w:jc w:val="center"/>
              <w:ind w:right="903"/>
              <w:spacing w:after="0"/>
              <w:rPr>
                <w:sz w:val="20"/>
                <w:szCs w:val="20"/>
                <w:color w:val="auto"/>
              </w:rPr>
            </w:pPr>
            <w:r>
              <w:rPr>
                <w:rFonts w:ascii="Arial" w:cs="Arial" w:eastAsia="Arial" w:hAnsi="Arial"/>
                <w:sz w:val="14"/>
                <w:szCs w:val="14"/>
                <w:b w:val="1"/>
                <w:bCs w:val="1"/>
                <w:color w:val="auto"/>
                <w:w w:val="91"/>
              </w:rPr>
              <w:t>None</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140" w:type="dxa"/>
            <w:vAlign w:val="bottom"/>
            <w:gridSpan w:val="2"/>
          </w:tcPr>
          <w:p>
            <w:pPr>
              <w:jc w:val="center"/>
              <w:ind w:right="923"/>
              <w:spacing w:after="0"/>
              <w:rPr>
                <w:sz w:val="20"/>
                <w:szCs w:val="20"/>
                <w:color w:val="auto"/>
              </w:rPr>
            </w:pPr>
            <w:r>
              <w:rPr>
                <w:rFonts w:ascii="Arial" w:cs="Arial" w:eastAsia="Arial" w:hAnsi="Arial"/>
                <w:sz w:val="14"/>
                <w:szCs w:val="14"/>
                <w:color w:val="auto"/>
                <w:w w:val="95"/>
              </w:rPr>
              <w:t>(Title of Class)</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2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o</w:t>
            </w:r>
          </w:p>
        </w:tc>
        <w:tc>
          <w:tcPr>
            <w:tcW w:w="192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432"/>
        </w:trPr>
        <w:tc>
          <w:tcPr>
            <w:tcW w:w="728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 Yes: o</w:t>
            </w:r>
          </w:p>
        </w:tc>
        <w:tc>
          <w:tcPr>
            <w:tcW w:w="192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34" w:lineRule="exact"/>
        <w:rPr>
          <w:sz w:val="24"/>
          <w:szCs w:val="24"/>
          <w:color w:val="auto"/>
        </w:rPr>
      </w:pPr>
    </w:p>
    <w:p>
      <w:pPr>
        <w:ind w:right="58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55" w:lineRule="exact"/>
        <w:rPr>
          <w:sz w:val="24"/>
          <w:szCs w:val="24"/>
          <w:color w:val="auto"/>
        </w:rPr>
      </w:pPr>
    </w:p>
    <w:p>
      <w:pPr>
        <w:ind w:firstLine="72"/>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4180" w:type="dxa"/>
            <w:vAlign w:val="bottom"/>
          </w:tcPr>
          <w:p>
            <w:pPr>
              <w:spacing w:after="0"/>
              <w:rPr>
                <w:sz w:val="19"/>
                <w:szCs w:val="19"/>
                <w:color w:val="auto"/>
              </w:rPr>
            </w:pPr>
          </w:p>
        </w:tc>
        <w:tc>
          <w:tcPr>
            <w:tcW w:w="2860" w:type="dxa"/>
            <w:vAlign w:val="bottom"/>
          </w:tcPr>
          <w:p>
            <w:pPr>
              <w:ind w:left="11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1980" w:type="dxa"/>
            <w:vAlign w:val="bottom"/>
          </w:tcPr>
          <w:p>
            <w:pPr>
              <w:spacing w:after="0"/>
              <w:rPr>
                <w:sz w:val="20"/>
                <w:szCs w:val="20"/>
                <w:color w:val="auto"/>
              </w:rPr>
            </w:pPr>
            <w:r>
              <w:rPr>
                <w:rFonts w:ascii="Arial" w:cs="Arial" w:eastAsia="Arial" w:hAnsi="Arial"/>
                <w:sz w:val="14"/>
                <w:szCs w:val="14"/>
                <w:color w:val="auto"/>
              </w:rPr>
              <w:t>Non-accelerated filer o</w:t>
            </w:r>
          </w:p>
        </w:tc>
        <w:tc>
          <w:tcPr>
            <w:tcW w:w="4180" w:type="dxa"/>
            <w:vAlign w:val="bottom"/>
          </w:tcPr>
          <w:p>
            <w:pPr>
              <w:ind w:left="320"/>
              <w:spacing w:after="0"/>
              <w:rPr>
                <w:sz w:val="20"/>
                <w:szCs w:val="20"/>
                <w:color w:val="auto"/>
              </w:rPr>
            </w:pPr>
            <w:r>
              <w:rPr>
                <w:rFonts w:ascii="Arial" w:cs="Arial" w:eastAsia="Arial" w:hAnsi="Arial"/>
                <w:sz w:val="14"/>
                <w:szCs w:val="14"/>
                <w:color w:val="auto"/>
              </w:rPr>
              <w:t>(Do not check if a smaller reporting company)</w:t>
            </w:r>
          </w:p>
        </w:tc>
        <w:tc>
          <w:tcPr>
            <w:tcW w:w="2860" w:type="dxa"/>
            <w:vAlign w:val="bottom"/>
          </w:tcPr>
          <w:p>
            <w:pPr>
              <w:ind w:left="118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1980" w:type="dxa"/>
            <w:vAlign w:val="bottom"/>
          </w:tcPr>
          <w:p>
            <w:pPr>
              <w:spacing w:after="0"/>
              <w:rPr>
                <w:sz w:val="20"/>
                <w:szCs w:val="20"/>
                <w:color w:val="auto"/>
              </w:rPr>
            </w:pPr>
            <w:r>
              <w:rPr>
                <w:rFonts w:ascii="Arial" w:cs="Arial" w:eastAsia="Arial" w:hAnsi="Arial"/>
                <w:sz w:val="14"/>
                <w:szCs w:val="14"/>
                <w:color w:val="auto"/>
              </w:rPr>
              <w:t>Emerging growth company o</w:t>
            </w:r>
          </w:p>
        </w:tc>
        <w:tc>
          <w:tcPr>
            <w:tcW w:w="418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263" w:lineRule="exact"/>
        <w:rPr>
          <w:sz w:val="24"/>
          <w:szCs w:val="24"/>
          <w:color w:val="auto"/>
        </w:rPr>
      </w:pPr>
    </w:p>
    <w:p>
      <w:pPr>
        <w:ind w:right="38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1" w:lineRule="exact"/>
        <w:rPr>
          <w:sz w:val="24"/>
          <w:szCs w:val="24"/>
          <w:color w:val="auto"/>
        </w:rPr>
      </w:pPr>
    </w:p>
    <w:p>
      <w:pPr>
        <w:spacing w:after="0" w:line="161" w:lineRule="exact"/>
        <w:tabs>
          <w:tab w:leader="none" w:pos="7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9"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on December 31, 2016, the last business day of the registrant’s most recently completed second fiscal quarter, based on the closing price on that date of $10.00 on the NYSE American, was $250,722,260.</w:t>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par value $0.001, as of September 7, 2017, was 32,905,982.</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7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Portions of the proxy statement related to the registrant's 2017 Annual Meeting of Stockholders to be filed within 120 days of the end of the fiscal year covered by this report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REPORT ON FORM 10-K</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60" w:type="dxa"/>
            <w:vAlign w:val="bottom"/>
            <w:gridSpan w:val="6"/>
            <w:vMerge w:val="restart"/>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20" w:type="dxa"/>
            <w:vAlign w:val="bottom"/>
            <w:tcBorders>
              <w:top w:val="single" w:sz="8" w:color="0000EE"/>
            </w:tcBorders>
            <w:gridSpan w:val="3"/>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Item 1</w:t>
              </w:r>
            </w:hyperlink>
            <w:r>
              <w:rPr>
                <w:rFonts w:ascii="Arial" w:cs="Arial" w:eastAsia="Arial" w:hAnsi="Arial"/>
                <w:sz w:val="16"/>
                <w:szCs w:val="16"/>
                <w:color w:val="000000"/>
                <w:w w:val="98"/>
              </w:rPr>
              <w:t>.</w:t>
            </w:r>
          </w:p>
        </w:tc>
        <w:tc>
          <w:tcPr>
            <w:tcW w:w="440" w:type="dxa"/>
            <w:vAlign w:val="bottom"/>
            <w:gridSpan w:val="3"/>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Business</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0"/>
              </w:rPr>
            </w:pPr>
            <w:hyperlink w:anchor="page8">
              <w:r>
                <w:rPr>
                  <w:rFonts w:ascii="Arial" w:cs="Arial" w:eastAsia="Arial" w:hAnsi="Arial"/>
                  <w:sz w:val="16"/>
                  <w:szCs w:val="16"/>
                  <w:color w:val="0000EE"/>
                  <w:w w:val="80"/>
                </w:rPr>
                <w:t>Item 1A.</w:t>
              </w:r>
            </w:hyperlink>
          </w:p>
        </w:tc>
        <w:tc>
          <w:tcPr>
            <w:tcW w:w="440" w:type="dxa"/>
            <w:vAlign w:val="bottom"/>
            <w:gridSpan w:val="3"/>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Risk Factors</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8">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0"/>
              </w:rPr>
            </w:pPr>
            <w:hyperlink w:anchor="page16">
              <w:r>
                <w:rPr>
                  <w:rFonts w:ascii="Arial" w:cs="Arial" w:eastAsia="Arial" w:hAnsi="Arial"/>
                  <w:sz w:val="16"/>
                  <w:szCs w:val="16"/>
                  <w:color w:val="0000EE"/>
                  <w:w w:val="80"/>
                </w:rPr>
                <w:t>Item 1B.</w:t>
              </w:r>
            </w:hyperlink>
          </w:p>
        </w:tc>
        <w:tc>
          <w:tcPr>
            <w:tcW w:w="440" w:type="dxa"/>
            <w:vAlign w:val="bottom"/>
            <w:gridSpan w:val="3"/>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Unresolved Staff Comments</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16">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16">
              <w:r>
                <w:rPr>
                  <w:rFonts w:ascii="Arial" w:cs="Arial" w:eastAsia="Arial" w:hAnsi="Arial"/>
                  <w:sz w:val="16"/>
                  <w:szCs w:val="16"/>
                  <w:color w:val="0000EE"/>
                  <w:w w:val="85"/>
                </w:rPr>
                <w:t>Item 2.</w:t>
              </w:r>
            </w:hyperlink>
          </w:p>
        </w:tc>
        <w:tc>
          <w:tcPr>
            <w:tcW w:w="60" w:type="dxa"/>
            <w:vAlign w:val="bottom"/>
          </w:tcPr>
          <w:p>
            <w:pPr>
              <w:spacing w:after="0"/>
              <w:rPr>
                <w:sz w:val="21"/>
                <w:szCs w:val="21"/>
                <w:color w:val="auto"/>
              </w:rPr>
            </w:pPr>
          </w:p>
        </w:tc>
        <w:tc>
          <w:tcPr>
            <w:tcW w:w="440" w:type="dxa"/>
            <w:vAlign w:val="bottom"/>
            <w:gridSpan w:val="3"/>
          </w:tcPr>
          <w:p>
            <w:pPr>
              <w:spacing w:after="0"/>
              <w:rPr>
                <w:sz w:val="21"/>
                <w:szCs w:val="21"/>
                <w:color w:val="auto"/>
              </w:rPr>
            </w:pPr>
          </w:p>
        </w:tc>
        <w:tc>
          <w:tcPr>
            <w:tcW w:w="620" w:type="dxa"/>
            <w:vAlign w:val="bottom"/>
            <w:gridSpan w:val="2"/>
          </w:tcPr>
          <w:p>
            <w:pPr>
              <w:spacing w:after="0"/>
              <w:rPr>
                <w:rFonts w:ascii="Arial" w:cs="Arial" w:eastAsia="Arial" w:hAnsi="Arial"/>
                <w:sz w:val="16"/>
                <w:szCs w:val="16"/>
                <w:color w:val="0000EE"/>
                <w:w w:val="82"/>
              </w:rPr>
            </w:pPr>
            <w:hyperlink w:anchor="page16">
              <w:r>
                <w:rPr>
                  <w:rFonts w:ascii="Arial" w:cs="Arial" w:eastAsia="Arial" w:hAnsi="Arial"/>
                  <w:sz w:val="16"/>
                  <w:szCs w:val="16"/>
                  <w:color w:val="0000EE"/>
                  <w:w w:val="82"/>
                </w:rPr>
                <w:t>Properties</w:t>
              </w:r>
            </w:hyperlink>
          </w:p>
        </w:tc>
        <w:tc>
          <w:tcPr>
            <w:tcW w:w="1180" w:type="dxa"/>
            <w:vAlign w:val="bottom"/>
            <w:gridSpan w:val="7"/>
          </w:tcPr>
          <w:p>
            <w:pPr>
              <w:spacing w:after="0"/>
              <w:rPr>
                <w:sz w:val="21"/>
                <w:szCs w:val="21"/>
                <w:color w:val="auto"/>
              </w:rPr>
            </w:pPr>
          </w:p>
        </w:tc>
        <w:tc>
          <w:tcPr>
            <w:tcW w:w="588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16">
              <w:r>
                <w:rPr>
                  <w:rFonts w:ascii="Arial" w:cs="Arial" w:eastAsia="Arial" w:hAnsi="Arial"/>
                  <w:sz w:val="16"/>
                  <w:szCs w:val="16"/>
                  <w:color w:val="0000EE"/>
                  <w:w w:val="78"/>
                </w:rPr>
                <w:t>13</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22">
              <w:r>
                <w:rPr>
                  <w:rFonts w:ascii="Arial" w:cs="Arial" w:eastAsia="Arial" w:hAnsi="Arial"/>
                  <w:sz w:val="16"/>
                  <w:szCs w:val="16"/>
                  <w:color w:val="0000EE"/>
                  <w:w w:val="85"/>
                </w:rPr>
                <w:t>Item 3.</w:t>
              </w:r>
            </w:hyperlink>
          </w:p>
        </w:tc>
        <w:tc>
          <w:tcPr>
            <w:tcW w:w="500" w:type="dxa"/>
            <w:vAlign w:val="bottom"/>
            <w:gridSpan w:val="4"/>
          </w:tcPr>
          <w:p>
            <w:pPr>
              <w:spacing w:after="0"/>
              <w:rPr>
                <w:sz w:val="21"/>
                <w:szCs w:val="21"/>
                <w:color w:val="auto"/>
              </w:rPr>
            </w:pPr>
          </w:p>
        </w:tc>
        <w:tc>
          <w:tcPr>
            <w:tcW w:w="1140" w:type="dxa"/>
            <w:vAlign w:val="bottom"/>
            <w:gridSpan w:val="6"/>
          </w:tcPr>
          <w:p>
            <w:pPr>
              <w:spacing w:after="0"/>
              <w:rPr>
                <w:rFonts w:ascii="Arial" w:cs="Arial" w:eastAsia="Arial" w:hAnsi="Arial"/>
                <w:sz w:val="16"/>
                <w:szCs w:val="16"/>
                <w:color w:val="0000EE"/>
                <w:w w:val="82"/>
              </w:rPr>
            </w:pPr>
            <w:hyperlink w:anchor="page22">
              <w:r>
                <w:rPr>
                  <w:rFonts w:ascii="Arial" w:cs="Arial" w:eastAsia="Arial" w:hAnsi="Arial"/>
                  <w:sz w:val="16"/>
                  <w:szCs w:val="16"/>
                  <w:color w:val="0000EE"/>
                  <w:w w:val="82"/>
                </w:rPr>
                <w:t>Legal Proceedings</w:t>
              </w:r>
            </w:hyperlink>
          </w:p>
        </w:tc>
        <w:tc>
          <w:tcPr>
            <w:tcW w:w="654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19</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23">
              <w:r>
                <w:rPr>
                  <w:rFonts w:ascii="Arial" w:cs="Arial" w:eastAsia="Arial" w:hAnsi="Arial"/>
                  <w:sz w:val="16"/>
                  <w:szCs w:val="16"/>
                  <w:color w:val="0000EE"/>
                  <w:w w:val="85"/>
                </w:rPr>
                <w:t>Item 4.</w:t>
              </w:r>
            </w:hyperlink>
          </w:p>
        </w:tc>
        <w:tc>
          <w:tcPr>
            <w:tcW w:w="500" w:type="dxa"/>
            <w:vAlign w:val="bottom"/>
            <w:gridSpan w:val="4"/>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Mine Safety Disclosures</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23">
              <w:r>
                <w:rPr>
                  <w:rFonts w:ascii="Arial" w:cs="Arial" w:eastAsia="Arial" w:hAnsi="Arial"/>
                  <w:sz w:val="16"/>
                  <w:szCs w:val="16"/>
                  <w:color w:val="0000EE"/>
                </w:rPr>
                <w:t>20</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6"/>
                <w:szCs w:val="16"/>
                <w:b w:val="1"/>
                <w:bCs w:val="1"/>
                <w:color w:val="0000EE"/>
              </w:rPr>
            </w:pPr>
            <w:hyperlink w:anchor="page24">
              <w:r>
                <w:rPr>
                  <w:rFonts w:ascii="Arial" w:cs="Arial" w:eastAsia="Arial" w:hAnsi="Arial"/>
                  <w:sz w:val="16"/>
                  <w:szCs w:val="16"/>
                  <w:b w:val="1"/>
                  <w:bCs w:val="1"/>
                  <w:color w:val="0000EE"/>
                </w:rPr>
                <w:t>PART II</w:t>
              </w:r>
            </w:hyperlink>
          </w:p>
        </w:tc>
        <w:tc>
          <w:tcPr>
            <w:tcW w:w="36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24">
              <w:r>
                <w:rPr>
                  <w:rFonts w:ascii="Arial" w:cs="Arial" w:eastAsia="Arial" w:hAnsi="Arial"/>
                  <w:sz w:val="16"/>
                  <w:szCs w:val="16"/>
                  <w:color w:val="0000EE"/>
                  <w:w w:val="78"/>
                </w:rPr>
                <w:t>21</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24">
              <w:r>
                <w:rPr>
                  <w:rFonts w:ascii="Arial" w:cs="Arial" w:eastAsia="Arial" w:hAnsi="Arial"/>
                  <w:sz w:val="16"/>
                  <w:szCs w:val="16"/>
                  <w:color w:val="0000EE"/>
                  <w:w w:val="85"/>
                </w:rPr>
                <w:t>Item 5.</w:t>
              </w:r>
            </w:hyperlink>
          </w:p>
        </w:tc>
        <w:tc>
          <w:tcPr>
            <w:tcW w:w="140" w:type="dxa"/>
            <w:vAlign w:val="bottom"/>
            <w:gridSpan w:val="2"/>
          </w:tcPr>
          <w:p>
            <w:pPr>
              <w:spacing w:after="0"/>
              <w:rPr>
                <w:sz w:val="21"/>
                <w:szCs w:val="21"/>
                <w:color w:val="auto"/>
              </w:rPr>
            </w:pPr>
          </w:p>
        </w:tc>
        <w:tc>
          <w:tcPr>
            <w:tcW w:w="360" w:type="dxa"/>
            <w:vAlign w:val="bottom"/>
            <w:gridSpan w:val="2"/>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w w:val="96"/>
              </w:rPr>
            </w:pPr>
            <w:hyperlink w:anchor="page24">
              <w:r>
                <w:rPr>
                  <w:rFonts w:ascii="Arial" w:cs="Arial" w:eastAsia="Arial" w:hAnsi="Arial"/>
                  <w:sz w:val="16"/>
                  <w:szCs w:val="16"/>
                  <w:color w:val="0000EE"/>
                  <w:w w:val="96"/>
                </w:rPr>
                <w:t>Market for Registrant's Common Equity, Related Stockholder Matters and Issuer Purchases of Equity Securities</w:t>
              </w:r>
            </w:hyperlink>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24">
              <w:r>
                <w:rPr>
                  <w:rFonts w:ascii="Arial" w:cs="Arial" w:eastAsia="Arial" w:hAnsi="Arial"/>
                  <w:sz w:val="16"/>
                  <w:szCs w:val="16"/>
                  <w:color w:val="0000EE"/>
                  <w:w w:val="78"/>
                </w:rPr>
                <w:t>21</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6.</w:t>
              </w:r>
            </w:hyperlink>
          </w:p>
        </w:tc>
        <w:tc>
          <w:tcPr>
            <w:tcW w:w="500" w:type="dxa"/>
            <w:vAlign w:val="bottom"/>
            <w:gridSpan w:val="4"/>
          </w:tcPr>
          <w:p>
            <w:pPr>
              <w:spacing w:after="0"/>
              <w:rPr>
                <w:sz w:val="21"/>
                <w:szCs w:val="21"/>
                <w:color w:val="auto"/>
              </w:rPr>
            </w:pPr>
          </w:p>
        </w:tc>
        <w:tc>
          <w:tcPr>
            <w:tcW w:w="1500" w:type="dxa"/>
            <w:vAlign w:val="bottom"/>
            <w:gridSpan w:val="7"/>
          </w:tcPr>
          <w:p>
            <w:pPr>
              <w:spacing w:after="0"/>
              <w:rPr>
                <w:rFonts w:ascii="Arial" w:cs="Arial" w:eastAsia="Arial" w:hAnsi="Arial"/>
                <w:sz w:val="16"/>
                <w:szCs w:val="16"/>
                <w:color w:val="0000EE"/>
                <w:w w:val="86"/>
              </w:rPr>
            </w:pPr>
            <w:hyperlink w:anchor="page26">
              <w:r>
                <w:rPr>
                  <w:rFonts w:ascii="Arial" w:cs="Arial" w:eastAsia="Arial" w:hAnsi="Arial"/>
                  <w:sz w:val="16"/>
                  <w:szCs w:val="16"/>
                  <w:color w:val="0000EE"/>
                  <w:w w:val="86"/>
                </w:rPr>
                <w:t>Selected Financial Data</w:t>
              </w:r>
            </w:hyperlink>
          </w:p>
        </w:tc>
        <w:tc>
          <w:tcPr>
            <w:tcW w:w="570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26">
              <w:r>
                <w:rPr>
                  <w:rFonts w:ascii="Arial" w:cs="Arial" w:eastAsia="Arial" w:hAnsi="Arial"/>
                  <w:sz w:val="16"/>
                  <w:szCs w:val="16"/>
                  <w:color w:val="0000EE"/>
                  <w:w w:val="78"/>
                </w:rPr>
                <w:t>23</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7.</w:t>
              </w:r>
            </w:hyperlink>
          </w:p>
        </w:tc>
        <w:tc>
          <w:tcPr>
            <w:tcW w:w="500" w:type="dxa"/>
            <w:vAlign w:val="bottom"/>
            <w:gridSpan w:val="4"/>
          </w:tcPr>
          <w:p>
            <w:pPr>
              <w:spacing w:after="0"/>
              <w:rPr>
                <w:sz w:val="21"/>
                <w:szCs w:val="21"/>
                <w:color w:val="auto"/>
              </w:rPr>
            </w:pPr>
          </w:p>
        </w:tc>
        <w:tc>
          <w:tcPr>
            <w:tcW w:w="5760" w:type="dxa"/>
            <w:vAlign w:val="bottom"/>
            <w:gridSpan w:val="16"/>
          </w:tcPr>
          <w:p>
            <w:pPr>
              <w:spacing w:after="0"/>
              <w:rPr>
                <w:rFonts w:ascii="Arial" w:cs="Arial" w:eastAsia="Arial" w:hAnsi="Arial"/>
                <w:sz w:val="16"/>
                <w:szCs w:val="16"/>
                <w:color w:val="0000EE"/>
                <w:w w:val="91"/>
              </w:rPr>
            </w:pPr>
            <w:hyperlink w:anchor="page27">
              <w:r>
                <w:rPr>
                  <w:rFonts w:ascii="Arial" w:cs="Arial" w:eastAsia="Arial" w:hAnsi="Arial"/>
                  <w:sz w:val="16"/>
                  <w:szCs w:val="16"/>
                  <w:color w:val="0000EE"/>
                  <w:w w:val="91"/>
                </w:rPr>
                <w:t>Management's Discussion and Analysis of Financial Condition and Results of Operations</w:t>
              </w:r>
            </w:hyperlink>
          </w:p>
        </w:tc>
        <w:tc>
          <w:tcPr>
            <w:tcW w:w="19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27">
              <w:r>
                <w:rPr>
                  <w:rFonts w:ascii="Arial" w:cs="Arial" w:eastAsia="Arial" w:hAnsi="Arial"/>
                  <w:sz w:val="16"/>
                  <w:szCs w:val="16"/>
                  <w:color w:val="0000EE"/>
                  <w:w w:val="78"/>
                </w:rPr>
                <w:t>24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0"/>
              </w:rPr>
            </w:pPr>
            <w:hyperlink w:anchor="page37">
              <w:r>
                <w:rPr>
                  <w:rFonts w:ascii="Arial" w:cs="Arial" w:eastAsia="Arial" w:hAnsi="Arial"/>
                  <w:sz w:val="16"/>
                  <w:szCs w:val="16"/>
                  <w:color w:val="0000EE"/>
                  <w:w w:val="80"/>
                </w:rPr>
                <w:t>Item 7A.</w:t>
              </w:r>
            </w:hyperlink>
          </w:p>
        </w:tc>
        <w:tc>
          <w:tcPr>
            <w:tcW w:w="440" w:type="dxa"/>
            <w:vAlign w:val="bottom"/>
            <w:gridSpan w:val="3"/>
          </w:tcPr>
          <w:p>
            <w:pPr>
              <w:spacing w:after="0"/>
              <w:rPr>
                <w:sz w:val="21"/>
                <w:szCs w:val="21"/>
                <w:color w:val="auto"/>
              </w:rPr>
            </w:pPr>
          </w:p>
        </w:tc>
        <w:tc>
          <w:tcPr>
            <w:tcW w:w="3880" w:type="dxa"/>
            <w:vAlign w:val="bottom"/>
            <w:gridSpan w:val="14"/>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38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37">
              <w:r>
                <w:rPr>
                  <w:rFonts w:ascii="Arial" w:cs="Arial" w:eastAsia="Arial" w:hAnsi="Arial"/>
                  <w:sz w:val="16"/>
                  <w:szCs w:val="16"/>
                  <w:color w:val="0000EE"/>
                  <w:w w:val="78"/>
                </w:rPr>
                <w:t>34</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38">
              <w:r>
                <w:rPr>
                  <w:rFonts w:ascii="Arial" w:cs="Arial" w:eastAsia="Arial" w:hAnsi="Arial"/>
                  <w:sz w:val="16"/>
                  <w:szCs w:val="16"/>
                  <w:color w:val="0000EE"/>
                  <w:w w:val="85"/>
                </w:rPr>
                <w:t>Item 8.</w:t>
              </w:r>
            </w:hyperlink>
          </w:p>
        </w:tc>
        <w:tc>
          <w:tcPr>
            <w:tcW w:w="60" w:type="dxa"/>
            <w:vAlign w:val="bottom"/>
          </w:tcPr>
          <w:p>
            <w:pPr>
              <w:spacing w:after="0"/>
              <w:rPr>
                <w:sz w:val="21"/>
                <w:szCs w:val="21"/>
                <w:color w:val="auto"/>
              </w:rPr>
            </w:pPr>
          </w:p>
        </w:tc>
        <w:tc>
          <w:tcPr>
            <w:tcW w:w="440" w:type="dxa"/>
            <w:vAlign w:val="bottom"/>
            <w:gridSpan w:val="3"/>
          </w:tcPr>
          <w:p>
            <w:pPr>
              <w:spacing w:after="0"/>
              <w:rPr>
                <w:sz w:val="21"/>
                <w:szCs w:val="21"/>
                <w:color w:val="auto"/>
              </w:rPr>
            </w:pPr>
          </w:p>
        </w:tc>
        <w:tc>
          <w:tcPr>
            <w:tcW w:w="2960" w:type="dxa"/>
            <w:vAlign w:val="bottom"/>
            <w:gridSpan w:val="12"/>
          </w:tcPr>
          <w:p>
            <w:pPr>
              <w:spacing w:after="0"/>
              <w:rPr>
                <w:rFonts w:ascii="Arial" w:cs="Arial" w:eastAsia="Arial" w:hAnsi="Arial"/>
                <w:sz w:val="16"/>
                <w:szCs w:val="16"/>
                <w:color w:val="0000EE"/>
                <w:w w:val="88"/>
              </w:rPr>
            </w:pPr>
            <w:hyperlink w:anchor="page38">
              <w:r>
                <w:rPr>
                  <w:rFonts w:ascii="Arial" w:cs="Arial" w:eastAsia="Arial" w:hAnsi="Arial"/>
                  <w:sz w:val="16"/>
                  <w:szCs w:val="16"/>
                  <w:color w:val="0000EE"/>
                  <w:w w:val="88"/>
                </w:rPr>
                <w:t>Financial Statements and Supplementary Data</w:t>
              </w:r>
            </w:hyperlink>
          </w:p>
        </w:tc>
        <w:tc>
          <w:tcPr>
            <w:tcW w:w="920" w:type="dxa"/>
            <w:vAlign w:val="bottom"/>
            <w:gridSpan w:val="2"/>
          </w:tcPr>
          <w:p>
            <w:pPr>
              <w:spacing w:after="0"/>
              <w:rPr>
                <w:sz w:val="21"/>
                <w:szCs w:val="21"/>
                <w:color w:val="auto"/>
              </w:rPr>
            </w:pPr>
          </w:p>
        </w:tc>
        <w:tc>
          <w:tcPr>
            <w:tcW w:w="380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38">
              <w:r>
                <w:rPr>
                  <w:rFonts w:ascii="Arial" w:cs="Arial" w:eastAsia="Arial" w:hAnsi="Arial"/>
                  <w:sz w:val="16"/>
                  <w:szCs w:val="16"/>
                  <w:color w:val="0000EE"/>
                  <w:w w:val="78"/>
                </w:rPr>
                <w:t>35</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2"/>
          </w:tcPr>
          <w:p>
            <w:pPr>
              <w:spacing w:after="0"/>
              <w:rPr>
                <w:rFonts w:ascii="Arial" w:cs="Arial" w:eastAsia="Arial" w:hAnsi="Arial"/>
                <w:sz w:val="16"/>
                <w:szCs w:val="16"/>
                <w:color w:val="0000EE"/>
                <w:w w:val="85"/>
              </w:rPr>
            </w:pPr>
            <w:hyperlink w:anchor="page67">
              <w:r>
                <w:rPr>
                  <w:rFonts w:ascii="Arial" w:cs="Arial" w:eastAsia="Arial" w:hAnsi="Arial"/>
                  <w:sz w:val="16"/>
                  <w:szCs w:val="16"/>
                  <w:color w:val="0000EE"/>
                  <w:w w:val="85"/>
                </w:rPr>
                <w:t>Item 9.</w:t>
              </w:r>
            </w:hyperlink>
          </w:p>
        </w:tc>
        <w:tc>
          <w:tcPr>
            <w:tcW w:w="500" w:type="dxa"/>
            <w:vAlign w:val="bottom"/>
            <w:gridSpan w:val="4"/>
          </w:tcPr>
          <w:p>
            <w:pPr>
              <w:spacing w:after="0"/>
              <w:rPr>
                <w:sz w:val="21"/>
                <w:szCs w:val="21"/>
                <w:color w:val="auto"/>
              </w:rPr>
            </w:pPr>
          </w:p>
        </w:tc>
        <w:tc>
          <w:tcPr>
            <w:tcW w:w="5800" w:type="dxa"/>
            <w:vAlign w:val="bottom"/>
            <w:gridSpan w:val="17"/>
          </w:tcPr>
          <w:p>
            <w:pPr>
              <w:spacing w:after="0"/>
              <w:rPr>
                <w:rFonts w:ascii="Arial" w:cs="Arial" w:eastAsia="Arial" w:hAnsi="Arial"/>
                <w:sz w:val="16"/>
                <w:szCs w:val="16"/>
                <w:color w:val="0000EE"/>
                <w:w w:val="91"/>
              </w:rPr>
            </w:pPr>
            <w:hyperlink w:anchor="page67">
              <w:r>
                <w:rPr>
                  <w:rFonts w:ascii="Arial" w:cs="Arial" w:eastAsia="Arial" w:hAnsi="Arial"/>
                  <w:sz w:val="16"/>
                  <w:szCs w:val="16"/>
                  <w:color w:val="0000EE"/>
                  <w:w w:val="91"/>
                </w:rPr>
                <w:t>Changes In and Disagreements with Accountants on Accounting and Financial Disclosure</w:t>
              </w:r>
            </w:hyperlink>
          </w:p>
        </w:tc>
        <w:tc>
          <w:tcPr>
            <w:tcW w:w="18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7">
              <w:r>
                <w:rPr>
                  <w:rFonts w:ascii="Arial" w:cs="Arial" w:eastAsia="Arial" w:hAnsi="Arial"/>
                  <w:sz w:val="16"/>
                  <w:szCs w:val="16"/>
                  <w:color w:val="0000EE"/>
                  <w:w w:val="78"/>
                </w:rPr>
                <w:t>64</w:t>
              </w:r>
            </w:hyperlink>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0"/>
              </w:rPr>
            </w:pPr>
            <w:hyperlink w:anchor="page67">
              <w:r>
                <w:rPr>
                  <w:rFonts w:ascii="Arial" w:cs="Arial" w:eastAsia="Arial" w:hAnsi="Arial"/>
                  <w:sz w:val="16"/>
                  <w:szCs w:val="16"/>
                  <w:color w:val="0000EE"/>
                  <w:w w:val="80"/>
                </w:rPr>
                <w:t>Item 9A.</w:t>
              </w:r>
            </w:hyperlink>
          </w:p>
        </w:tc>
        <w:tc>
          <w:tcPr>
            <w:tcW w:w="440" w:type="dxa"/>
            <w:vAlign w:val="bottom"/>
            <w:gridSpan w:val="3"/>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Controls and Procedures</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67">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0"/>
              </w:rPr>
            </w:pPr>
            <w:hyperlink w:anchor="page68">
              <w:r>
                <w:rPr>
                  <w:rFonts w:ascii="Arial" w:cs="Arial" w:eastAsia="Arial" w:hAnsi="Arial"/>
                  <w:sz w:val="16"/>
                  <w:szCs w:val="16"/>
                  <w:color w:val="0000EE"/>
                  <w:w w:val="80"/>
                </w:rPr>
                <w:t>Item 9B.</w:t>
              </w:r>
            </w:hyperlink>
          </w:p>
        </w:tc>
        <w:tc>
          <w:tcPr>
            <w:tcW w:w="440" w:type="dxa"/>
            <w:vAlign w:val="bottom"/>
            <w:gridSpan w:val="3"/>
          </w:tcPr>
          <w:p>
            <w:pPr>
              <w:spacing w:after="0"/>
              <w:rPr>
                <w:sz w:val="21"/>
                <w:szCs w:val="21"/>
                <w:color w:val="auto"/>
              </w:rPr>
            </w:pPr>
          </w:p>
        </w:tc>
        <w:tc>
          <w:tcPr>
            <w:tcW w:w="1500" w:type="dxa"/>
            <w:vAlign w:val="bottom"/>
            <w:gridSpan w:val="7"/>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Other Information</w:t>
              </w:r>
            </w:hyperlink>
          </w:p>
        </w:tc>
        <w:tc>
          <w:tcPr>
            <w:tcW w:w="618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8">
              <w:r>
                <w:rPr>
                  <w:rFonts w:ascii="Arial" w:cs="Arial" w:eastAsia="Arial" w:hAnsi="Arial"/>
                  <w:sz w:val="16"/>
                  <w:szCs w:val="16"/>
                  <w:color w:val="0000EE"/>
                  <w:w w:val="78"/>
                </w:rPr>
                <w:t>65</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6"/>
                <w:szCs w:val="16"/>
                <w:b w:val="1"/>
                <w:bCs w:val="1"/>
                <w:color w:val="0000EE"/>
                <w:w w:val="97"/>
              </w:rPr>
            </w:pPr>
            <w:hyperlink w:anchor="page69">
              <w:r>
                <w:rPr>
                  <w:rFonts w:ascii="Arial" w:cs="Arial" w:eastAsia="Arial" w:hAnsi="Arial"/>
                  <w:sz w:val="16"/>
                  <w:szCs w:val="16"/>
                  <w:b w:val="1"/>
                  <w:bCs w:val="1"/>
                  <w:color w:val="0000EE"/>
                  <w:w w:val="97"/>
                </w:rPr>
                <w:t>PART III</w:t>
              </w:r>
            </w:hyperlink>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69">
              <w:r>
                <w:rPr>
                  <w:rFonts w:ascii="Arial" w:cs="Arial" w:eastAsia="Arial" w:hAnsi="Arial"/>
                  <w:sz w:val="16"/>
                  <w:szCs w:val="16"/>
                  <w:color w:val="0000EE"/>
                  <w:w w:val="82"/>
                </w:rPr>
                <w:t>Item 10.</w:t>
              </w:r>
            </w:hyperlink>
          </w:p>
        </w:tc>
        <w:tc>
          <w:tcPr>
            <w:tcW w:w="1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Directors, Executive Officers and Corporate Governance</w:t>
              </w:r>
            </w:hyperlink>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69">
              <w:r>
                <w:rPr>
                  <w:rFonts w:ascii="Arial" w:cs="Arial" w:eastAsia="Arial" w:hAnsi="Arial"/>
                  <w:sz w:val="16"/>
                  <w:szCs w:val="16"/>
                  <w:color w:val="0000EE"/>
                  <w:w w:val="82"/>
                </w:rPr>
                <w:t>Item 11.</w:t>
              </w:r>
            </w:hyperlink>
          </w:p>
        </w:tc>
        <w:tc>
          <w:tcPr>
            <w:tcW w:w="440" w:type="dxa"/>
            <w:vAlign w:val="bottom"/>
            <w:gridSpan w:val="3"/>
          </w:tcPr>
          <w:p>
            <w:pPr>
              <w:spacing w:after="0"/>
              <w:rPr>
                <w:sz w:val="21"/>
                <w:szCs w:val="21"/>
                <w:color w:val="auto"/>
              </w:rPr>
            </w:pPr>
          </w:p>
        </w:tc>
        <w:tc>
          <w:tcPr>
            <w:tcW w:w="3640" w:type="dxa"/>
            <w:vAlign w:val="bottom"/>
            <w:gridSpan w:val="13"/>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Executive Compensation</w:t>
              </w:r>
            </w:hyperlink>
          </w:p>
        </w:tc>
        <w:tc>
          <w:tcPr>
            <w:tcW w:w="404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69">
              <w:r>
                <w:rPr>
                  <w:rFonts w:ascii="Arial" w:cs="Arial" w:eastAsia="Arial" w:hAnsi="Arial"/>
                  <w:sz w:val="16"/>
                  <w:szCs w:val="16"/>
                  <w:color w:val="0000EE"/>
                  <w:w w:val="82"/>
                </w:rPr>
                <w:t>Item 12.</w:t>
              </w:r>
            </w:hyperlink>
          </w:p>
        </w:tc>
        <w:tc>
          <w:tcPr>
            <w:tcW w:w="440" w:type="dxa"/>
            <w:vAlign w:val="bottom"/>
            <w:gridSpan w:val="3"/>
          </w:tcPr>
          <w:p>
            <w:pPr>
              <w:spacing w:after="0"/>
              <w:rPr>
                <w:sz w:val="21"/>
                <w:szCs w:val="21"/>
                <w:color w:val="auto"/>
              </w:rPr>
            </w:pPr>
          </w:p>
        </w:tc>
        <w:tc>
          <w:tcPr>
            <w:tcW w:w="6520" w:type="dxa"/>
            <w:vAlign w:val="bottom"/>
            <w:gridSpan w:val="18"/>
          </w:tcPr>
          <w:p>
            <w:pPr>
              <w:spacing w:after="0"/>
              <w:rPr>
                <w:rFonts w:ascii="Arial" w:cs="Arial" w:eastAsia="Arial" w:hAnsi="Arial"/>
                <w:sz w:val="16"/>
                <w:szCs w:val="16"/>
                <w:color w:val="0000EE"/>
                <w:w w:val="91"/>
              </w:rPr>
            </w:pPr>
            <w:hyperlink w:anchor="page69">
              <w:r>
                <w:rPr>
                  <w:rFonts w:ascii="Arial" w:cs="Arial" w:eastAsia="Arial" w:hAnsi="Arial"/>
                  <w:sz w:val="16"/>
                  <w:szCs w:val="16"/>
                  <w:color w:val="0000EE"/>
                  <w:w w:val="91"/>
                </w:rPr>
                <w:t>Security Ownership of Certain Beneficial Owners and Management and Related Stockholder Matters</w:t>
              </w:r>
            </w:hyperlink>
          </w:p>
        </w:tc>
        <w:tc>
          <w:tcPr>
            <w:tcW w:w="11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69">
              <w:r>
                <w:rPr>
                  <w:rFonts w:ascii="Arial" w:cs="Arial" w:eastAsia="Arial" w:hAnsi="Arial"/>
                  <w:sz w:val="16"/>
                  <w:szCs w:val="16"/>
                  <w:color w:val="0000EE"/>
                  <w:w w:val="82"/>
                </w:rPr>
                <w:t>Item 13.</w:t>
              </w:r>
            </w:hyperlink>
          </w:p>
        </w:tc>
        <w:tc>
          <w:tcPr>
            <w:tcW w:w="440" w:type="dxa"/>
            <w:vAlign w:val="bottom"/>
            <w:gridSpan w:val="3"/>
          </w:tcPr>
          <w:p>
            <w:pPr>
              <w:spacing w:after="0"/>
              <w:rPr>
                <w:sz w:val="21"/>
                <w:szCs w:val="21"/>
                <w:color w:val="auto"/>
              </w:rPr>
            </w:pPr>
          </w:p>
        </w:tc>
        <w:tc>
          <w:tcPr>
            <w:tcW w:w="6520" w:type="dxa"/>
            <w:vAlign w:val="bottom"/>
            <w:gridSpan w:val="18"/>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Certain Relationships and Related Transactions, and Director Independence</w:t>
              </w:r>
            </w:hyperlink>
          </w:p>
        </w:tc>
        <w:tc>
          <w:tcPr>
            <w:tcW w:w="11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69">
              <w:r>
                <w:rPr>
                  <w:rFonts w:ascii="Arial" w:cs="Arial" w:eastAsia="Arial" w:hAnsi="Arial"/>
                  <w:sz w:val="16"/>
                  <w:szCs w:val="16"/>
                  <w:color w:val="0000EE"/>
                  <w:w w:val="82"/>
                </w:rPr>
                <w:t>Item 14.</w:t>
              </w:r>
            </w:hyperlink>
          </w:p>
        </w:tc>
        <w:tc>
          <w:tcPr>
            <w:tcW w:w="440" w:type="dxa"/>
            <w:vAlign w:val="bottom"/>
            <w:gridSpan w:val="3"/>
          </w:tcPr>
          <w:p>
            <w:pPr>
              <w:spacing w:after="0"/>
              <w:rPr>
                <w:sz w:val="21"/>
                <w:szCs w:val="21"/>
                <w:color w:val="auto"/>
              </w:rPr>
            </w:pPr>
          </w:p>
        </w:tc>
        <w:tc>
          <w:tcPr>
            <w:tcW w:w="2480" w:type="dxa"/>
            <w:vAlign w:val="bottom"/>
            <w:gridSpan w:val="10"/>
          </w:tcPr>
          <w:p>
            <w:pPr>
              <w:spacing w:after="0"/>
              <w:rPr>
                <w:rFonts w:ascii="Arial" w:cs="Arial" w:eastAsia="Arial" w:hAnsi="Arial"/>
                <w:sz w:val="16"/>
                <w:szCs w:val="16"/>
                <w:color w:val="0000EE"/>
                <w:w w:val="86"/>
              </w:rPr>
            </w:pPr>
            <w:hyperlink w:anchor="page69">
              <w:r>
                <w:rPr>
                  <w:rFonts w:ascii="Arial" w:cs="Arial" w:eastAsia="Arial" w:hAnsi="Arial"/>
                  <w:sz w:val="16"/>
                  <w:szCs w:val="16"/>
                  <w:color w:val="0000EE"/>
                  <w:w w:val="86"/>
                </w:rPr>
                <w:t>Principal Accounting Fees and Services</w:t>
              </w:r>
            </w:hyperlink>
          </w:p>
        </w:tc>
        <w:tc>
          <w:tcPr>
            <w:tcW w:w="2380" w:type="dxa"/>
            <w:vAlign w:val="bottom"/>
            <w:gridSpan w:val="5"/>
          </w:tcPr>
          <w:p>
            <w:pPr>
              <w:spacing w:after="0"/>
              <w:rPr>
                <w:sz w:val="21"/>
                <w:szCs w:val="21"/>
                <w:color w:val="auto"/>
              </w:rPr>
            </w:pPr>
          </w:p>
        </w:tc>
        <w:tc>
          <w:tcPr>
            <w:tcW w:w="282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69">
              <w:r>
                <w:rPr>
                  <w:rFonts w:ascii="Arial" w:cs="Arial" w:eastAsia="Arial" w:hAnsi="Arial"/>
                  <w:sz w:val="16"/>
                  <w:szCs w:val="16"/>
                  <w:color w:val="0000EE"/>
                  <w:w w:val="78"/>
                </w:rPr>
                <w:t>66</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5"/>
          </w:tcPr>
          <w:p>
            <w:pPr>
              <w:spacing w:after="0"/>
              <w:rPr>
                <w:rFonts w:ascii="Arial" w:cs="Arial" w:eastAsia="Arial" w:hAnsi="Arial"/>
                <w:sz w:val="16"/>
                <w:szCs w:val="16"/>
                <w:b w:val="1"/>
                <w:bCs w:val="1"/>
                <w:color w:val="0000EE"/>
                <w:w w:val="94"/>
              </w:rPr>
            </w:pPr>
            <w:hyperlink w:anchor="page70">
              <w:r>
                <w:rPr>
                  <w:rFonts w:ascii="Arial" w:cs="Arial" w:eastAsia="Arial" w:hAnsi="Arial"/>
                  <w:sz w:val="16"/>
                  <w:szCs w:val="16"/>
                  <w:b w:val="1"/>
                  <w:bCs w:val="1"/>
                  <w:color w:val="0000EE"/>
                  <w:w w:val="94"/>
                </w:rPr>
                <w:t>PART IV</w:t>
              </w:r>
            </w:hyperlink>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70">
              <w:r>
                <w:rPr>
                  <w:rFonts w:ascii="Arial" w:cs="Arial" w:eastAsia="Arial" w:hAnsi="Arial"/>
                  <w:sz w:val="16"/>
                  <w:szCs w:val="16"/>
                  <w:color w:val="0000EE"/>
                  <w:w w:val="78"/>
                </w:rPr>
                <w:t>67</w:t>
              </w:r>
            </w:hyperlink>
          </w:p>
        </w:tc>
        <w:tc>
          <w:tcPr>
            <w:tcW w:w="0" w:type="dxa"/>
            <w:vAlign w:val="bottom"/>
          </w:tcPr>
          <w:p>
            <w:pPr>
              <w:spacing w:after="0"/>
              <w:rPr>
                <w:sz w:val="1"/>
                <w:szCs w:val="1"/>
                <w:color w:val="auto"/>
              </w:rPr>
            </w:pPr>
          </w:p>
        </w:tc>
      </w:tr>
      <w:tr>
        <w:trPr>
          <w:trHeight w:val="20"/>
        </w:trPr>
        <w:tc>
          <w:tcPr>
            <w:tcW w:w="6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3"/>
          </w:tcPr>
          <w:p>
            <w:pPr>
              <w:spacing w:after="0"/>
              <w:rPr>
                <w:rFonts w:ascii="Arial" w:cs="Arial" w:eastAsia="Arial" w:hAnsi="Arial"/>
                <w:sz w:val="16"/>
                <w:szCs w:val="16"/>
                <w:color w:val="0000EE"/>
                <w:w w:val="82"/>
              </w:rPr>
            </w:pPr>
            <w:hyperlink w:anchor="page70">
              <w:r>
                <w:rPr>
                  <w:rFonts w:ascii="Arial" w:cs="Arial" w:eastAsia="Arial" w:hAnsi="Arial"/>
                  <w:sz w:val="16"/>
                  <w:szCs w:val="16"/>
                  <w:color w:val="0000EE"/>
                  <w:w w:val="82"/>
                </w:rPr>
                <w:t>Item 15.</w:t>
              </w:r>
            </w:hyperlink>
          </w:p>
        </w:tc>
        <w:tc>
          <w:tcPr>
            <w:tcW w:w="12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11"/>
          </w:tcPr>
          <w:p>
            <w:pPr>
              <w:spacing w:after="0"/>
              <w:rPr>
                <w:rFonts w:ascii="Arial" w:cs="Arial" w:eastAsia="Arial" w:hAnsi="Arial"/>
                <w:sz w:val="16"/>
                <w:szCs w:val="16"/>
                <w:color w:val="0000EE"/>
                <w:w w:val="89"/>
              </w:rPr>
            </w:pPr>
            <w:hyperlink w:anchor="page70">
              <w:r>
                <w:rPr>
                  <w:rFonts w:ascii="Arial" w:cs="Arial" w:eastAsia="Arial" w:hAnsi="Arial"/>
                  <w:sz w:val="16"/>
                  <w:szCs w:val="16"/>
                  <w:color w:val="0000EE"/>
                  <w:w w:val="89"/>
                </w:rPr>
                <w:t>Exhibits and Financial Statement Schedules</w:t>
              </w:r>
            </w:hyperlink>
          </w:p>
        </w:tc>
        <w:tc>
          <w:tcPr>
            <w:tcW w:w="488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70">
              <w:r>
                <w:rPr>
                  <w:rFonts w:ascii="Arial" w:cs="Arial" w:eastAsia="Arial" w:hAnsi="Arial"/>
                  <w:sz w:val="16"/>
                  <w:szCs w:val="16"/>
                  <w:color w:val="0000EE"/>
                  <w:w w:val="78"/>
                </w:rPr>
                <w:t>67</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11"/>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Glossary of Selected Petroleum Terms</w:t>
              </w:r>
            </w:hyperlink>
          </w:p>
        </w:tc>
        <w:tc>
          <w:tcPr>
            <w:tcW w:w="4880" w:type="dxa"/>
            <w:vAlign w:val="bottom"/>
            <w:gridSpan w:val="9"/>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71">
              <w:r>
                <w:rPr>
                  <w:rFonts w:ascii="Arial" w:cs="Arial" w:eastAsia="Arial" w:hAnsi="Arial"/>
                  <w:sz w:val="16"/>
                  <w:szCs w:val="16"/>
                  <w:color w:val="0000EE"/>
                  <w:w w:val="78"/>
                </w:rPr>
                <w:t>68</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3"/>
          </w:tcPr>
          <w:p>
            <w:pPr>
              <w:spacing w:after="0"/>
              <w:rPr>
                <w:rFonts w:ascii="Arial" w:cs="Arial" w:eastAsia="Arial" w:hAnsi="Arial"/>
                <w:sz w:val="16"/>
                <w:szCs w:val="16"/>
                <w:color w:val="0000EE"/>
                <w:w w:val="80"/>
              </w:rPr>
            </w:pPr>
            <w:hyperlink w:anchor="page74">
              <w:r>
                <w:rPr>
                  <w:rFonts w:ascii="Arial" w:cs="Arial" w:eastAsia="Arial" w:hAnsi="Arial"/>
                  <w:sz w:val="16"/>
                  <w:szCs w:val="16"/>
                  <w:color w:val="0000EE"/>
                  <w:w w:val="80"/>
                </w:rPr>
                <w:t>Signatures</w:t>
              </w:r>
            </w:hyperlink>
          </w:p>
        </w:tc>
        <w:tc>
          <w:tcPr>
            <w:tcW w:w="7040" w:type="dxa"/>
            <w:vAlign w:val="bottom"/>
            <w:gridSpan w:val="17"/>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6"/>
                <w:szCs w:val="16"/>
                <w:color w:val="0000EE"/>
                <w:w w:val="78"/>
              </w:rPr>
            </w:pPr>
            <w:hyperlink w:anchor="page74">
              <w:r>
                <w:rPr>
                  <w:rFonts w:ascii="Arial" w:cs="Arial" w:eastAsia="Arial" w:hAnsi="Arial"/>
                  <w:sz w:val="16"/>
                  <w:szCs w:val="16"/>
                  <w:color w:val="0000EE"/>
                  <w:w w:val="78"/>
                </w:rPr>
                <w:t>71</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80" w:type="dxa"/>
            <w:vAlign w:val="bottom"/>
            <w:gridSpan w:val="20"/>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Exhibit Index</w:t>
              </w:r>
            </w:hyperlink>
          </w:p>
        </w:tc>
        <w:tc>
          <w:tcPr>
            <w:tcW w:w="680" w:type="dxa"/>
            <w:vAlign w:val="bottom"/>
            <w:gridSpan w:val="4"/>
          </w:tcPr>
          <w:p>
            <w:pPr>
              <w:jc w:val="right"/>
              <w:ind w:right="40"/>
              <w:spacing w:after="0"/>
              <w:rPr>
                <w:rFonts w:ascii="Arial" w:cs="Arial" w:eastAsia="Arial" w:hAnsi="Arial"/>
                <w:sz w:val="16"/>
                <w:szCs w:val="16"/>
                <w:color w:val="0000EE"/>
              </w:rPr>
            </w:pPr>
            <w:hyperlink w:anchor="page75">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This Form 10-K and the information referenced herein contain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this Annual Report on Form 10-K as filed with the Securities and Exchange Commission ("SEC"). Furthermore, the assumptions that support our forward-looking statements are based upon information that is currently available and is subject to change. We specifically disclaim all responsibility to publicly update any information contained in a forward-looking statement or any forward-looking statement in its entirety and therefore disclaim any resulting liability for potentially related damages. All forward-looking statements attributable to Evolution Petroleum Corporation are expressly qualified in their entirety by this cautionary statement.</w:t>
      </w:r>
    </w:p>
    <w:p>
      <w:pPr>
        <w:spacing w:after="0" w:line="23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We use the terms, "EPM," "Company," "we," "us" and "our" to refer to Evolution Petroleum Corporation, and unless the context otherwise requires, its wholly-owned subsidiaries.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See Glossary of Selected Petroleum Industry Terms at the back of this document - refer to Table of Contents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We are an independent oil and gas company engaged primarily in the acquisition, exploitation and development of properties for the production of crude oil and natural gas, onshore in the United States. Our goal is to acquire known crude oil and natural gas resources and exploit them through the application of conventional and specialized technology, with the objective of increasing production, ultimate recoveries, or both. Additional information regarding our operating segment, major customers, revenues and assets can be found in in Item 8. Financial Statements - Notes to Consolidated Financial Statements.</w:t>
      </w:r>
    </w:p>
    <w:p>
      <w:pPr>
        <w:sectPr>
          <w:pgSz w:w="11900" w:h="16838" w:orient="portrait"/>
          <w:cols w:equalWidth="0" w:num="1">
            <w:col w:w="11360"/>
          </w:cols>
          <w:pgMar w:left="240" w:top="125" w:right="299" w:bottom="0" w:gutter="0" w:footer="0" w:header="0"/>
        </w:sectPr>
      </w:pPr>
    </w:p>
    <w:bookmarkStart w:id="3" w:name="page4"/>
    <w:bookmarkEnd w:id="3"/>
    <w:p>
      <w:pPr>
        <w:ind w:right="80" w:firstLine="432"/>
        <w:spacing w:after="0" w:line="273" w:lineRule="auto"/>
        <w:rPr>
          <w:sz w:val="20"/>
          <w:szCs w:val="20"/>
          <w:color w:val="auto"/>
        </w:rPr>
      </w:pPr>
      <w:r>
        <w:rPr>
          <w:rFonts w:ascii="Arial" w:cs="Arial" w:eastAsia="Arial" w:hAnsi="Arial"/>
          <w:sz w:val="17"/>
          <w:szCs w:val="17"/>
          <w:color w:val="auto"/>
        </w:rPr>
        <w:t xml:space="preserve">Our operations began in September 2003. In May 2004, our predecessor, Natural Gas Systems, Inc., merged into a wholly-owned subsidiary of Reality Interactive, Inc., an inactive public company, which was renamed Natural Gas Systems, Inc. ("NGS"). In connection with the listing of NGS shares on the American Stock Exchange (currently the NYSE American) in July 2006, NGS was renamed Evolution Petroleum Corporation. Our principal executive offices are located at 1155 Dairy Ashford Road, Suite 425, Houston, Texas 77079, and our telephone number is (713) 935-0122. We maintain a website at </w:t>
      </w:r>
      <w:r>
        <w:rPr>
          <w:rFonts w:ascii="Arial" w:cs="Arial" w:eastAsia="Arial" w:hAnsi="Arial"/>
          <w:sz w:val="17"/>
          <w:szCs w:val="17"/>
          <w:i w:val="1"/>
          <w:iCs w:val="1"/>
          <w:color w:val="auto"/>
        </w:rPr>
        <w:t>www.evolutionpetroleum.com</w:t>
      </w:r>
      <w:r>
        <w:rPr>
          <w:rFonts w:ascii="Arial" w:cs="Arial" w:eastAsia="Arial" w:hAnsi="Arial"/>
          <w:sz w:val="17"/>
          <w:szCs w:val="17"/>
          <w:color w:val="auto"/>
        </w:rPr>
        <w:t>, but information contained on our website does not constitute part of this document. Our common stock is traded on the NYSE</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(formerly known as the NYSE MKT) under the ticker symbol "EPM".</w:t>
      </w:r>
    </w:p>
    <w:p>
      <w:pPr>
        <w:spacing w:after="0" w:line="2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At June 30, 2017, we had five full-time employees, not including contract personnel and outsourced service providers. None of the Company’s employees are currently represented by a union, and the Company believes that it has excellent relations with its employees. Our team is broadly experienced in oil and gas operations, development, acquisitions and financing. We follow a strategy of outsourcing most of our property accounting, human resources, administrative and other non-core functions.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Our business strategy is to acquire known, underdeveloped oil and natural gas resources and exploit them through the application of capital, sound engineering and modern technology to increase production, ultimate recoveries, or both.</w:t>
      </w:r>
    </w:p>
    <w:p>
      <w:pPr>
        <w:spacing w:after="0" w:line="22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Our principal assets include interests in a CO</w:t>
      </w:r>
      <w:r>
        <w:rPr>
          <w:rFonts w:ascii="Arial" w:cs="Arial" w:eastAsia="Arial" w:hAnsi="Arial"/>
          <w:sz w:val="12"/>
          <w:szCs w:val="12"/>
          <w:color w:val="auto"/>
        </w:rPr>
        <w:t>2</w:t>
      </w:r>
      <w:r>
        <w:rPr>
          <w:rFonts w:ascii="Arial" w:cs="Arial" w:eastAsia="Arial" w:hAnsi="Arial"/>
          <w:sz w:val="18"/>
          <w:szCs w:val="18"/>
          <w:color w:val="auto"/>
        </w:rPr>
        <w:t xml:space="preserve"> enhanced oil recovery project in Louisiana’s Delhi field and the natural gas liquids recovery plant in the Delhi field. We are focused on increasing underlying asset values on a per share basis. In doing so, we depend on a conservative capital structure, allowing us to maintain financial control of our assets for the benefit of our shareholders.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Delhi Field - Enhanced Oil Recovery</w:t>
      </w:r>
      <w:r>
        <w:rPr>
          <w:rFonts w:ascii="Arial" w:cs="Arial" w:eastAsia="Arial" w:hAnsi="Arial"/>
          <w:sz w:val="18"/>
          <w:szCs w:val="18"/>
          <w:b w:val="1"/>
          <w:bCs w:val="1"/>
          <w:color w:val="auto"/>
        </w:rPr>
        <w:t xml:space="preserve"> - Onshore Louisiana</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working and royalty interests in the Delhi Holt-Bryant Unit in the Delhi field ("Unit"), located in Northeast Louisiana, are currently our sole producing assets. The Unit is approximately 13,636 acres in size and has had a prolific production history totaling approximately 195 million bbls of oil through primary and limited secondary recovery operations since its discovery in the mid-1940s. At the time of our purchase of the field in 2003, the Unit had minimal production. We conveyed our working interest in the field to a subsidiary of Denbury Resources, Inc. in May 2006 for $50 million for the purpose of installing an enhanced oil recovery ("EOR") project in the field. We retained a 23.9% reversionary working interest upon payout of the project, as defined. Since EOR production began in March 2010, the Unit has produced over 14 million bbls of oil.</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two types of interests in the Unit:</w:t>
      </w:r>
    </w:p>
    <w:p>
      <w:pPr>
        <w:spacing w:after="0" w:line="144" w:lineRule="exact"/>
        <w:rPr>
          <w:sz w:val="20"/>
          <w:szCs w:val="20"/>
          <w:color w:val="auto"/>
        </w:rPr>
      </w:pPr>
    </w:p>
    <w:p>
      <w:pPr>
        <w:ind w:left="1140" w:right="60" w:hanging="484"/>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7.2% of overriding royalty interests that are in effect for the life of the Unit and mineral royalty interests, free of all operating and capital cost burdens; and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right="360" w:hanging="484"/>
        <w:spacing w:after="0" w:line="308"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23.9% working interest with an associated 19.0% net revenue interest. The working interest reverted to us effective November 1, 2014. Upon occurrence of this contractual payout, we began bearing 23.9% of all operating expenses and capital expenditures.</w:t>
      </w:r>
    </w:p>
    <w:p>
      <w:pPr>
        <w:spacing w:after="0" w:line="3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above interests are separate and give us a combined net revenue interest of 26.2%.</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independent reservoir engineers, DeGolyer and MacNaughton, assigned the following estimated reserves net to our interests at Delhi as of June 30,</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2017. Natural gas and natural gas liquids are converted to oil equivalent volumes at the ratio of six MCF of gas and 42 gallons of natural gas liquids to one barrel of oil.</w:t>
      </w:r>
    </w:p>
    <w:p>
      <w:pPr>
        <w:spacing w:after="0" w:line="103" w:lineRule="exact"/>
        <w:rPr>
          <w:sz w:val="20"/>
          <w:szCs w:val="20"/>
          <w:color w:val="auto"/>
        </w:rPr>
      </w:pPr>
    </w:p>
    <w:p>
      <w:pPr>
        <w:ind w:left="1140" w:right="58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10.1 million bbls of proved oil equivalent reserves, with a Standardized Measure of Discounted Future Net Cash Flows ("Standardized Measure") of $83 million, and PV-10* of $111 million</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5.3 million bbls of probable** oil equivalent reserves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 million bbls of possible** oil equivalent reserves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9" w:lineRule="exact"/>
        <w:rPr>
          <w:sz w:val="20"/>
          <w:szCs w:val="20"/>
          <w:color w:val="auto"/>
        </w:rPr>
      </w:pPr>
    </w:p>
    <w:p>
      <w:pPr>
        <w:ind w:left="660" w:right="160" w:hanging="652"/>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PV-10 of Proved reserves is a non-GAAP measure, reconciled to the Standardized Measure at "Estimated Oil and Natural Gas Reserves and Estimated Future Net Revenues" under </w:t>
      </w:r>
      <w:r>
        <w:rPr>
          <w:rFonts w:ascii="Arial" w:cs="Arial" w:eastAsia="Arial" w:hAnsi="Arial"/>
          <w:sz w:val="18"/>
          <w:szCs w:val="18"/>
          <w:i w:val="1"/>
          <w:iCs w:val="1"/>
          <w:color w:val="auto"/>
        </w:rPr>
        <w:t>Item 2. Properties</w:t>
      </w:r>
      <w:r>
        <w:rPr>
          <w:rFonts w:ascii="Arial" w:cs="Arial" w:eastAsia="Arial" w:hAnsi="Arial"/>
          <w:sz w:val="18"/>
          <w:szCs w:val="18"/>
          <w:color w:val="auto"/>
        </w:rPr>
        <w:t xml:space="preserve"> of this Form 10-K. Both the Standardized Measure and PV-10 are based on the average first day of the month net commodity prices received at the Delhi field in the twelve months ending June 30, 2017, which were $46.65 per barrel of oil and $20.48 per barrel of natural gas liquids ("NGL"). Probable and possible reserves are not recognized as GAAP nor is there a comparable GAAP measure for probable and possible reserves.</w:t>
      </w:r>
    </w:p>
    <w:p>
      <w:pPr>
        <w:spacing w:after="0" w:line="107" w:lineRule="exact"/>
        <w:rPr>
          <w:sz w:val="20"/>
          <w:szCs w:val="20"/>
          <w:color w:val="auto"/>
        </w:rPr>
      </w:pPr>
    </w:p>
    <w:p>
      <w:pPr>
        <w:ind w:left="660" w:right="80" w:hanging="652"/>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the above reserve numbers, 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of recovery. Possible reserves are even less certain and generally require only a 10% or greater probability of being recovered.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101" w:lineRule="exact"/>
        <w:rPr>
          <w:sz w:val="20"/>
          <w:szCs w:val="20"/>
          <w:color w:val="auto"/>
        </w:rPr>
      </w:pPr>
    </w:p>
    <w:p>
      <w:pPr>
        <w:jc w:val="both"/>
        <w:ind w:right="100" w:firstLine="432"/>
        <w:spacing w:after="0" w:line="320" w:lineRule="auto"/>
        <w:rPr>
          <w:sz w:val="20"/>
          <w:szCs w:val="20"/>
          <w:color w:val="auto"/>
        </w:rPr>
      </w:pPr>
      <w:r>
        <w:rPr>
          <w:rFonts w:ascii="Arial" w:cs="Arial" w:eastAsia="Arial" w:hAnsi="Arial"/>
          <w:sz w:val="16"/>
          <w:szCs w:val="16"/>
          <w:color w:val="auto"/>
        </w:rPr>
        <w:t>The operator originally planned six primary phases for the installation of the CO</w:t>
      </w:r>
      <w:r>
        <w:rPr>
          <w:rFonts w:ascii="Arial" w:cs="Arial" w:eastAsia="Arial" w:hAnsi="Arial"/>
          <w:sz w:val="13"/>
          <w:szCs w:val="13"/>
          <w:color w:val="auto"/>
        </w:rPr>
        <w:t>2</w:t>
      </w:r>
      <w:r>
        <w:rPr>
          <w:rFonts w:ascii="Arial" w:cs="Arial" w:eastAsia="Arial" w:hAnsi="Arial"/>
          <w:sz w:val="16"/>
          <w:szCs w:val="16"/>
          <w:color w:val="auto"/>
        </w:rPr>
        <w:t xml:space="preserve"> flood in the Delhi field. Four of these phases have been completed as of June 30, 2017 and two remain undeveloped. One of the remaining two phases (Phase V) is reflected as proved undeveloped in our current reserves report and the other was removed from proved reserves (Phase VI) as it was not deemed economic under current pricing guidelines for SEC purposes.</w:t>
      </w:r>
    </w:p>
    <w:p>
      <w:pPr>
        <w:spacing w:after="0" w:line="196" w:lineRule="exact"/>
        <w:rPr>
          <w:sz w:val="20"/>
          <w:szCs w:val="20"/>
          <w:color w:val="auto"/>
        </w:rPr>
      </w:pPr>
    </w:p>
    <w:p>
      <w:pPr>
        <w:ind w:right="740" w:firstLine="432"/>
        <w:spacing w:after="0" w:line="293" w:lineRule="auto"/>
        <w:rPr>
          <w:sz w:val="20"/>
          <w:szCs w:val="20"/>
          <w:color w:val="auto"/>
        </w:rPr>
      </w:pPr>
      <w:r>
        <w:rPr>
          <w:rFonts w:ascii="Arial" w:cs="Arial" w:eastAsia="Arial" w:hAnsi="Arial"/>
          <w:sz w:val="18"/>
          <w:szCs w:val="18"/>
          <w:color w:val="auto"/>
        </w:rPr>
        <w:t>Phase I began CO</w:t>
      </w:r>
      <w:r>
        <w:rPr>
          <w:rFonts w:ascii="Arial" w:cs="Arial" w:eastAsia="Arial" w:hAnsi="Arial"/>
          <w:sz w:val="14"/>
          <w:szCs w:val="14"/>
          <w:color w:val="auto"/>
        </w:rPr>
        <w:t>2</w:t>
      </w:r>
      <w:r>
        <w:rPr>
          <w:rFonts w:ascii="Arial" w:cs="Arial" w:eastAsia="Arial" w:hAnsi="Arial"/>
          <w:sz w:val="18"/>
          <w:szCs w:val="18"/>
          <w:color w:val="auto"/>
        </w:rPr>
        <w:t xml:space="preserve"> injection in November 2009. First oil production response occurred in March 2010 and production in the field increased to approximately 1,000 gross barrels of oil per day by December 2010.</w:t>
      </w:r>
    </w:p>
    <w:p>
      <w:pPr>
        <w:spacing w:after="0" w:line="210"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Implementation of Phase II, which was more than double the size of Phase I, commenced with incremental CO</w:t>
      </w:r>
      <w:r>
        <w:rPr>
          <w:rFonts w:ascii="Arial" w:cs="Arial" w:eastAsia="Arial" w:hAnsi="Arial"/>
          <w:sz w:val="14"/>
          <w:szCs w:val="14"/>
          <w:color w:val="auto"/>
        </w:rPr>
        <w:t>2</w:t>
      </w:r>
      <w:r>
        <w:rPr>
          <w:rFonts w:ascii="Arial" w:cs="Arial" w:eastAsia="Arial" w:hAnsi="Arial"/>
          <w:sz w:val="18"/>
          <w:szCs w:val="18"/>
          <w:color w:val="auto"/>
        </w:rPr>
        <w:t xml:space="preserve"> injection at the end of December 2010. First oil production response from Phase II occurred during March 2011, and field gross production increased to more than 4,000 barrels of oil per day by June 2011.</w:t>
      </w:r>
    </w:p>
    <w:p>
      <w:pPr>
        <w:spacing w:after="0" w:line="23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Phase III was installed during calendar 2011, and was expanded twice during calendar 2011. Production subsequently increased to more than 5,000 barrels of oil per day.</w:t>
      </w:r>
    </w:p>
    <w:p>
      <w:pPr>
        <w:spacing w:after="0" w:line="2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Phase IV was substantially installed during the first six months of calendar 2012. During early calendar 2013, the operator intensified development in the previously redeveloped western side of the field based on production results and new geological mapping that included the results of seismic data acquired over the last few years. Gross field production increased to more than 7,500 barrels of oil per day.</w:t>
      </w:r>
    </w:p>
    <w:p>
      <w:pPr>
        <w:spacing w:after="0" w:line="23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8"/>
          <w:szCs w:val="18"/>
          <w:color w:val="auto"/>
        </w:rPr>
        <w:t>In June 2013, following a fluid release event that consisted of the uncontrolled release of CO</w:t>
      </w:r>
      <w:r>
        <w:rPr>
          <w:rFonts w:ascii="Arial" w:cs="Arial" w:eastAsia="Arial" w:hAnsi="Arial"/>
          <w:sz w:val="14"/>
          <w:szCs w:val="14"/>
          <w:color w:val="auto"/>
        </w:rPr>
        <w:t>2,</w:t>
      </w:r>
      <w:r>
        <w:rPr>
          <w:rFonts w:ascii="Arial" w:cs="Arial" w:eastAsia="Arial" w:hAnsi="Arial"/>
          <w:sz w:val="18"/>
          <w:szCs w:val="18"/>
          <w:color w:val="auto"/>
        </w:rPr>
        <w:t xml:space="preserve"> water, natural gas and a small amount of oil from a previously plugged well in the southwest part of the field, the operator temporarily suspended CO</w:t>
      </w:r>
      <w:r>
        <w:rPr>
          <w:rFonts w:ascii="Arial" w:cs="Arial" w:eastAsia="Arial" w:hAnsi="Arial"/>
          <w:sz w:val="14"/>
          <w:szCs w:val="14"/>
          <w:color w:val="auto"/>
        </w:rPr>
        <w:t>2</w:t>
      </w:r>
      <w:r>
        <w:rPr>
          <w:rFonts w:ascii="Arial" w:cs="Arial" w:eastAsia="Arial" w:hAnsi="Arial"/>
          <w:sz w:val="18"/>
          <w:szCs w:val="18"/>
          <w:color w:val="auto"/>
        </w:rPr>
        <w:t xml:space="preserve"> injection in most of the southwestern tip of the field. The operator has fully remediated the affected area, but has isolated that part of the field with a water curtain.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This fluid release event, along with other contractual disputes, caused the Company to file suit against the operator in December 2013. In June 2016, we reached a settlement with the operator as described in Note 17 – Delhi Field Litigation Settlement.</w:t>
      </w:r>
    </w:p>
    <w:p>
      <w:pPr>
        <w:spacing w:after="0" w:line="224"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Subsequent to the reversion of our working interest to us in November 2014, the operator initiated work on the Phase V expansion of the CO</w:t>
      </w:r>
      <w:r>
        <w:rPr>
          <w:rFonts w:ascii="Arial" w:cs="Arial" w:eastAsia="Arial" w:hAnsi="Arial"/>
          <w:sz w:val="11"/>
          <w:szCs w:val="11"/>
          <w:color w:val="auto"/>
        </w:rPr>
        <w:t>2</w:t>
      </w:r>
      <w:r>
        <w:rPr>
          <w:rFonts w:ascii="Arial" w:cs="Arial" w:eastAsia="Arial" w:hAnsi="Arial"/>
          <w:sz w:val="17"/>
          <w:szCs w:val="17"/>
          <w:color w:val="auto"/>
        </w:rPr>
        <w:t xml:space="preserve"> flood in the undeveloped eastern part of the field. This project is sometimes referred to as Test Site 5. These operations were suspended shortly after reversion when the operator made significant cuts in its capital budget as a result of declining oil prices. Resumption of this work has been electively delayed due to prevailing oil prices and the partners' allocation of capital to other Delhi projects, primarily the large investment in the NGL plant discussed below. It was further electively delayed based on the conclusion that the economics of the project would be improved if it were implemented after completion of the NGL plant, which has now occurred. We believe that the Phase V expansion of the CO</w:t>
      </w:r>
      <w:r>
        <w:rPr>
          <w:rFonts w:ascii="Arial" w:cs="Arial" w:eastAsia="Arial" w:hAnsi="Arial"/>
          <w:sz w:val="11"/>
          <w:szCs w:val="11"/>
          <w:color w:val="auto"/>
        </w:rPr>
        <w:t>2</w:t>
      </w:r>
      <w:r>
        <w:rPr>
          <w:rFonts w:ascii="Arial" w:cs="Arial" w:eastAsia="Arial" w:hAnsi="Arial"/>
          <w:sz w:val="17"/>
          <w:szCs w:val="17"/>
          <w:color w:val="auto"/>
        </w:rPr>
        <w:t xml:space="preserve"> flood has favorable economics, even in this lower price environment, and we expect this project to expand the CO</w:t>
      </w:r>
      <w:r>
        <w:rPr>
          <w:rFonts w:ascii="Arial" w:cs="Arial" w:eastAsia="Arial" w:hAnsi="Arial"/>
          <w:sz w:val="11"/>
          <w:szCs w:val="11"/>
          <w:color w:val="auto"/>
        </w:rPr>
        <w:t>2</w:t>
      </w:r>
      <w:r>
        <w:rPr>
          <w:rFonts w:ascii="Arial" w:cs="Arial" w:eastAsia="Arial" w:hAnsi="Arial"/>
          <w:sz w:val="17"/>
          <w:szCs w:val="17"/>
          <w:color w:val="auto"/>
        </w:rPr>
        <w:t xml:space="preserve"> flood to resume within the next two years.</w:t>
      </w:r>
    </w:p>
    <w:p>
      <w:pPr>
        <w:spacing w:after="0" w:line="23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February 2015, we began construction of an NGL recovery plant in the Delhi Field, which was completed and operational in December 2016. Our net cost for the NGL plant totaled $26.3 million. The NGL plant extracts methane and NGL's from the CO</w:t>
      </w:r>
      <w:r>
        <w:rPr>
          <w:rFonts w:ascii="Arial" w:cs="Arial" w:eastAsia="Arial" w:hAnsi="Arial"/>
          <w:sz w:val="12"/>
          <w:szCs w:val="12"/>
          <w:color w:val="auto"/>
        </w:rPr>
        <w:t>2</w:t>
      </w:r>
      <w:r>
        <w:rPr>
          <w:rFonts w:ascii="Arial" w:cs="Arial" w:eastAsia="Arial" w:hAnsi="Arial"/>
          <w:sz w:val="18"/>
          <w:szCs w:val="18"/>
          <w:color w:val="auto"/>
        </w:rPr>
        <w:t xml:space="preserve"> recycle stream. The methane and part of the ethane produced by the NGL plant are used to generate electrical power in the field. The extracted NGL's are sold at the field to a purchaser who transports them by truck to a plant for further processing. In addition to the value of these hydrocarbon products, the increased purity of the CO</w:t>
      </w:r>
      <w:r>
        <w:rPr>
          <w:rFonts w:ascii="Arial" w:cs="Arial" w:eastAsia="Arial" w:hAnsi="Arial"/>
          <w:sz w:val="12"/>
          <w:szCs w:val="12"/>
          <w:color w:val="auto"/>
        </w:rPr>
        <w:t>2</w:t>
      </w:r>
      <w:r>
        <w:rPr>
          <w:rFonts w:ascii="Arial" w:cs="Arial" w:eastAsia="Arial" w:hAnsi="Arial"/>
          <w:sz w:val="18"/>
          <w:szCs w:val="18"/>
          <w:color w:val="auto"/>
        </w:rPr>
        <w:t xml:space="preserve"> stream re-injected into the field should result in operational benefits to the CO</w:t>
      </w:r>
      <w:r>
        <w:rPr>
          <w:rFonts w:ascii="Arial" w:cs="Arial" w:eastAsia="Arial" w:hAnsi="Arial"/>
          <w:sz w:val="12"/>
          <w:szCs w:val="12"/>
          <w:color w:val="auto"/>
        </w:rPr>
        <w:t>2</w:t>
      </w:r>
      <w:r>
        <w:rPr>
          <w:rFonts w:ascii="Arial" w:cs="Arial" w:eastAsia="Arial" w:hAnsi="Arial"/>
          <w:sz w:val="18"/>
          <w:szCs w:val="18"/>
          <w:color w:val="auto"/>
        </w:rPr>
        <w:t xml:space="preserve"> flood.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Artificial Lift Technology</w:t>
      </w:r>
    </w:p>
    <w:p>
      <w:pPr>
        <w:spacing w:after="0" w:line="279" w:lineRule="exact"/>
        <w:rPr>
          <w:sz w:val="20"/>
          <w:szCs w:val="20"/>
          <w:color w:val="auto"/>
        </w:rPr>
      </w:pPr>
    </w:p>
    <w:p>
      <w:pPr>
        <w:ind w:right="20" w:firstLine="432"/>
        <w:spacing w:after="0" w:line="250" w:lineRule="auto"/>
        <w:rPr>
          <w:sz w:val="20"/>
          <w:szCs w:val="20"/>
          <w:color w:val="auto"/>
        </w:rPr>
      </w:pPr>
      <w:r>
        <w:rPr>
          <w:rFonts w:ascii="Arial" w:cs="Arial" w:eastAsia="Arial" w:hAnsi="Arial"/>
          <w:sz w:val="16"/>
          <w:szCs w:val="16"/>
          <w:color w:val="auto"/>
        </w:rPr>
        <w:t>We previously owned artificial lift technology registered as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(Gas Assisted Rod Pump) that was developed internally by our former Senior Vice President of Operations. Its design is intended to increase production and extend the life of horizontal and vertical wells with gas, oil or associated water production with the expectation of recovering additional reserves at an economically attractive cost per BOE. We received a patent on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on August 30, 2011, which provides U.S. patent protection for the technology through early 2028. We have further filed for a continuation in part to our patent for recent improvements in the technology, including a concentric design which allows the technology to work in narrower diameter casing.</w:t>
      </w:r>
    </w:p>
    <w:p>
      <w:pPr>
        <w:spacing w:after="0" w:line="11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Subsequent to receiving our patent, we entered into demonstration joint venture projects and commercialization projects with industry operators between 2012 and early 2015. Most of these projects were successful in establishing or restoring commercial rates of production. However, with the severe decline in oil prices that began in late 2014, a significant portion of these projects were not sufficiently profitable to justify the incremental capital and operating costs of the technology.</w:t>
      </w:r>
    </w:p>
    <w:p>
      <w:pPr>
        <w:spacing w:after="0" w:line="18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As a result of the declining commodity price environment and reduced capital spending by the industry, the timing for commercial success of this technology was slower than previously anticipated. Based on a strategic review of these operations, we undertook the separation and transfer of these operations to a new entity controlled by the inventor of the technology and certain former employees of the Company, effective December 31, 2015. We invested $108,750 in common and preferred stock and retained a minority interest in the new entity, Well Lift Inc., together with a 5% royalty on all future gross revenues derived from the technology. We have the option to convert our preferred stock investment in Well Lift Inc, into a larger, non-controlling equity stake in the new entity. Consequently, we have retained upside for our shareholders from the potential future success of the technology, while eliminating approximately $1.0 million of annual overhead expenses. We have also retained the right to use the technology in our current wells and any future wells we develop or acquire.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Projects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Mississippi Lime</w:t>
      </w:r>
      <w:r>
        <w:rPr>
          <w:rFonts w:ascii="Arial" w:cs="Arial" w:eastAsia="Arial" w:hAnsi="Arial"/>
          <w:sz w:val="18"/>
          <w:szCs w:val="18"/>
          <w:color w:val="auto"/>
        </w:rPr>
        <w:t>—Kay County, Oklahoma</w:t>
      </w:r>
    </w:p>
    <w:p>
      <w:pPr>
        <w:spacing w:after="0" w:line="14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2012, we acquired a 45% interest in a joint venture with Orion Exploration, a private company based in Tulsa, Oklahoma. The joint venture was operated by Orion and engaged in the horizontal development of the Mississippi Lime reservoir in Kay County, Oklahoma. Our leasehold position, totaling approximately 6,600 acres, was located in the eastern, more oil-prone side of the play. We drilled one gross salt water disposal well and reached total depth on two horizontally drilled wells in the Mississippi Lime formation. While both wells produced at the fluid rates expected, the quantities of oil and gas were far less than expected. We subsequently reworked both wells to test the role of structure in production, and determined that this play is a structural play requiring substantial geophysical and geological work and expertise in order to be successful, as opposed to a resource play in which engineering is the primary requirement. Accordingly, we elected in fiscal 2013 to reduce our joint venture interest in undeveloped leases to 33.9%, resulting in a $1.2 million reduction in both our net property and accounts payable. In October 2014, we completed the sale of all of our leasehold interests and wells and any associated assets and abandonment liabilities in the Mississippi Lime reservoir to the operator.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Customers</w:t>
      </w:r>
    </w:p>
    <w:p>
      <w:pPr>
        <w:spacing w:after="0" w:line="28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market our production to third parties in a manner consistent with industry practices. In the U.S. market where we operate, crude oil and natural gas liquids are readily transportable and marketable. We do not currently market our share of crude oil production from Delhi separately from the operator's share of production. Although we have the right to take our working interest production in-kind, we are currently selling our oil under the Delhi operator's agreement with Plains Marketing L.P. pursuant to the delivery and pricing terms thereunder. The oil from Delhi is currently transported from the field by pipeline, which results in better net pricing than the alternative of transportation by truck. Delhi crude oil production sells at Louisiana Light Sweet ("LLS") pricing which generally trades at a premium to West Texas Intermediate ("WTI") crude oil pricing. The positive LLS Gulf Coast price differential over WTI was approximately $1.67 per barrel during our fiscal year ended June 30, 2017. The differential has narrowed from past years, but we expect that a positive LLS price differential will continue, at least in the near future. Our overall net oil price, including the LLS premium and after all adjustments for transportation, marketing and other price differentials, was $2.28 per barrel less than WTI crude oil prices, as quoted daily on the New York Mercantile Exchange.</w:t>
      </w:r>
    </w:p>
    <w:p>
      <w:pPr>
        <w:spacing w:after="0" w:line="249"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Upon completion of the NGL plant in late 2016, we began selling natural gas liquids from the Delhi field to American Midstream Gas Solutions, L.P. Title to these products is transferred to the purchaser at the field and they are transported by truck to the purchaser's processing facility. We receive market prices, less transportation, processing and quality differential fees for the net yield of the individual natural gas liquid components, consisting of propane, butanes, and C5+ (pentanes and heavier components). There is a small component of residual ethane, but the overall yield of products is a higher value mix than is typical for natural gas liquids.</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purchasers of our oil and natural gas production for the years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154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ind w:left="40"/>
              <w:spacing w:after="0"/>
              <w:rPr>
                <w:sz w:val="20"/>
                <w:szCs w:val="20"/>
                <w:color w:val="auto"/>
              </w:rPr>
            </w:pPr>
            <w:r>
              <w:rPr>
                <w:rFonts w:ascii="Arial" w:cs="Arial" w:eastAsia="Arial" w:hAnsi="Arial"/>
                <w:sz w:val="14"/>
                <w:szCs w:val="14"/>
                <w:b w:val="1"/>
                <w:bCs w:val="1"/>
                <w:color w:val="auto"/>
              </w:rPr>
              <w:t>Customer</w:t>
            </w: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540" w:type="dxa"/>
            <w:vAlign w:val="bottom"/>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L.P.</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American Midstream Gas Solution, L.P.</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5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loss of our purchaser at the Delhi field or disruption to pipeline transportation from the field could adversely affect our net realized pricing and potentially our near-term production levels. The loss of any of our other purchasers would not be expected to have a material adverse effect on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Marketing of crude oil, natural gas, and natural gas liquids and the prices we receive are influenced by many factors that are beyond our control, the exact effect of which is difficult to predict. These factors include changes in supply and demand, market prices, government regulation and actions of major foreign producers.</w:t>
      </w:r>
    </w:p>
    <w:p>
      <w:pPr>
        <w:spacing w:after="0" w:line="235"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Over the past 30 years, crude oil price fluctuations have been extremely volatile, with crude oil prices varying from less than $10 to over $140 per barrel. Most recently, the price of oil per barrel has dropped dramatically, starting in the fourth quarter of 2014 and continuing into 2017. It has dropped by more than half since its high in June 2014. Worldwide factors such as geopolitical, macroeconomic, supply and demand, refining capacity, petrochemical production and derivatives trading, among others, influence prices for crude oil. Local factors also influence prices for crude oil and include increasing or decreasing production trends, quality differences, regulation and transportation issues unique to certain producing regions and reservoirs.</w:t>
      </w:r>
    </w:p>
    <w:p>
      <w:pPr>
        <w:spacing w:after="0" w:line="2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Also over the past 30 years, domestic natural gas prices have been extremely volatile, ranging from $1 to $15 per MMBTU. The spot market for natural gas, changes in supply and demand, derivatives trading, pipeline availability, BTU content of the natural gas and weather patterns, among others, cause natural gas prices to be subject to significant fluctuations. Due to the practical difficulties in transporting natural gas, local and regional factors tend to influence product prices more for natural gas than for crude oil.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oil and natural gas industry is highly competitive for prospects, acreage and capital. 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Competitors are national, regional or local in scope and compete on the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basis of financial resources, technical prowess or local knowledge. The principal competitive factors in our industry are expertise in given geographical and geological areas and the abilities to efficiently conduct operations, achieve technological advantages, identify, acquire economically producible reserves and obtain capital at rates which allow economic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For a discussion of seasonal changes that affect our business, see </w:t>
      </w:r>
      <w:r>
        <w:rPr>
          <w:rFonts w:ascii="Arial" w:cs="Arial" w:eastAsia="Arial" w:hAnsi="Arial"/>
          <w:sz w:val="18"/>
          <w:szCs w:val="18"/>
          <w:i w:val="1"/>
          <w:iCs w:val="1"/>
          <w:color w:val="auto"/>
        </w:rPr>
        <w:t>Item 7. 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 Other Economic Factors - Seasonality </w:t>
      </w:r>
      <w:r>
        <w:rPr>
          <w:rFonts w:ascii="Arial" w:cs="Arial" w:eastAsia="Arial" w:hAnsi="Arial"/>
          <w:sz w:val="18"/>
          <w:szCs w:val="18"/>
          <w:color w:val="auto"/>
        </w:rPr>
        <w:t>in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Numerous federal and state laws and regulations govern the oil and gas industry. These laws and regulations are often changed in response to changes in the political or economic environment. Compliance with this evolving regulatory burden is often difficult and costly, and substantial penalties may be incurred for noncompliance. To the best of our knowledge, we are in compliance with all laws and regulations applicable to our operations and we believe that continued compliance with existing requirements will not have a material adverse impact on us. The future annual capital cost of complying with the regulations applicable to our operations is uncertain and will be governed by several factors, including future changes to regulatory requirements which are unpredictable. However, we do not currently anticipate that future compliance with existing laws and regulations will have a materially adverse effect on our consolidated financial position or results of operations.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See "Government regulation and liability for environmental matters that may adversely affect our business and results of operations" under </w:t>
      </w:r>
      <w:r>
        <w:rPr>
          <w:rFonts w:ascii="Arial" w:cs="Arial" w:eastAsia="Arial" w:hAnsi="Arial"/>
          <w:sz w:val="16"/>
          <w:szCs w:val="16"/>
          <w:i w:val="1"/>
          <w:iCs w:val="1"/>
          <w:color w:val="auto"/>
        </w:rPr>
        <w:t>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of this Form 10-K, for additional information regarding government regulation.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maintain insurance on our operated and non-operated properties and operations for risks and in amounts customary in the industry. Such insurance includes general liability, excess liability, control of well, operators extra expense, casualty, fraud and directors &amp; officer's liability coverage. Not all losses are insured, and we retain certain risks of loss through deductibles, limits and self-retentions. We do not carry lost profits coverage and we do not have coverage for consequential damages.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8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reports with the SEC. Our reports filed with the SEC are available free of charge to the general public through our website at </w:t>
      </w:r>
      <w:r>
        <w:rPr>
          <w:rFonts w:ascii="Arial" w:cs="Arial" w:eastAsia="Arial" w:hAnsi="Arial"/>
          <w:sz w:val="17"/>
          <w:szCs w:val="17"/>
          <w:i w:val="1"/>
          <w:iCs w:val="1"/>
          <w:color w:val="auto"/>
        </w:rPr>
        <w:t>www.evolutionpetroleum.com.</w:t>
      </w:r>
      <w:r>
        <w:rPr>
          <w:rFonts w:ascii="Arial" w:cs="Arial" w:eastAsia="Arial" w:hAnsi="Arial"/>
          <w:sz w:val="17"/>
          <w:szCs w:val="17"/>
          <w:color w:val="auto"/>
        </w:rPr>
        <w:t xml:space="preserve">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gas industry and our Company</w:t>
      </w:r>
    </w:p>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substantial or extended decline in oil prices may adversely affect our business, financial condition or results of operations and our ability to meet our capital expenditure obligations and financial commitments.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price we receive for our oil significantly influences our revenue, profitability, access to capital and future rate of growth. Oil is a commodity and its price is subject to wide fluctuations in response to relatively minor changes in supply and demand. For example, average daily prices for WTI crude oil ranged from a high of $107 per barrel to a low of $27 per barrel over the past three fiscal years ending June 30, 2017. Historically, the markets for oil and natural gas liquids have been volatile and these markets will likely continue to be volatile in the future. The prices we receive for our production depend on numerous factors beyond our control, including, but not limited to the following:</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and regional economic conditions impacting the global supply and demand for oil and gas;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OPEC or other groups of oil producing nations;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quantity of imports of foreign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conditions in or affecting other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localized supply and demand fundamentals of regional, domestic and international transportation availability;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foreign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as to the future price of oil and the speculative trading of oil and natural gas futures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availability of competitors' supplies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effecting energy consumption;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Substantially all of our production is sold to purchasers under short-term (less than twelve-month) contracts at market-based prices. A decline in oil and natural gas liquids prices will reduce our cash flows, borrowing ability, the present value of our reserves and our ability to develop future reserves. We may be unable to obtain needed capital or financing on satisfactory terms. Low oil and natural gas liquids prices may also reduce the amount of oil and natural gas liquids that we can produce economically, which could lead to a decline in our oil and natural gas liquids reserves. Because approximately 83% of our proved reserves at June 30, 2017 are crude oil reserves and 17% are natural gas liquids reserves, we are heavily impacted by movements in crude oil prices, which also influence natural gas liquids prices. To the extent that we have not hedged our production with derivative contracts or fixed-price contracts, any significant and extended decline in oil and natural gas liquids prices may adversely affect our financial position.</w:t>
      </w:r>
    </w:p>
    <w:p>
      <w:pPr>
        <w:spacing w:after="0" w:line="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one asset and related declines in production or other events beyond our control could have a material adverse effect on our results of operations and financial results.</w:t>
      </w:r>
    </w:p>
    <w:p>
      <w:pPr>
        <w:spacing w:after="0" w:line="22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Substantially all of our revenues come from our royalty, mineral and working interests in the Delhi field in Louisiana and thus our current revenues are highly concentrated in this field. Any significant downturn in production, oil and gas prices, or other events beyond our control which impact the Delhi field could have a material adverse effect on our results of operations and financial results. We are not the operator of the Delhi field, and our revenues and future growth are heavily dependent on the success of operations, which we do not control.</w:t>
      </w: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89"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general, the volumes of production from crude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decline. Our production is heavily dependent on our interests in EOR production that began during March 2010 in the Delhi field. Environmental or operating problems or lack of future investment at Delhi could cause our net production of oil and natural gas liquids to decline significantly over time, which could have a material adverse effect on our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over the activities on properties we do not operate.</w:t>
      </w:r>
    </w:p>
    <w:p>
      <w:pPr>
        <w:spacing w:after="0" w:line="2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Substantially all of our property interests are not operated by the Company and also involve other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8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are materially dependent upon our operator with respect to the successful operation of our principal asset, which consists of our interests the Delhi field. A materially negative change in our operator’s financial condition could negatively affect operations (or timing thereof) in the Delhi field, and consequently our income (or timing thereof) from the field as well as the value of our interests in the Delhi field.</w:t>
      </w:r>
    </w:p>
    <w:p>
      <w:pPr>
        <w:spacing w:after="0" w:line="6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royalty, mineral and working interests in the Delhi field, located in Northeast Louisiana, currently represent our sole producing asset. Over 99% of our revenues come from these interests and thus our current revenues are highly concentrated in this field. Any significant downturn in production or other events beyond our control which impact the Delhi field could have a</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material adverse effect on our results of operations and financial results (or timing thereof). We are not the operator of the Delhi field. It is operated by a subsidiary of Denbury Resources Inc. (“DNR”). Our revenues and future growth are thus heavily dependent on the success of operations which we do not control.</w:t>
      </w:r>
    </w:p>
    <w:p>
      <w:pPr>
        <w:spacing w:after="0" w:line="23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Further, our CO</w:t>
      </w:r>
      <w:r>
        <w:rPr>
          <w:rFonts w:ascii="Arial" w:cs="Arial" w:eastAsia="Arial" w:hAnsi="Arial"/>
          <w:sz w:val="11"/>
          <w:szCs w:val="11"/>
          <w:color w:val="auto"/>
        </w:rPr>
        <w:t>2</w:t>
      </w:r>
      <w:r>
        <w:rPr>
          <w:rFonts w:ascii="Arial" w:cs="Arial" w:eastAsia="Arial" w:hAnsi="Arial"/>
          <w:sz w:val="17"/>
          <w:szCs w:val="17"/>
          <w:color w:val="auto"/>
        </w:rPr>
        <w:t>- Enhanced Oil Recovery (“CO</w:t>
      </w:r>
      <w:r>
        <w:rPr>
          <w:rFonts w:ascii="Arial" w:cs="Arial" w:eastAsia="Arial" w:hAnsi="Arial"/>
          <w:sz w:val="11"/>
          <w:szCs w:val="11"/>
          <w:color w:val="auto"/>
        </w:rPr>
        <w:t>2</w:t>
      </w:r>
      <w:r>
        <w:rPr>
          <w:rFonts w:ascii="Arial" w:cs="Arial" w:eastAsia="Arial" w:hAnsi="Arial"/>
          <w:sz w:val="17"/>
          <w:szCs w:val="17"/>
          <w:color w:val="auto"/>
        </w:rPr>
        <w:t>-EOR”) project in the Delhi field requires significant amounts of CO</w:t>
      </w:r>
      <w:r>
        <w:rPr>
          <w:rFonts w:ascii="Arial" w:cs="Arial" w:eastAsia="Arial" w:hAnsi="Arial"/>
          <w:sz w:val="11"/>
          <w:szCs w:val="11"/>
          <w:color w:val="auto"/>
        </w:rPr>
        <w:t>2</w:t>
      </w:r>
      <w:r>
        <w:rPr>
          <w:rFonts w:ascii="Arial" w:cs="Arial" w:eastAsia="Arial" w:hAnsi="Arial"/>
          <w:sz w:val="17"/>
          <w:szCs w:val="17"/>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Arial" w:cs="Arial" w:eastAsia="Arial" w:hAnsi="Arial"/>
          <w:sz w:val="11"/>
          <w:szCs w:val="11"/>
          <w:color w:val="auto"/>
        </w:rPr>
        <w:t>2</w:t>
      </w:r>
      <w:r>
        <w:rPr>
          <w:rFonts w:ascii="Arial" w:cs="Arial" w:eastAsia="Arial" w:hAnsi="Arial"/>
          <w:sz w:val="17"/>
          <w:szCs w:val="17"/>
          <w:color w:val="auto"/>
        </w:rPr>
        <w:t>- EOR project to fall short of our expectations in volume and/or timing. Such occurrences could have a material adverse effect on us, and our results of operations and financial condition.</w:t>
      </w:r>
    </w:p>
    <w:p>
      <w:pPr>
        <w:spacing w:after="0" w:line="22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economic success is thus materially dependent upon the Delhi field operator's ability to: (i) deliver sufficient quantities of CO</w:t>
      </w:r>
      <w:r>
        <w:rPr>
          <w:rFonts w:ascii="Arial" w:cs="Arial" w:eastAsia="Arial" w:hAnsi="Arial"/>
          <w:sz w:val="12"/>
          <w:szCs w:val="12"/>
          <w:color w:val="auto"/>
        </w:rPr>
        <w:t>2</w:t>
      </w:r>
      <w:r>
        <w:rPr>
          <w:rFonts w:ascii="Arial" w:cs="Arial" w:eastAsia="Arial" w:hAnsi="Arial"/>
          <w:sz w:val="18"/>
          <w:szCs w:val="18"/>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23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are aware that DNR, which is publicly traded, has disclosed in its public SEC filings certain risks related to its current level of indebtedness and the related financial covenants. They have stated, for example, that their level of indebtedness could have important consequences, including, among others, requiring dedication of a substantial portion of DNR’s cash flow from operations to servicing their indebtedness. They noted that their ability to meet their obligations under their debt instruments will depend in part upon prevailing economic conditions and commodity prices. DNR also noted that it has from time to time deferred development spending for certain projects.</w:t>
      </w:r>
    </w:p>
    <w:p>
      <w:pPr>
        <w:spacing w:after="0" w:line="242"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Given the current stress in the global commodity markets and oil and gas in particular, our operator could be materially negatively impacted, which could in turn negatively affect the operator’s ability to operate the Delhi field as well as its financial commitment to the CO</w:t>
      </w:r>
      <w:r>
        <w:rPr>
          <w:rFonts w:ascii="Arial" w:cs="Arial" w:eastAsia="Arial" w:hAnsi="Arial"/>
          <w:sz w:val="12"/>
          <w:szCs w:val="12"/>
          <w:color w:val="auto"/>
        </w:rPr>
        <w:t>2</w:t>
      </w:r>
      <w:r>
        <w:rPr>
          <w:rFonts w:ascii="Arial" w:cs="Arial" w:eastAsia="Arial" w:hAnsi="Arial"/>
          <w:sz w:val="18"/>
          <w:szCs w:val="18"/>
          <w:color w:val="auto"/>
        </w:rPr>
        <w:t>-EOR project in the field, and thus our interests in the Delhi field could be materially negatively impacted.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types of resources we focus on have substantial operational risks.</w:t>
      </w:r>
    </w:p>
    <w:p>
      <w:pPr>
        <w:spacing w:after="0" w:line="27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business plan focuses on the acquisition and development of known resources in partially depleted reservoirs, naturally fractured or low permeability reservoirs, or relatively shallow reservoirs. Shallower reservoirs usually have lower pressure, which generally translates into lower reserve volumes in place.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unlock incremental reserves.</w:t>
      </w:r>
    </w:p>
    <w:p>
      <w:pPr>
        <w:spacing w:after="0" w:line="24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CO</w:t>
      </w:r>
      <w:r>
        <w:rPr>
          <w:rFonts w:ascii="Arial" w:cs="Arial" w:eastAsia="Arial" w:hAnsi="Arial"/>
          <w:sz w:val="12"/>
          <w:szCs w:val="12"/>
          <w:color w:val="auto"/>
        </w:rPr>
        <w:t>2</w:t>
      </w:r>
      <w:r>
        <w:rPr>
          <w:rFonts w:ascii="Arial" w:cs="Arial" w:eastAsia="Arial" w:hAnsi="Arial"/>
          <w:sz w:val="18"/>
          <w:szCs w:val="18"/>
          <w:color w:val="auto"/>
        </w:rPr>
        <w:t>-EOR project in the Delhi field, operated by a subsidiary of Denbury Resources Inc., requires significant amounts of CO</w:t>
      </w:r>
      <w:r>
        <w:rPr>
          <w:rFonts w:ascii="Arial" w:cs="Arial" w:eastAsia="Arial" w:hAnsi="Arial"/>
          <w:sz w:val="12"/>
          <w:szCs w:val="12"/>
          <w:color w:val="auto"/>
        </w:rPr>
        <w:t>2</w:t>
      </w:r>
      <w:r>
        <w:rPr>
          <w:rFonts w:ascii="Arial" w:cs="Arial" w:eastAsia="Arial" w:hAnsi="Arial"/>
          <w:sz w:val="18"/>
          <w:szCs w:val="18"/>
          <w:color w:val="auto"/>
        </w:rPr>
        <w:t xml:space="preserve"> reserves, development capital and technical expertise, the sources of which to date have been committed by the operator. Although initial CO</w:t>
      </w:r>
      <w:r>
        <w:rPr>
          <w:rFonts w:ascii="Arial" w:cs="Arial" w:eastAsia="Arial" w:hAnsi="Arial"/>
          <w:sz w:val="12"/>
          <w:szCs w:val="12"/>
          <w:color w:val="auto"/>
        </w:rPr>
        <w:t>2</w:t>
      </w:r>
      <w:r>
        <w:rPr>
          <w:rFonts w:ascii="Arial" w:cs="Arial" w:eastAsia="Arial" w:hAnsi="Arial"/>
          <w:sz w:val="18"/>
          <w:szCs w:val="18"/>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cause ultimate enhanced recoveries from the planned CO</w:t>
      </w:r>
      <w:r>
        <w:rPr>
          <w:rFonts w:ascii="Arial" w:cs="Arial" w:eastAsia="Arial" w:hAnsi="Arial"/>
          <w:sz w:val="12"/>
          <w:szCs w:val="12"/>
          <w:color w:val="auto"/>
        </w:rPr>
        <w:t>2</w:t>
      </w:r>
      <w:r>
        <w:rPr>
          <w:rFonts w:ascii="Arial" w:cs="Arial" w:eastAsia="Arial" w:hAnsi="Arial"/>
          <w:sz w:val="18"/>
          <w:szCs w:val="18"/>
          <w:color w:val="auto"/>
        </w:rPr>
        <w:t>-EOR project to fall short of our expectations in volume and/or timing. Such occurrences would have a material adverse effect on the Company, its results of operations and financial condition.</w:t>
      </w:r>
    </w:p>
    <w:p>
      <w:pPr>
        <w:spacing w:after="0" w:line="24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Crude oil and natural gas development, re-completion of wells from one reservoir to another reservoir, restoring wells to production and drilling and completing new wells are speculative activities and involve numerous risks and substantial uncertain costs.</w:t>
      </w:r>
    </w:p>
    <w:p>
      <w:pPr>
        <w:spacing w:after="0" w:line="20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growth will be materially dependent upon the success of our future development program. Drilling for crude oil and natural gas and re-working existing wells involve numerous risks, including the risk that no commercially productive crude oil or natural gas reservoirs will be encountered. The cost of drilling, completing and operating wells is substantial and uncertain, and drilling operations may be curtailed, delayed or canceled as a result of a variety of factors beyond our control, including, but not limited to:</w:t>
      </w:r>
    </w:p>
    <w:p>
      <w:pPr>
        <w:spacing w:after="0" w:line="106"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drilling conditions;</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pressure fluctuations or irregularities in formations;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events;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obtain or maintain leases on economic terms, where applicable;</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governmental requirements; and</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or delays in the availability of drilling rigs or crews and the delivery of equipment.</w:t>
      </w:r>
    </w:p>
    <w:p>
      <w:pPr>
        <w:spacing w:after="0" w:line="13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Drilling or re-working is a highly speculative activity. Even when fully and correctly utilized, modern well completion techniques such as horizontal drilling or CO</w:t>
      </w:r>
      <w:r>
        <w:rPr>
          <w:rFonts w:ascii="Arial" w:cs="Arial" w:eastAsia="Arial" w:hAnsi="Arial"/>
          <w:sz w:val="12"/>
          <w:szCs w:val="12"/>
          <w:color w:val="auto"/>
        </w:rPr>
        <w:t>2</w:t>
      </w:r>
      <w:r>
        <w:rPr>
          <w:rFonts w:ascii="Arial" w:cs="Arial" w:eastAsia="Arial" w:hAnsi="Arial"/>
          <w:sz w:val="18"/>
          <w:szCs w:val="18"/>
          <w:color w:val="auto"/>
        </w:rPr>
        <w:t xml:space="preserve"> injection or other injectants do not guarantee that we will find and produce crude oil and/or natural gas in our wells in economic quantities. Our future drilling activities may not be successful and, if unsuccessful, such failure would have an adverse effect on our future results of operations and financial condition. We cannot assure you that our overall drilling success rate or our drilling success rate for activities within a particular geographic area will not decline.</w:t>
      </w:r>
    </w:p>
    <w:p>
      <w:pPr>
        <w:spacing w:after="0" w:line="242"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We may also identify and develop prospects through a number of methods, some of which do not include horizontal drilling or tertiary injectants, and some of which may be unproven. The drilling and results for these prospects may be particularly uncertain. We cannot assure you that these projects can be successfully developed or that the wells discussed will, if drilled, encounter reservoirs of commercially productive crude oil or natural gas.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large single purchaser of our oil and natural gas could reduce the competition of our production.</w:t>
      </w:r>
    </w:p>
    <w:p>
      <w:pPr>
        <w:spacing w:after="0" w:line="27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For the year ended June 30, 2017, one purchaser accounted for 97% of our oil and natural gas revenues. We do not currently market our share of crude oil production from the Delhi field. Although we have the right to take our working interest production in-kind, we are currently accepting terms under the Delhi operator's agreement with Plains Marketing L.P. for the delivery and pricing of our oil at the field. The loss of such large single purchaser for our oil and natural gas production could negatively impact the revenue we receive. We cannot assure you we could readily find other purchasers for our oil and natural gas production. In addition, the crude oil production from the Delhi field is transported by pipeline and if this pipeline transportation were disrupted and we were forced to use alternative transportation methods, our net realized pricing and potentially our near-term production levels could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crude oil and natural gas reserves are only estimates and may prove to be inaccurate.</w:t>
      </w:r>
    </w:p>
    <w:p>
      <w:pPr>
        <w:spacing w:after="0" w:line="27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There are numerous uncertainties inherent in estimating crude oil and natural gas reserves and their estimated values. Our reserves are only estimates that may prove to be inaccurate because of these uncertainties. Reservoir engineering is a subjective and inexact process of estimating underground accumulations of crude oil and natural gas that cannot be measured in an exact manner. Estimates of economically recoverable crude oil and natural gas reserves depend upon a number of variable factors, such as historical production from the area compared with production from other producing areas and assumptions concerning effects of regulations by governmental agencies, future crude oil and natural gas product prices, future operating costs, severance and excise taxes, development costs and work-over and remedial costs. Some or all of these assumptions may vary considerably from actual results. For these reasons, estimates of the economically recoverable quantities of crude oil and natural gas attributable to any particular group of properties, classifications of such reserves based on risk of recovery, and estimates of the future net cash flows expected therefrom prepared by different engineers or by the same engineers but at different times, may vary substantially.</w:t>
      </w:r>
    </w:p>
    <w:p>
      <w:pPr>
        <w:spacing w:after="0" w:line="23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Accordingly, reserve estimates may be subject to downward or upward adjustment. Actual production, revenue and expenditures with respect to our reserves will likely vary from estimates, and such variances may be material. The information regarding discounted future net cash flows included in this report should not be considered as the current market value of the estimated crude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crude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based on interest rates in effect from time to time and risks associated with us or the crude oil and natural gas industry in general. The Standardized Measure and PV-10 do not necessarily correspond to market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accounting requirements may require substantial reductions in reporting proven reserves.</w:t>
      </w:r>
    </w:p>
    <w:p>
      <w:pPr>
        <w:spacing w:after="0" w:line="2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review on a periodic basis the carrying value of our crude oil and natural gas properties under the applicable rules of the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 down of the carrying value for accounting purposes if the ceiling is exceeded. We may in the future be required to write down the carrying value of our crude oil and natural gas properties when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crude oil and natural gas prices are depressed or unusually volatile. Whether we will be required to take such a charge will depend in part on the prices for crude oil and natural gas during the previous period and the effect of reserve additions or revisions and capital expenditures during such period. If a write down is required, it would result in a current charge to our earnings but would not impact our current cash flow from operating activities. A large write-down could adversely affect our compliance with the current financial covenants under our credit facility and could limit our access to future borrowings under that facility or require repayment of any amounts that might be outstanding at the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derivative activities could result in financial losses or could reduce our income.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achieve more predictable cash flows and to reduce our exposure to adverse fluctuations in the prices of oil and natural gas liquids, we have, and may in the future, enter into derivative arrangements for a portion of our oil and natural gas liquids production, including costless collars and fixed-price swaps. We have not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 Derivative arrangements also expose us to the risk of financial loss in some circumstances, including, but not limited to, if:</w:t>
      </w:r>
    </w:p>
    <w:p>
      <w:pPr>
        <w:spacing w:after="0" w:line="19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is less than the volume covered by the derivative instruments;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counterparty to the derivative instrument defaults on its contract obligations;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derivative instrument and actual price received.</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some of these types of derivative arrangements limit the benefit we would receive from increases in the prices for oil and natural gas and may expose us to cash margin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managing future growth and the related demands on our resources and may have difficulty in achieving future growth.</w:t>
      </w:r>
    </w:p>
    <w:p>
      <w:pPr>
        <w:spacing w:after="0" w:line="302"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Although we hope to experience growth through acquisitions and development activity, any such growth may place a significant strain on our financial, technical, operational and administrative resources. Our ability to grow will depend upon a number of factors, including, but not limited to the following:</w:t>
      </w:r>
    </w:p>
    <w:p>
      <w:pPr>
        <w:spacing w:after="0" w:line="43"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acquire new development or acquisition projects;</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existing properties;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retain and attract skilled personnel;</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development program and acquisition efforts;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technologies;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hydrocarbon prices;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drilling, completion and equipment prices;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integrate new properties;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access to capital; and</w:t>
      </w:r>
    </w:p>
    <w:p>
      <w:pPr>
        <w:spacing w:after="0" w:line="9" w:lineRule="exact"/>
        <w:rPr>
          <w:rFonts w:ascii="Arial" w:cs="Arial" w:eastAsia="Arial" w:hAnsi="Arial"/>
          <w:sz w:val="18"/>
          <w:szCs w:val="18"/>
          <w:color w:val="auto"/>
        </w:rPr>
      </w:pPr>
    </w:p>
    <w:p>
      <w:pPr>
        <w:ind w:left="1140" w:right="280" w:hanging="484"/>
        <w:spacing w:after="0" w:line="277"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Delhi field operator's ability to: (i) deliver sufficient quantities of CO</w:t>
      </w:r>
      <w:r>
        <w:rPr>
          <w:rFonts w:ascii="Arial" w:cs="Arial" w:eastAsia="Arial" w:hAnsi="Arial"/>
          <w:sz w:val="11"/>
          <w:szCs w:val="11"/>
          <w:color w:val="auto"/>
        </w:rPr>
        <w:t>2</w:t>
      </w:r>
      <w:r>
        <w:rPr>
          <w:rFonts w:ascii="Arial" w:cs="Arial" w:eastAsia="Arial" w:hAnsi="Arial"/>
          <w:sz w:val="17"/>
          <w:szCs w:val="17"/>
          <w:color w:val="auto"/>
        </w:rPr>
        <w:t xml:space="preserve"> from its reserves in the Jackson Dome, secure all of the development capital necessary to fund its and our cost interests, (ii) successfully manage technical, operating, environmental, strategic and logistical development and operating risks, and (iii) maintain its own financial stability, among other things.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be able to successfully grow or manage any such growth.</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operations require significant amounts of capital and additional financing may be necessary in order for us to continue our exploitation activities, including meeting potential future drilling obligations.</w:t>
      </w:r>
    </w:p>
    <w:p>
      <w:pPr>
        <w:spacing w:after="0" w:line="22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cash flow from our reserves may not be sufficient to fund our ongoing activities at all times. From time to time, we may require additional financing in order to carry out our oil and gas acquisitions, exploitation and development activities. Certain of our undeveloped leasehold acreage may be subject to leases that will expire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be subject to risks in connection with acquisitions because of uncertainties in evaluating recoverable reserves, well performance and potential liabilities, as well as uncertainties in forecasting oil and gas prices and future development, production and marketing costs, and the integration of significant acquisitions may be difficult.</w:t>
      </w:r>
    </w:p>
    <w:p>
      <w:pPr>
        <w:spacing w:after="0" w:line="181"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We periodically evaluate acquisitions of reserves, properties, prospects and leaseholds and other strategic transactions that appear to fit within our overall business strategy. The successful acquisition of producing properties requires an assessment of several factors, including, but not limited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oil and natural gas prices and their appropriate differentials;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for future drilling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validity of the seller's title to properties, which may be less than expected at closing;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environmental issues, litigation and other liabilities.</w:t>
      </w:r>
    </w:p>
    <w:p>
      <w:pPr>
        <w:spacing w:after="0" w:line="21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which could materially adversely affect our financial condition,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Significant acquisitions and other strategic transactions may involve other risks, including, but not limited to:</w:t>
      </w:r>
    </w:p>
    <w:p>
      <w:pPr>
        <w:spacing w:after="0" w:line="225" w:lineRule="exact"/>
        <w:rPr>
          <w:sz w:val="20"/>
          <w:szCs w:val="20"/>
          <w:color w:val="auto"/>
        </w:rPr>
      </w:pPr>
    </w:p>
    <w:p>
      <w:pPr>
        <w:ind w:left="660" w:right="38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lean management team's capacity could be challenged by the demands of evaluating, negotiating and integrating significant acquisitions and strategic transactions in concert with the Company's on going business demands.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 and cost of integrating acquired operations, information management and other technology systems and business cultures with those of our operations while carrying on our ongoing business;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associated with coordinating geographically separate organizations;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secure, on acceptable terms, sufficient financing that my be required in connection with expanded operations and unknown liabilities;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 of attracting and retaining personnel associated with acquired operations.</w:t>
      </w:r>
    </w:p>
    <w:p>
      <w:pPr>
        <w:spacing w:after="0" w:line="2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 the full benefits we may expect in estimated proved reserves, production volume, cost savings from operating synergies or other benefits anticipated from an acquisition or realize these benefits within the expected time frame.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liability for environmental matters may adversely affect our business and results of operations.</w:t>
      </w:r>
    </w:p>
    <w:p>
      <w:pPr>
        <w:spacing w:after="0" w:line="27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Crude 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crude oil and natural gas wells below actual production capacity in order to conserve supplies of crude oil and natural gas. There are federal, state and local laws and regulations primarily relating to protection of human health and the environment applicable to the development, production, handling, storage, transportation and disposal of crude oil and natural gas, by-products thereof, the emission of CO</w:t>
      </w:r>
      <w:r>
        <w:rPr>
          <w:rFonts w:ascii="Arial" w:cs="Arial" w:eastAsia="Arial" w:hAnsi="Arial"/>
          <w:sz w:val="11"/>
          <w:szCs w:val="11"/>
          <w:color w:val="auto"/>
        </w:rPr>
        <w:t>2</w:t>
      </w:r>
      <w:r>
        <w:rPr>
          <w:rFonts w:ascii="Arial" w:cs="Arial" w:eastAsia="Arial" w:hAnsi="Arial"/>
          <w:sz w:val="16"/>
          <w:szCs w:val="16"/>
          <w:color w:val="auto"/>
        </w:rPr>
        <w:t xml:space="preserve"> or other greenhouse gases, and other substances and materials produced or used in connection with crude oil and natural gas operations. In addition, we may inherit liability for environmental damages, whether actual or not, caused by previous owners of property we purchase or lease or nearby properties. As a result, we may incur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protect us against all of the operating risks to which our business is exposed.</w:t>
      </w:r>
    </w:p>
    <w:p>
      <w:pPr>
        <w:spacing w:after="0" w:line="2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crude oil and natural gas business involves numerous operating hazards such as well blowouts, mechanical failures, explosions, uncontrollable flows of crude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 (iv) loss of life, or (v) damage to property, the environment or natural resources. While we carry general liability, control of well, and operator's extra expense coverage typical in our industry, we are not fully insured against all risks incidental to our business. Environmental events similar to that experienced in the Delhi field in June 2013 could defer revenue, increase operating costs and/or increase maintenance and repair capital expenditures.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affect us.</w:t>
      </w:r>
    </w:p>
    <w:p>
      <w:pPr>
        <w:spacing w:after="0" w:line="27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depend to a large extent on the services of certain key management personnel, including our executive officers, the loss of any of whom could have a material adverse effect on our operations. In particular, our future success is dependent upon the abilities of Robert S. Herlin, our Chairman of the Board, Randall D. Keys, our President and Chief Executive Officer, and David Joe, Senior Vice President, Chief Financial Officer and Treasurer, to source, evaluate and close deals, raise capital, and oversee our development activities and operations. Presently, the Company is not a beneficiary of any key man life insurance.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field service and materials' prices may increase, and the availability of such services and materials may be inadequate to meet our needs.</w:t>
      </w:r>
    </w:p>
    <w:p>
      <w:pPr>
        <w:spacing w:after="0" w:line="29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Our business plan to develop or redevelop crude oil and natural gas resources requires third party oilfield service vendors and various material providers, which we do not control. We also rely on third-party carriers for the transportation and distribution of our production. As our production increases, so does our need for such services and materials. Generally, we do not have long-term agreements with our service and materials providers. Accordingly, there is a risk that any of our service providers could discontinue servicing our crude oil and natural gas fields for any reason or we may not be able to source the materials we need. Any delay in locating, establishing relationships, and training our sources could result in production shortages and maintenance problems, with a resulting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market the crude oil and natural gas that we produce without the assistance of third parties.</w:t>
      </w:r>
    </w:p>
    <w:p>
      <w:pPr>
        <w:spacing w:after="0" w:line="27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marketability of the crude oil and natural gas that we produce depends upon the proximity of our reserves to, and the capacity of, facilities and third-party services, including crude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or delay or discontinuance could adversely affect our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strong competition from larger oil and gas companies.</w:t>
      </w:r>
    </w:p>
    <w:p>
      <w:pPr>
        <w:spacing w:after="0" w:line="279"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We may not be able to successfully conduct our operations, evaluate and select suitable properties and consummate transactions in this highly competitive environment. Specifically, these larger competitors may be able to pay more for development projects and productive crude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2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been, and in the future may become, involved in legal proceedings related to our Delhi interest or other properties or operations and, as a result, may incur substantial costs in connection with those proceedings.</w:t>
      </w:r>
    </w:p>
    <w:p>
      <w:pPr>
        <w:spacing w:after="0" w:line="2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our oil, gas and mineral production depends on good title to our property.</w:t>
      </w:r>
    </w:p>
    <w:p>
      <w:pPr>
        <w:spacing w:after="0" w:line="27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Good and clear title to our oil, gas and mineral properties is important to our business. Although title reviews will generally be conducted prior to the purchase of most oil, gas and mineral producing properties or the commencement of drilling wells, such reviews do not assure that an unforeseen defect in the chain of title will not arise to defeat our claim which could result in a reduction or elimination of the revenue received by us from such properties.</w:t>
      </w:r>
    </w:p>
    <w:p>
      <w:pPr>
        <w:spacing w:after="0" w:line="20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Poor general economic, business, or industry conditions may have a material adverse effect on our results of operations, liquidity, and financial condition.</w:t>
      </w:r>
    </w:p>
    <w:p>
      <w:pPr>
        <w:spacing w:after="0" w:line="22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During the last few years, concerns over inflation, energy costs, declining oil and gas prices, geopolitical issues, the availability and cost of credit, the U.S. mortgage market, uncertainties with regard to European sovereign debt, the slowdown in economic growth in large emerging and developing markets, such as China,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which could impact the price at which we can sell our oil, natural gas, and NGLs, affect our vendors', suppliers' and customers' ability to continue operations, and ultimately adversely impact our results of operations, liquidity,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79"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Our common stock has relatively low trading volume and the market price has been, and is likely to continue to be, volatile. For example, during the fiscal year ending June 30, 2017, our stock price as traded on the NYSE American ranged from $5.12 to $10.20. The variance in our stock price makes it difficult to forecast with certainty the stock price at which an investor may be able to buy or sell shares of our common stock. The market price for our common stock could be subject to fluctuations as a result of factors that are out of our control, such as:</w:t>
      </w:r>
    </w:p>
    <w:p>
      <w:pPr>
        <w:spacing w:after="0" w:line="90"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naked short selling of our common stock and stock price manipulation;</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fluctuations in the commodity prices of crude oil and natural gas;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and trends in the crude oil and natural gas industry;</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demands on institutional funds that hold our stock; and</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affiliates may be able to control the election of our directors and all other matters submitted to our stockholders for approval.</w:t>
      </w:r>
    </w:p>
    <w:p>
      <w:pPr>
        <w:spacing w:after="0" w:line="22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of June 30, 2017, our executive officers and directors, in the aggregate, beneficially owned approximately 2.9 million shares, or approximately 8.8% of our beneficial common stock base. JVL Advisors LLC controlled approximately 5.1 million shares or approximately 15.4% of our outstanding common stock. ArrowMark Colorado Holdings LLC controlled approximately 2.5 million shares, or approximately 7.4% of our outstanding common stock. Advisory Research, Inc. also controlled approximately 2.5 million shares, or approximately 7.4% of our outstanding common stock and Blackrock Fund Advisors controlled approximately 2.2 million shares, or approximately 6.6% of our outstanding common stock. As a result, any of these 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common stock is limited and may not provide adequate liquidity.</w:t>
      </w:r>
    </w:p>
    <w:p>
      <w:pPr>
        <w:spacing w:after="0" w:line="27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Our common stock trades on the NYSE American. Our trading volume increased in fiscal 2017 compared to fiscal 2016, but trading volume in our common stock is relatively low compared to larger companies. During the fiscal year ended June 30, 2017, the daily trading volume in our common stock ranged from a low of 12,316 shares to a high of 521,709 shares, with average daily trading volume of 127,419 shares. Our holders may find it more difficult to sell their shares, should they desire to do so, based on the trading volume and price of our stock at that time relative to the quantity of shares to be sold.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 do not publish research reports about our business, or if they downgrade our stock, the price of our common stock could decline.</w:t>
      </w:r>
    </w:p>
    <w:p>
      <w:pPr>
        <w:spacing w:after="0" w:line="2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Small, relatively unknown companies can achieve visibility in the trading market through research and reports that industry or securities analysts publish. To our knowledge there are four independent analysts that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of additional common stock and preferred stock could dilute existing stockholders.</w:t>
      </w:r>
    </w:p>
    <w:p>
      <w:pPr>
        <w:spacing w:after="0" w:line="27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currently have in place a registration statement which allows the Company to publicly issue up to $500 million of additional securities, including debt, common stock, preferred stock, and warrants. At any time we may make private offerings 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Such designation of any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86"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exercising voting, redemption and conversion rights to the detriment of the holders of common stock;</w:t>
      </w:r>
    </w:p>
    <w:p>
      <w:pPr>
        <w:spacing w:after="0" w:line="23" w:lineRule="exact"/>
        <w:rPr>
          <w:rFonts w:ascii="Arial" w:cs="Arial" w:eastAsia="Arial" w:hAnsi="Arial"/>
          <w:sz w:val="18"/>
          <w:szCs w:val="18"/>
          <w:color w:val="auto"/>
        </w:rPr>
      </w:pPr>
    </w:p>
    <w:p>
      <w:pPr>
        <w:ind w:left="1140" w:hanging="484"/>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preferences over the holders of common stock regarding our surplus funds in the event of our dissolution, liquidation or the payment of dividends to preferred stockholders;</w:t>
      </w: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and</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discouraging bids for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payment of dividends on our common stock could be impacted.</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and business plan, restrictions contained in current or future debt instruments, contractual covenants or arrangements we may enter into, our anticipated capital requirements and other factors that our board of directors may think are relevant. Accordingly, there is no guarantee that we will be able or choose to continue to pay cash dividends on our common stock.</w:t>
      </w: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parts of the information required by Item 2. are contained in Item 1.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&amp; Gas Properties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Additional detailed information describing the types of properties we own can be found in "Business Strategy" under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of this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Oil and Natural Gas Reserves and Estimated Future Net Revenues</w:t>
      </w:r>
    </w:p>
    <w:p>
      <w:pPr>
        <w:spacing w:after="0" w:line="28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SEC sets rules related to reserve estimation and disclosure requirements for oil and natural gas companies. These rules require disclosure of oil and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w:t>
      </w:r>
    </w:p>
    <w:p>
      <w:pPr>
        <w:sectPr>
          <w:pgSz w:w="11900" w:h="16838" w:orient="portrait"/>
          <w:cols w:equalWidth="0" w:num="1">
            <w:col w:w="11400"/>
          </w:cols>
          <w:pgMar w:left="240" w:top="125"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volumes. Subject to limited exceptions, the rules also require that proved undeveloped reserves may only be classified as such if a development plan has been adopted indicating that they are scheduled to be drilled within five years.</w:t>
      </w:r>
    </w:p>
    <w:p>
      <w:pPr>
        <w:spacing w:after="0" w:line="22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8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of recovery. Possible reserves are even less certain and generally require only a 10% or greater probability of being recovered.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9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Estimated pre-tax future net revenues from the production of Proved reserves discounted at 10% or PV-10 is a financial measure that is not recognized by GAAP. We believe that the presentation of the non-GAAP financial measure of PV-10 provides useful information to investors because it is widely used by analysts and investors in evaluating oil and natural gas companies, and that it is relevant and useful for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herein </w:t>
      </w:r>
      <w:r>
        <w:rPr>
          <w:rFonts w:ascii="Arial" w:cs="Arial" w:eastAsia="Arial" w:hAnsi="Arial"/>
          <w:sz w:val="16"/>
          <w:szCs w:val="16"/>
          <w:i w:val="1"/>
          <w:iCs w:val="1"/>
          <w:color w:val="auto"/>
        </w:rPr>
        <w:t>this Item 2. Properties</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Oil &amp; Gas Reserves for Fiscal Year Ended 2017</w:t>
      </w:r>
    </w:p>
    <w:p>
      <w:pPr>
        <w:spacing w:after="0" w:line="279" w:lineRule="exact"/>
        <w:rPr>
          <w:sz w:val="20"/>
          <w:szCs w:val="20"/>
          <w:color w:val="auto"/>
        </w:rPr>
      </w:pPr>
    </w:p>
    <w:p>
      <w:pPr>
        <w:ind w:right="340" w:firstLine="432"/>
        <w:spacing w:after="0" w:line="261" w:lineRule="auto"/>
        <w:rPr>
          <w:sz w:val="20"/>
          <w:szCs w:val="20"/>
          <w:color w:val="auto"/>
        </w:rPr>
      </w:pPr>
      <w:r>
        <w:rPr>
          <w:rFonts w:ascii="Arial" w:cs="Arial" w:eastAsia="Arial" w:hAnsi="Arial"/>
          <w:sz w:val="18"/>
          <w:szCs w:val="18"/>
          <w:color w:val="auto"/>
        </w:rPr>
        <w:t>Our proved, probable and possible reserves at June 30, 2017, denominated in equivalent barrels using a conversion ratio of six MCF of gas and 42 gallons of natural gas liquids to one barrel of oil, were estimated by our independent petroleum engineering firm, DeGolyer and MacNaughton ("D&amp;M"). D&amp;M was selected to estimate reserves for our interests in the Delhi field due to their expertise in CO</w:t>
      </w:r>
      <w:r>
        <w:rPr>
          <w:rFonts w:ascii="Arial" w:cs="Arial" w:eastAsia="Arial" w:hAnsi="Arial"/>
          <w:sz w:val="14"/>
          <w:szCs w:val="14"/>
          <w:color w:val="auto"/>
        </w:rPr>
        <w:t>2</w:t>
      </w:r>
      <w:r>
        <w:rPr>
          <w:rFonts w:ascii="Arial" w:cs="Arial" w:eastAsia="Arial" w:hAnsi="Arial"/>
          <w:sz w:val="18"/>
          <w:szCs w:val="18"/>
          <w:color w:val="auto"/>
        </w:rPr>
        <w:t>-EOR projects and to ensure consistency with the operator. The scope and results of their procedures are summarized in a letter from the firm, which is included as exhibit 99.1 to this Annual Report on Form 10-K.</w:t>
      </w:r>
    </w:p>
    <w:p>
      <w:pPr>
        <w:spacing w:after="0" w:line="10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following table sets forth our estimated proved, probable and possible reserves as of June 30, 2017. See Note 23 to the consolidated financial statements for additional unaudited reserve information. The NYMEX previous 12-month unweighted arithmetic average first-day-of-the-month price used to calculate estimated revenues was $48.85 per barrel of crude oil. The net price per barrel of natural gas liquids was $20.48, which does not have any single comparable reference index price. The NGL price was based on historical prices received. For periods for which no historical price information was available, we used comparable pricing in the area. Pricing differentials were applied based on quality, processing, transportation, location and other pricing aspects for each individual property and product.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as of June 30,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Reserve Category</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Oil</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NGLs</w:t>
            </w:r>
          </w:p>
        </w:tc>
        <w:tc>
          <w:tcPr>
            <w:tcW w:w="138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 Reserves</w:t>
            </w:r>
          </w:p>
        </w:tc>
        <w:tc>
          <w:tcPr>
            <w:tcW w:w="0" w:type="dxa"/>
            <w:vAlign w:val="bottom"/>
          </w:tcPr>
          <w:p>
            <w:pPr>
              <w:spacing w:after="0"/>
              <w:rPr>
                <w:sz w:val="1"/>
                <w:szCs w:val="1"/>
                <w:color w:val="auto"/>
              </w:rPr>
            </w:pPr>
          </w:p>
        </w:tc>
      </w:tr>
      <w:tr>
        <w:trPr>
          <w:trHeight w:val="192"/>
        </w:trPr>
        <w:tc>
          <w:tcPr>
            <w:tcW w:w="678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(MBbls)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(MBbls)</w:t>
            </w:r>
          </w:p>
        </w:tc>
        <w:tc>
          <w:tcPr>
            <w:tcW w:w="1380" w:type="dxa"/>
            <w:vAlign w:val="bottom"/>
          </w:tcPr>
          <w:p>
            <w:pPr>
              <w:jc w:val="right"/>
              <w:ind w:right="293"/>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50"/>
        </w:trPr>
        <w:tc>
          <w:tcPr>
            <w:tcW w:w="6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Developed (79% of Proved)</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6,617</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Undeveloped (21% of Proved)</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PROVED</w:t>
            </w: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8,372</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10,058</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Product Mix</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324"/>
        </w:trPr>
        <w:tc>
          <w:tcPr>
            <w:tcW w:w="6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PROBABLE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Developed (82% of Probable)</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Undeveloped (18% of Probable)</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PROBABLE</w:t>
            </w: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Product Mix</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318"/>
        </w:trPr>
        <w:tc>
          <w:tcPr>
            <w:tcW w:w="678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POSSIBLE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Developed (89% of Possible)</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Undeveloped (11% of Possible)</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POSSIBLE</w:t>
            </w: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Product Mix</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7"/>
        </w:trPr>
        <w:tc>
          <w:tcPr>
            <w:tcW w:w="6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*BOE computed using a conversion ratio of 42 gallons of natural gas liquids to one barrel of oil.</w:t>
      </w:r>
    </w:p>
    <w:p>
      <w:pPr>
        <w:spacing w:after="0" w:line="14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tables present a reconciliation of changes in our proved, probable and possible reserves by major property, on the basis of equivalent MBOE quantities.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Changes in Proved Reserves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Delhi Field Proved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Proved reserves, MBOE</w:t>
            </w:r>
          </w:p>
        </w:tc>
        <w:tc>
          <w:tcPr>
            <w:tcW w:w="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MBOE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10,823.4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180"/>
              <w:spacing w:after="0"/>
              <w:rPr>
                <w:sz w:val="20"/>
                <w:szCs w:val="20"/>
                <w:color w:val="auto"/>
              </w:rPr>
            </w:pPr>
            <w:r>
              <w:rPr>
                <w:rFonts w:ascii="Arial" w:cs="Arial" w:eastAsia="Arial" w:hAnsi="Arial"/>
                <w:sz w:val="18"/>
                <w:szCs w:val="18"/>
                <w:color w:val="auto"/>
              </w:rPr>
              <w:t>Production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Revisions, net</w:t>
            </w:r>
          </w:p>
        </w:tc>
        <w:tc>
          <w:tcPr>
            <w:tcW w:w="15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180"/>
              <w:spacing w:after="0"/>
              <w:rPr>
                <w:sz w:val="20"/>
                <w:szCs w:val="20"/>
                <w:color w:val="auto"/>
              </w:rPr>
            </w:pPr>
            <w:r>
              <w:rPr>
                <w:rFonts w:ascii="Arial" w:cs="Arial" w:eastAsia="Arial" w:hAnsi="Arial"/>
                <w:sz w:val="18"/>
                <w:szCs w:val="18"/>
                <w:color w:val="auto"/>
              </w:rPr>
              <w:t>Sales of minerals in place</w:t>
            </w:r>
          </w:p>
        </w:tc>
        <w:tc>
          <w:tcPr>
            <w:tcW w:w="4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158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10,058.4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Reconciliation of Changes in Probable Reserves</w:t>
            </w: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6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58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Delhi Field Probable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Probable reserves, MBOE</w:t>
            </w:r>
          </w:p>
        </w:tc>
        <w:tc>
          <w:tcPr>
            <w:tcW w:w="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MBOE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2016</w:t>
            </w:r>
          </w:p>
        </w:tc>
        <w:tc>
          <w:tcPr>
            <w:tcW w:w="15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4,497.3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180"/>
              <w:spacing w:after="0"/>
              <w:rPr>
                <w:sz w:val="20"/>
                <w:szCs w:val="20"/>
                <w:color w:val="auto"/>
              </w:rPr>
            </w:pPr>
            <w:r>
              <w:rPr>
                <w:rFonts w:ascii="Arial" w:cs="Arial" w:eastAsia="Arial" w:hAnsi="Arial"/>
                <w:sz w:val="18"/>
                <w:szCs w:val="18"/>
                <w:color w:val="auto"/>
              </w:rPr>
              <w:t>Revisions,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of minerals in place</w:t>
            </w:r>
          </w:p>
        </w:tc>
        <w:tc>
          <w:tcPr>
            <w:tcW w:w="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60" w:type="dxa"/>
            <w:vAlign w:val="bottom"/>
            <w:gridSpan w:val="2"/>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4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2017</w:t>
            </w:r>
          </w:p>
        </w:tc>
        <w:tc>
          <w:tcPr>
            <w:tcW w:w="15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5,268.0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240" w:top="125" w:right="3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Changes in Possible Reserves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Delhi Field Possible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67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9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Possible reserves, MBOE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MBOE</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97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2,714.0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Revisions, net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Sales of minerals in place</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9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7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3,216.2</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Reconciliation of PV-10 to the Standardized Measure of Discounted Future Net Cash Flows</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78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provides a reconciliation of PV-10 of our proved properties to the Standardized Measure as shown in Note 23 of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For the Years Ended June 30,</w:t>
            </w:r>
          </w:p>
        </w:tc>
      </w:tr>
      <w:tr>
        <w:trPr>
          <w:trHeight w:val="264"/>
        </w:trPr>
        <w:tc>
          <w:tcPr>
            <w:tcW w:w="77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future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189,347,437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187,713,581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10% annual discount for estimated timing of future cash flows</w:t>
            </w:r>
          </w:p>
        </w:tc>
        <w:tc>
          <w:tcPr>
            <w:tcW w:w="3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78,452,886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86,844,543</w:t>
            </w:r>
          </w:p>
        </w:tc>
      </w:tr>
      <w:tr>
        <w:trPr>
          <w:trHeight w:val="27"/>
        </w:trPr>
        <w:tc>
          <w:tcPr>
            <w:tcW w:w="7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future net revenues discounted at 10% (PV-10)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110,894,551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100,869,038</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Estimated future income tax expenses discounted at 10%</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(27,956,998)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(22,911,719)</w:t>
            </w:r>
          </w:p>
        </w:tc>
      </w:tr>
      <w:tr>
        <w:trPr>
          <w:trHeight w:val="27"/>
        </w:trPr>
        <w:tc>
          <w:tcPr>
            <w:tcW w:w="7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Standardized Measure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82,937,553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77,957,319</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Our sole producing assets as of June 30, 2017 and 2016 were our interests in the Delhi field. Additional information about the properties we own can be found in </w:t>
      </w:r>
      <w:r>
        <w:rPr>
          <w:rFonts w:ascii="Arial" w:cs="Arial" w:eastAsia="Arial" w:hAnsi="Arial"/>
          <w:sz w:val="18"/>
          <w:szCs w:val="18"/>
          <w:i w:val="1"/>
          <w:iCs w:val="1"/>
          <w:color w:val="auto"/>
        </w:rPr>
        <w:t>Item 1. Business</w:t>
      </w:r>
      <w:r>
        <w:rPr>
          <w:rFonts w:ascii="Arial" w:cs="Arial" w:eastAsia="Arial" w:hAnsi="Arial"/>
          <w:sz w:val="18"/>
          <w:szCs w:val="18"/>
          <w:color w:val="auto"/>
        </w:rPr>
        <w:t>.</w:t>
      </w:r>
    </w:p>
    <w:p>
      <w:pPr>
        <w:spacing w:after="0" w:line="22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Internal Controls Over Reserves Estimation Process and Qualifications of Technical Persons with Oversight for the Company's Reserves Estimation Process</w:t>
      </w:r>
    </w:p>
    <w:p>
      <w:pPr>
        <w:spacing w:after="0" w:line="22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policies regarding internal controls over reserves estimates require such estimates to be prepared by an independent engineering firm under the supervision of our Chairman of the Board, our Chief Executive Officer and a professional petroleum engineer, serving as either an employee of or consultant to the Company. Such reserves estimates are to be in compliance with generally accepted petroleum engineering and evaluation principles and definitions and guidelines established by the SEC. Our Chairman of the Board holds B.S. and M.E. degrees from Rice University in chemical engineering and earned an M.B.A. from Harvard University. He has over 30 years of experience in engineering, energy transactions, operations and finance with small independents, larger independents and major integrated oil companies. Our Chief Executive Officer holds a Bachelor of Business Administration from the University of Texas at Austin. He has over 30 years of experience in the energy industry, predominantly with upstream oil and gas companies. Our outside consultant for these reserves estimates is a licensed professional engineer with over 30 years of experience in oil and gas operations and petroleum reservoir engineering and holds a Bachelor of Science in Petroleum Engineering from Texas A&amp;M University. In addition, we engaged another consultant with significant experience in CO</w:t>
      </w:r>
      <w:r>
        <w:rPr>
          <w:rFonts w:ascii="Arial" w:cs="Arial" w:eastAsia="Arial" w:hAnsi="Arial"/>
          <w:sz w:val="11"/>
          <w:szCs w:val="11"/>
          <w:color w:val="auto"/>
        </w:rPr>
        <w:t>2</w:t>
      </w:r>
      <w:r>
        <w:rPr>
          <w:rFonts w:ascii="Arial" w:cs="Arial" w:eastAsia="Arial" w:hAnsi="Arial"/>
          <w:sz w:val="17"/>
          <w:szCs w:val="17"/>
          <w:color w:val="auto"/>
        </w:rPr>
        <w:t xml:space="preserve"> enhanced oil recovery projects to advise us on certain technical matters related to the Delhi field. This consultant has more than 25 years of experience, including service with two large firms which are industry leaders. He is a registered professional engineer and holds a Master of Science in Petroleum Engineering from Texas A&amp;M University.</w:t>
      </w:r>
    </w:p>
    <w:p>
      <w:pPr>
        <w:spacing w:after="0" w:line="234"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reserves information in this filing is based on estimates prepared by DeGolyer and MacNaughton, our independent engineering firm. The person responsible for preparing the reserves report with D&amp;M is a Registered Professional Engineer in the State of Texas and a Senior Vice President of the firm. He holds a Bachelor of Science degree in Geology in 1973 from Eastern New Mexico University and earned a Master of Science degree in Petroleum Engineering from the University of Texas at Austin in 1975. He has over 38 years of oil and gas reservoir experience. We provide our engineering firm with property interests, production, current operating costs, current production prices and other information. This information is reviewed by our Senior Management and outside consultant to ensure accuracy and completeness of the data prior to submission to our independent engineering firm. The scope and results of our independent engineering firm's procedures, as well as their professional qualifications, are summarized in the letter included as exhibit 99.1 to this Annual Report on Form 10-K.</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Undeveloped Reserves</w:t>
      </w:r>
    </w:p>
    <w:p>
      <w:pPr>
        <w:spacing w:after="0" w:line="2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After completion of the NGL plant in the Delhi field, our remaining proved undeveloped reserves were 2,108 MBOE at June 30, 2017, with associated future development costs of approximately $14.1 million. Our proved undeveloped reserves are comprised of (a) 1,564 MBOE of reserves and $10.9 million of future development costs associated with the Phase V development in the eastern portion of the field and (b) 544 MBOE of reserves and $3.2 million of future development costs associated with a proposed eight-well infill drilling program to increase production and recover reserves which are not believed to be effectively producible with the existing well configuration. The infill project has aspects of both acceleration of production and an increase in ultimate reserves recovery and is being treated as a proved undeveloped project.</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June 30, 2017 our proved undeveloped reserves changed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Oil</w:t>
            </w: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NGLs</w:t>
            </w:r>
          </w:p>
        </w:tc>
        <w:tc>
          <w:tcPr>
            <w:tcW w:w="54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4"/>
                <w:szCs w:val="14"/>
                <w:b w:val="1"/>
                <w:bCs w:val="1"/>
                <w:color w:val="auto"/>
              </w:rPr>
              <w:t>Total Reserves</w:t>
            </w:r>
          </w:p>
        </w:tc>
      </w:tr>
      <w:tr>
        <w:trPr>
          <w:trHeight w:val="192"/>
        </w:trPr>
        <w:tc>
          <w:tcPr>
            <w:tcW w:w="646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(MBbls)</w:t>
            </w:r>
          </w:p>
        </w:tc>
        <w:tc>
          <w:tcPr>
            <w:tcW w:w="1280" w:type="dxa"/>
            <w:vAlign w:val="bottom"/>
          </w:tcPr>
          <w:p>
            <w:pPr>
              <w:jc w:val="right"/>
              <w:ind w:right="296"/>
              <w:spacing w:after="0"/>
              <w:rPr>
                <w:sz w:val="20"/>
                <w:szCs w:val="20"/>
                <w:color w:val="auto"/>
              </w:rPr>
            </w:pPr>
            <w:r>
              <w:rPr>
                <w:rFonts w:ascii="Arial" w:cs="Arial" w:eastAsia="Arial" w:hAnsi="Arial"/>
                <w:sz w:val="14"/>
                <w:szCs w:val="14"/>
                <w:b w:val="1"/>
                <w:bCs w:val="1"/>
                <w:color w:val="auto"/>
              </w:rPr>
              <w:t>(MBbls)</w:t>
            </w:r>
          </w:p>
        </w:tc>
        <w:tc>
          <w:tcPr>
            <w:tcW w:w="54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(MBOE)</w:t>
            </w:r>
          </w:p>
        </w:tc>
      </w:tr>
      <w:tr>
        <w:trPr>
          <w:trHeight w:val="250"/>
        </w:trPr>
        <w:tc>
          <w:tcPr>
            <w:tcW w:w="64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2016</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2,235</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3,655</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Revisions to previous estimates</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6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to proved developed reserves</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5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5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June 30, 2017</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353</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1,755</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2,108</w:t>
            </w:r>
          </w:p>
        </w:tc>
      </w:tr>
      <w:tr>
        <w:trPr>
          <w:trHeight w:val="20"/>
        </w:trPr>
        <w:tc>
          <w:tcPr>
            <w:tcW w:w="6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converted 1,377 MBOE of undeveloped reserves as the NGL plant was commissioned in December 2016 and initial production commenced. NGL reserves were revised downward 596 MBOE reflecting lower than originally expected plant production partially offset by 91 MBOE of reserves added by the infill project. The 335 MBOE upward revision for oil is due to 453 MBOE infill project reserves partly offset by a 118 MBOE lower estimate for Phase V.</w:t>
      </w:r>
    </w:p>
    <w:p>
      <w:pPr>
        <w:spacing w:after="0" w:line="106"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initial assignment of proved undeveloped reserves in the Delhi field was made on June 30, 2010, which encompassed a large scale CO</w:t>
      </w:r>
      <w:r>
        <w:rPr>
          <w:rFonts w:ascii="Arial" w:cs="Arial" w:eastAsia="Arial" w:hAnsi="Arial"/>
          <w:sz w:val="11"/>
          <w:szCs w:val="11"/>
          <w:color w:val="auto"/>
        </w:rPr>
        <w:t>2</w:t>
      </w:r>
      <w:r>
        <w:rPr>
          <w:rFonts w:ascii="Arial" w:cs="Arial" w:eastAsia="Arial" w:hAnsi="Arial"/>
          <w:sz w:val="16"/>
          <w:szCs w:val="16"/>
          <w:color w:val="auto"/>
        </w:rPr>
        <w:t xml:space="preserve"> enhanced oil recovery project. The operator’s development plans for the field have remained essentially unchanged and were originally scheduled to be completed by June 30, 2015, within five years from the initial recording of such proved reserves. Developed reserves are approximately 79% of total proved reserves as of June 30, 2017. However, as a result of the adverse fluid release event in the field in June 2013 and the resulting delay in reversion of our working interest, development of the field has not proceeded as originally scheduled. Expansion of the CO</w:t>
      </w:r>
      <w:r>
        <w:rPr>
          <w:rFonts w:ascii="Arial" w:cs="Arial" w:eastAsia="Arial" w:hAnsi="Arial"/>
          <w:sz w:val="11"/>
          <w:szCs w:val="11"/>
          <w:color w:val="auto"/>
        </w:rPr>
        <w:t>2</w:t>
      </w:r>
      <w:r>
        <w:rPr>
          <w:rFonts w:ascii="Arial" w:cs="Arial" w:eastAsia="Arial" w:hAnsi="Arial"/>
          <w:sz w:val="16"/>
          <w:szCs w:val="16"/>
          <w:color w:val="auto"/>
        </w:rPr>
        <w:t xml:space="preserve"> flood to the remaining undeveloped eastern portion of the field commenced subsequent to reversion of our working interest in late calendar 2014. We incurred $3.8 million of capital expenditures before the operator electively deferred this project as a result of a reduction in its cash flows and capital spending from the significant drop in oil prices. This project was further electively deferred as we began work on the NGL recovery plant in the Delhi field. It was determined that the economics of development of the remaining eastern portion of the field would be significantly improved after the NGL plant was completed.</w:t>
      </w:r>
    </w:p>
    <w:p>
      <w:pPr>
        <w:spacing w:after="0" w:line="12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year ended June 30, 2015 we authorized the NGL plant project and incurred $5.0 million of related capital expenditures. During the years ended June 30, 2016 and 2017, the Company incurred a further $16.5 million and $4.8 million, respectively, of NGL plant capital expenditures. The NGL plant was completed in December 2016 and we converted approximately 1,377 MBOE of proved undeveloped reserves to developed reserves during the year ended June 30, 2017.</w:t>
      </w:r>
    </w:p>
    <w:p>
      <w:pPr>
        <w:spacing w:after="0" w:line="14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June 30, 2017, we had estimated future net capital expenditures of $10.9 million remaining for development of the eastern part of the field. This work was suspended in late 2014 and further deferred until the NGL recovery plant was complete. We believe this project is economic in the current oil price environment and we expect it to be completed within the next two fiscal years. This would be nine years after the initial recording of proved reserves. During this period, we have been continuously developing the Delhi field and have spent over $35 million subsequent to reversion. We also have approximately $3.2 million of future net capital expenditures associated with the infill drilling program described above. Given the long-term nature of CO</w:t>
      </w:r>
      <w:r>
        <w:rPr>
          <w:rFonts w:ascii="Arial" w:cs="Arial" w:eastAsia="Arial" w:hAnsi="Arial"/>
          <w:sz w:val="11"/>
          <w:szCs w:val="11"/>
          <w:color w:val="auto"/>
        </w:rPr>
        <w:t>2</w:t>
      </w:r>
      <w:r>
        <w:rPr>
          <w:rFonts w:ascii="Arial" w:cs="Arial" w:eastAsia="Arial" w:hAnsi="Arial"/>
          <w:sz w:val="17"/>
          <w:szCs w:val="17"/>
          <w:color w:val="auto"/>
        </w:rPr>
        <w:t xml:space="preserve"> EOR development projects, we believe that the remaining undeveloped reserves in the Delhi field satisfy the conditions to continue to be treated as proved undeveloped reserves because (1) we initially established the development plan for the Delhi field in 2010 and continue to follow that plan, as adjusted to incorporate the completion of the NGL plant in late 2016 and delays relating to the 2013 fluid release event; (2) we have had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27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As of June 30, 2017, no proved, probable or possible reserves were attributed to (a) the suspended southwestern tip area of the field, (b) the area beneath the inhabited portion of the Town of Delhi in the northeast and (c) the farthest east of the two remaining undeveloped sites in the eastern portion of field (Phase VI) due to the current economics and other technical aspects of our future development plans. In addition, no probable reserves are currently attributed to three smaller reservoirs within the Unit in similar formations with similar production history due to the lower oil price utilized in our reserves calculation. We also</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do not have proved or probable reserves associated with the Mengel Sand, a separate interval within the Unit that is not currently producing, which was received in the litigation settlement in June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Volumes, Average Sales Prices and Average Production Costs</w:t>
      </w:r>
    </w:p>
    <w:p>
      <w:pPr>
        <w:spacing w:after="0" w:line="28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shows the Company's sales volumes and average sales prices received for crude oil, natural gas liquids, and natural gas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June 30, 2015</w:t>
            </w: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22"/>
                <w:szCs w:val="2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22"/>
                <w:szCs w:val="2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Price</w:t>
            </w:r>
          </w:p>
        </w:tc>
      </w:tr>
      <w:tr>
        <w:trPr>
          <w:trHeight w:val="250"/>
        </w:trPr>
        <w:tc>
          <w:tcPr>
            <w:tcW w:w="3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(Bbls)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724,523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658,041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450,713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61.59</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Natural gas liquids (Bbls)</w:t>
            </w:r>
          </w:p>
        </w:tc>
        <w:tc>
          <w:tcPr>
            <w:tcW w:w="26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43,907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27.41</w:t>
            </w: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(Mcf)</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r>
      <w:tr>
        <w:trPr>
          <w:trHeight w:val="297"/>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Average price per BOE*</w:t>
            </w:r>
          </w:p>
        </w:tc>
        <w:tc>
          <w:tcPr>
            <w:tcW w:w="2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768,433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658,802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453,401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61.37</w:t>
            </w:r>
          </w:p>
        </w:tc>
      </w:tr>
      <w:tr>
        <w:trPr>
          <w:trHeight w:val="311"/>
        </w:trPr>
        <w:tc>
          <w:tcPr>
            <w:tcW w:w="3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Production costs</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per BOE</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per BOE</w:t>
            </w:r>
          </w:p>
        </w:tc>
        <w:tc>
          <w:tcPr>
            <w:tcW w:w="26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per BOE</w:t>
            </w:r>
          </w:p>
        </w:tc>
      </w:tr>
      <w:tr>
        <w:trPr>
          <w:trHeight w:val="215"/>
        </w:trPr>
        <w:tc>
          <w:tcPr>
            <w:tcW w:w="3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Production costs, excluding ad valorem</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production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10,621,256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8,767,490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9,285,396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20.48</w:t>
            </w: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Total production costs, including ad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valorem and production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10,835,809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9,062,179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9,335,244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20.59</w:t>
            </w:r>
          </w:p>
        </w:tc>
      </w:tr>
    </w:tbl>
    <w:p>
      <w:pPr>
        <w:spacing w:after="0" w:line="283" w:lineRule="exact"/>
        <w:rPr>
          <w:sz w:val="20"/>
          <w:szCs w:val="20"/>
          <w:color w:val="auto"/>
        </w:rPr>
      </w:pPr>
    </w:p>
    <w:p>
      <w:pPr>
        <w:ind w:right="80" w:firstLine="440"/>
        <w:spacing w:after="0" w:line="277" w:lineRule="auto"/>
        <w:tabs>
          <w:tab w:leader="none" w:pos="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BOE computed using a conversion ratio of six MCF's of natural gas to one barrel of oil equivalent. Natural gas liquids converted at 42 gallons to one barrel of oil equivalent.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Activity</w:t>
      </w:r>
    </w:p>
    <w:p>
      <w:pPr>
        <w:spacing w:after="0" w:line="2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productive drilling activity during the past three fiscal years ended June 30, 2017 was limited to one fiscal 2015 gross (0.239 net) development well drilled in the Delhi field. We also drilled one gross (0.239 net) water injection well in fiscal 2017 in the Delhi field. No dry wells were drilled in the past three fiscal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 Activities</w:t>
      </w:r>
    </w:p>
    <w:p>
      <w:pPr>
        <w:spacing w:after="0" w:line="28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fiscal year 2015, we commenced construction of a natural gas liquids ("NGL") recovery plant in the Delhi field, which was completed in December 2016.</w:t>
      </w:r>
    </w:p>
    <w:p>
      <w:pPr>
        <w:spacing w:after="0" w:line="22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During fiscal 2017, we drilled one water injection well as part of a project of four water injection wells connected to the continued development of Phase V in the eastern portion of the Delhi field. We also plan to drill eight infill wells in the field to increase production and ultimate reserves recovery. We have authorized expenditures for these projects totaling approximately $6.0 million. This spending was planned to commence in July 2017, but has been electively deferred by the operator until calendar 2018 based on a near-term capital budget reduction in response to weak oil prices.</w:t>
      </w:r>
    </w:p>
    <w:p>
      <w:pPr>
        <w:spacing w:after="0" w:line="204" w:lineRule="exact"/>
        <w:rPr>
          <w:sz w:val="20"/>
          <w:szCs w:val="20"/>
          <w:color w:val="auto"/>
        </w:rPr>
      </w:pPr>
    </w:p>
    <w:p>
      <w:pPr>
        <w:ind w:right="660" w:firstLine="432"/>
        <w:spacing w:after="0" w:line="282" w:lineRule="auto"/>
        <w:rPr>
          <w:sz w:val="20"/>
          <w:szCs w:val="20"/>
          <w:color w:val="auto"/>
        </w:rPr>
      </w:pPr>
      <w:r>
        <w:rPr>
          <w:rFonts w:ascii="Arial" w:cs="Arial" w:eastAsia="Arial" w:hAnsi="Arial"/>
          <w:sz w:val="18"/>
          <w:szCs w:val="18"/>
          <w:color w:val="auto"/>
        </w:rPr>
        <w:t xml:space="preserve">For further discussion, see </w:t>
      </w:r>
      <w:r>
        <w:rPr>
          <w:rFonts w:ascii="Arial" w:cs="Arial" w:eastAsia="Arial" w:hAnsi="Arial"/>
          <w:sz w:val="18"/>
          <w:szCs w:val="18"/>
          <w:b w:val="1"/>
          <w:bCs w:val="1"/>
          <w:color w:val="auto"/>
        </w:rPr>
        <w:t>"</w:t>
      </w:r>
      <w:r>
        <w:rPr>
          <w:rFonts w:ascii="Arial" w:cs="Arial" w:eastAsia="Arial" w:hAnsi="Arial"/>
          <w:sz w:val="18"/>
          <w:szCs w:val="18"/>
          <w:color w:val="auto"/>
        </w:rPr>
        <w:t xml:space="preserve">Highlights for our fiscal year 2017" and "Capital Budget" under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of this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Commitments</w:t>
      </w:r>
    </w:p>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2017, we were not committed to provide a fixed and determinable quantity of oil, NGLs or gas under existing agreements, nor do we currently intend to enter into any such agreements.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productive oil and gas wells in which we owned a working interest as of June 30, 2017.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2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5"/>
              </w:rPr>
              <w:t>Company Operated</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Non-Operated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19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Gross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Gross</w:t>
            </w: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Net</w:t>
            </w: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22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24.8</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22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2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24.8</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year ended June 30, 2017, we transferred one well in the Giddings field back to its previous operator under our contractual arrangement and later plugged and abandoned our two remaining wells in the field as none of the three wells were producing at economic rates in the existing price environment. We have no other wells operated by the Company at this time.</w:t>
      </w:r>
    </w:p>
    <w:p>
      <w:pPr>
        <w:spacing w:after="0" w:line="23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remaining wells consist solely of those in the Delhi field. Delhi has an estimated 104 productive oil wells. It also has approximately 45 CO</w:t>
      </w:r>
      <w:r>
        <w:rPr>
          <w:rFonts w:ascii="Arial" w:cs="Arial" w:eastAsia="Arial" w:hAnsi="Arial"/>
          <w:sz w:val="12"/>
          <w:szCs w:val="12"/>
          <w:color w:val="auto"/>
        </w:rPr>
        <w:t>2</w:t>
      </w:r>
      <w:r>
        <w:rPr>
          <w:rFonts w:ascii="Arial" w:cs="Arial" w:eastAsia="Arial" w:hAnsi="Arial"/>
          <w:sz w:val="18"/>
          <w:szCs w:val="18"/>
          <w:color w:val="auto"/>
        </w:rPr>
        <w:t xml:space="preserve"> injection wells and approximately 20 water injection wells. Certain of these wells may be shut-in from time to time and certain wells can potentially be converted to other purposes. Further, there may be other shut-in or previously abandoned well-bores in the field which can be reactivated. Accordingly, the active well count in the field is subject to change over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 Data</w:t>
      </w:r>
    </w:p>
    <w:p>
      <w:pPr>
        <w:spacing w:after="0" w:line="2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table sets forth certain information regarding our developed and undeveloped lease acreage as of June 30, 2017. Developed acreage refers to acreage on which wells have been drilled or completed to a point that would permit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1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Developed Acreage</w:t>
            </w:r>
          </w:p>
        </w:tc>
        <w:tc>
          <w:tcPr>
            <w:tcW w:w="120" w:type="dxa"/>
            <w:vAlign w:val="bottom"/>
          </w:tcPr>
          <w:p>
            <w:pPr>
              <w:spacing w:after="0"/>
              <w:rPr>
                <w:sz w:val="16"/>
                <w:szCs w:val="16"/>
                <w:color w:val="auto"/>
              </w:rPr>
            </w:pPr>
          </w:p>
        </w:tc>
        <w:tc>
          <w:tcPr>
            <w:tcW w:w="19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Undeveloped Acreage</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w w:val="95"/>
              </w:rPr>
              <w:t>Total</w:t>
            </w:r>
          </w:p>
        </w:tc>
      </w:tr>
      <w:tr>
        <w:trPr>
          <w:trHeight w:val="264"/>
        </w:trPr>
        <w:tc>
          <w:tcPr>
            <w:tcW w:w="4700" w:type="dxa"/>
            <w:vAlign w:val="bottom"/>
          </w:tcPr>
          <w:p>
            <w:pPr>
              <w:spacing w:after="0"/>
              <w:rPr>
                <w:sz w:val="22"/>
                <w:szCs w:val="22"/>
                <w:color w:val="auto"/>
              </w:rPr>
            </w:pPr>
          </w:p>
        </w:tc>
        <w:tc>
          <w:tcPr>
            <w:tcW w:w="1280" w:type="dxa"/>
            <w:vAlign w:val="bottom"/>
          </w:tcPr>
          <w:p>
            <w:pPr>
              <w:jc w:val="right"/>
              <w:ind w:right="482"/>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1040" w:type="dxa"/>
            <w:vAlign w:val="bottom"/>
          </w:tcPr>
          <w:p>
            <w:pPr>
              <w:jc w:val="right"/>
              <w:ind w:right="362"/>
              <w:spacing w:after="0"/>
              <w:rPr>
                <w:sz w:val="20"/>
                <w:szCs w:val="20"/>
                <w:color w:val="auto"/>
              </w:rPr>
            </w:pPr>
            <w:r>
              <w:rPr>
                <w:rFonts w:ascii="Arial" w:cs="Arial" w:eastAsia="Arial" w:hAnsi="Arial"/>
                <w:sz w:val="14"/>
                <w:szCs w:val="14"/>
                <w:b w:val="1"/>
                <w:bCs w:val="1"/>
                <w:color w:val="auto"/>
              </w:rPr>
              <w:t>Gross</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Gross</w:t>
            </w:r>
          </w:p>
        </w:tc>
        <w:tc>
          <w:tcPr>
            <w:tcW w:w="1080" w:type="dxa"/>
            <w:vAlign w:val="bottom"/>
          </w:tcPr>
          <w:p>
            <w:pPr>
              <w:jc w:val="right"/>
              <w:ind w:right="242"/>
              <w:spacing w:after="0"/>
              <w:rPr>
                <w:sz w:val="20"/>
                <w:szCs w:val="20"/>
                <w:color w:val="auto"/>
              </w:rPr>
            </w:pPr>
            <w:r>
              <w:rPr>
                <w:rFonts w:ascii="Arial" w:cs="Arial" w:eastAsia="Arial" w:hAnsi="Arial"/>
                <w:sz w:val="14"/>
                <w:szCs w:val="14"/>
                <w:b w:val="1"/>
                <w:bCs w:val="1"/>
                <w:color w:val="auto"/>
              </w:rPr>
              <w:t>Net</w:t>
            </w: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Delhi Field, Louisiana *</w:t>
            </w:r>
          </w:p>
        </w:tc>
        <w:tc>
          <w:tcPr>
            <w:tcW w:w="12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9,126</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4,510</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13,636</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3,257</w:t>
            </w:r>
          </w:p>
        </w:tc>
      </w:tr>
      <w:tr>
        <w:trPr>
          <w:trHeight w:val="27"/>
        </w:trPr>
        <w:tc>
          <w:tcPr>
            <w:tcW w:w="47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When the Company acquired the Delhi field in 2003, the field had been fully developed through primary and secondary recovery and all of such acreage was reflected as developed acreage. With the addition of a CO</w:t>
      </w:r>
      <w:r>
        <w:rPr>
          <w:rFonts w:ascii="Arial" w:cs="Arial" w:eastAsia="Arial" w:hAnsi="Arial"/>
          <w:sz w:val="11"/>
          <w:szCs w:val="11"/>
          <w:color w:val="auto"/>
        </w:rPr>
        <w:t>2</w:t>
      </w:r>
      <w:r>
        <w:rPr>
          <w:rFonts w:ascii="Arial" w:cs="Arial" w:eastAsia="Arial" w:hAnsi="Arial"/>
          <w:sz w:val="17"/>
          <w:szCs w:val="17"/>
          <w:color w:val="auto"/>
        </w:rPr>
        <w:t>-EOR project in the field, certain acreage is now reflected as undeveloped using tertiary recovery operations. We estimate that our developed acreage currently includes 9,126 gross (2,180 net) acres in the Delhi field, with approximately 4,510 gross (1,077 net) acres attributable to the remaining undeveloped areas in the eastern part of the field. We own a 23.9% working interest in the field, along with certain mineral and royalty interests. We are not the operator of the EOR project.</w:t>
      </w:r>
    </w:p>
    <w:p>
      <w:pPr>
        <w:spacing w:after="0" w:line="22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interests includes all depths from the surface of the earth to the top of the Massive Anhydride, including the Delhi Holt Bryant Unit, which is currently under CO</w:t>
      </w:r>
      <w:r>
        <w:rPr>
          <w:rFonts w:ascii="Arial" w:cs="Arial" w:eastAsia="Arial" w:hAnsi="Arial"/>
          <w:sz w:val="14"/>
          <w:szCs w:val="14"/>
          <w:color w:val="auto"/>
        </w:rPr>
        <w:t>2</w:t>
      </w:r>
      <w:r>
        <w:rPr>
          <w:rFonts w:ascii="Arial" w:cs="Arial" w:eastAsia="Arial" w:hAnsi="Arial"/>
          <w:sz w:val="18"/>
          <w:szCs w:val="18"/>
          <w:color w:val="auto"/>
        </w:rPr>
        <w:t xml:space="preserve"> flood, and the Mengel Sand Interval, which is within the boundary of the field, but is currently not producing. As the Delhi field is unitized, all acreage, including any undeveloped, nonproductive or undrilled acreage is held by existing production as long as continuous production is maintained in the unit.</w:t>
      </w:r>
    </w:p>
    <w:p>
      <w:pPr>
        <w:spacing w:after="0" w:line="237" w:lineRule="exact"/>
        <w:rPr>
          <w:sz w:val="20"/>
          <w:szCs w:val="20"/>
          <w:color w:val="auto"/>
        </w:rPr>
      </w:pPr>
    </w:p>
    <w:p>
      <w:pPr>
        <w:ind w:left="660" w:right="340" w:firstLine="645"/>
        <w:spacing w:after="0" w:line="286" w:lineRule="auto"/>
        <w:tabs>
          <w:tab w:leader="none" w:pos="14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table excludes acreage attributable to small overriding royalty interests retained in various formations in the Giddings Field area. None of such acreage is currently producing and our interests are subject to expiration if leases are not maintained by others or commercial production is not established. It does not currently appear likely that we will obtain any significant value from these interests.</w:t>
      </w:r>
    </w:p>
    <w:p>
      <w:pPr>
        <w:spacing w:after="0" w:line="84"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 xml:space="preserve">For more complete information regarding current year activities, including crude oil and natural gas production, refer to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of this Form 10-K.</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 xml:space="preserve">See Note 18 – Commitments and Contingencies under </w:t>
      </w:r>
      <w:r>
        <w:rPr>
          <w:rFonts w:ascii="Arial" w:cs="Arial" w:eastAsia="Arial" w:hAnsi="Arial"/>
          <w:sz w:val="18"/>
          <w:szCs w:val="18"/>
          <w:i w:val="1"/>
          <w:iCs w:val="1"/>
          <w:color w:val="auto"/>
        </w:rPr>
        <w:t>Item 8. Financial Statements</w:t>
      </w:r>
      <w:r>
        <w:rPr>
          <w:rFonts w:ascii="Arial" w:cs="Arial" w:eastAsia="Arial" w:hAnsi="Arial"/>
          <w:sz w:val="18"/>
          <w:szCs w:val="18"/>
          <w:color w:val="auto"/>
        </w:rPr>
        <w:t xml:space="preserve"> for a description of legal proceedings, which is incorporated herein by reference.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125"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2020"/>
        <w:spacing w:after="0" w:line="5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Common Stock</w:t>
      </w:r>
    </w:p>
    <w:p>
      <w:pPr>
        <w:ind w:right="40" w:firstLine="432"/>
        <w:spacing w:after="0" w:line="277" w:lineRule="auto"/>
        <w:rPr>
          <w:sz w:val="20"/>
          <w:szCs w:val="20"/>
          <w:color w:val="auto"/>
        </w:rPr>
      </w:pPr>
      <w:r>
        <w:rPr>
          <w:rFonts w:ascii="Arial" w:cs="Arial" w:eastAsia="Arial" w:hAnsi="Arial"/>
          <w:sz w:val="18"/>
          <w:szCs w:val="18"/>
          <w:color w:val="auto"/>
        </w:rPr>
        <w:t>Our common stock is currently traded on the NYSE American under the ticker symbol "EPM". The following table shows, for each quarter of the fiscal years ended June 30, 2017 and 2016, the high and low sales prices for EPM as reported by the NYSE American.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NYSE American: EPM</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ended June 30, 2017</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Third quarter ended March 31, 2017</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ended December 31, 2016</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 ended September 30, 2016</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5.12</w:t>
            </w:r>
          </w:p>
        </w:tc>
      </w:tr>
      <w:tr>
        <w:trPr>
          <w:trHeight w:val="64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ended June 30, 2016</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Third quarter ended March 31, 2016</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ended December 31, 2015</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First quarter ended September 30, 2015</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4.02</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 and Holders</w:t>
      </w:r>
    </w:p>
    <w:p>
      <w:pPr>
        <w:spacing w:after="0" w:line="283"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As of June 30, 2017, there were 33,087,308 shares of common stock issued and outstanding, held by approximately 224 holders of record. We estimate there are over 2,000 individuals and entities that hold our stock through nominees.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began paying cash quarterly dividends on our common stock in December 2013, at a rate of $0.10 per share and adjusted the rate to $0.05 per share in March 2015. We increased our dividend rate to $0.065 per share, effective with the dividend payment in December 2016 and later raised its dividend rate to $0.07 per share, effective with the dividend payment in March 2017. As of June 30, 2017, we had paid fifteen consecutive quarterly dividends on our common stock. All dividends on our Series "A" Perpetual Preferred stock were timely declared and paid monthly prior to the redemption of such preferred stock. Any future determination with regard to the payment of dividends will be at the discretion of the Board of Directors and will be dependent upon our future earnings, financial condition, applicable dividend restrictions and capital requirements and other factors deemed relevant by the Board of Directors. Under our current revolving credit facility, our ability to continue to pay common stock dividends is dependent on compliance with certain financial covenants related to debt service coverage, as defined in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following graph presents a comparison of the yearly percentage change in the cumulative total return on our Common Stock over the period from June 30, 2012 to June 30, 2017 with the cumulative total return of the S&amp;P 500 Index and the S&amp;P Oil &amp; Gas Exploration and Production Index of publicly traded companies over the same period. The graph assumes that $100 was invested on June 30, 2012 in our common stock at the closing market price at the beginning of this period and in each of 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358140</wp:posOffset>
            </wp:positionV>
            <wp:extent cx="525716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 exercise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rights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 (a))(1)</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Outstanding options</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Outstanding contingent rights to shares</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113,270</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113,270</w:t>
            </w:r>
          </w:p>
        </w:tc>
        <w:tc>
          <w:tcPr>
            <w:tcW w:w="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113,270</w:t>
            </w:r>
          </w:p>
        </w:tc>
        <w:tc>
          <w:tcPr>
            <w:tcW w:w="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of June 30, 2017, all stock options had been exercised and no shares of common stock were issuable related to outstanding stock options. The Amended and Restated 2004 Stock Plan (the "Plan") provided for the issuance of a total of 6,500,000 common shares. Under the Plan as of June 30, 2017, 3,939,365 common shares had been issued upon the exercise of stock options, 2,382,843 shares of restricted common stock had been issued (of which 391,624 were unvested as of June 30, 2017), contingent restricted stock grants of 145,646 shares had been reserved (of which 113,270 were unvested as of June 30, 2017) and 32,146 remaining reserved shares were released in December 2016 to the Company's authorized but unissued and unreserved shares. The Plan was terminated upon the adoption of 2016 Equity Incentive Plan (the "2016 Plan"), which authorized the issuance of 1,100,000 shares of common stock. During fiscal 2017, no awards were made under the 2016 Plan.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During the quarter ended June 30, 2017, the Company did not purchase any common stock in the open market under the previously announced share repurchase program and no shares of common stock were surrendered by employees in exchange for required payroll taxes arising from the vesting of restricted stock and/or exercise of stock options.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 xml:space="preserve">The selected consolidated financial data, set forth below should be read in conjunction with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and with the consolidated financial statements and notes to those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Statement Data</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depletion, and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Accretion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and administrative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charges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from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provision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the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on Series A Preferred Stock</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Deemed dividend on preferred shares called for redemption</w:t>
      </w:r>
    </w:p>
    <w:p>
      <w:pPr>
        <w:spacing w:after="0" w:line="8" w:lineRule="exact"/>
        <w:rPr>
          <w:sz w:val="20"/>
          <w:szCs w:val="20"/>
          <w:color w:val="auto"/>
        </w:rPr>
      </w:pPr>
    </w:p>
    <w:p>
      <w:pPr>
        <w:ind w:left="40" w:right="860"/>
        <w:spacing w:after="0" w:line="277" w:lineRule="auto"/>
        <w:rPr>
          <w:sz w:val="20"/>
          <w:szCs w:val="20"/>
          <w:color w:val="auto"/>
        </w:rPr>
      </w:pPr>
      <w:r>
        <w:rPr>
          <w:rFonts w:ascii="Arial" w:cs="Arial" w:eastAsia="Arial" w:hAnsi="Arial"/>
          <w:sz w:val="18"/>
          <w:szCs w:val="18"/>
          <w:color w:val="auto"/>
        </w:rPr>
        <w:t>Net income attributable to common shareholders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common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 Data</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999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51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34,484,896</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26,349,502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27,841,265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17,673,508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21,349,920</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10,835,809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9,133,111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9,355,613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1,193,573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1,780,738</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5,719,405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5,165,120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3,615,737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1,228,685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1,300,207</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59,664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49,054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41,626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72,312</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4,985,408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9,079,597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6,256,783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8,388,291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7,495,309</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1,257,433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1,293,186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12,880,122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1,665,187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8,583,697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5,528,147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10,701,354</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32,565,954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(147,619)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(43,165)</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4,840,664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9,570,779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3,444,221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1,891,998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4,029,761</w:t>
            </w:r>
          </w:p>
        </w:tc>
      </w:tr>
      <w:tr>
        <w:trPr>
          <w:trHeight w:val="27"/>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8,044,313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24,660,362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4,991,857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3,597,313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6,628,428</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250,990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674,302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674,302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674,302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674,302</w:t>
            </w:r>
          </w:p>
        </w:tc>
      </w:tr>
      <w:tr>
        <w:trPr>
          <w:trHeight w:val="486"/>
        </w:trPr>
        <w:tc>
          <w:tcPr>
            <w:tcW w:w="2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1,002,440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31"/>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6,790,883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23,986,060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4,317,555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2,923,011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5,954,126</w:t>
            </w:r>
          </w:p>
        </w:tc>
      </w:tr>
      <w:tr>
        <w:trPr>
          <w:trHeight w:val="122"/>
        </w:trPr>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94"/>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0.21</w:t>
            </w:r>
          </w:p>
        </w:tc>
      </w:tr>
      <w:tr>
        <w:trPr>
          <w:trHeight w:val="27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642"/>
        </w:trPr>
        <w:tc>
          <w:tcPr>
            <w:tcW w:w="24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2013</w:t>
            </w:r>
          </w:p>
        </w:tc>
      </w:tr>
      <w:tr>
        <w:trPr>
          <w:trHeight w:val="513"/>
        </w:trPr>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26,142,527</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37,086,450</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23,693,048</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26,304,803</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27,436,076</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88,268,668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97,451,051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69,882,727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65,015,752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66,556,296</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2,718,894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8,528,908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9,329,257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2,999,726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2,632,750</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19,798,813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21,129,901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21,306,150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13,138,230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11,720,135</w:t>
            </w:r>
          </w:p>
        </w:tc>
      </w:tr>
      <w:tr>
        <w:trPr>
          <w:trHeight w:val="270"/>
        </w:trPr>
        <w:tc>
          <w:tcPr>
            <w:tcW w:w="24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68,469,855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76,321,150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48,576,577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51,877,522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54,836,161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-4647565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-4295775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-3952875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-3609975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-3258185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-2915285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-2563495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-1946275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-1585595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-1019810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-668020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-325120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17145</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80"/>
            <w:col w:w="7880"/>
          </w:cols>
          <w:pgMar w:left="240" w:top="12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Number of common shares outstanding</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33,087,308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32,907,863</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32,845,205</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32,615,646</w:t>
            </w:r>
          </w:p>
        </w:tc>
        <w:tc>
          <w:tcPr>
            <w:tcW w:w="3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28,608,969</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Working capital, net</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$23,423,633</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$28,557,542</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$14,363,791</w:t>
            </w:r>
          </w:p>
        </w:tc>
        <w:tc>
          <w:tcPr>
            <w:tcW w:w="1320" w:type="dxa"/>
            <w:vAlign w:val="bottom"/>
          </w:tcPr>
          <w:p>
            <w:pPr>
              <w:jc w:val="right"/>
              <w:spacing w:after="0"/>
              <w:rPr>
                <w:sz w:val="20"/>
                <w:szCs w:val="20"/>
                <w:color w:val="auto"/>
              </w:rPr>
            </w:pPr>
            <w:r>
              <w:rPr>
                <w:rFonts w:ascii="Arial" w:cs="Arial" w:eastAsia="Arial" w:hAnsi="Arial"/>
                <w:sz w:val="18"/>
                <w:szCs w:val="18"/>
                <w:color w:val="auto"/>
              </w:rPr>
              <w:t>$23,305,077</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$24,803,326</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dividends to common stockholders</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$8,432,435</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$6,565,823</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$9,833,642</w:t>
            </w:r>
          </w:p>
        </w:tc>
        <w:tc>
          <w:tcPr>
            <w:tcW w:w="1320" w:type="dxa"/>
            <w:vAlign w:val="bottom"/>
          </w:tcPr>
          <w:p>
            <w:pPr>
              <w:jc w:val="right"/>
              <w:spacing w:after="0"/>
              <w:rPr>
                <w:sz w:val="20"/>
                <w:szCs w:val="20"/>
                <w:color w:val="auto"/>
              </w:rPr>
            </w:pPr>
            <w:r>
              <w:rPr>
                <w:rFonts w:ascii="Arial" w:cs="Arial" w:eastAsia="Arial" w:hAnsi="Arial"/>
                <w:sz w:val="18"/>
                <w:szCs w:val="18"/>
                <w:color w:val="auto"/>
              </w:rPr>
              <w:t>$9,723,833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included in Item 8, Financial Statements and Supplementary Data. Our discussion and analysis includes forward-looking information that involves risks and uncertainties. It should be read in conjunction with Risk Factors under Item 1A of this Form 10-K, together with the statement of Forward-Looking Information at the beginning of this report for discussion of the risks and uncertainties that could cause our actual results to be materially different from those contained in our forward-looking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are engaged primarily in the development and production of oil and gas reserves within known oil and gas reservoirs in the United States. We are focused on increasing underlying asset values on a per share basis. In doing so, we depend on a conservative capital structure, allowing us to maintain control of our assets for the benefit of our shareholders, including a substantial ownership by our directors, officers and staff. By policy, every employee and director maintains a required beneficial ownership of our common stock.</w:t>
      </w:r>
    </w:p>
    <w:p>
      <w:pPr>
        <w:spacing w:after="0" w:line="24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strategy is to grow the value of our assets to maximize the value realized by our shareholders. In addition, we plan to continue to return cash to shareholders in the form of quarterly cash dividends and potential stock buybacks under our share repurchase program.</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fund our share of fiscal 2018 expenditures in the Delhi field from working capital and net cash flows from the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Highlights for our fiscal year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14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Our fiscal 2017 net income was 6.8 million, or $0.21 per share. </w:t>
      </w:r>
      <w:r>
        <w:rPr>
          <w:rFonts w:ascii="Arial" w:cs="Arial" w:eastAsia="Arial" w:hAnsi="Arial"/>
          <w:sz w:val="16"/>
          <w:szCs w:val="16"/>
          <w:color w:val="auto"/>
        </w:rPr>
        <w:t>This marks our sixth consecutive fiscal year of reporting positive net income.</w:t>
      </w:r>
    </w:p>
    <w:p>
      <w:pPr>
        <w:spacing w:after="0" w:line="207" w:lineRule="exact"/>
        <w:rPr>
          <w:rFonts w:ascii="Arial" w:cs="Arial" w:eastAsia="Arial" w:hAnsi="Arial"/>
          <w:sz w:val="16"/>
          <w:szCs w:val="16"/>
          <w:b w:val="1"/>
          <w:bCs w:val="1"/>
          <w:color w:val="auto"/>
        </w:rPr>
      </w:pPr>
    </w:p>
    <w:p>
      <w:pPr>
        <w:ind w:left="660" w:hanging="328"/>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funded all operations, including $7.6 million of capital spending, from internal resources and remained debt free. </w:t>
      </w:r>
      <w:r>
        <w:rPr>
          <w:rFonts w:ascii="Arial" w:cs="Arial" w:eastAsia="Arial" w:hAnsi="Arial"/>
          <w:sz w:val="18"/>
          <w:szCs w:val="18"/>
          <w:color w:val="auto"/>
        </w:rPr>
        <w:t>We ended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with at least $10 million of available liquidity under our credit facility, with no debt outstanding.</w:t>
      </w:r>
    </w:p>
    <w:p>
      <w:pPr>
        <w:spacing w:after="0" w:line="121" w:lineRule="exact"/>
        <w:rPr>
          <w:rFonts w:ascii="Arial" w:cs="Arial" w:eastAsia="Arial" w:hAnsi="Arial"/>
          <w:sz w:val="18"/>
          <w:szCs w:val="18"/>
          <w:b w:val="1"/>
          <w:bCs w:val="1"/>
          <w:color w:val="auto"/>
        </w:rPr>
      </w:pPr>
    </w:p>
    <w:p>
      <w:pPr>
        <w:ind w:left="660" w:right="40" w:hanging="328"/>
        <w:spacing w:after="0" w:line="266"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returned $8.4 million to common shareholders in the form of cash dividends during fiscal 2017. </w:t>
      </w:r>
      <w:r>
        <w:rPr>
          <w:rFonts w:ascii="Arial" w:cs="Arial" w:eastAsia="Arial" w:hAnsi="Arial"/>
          <w:sz w:val="18"/>
          <w:szCs w:val="18"/>
          <w:color w:val="auto"/>
        </w:rPr>
        <w:t>With the increase in the quarterly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dividend to an annual rate of $0.30 effective September 2017, we have increased dividends by 50% from the annual rate of $0.20 a year ago. We remain committed to our dividend policy and rewarding our long-term shareholders.</w:t>
      </w:r>
    </w:p>
    <w:p>
      <w:pPr>
        <w:spacing w:after="0" w:line="135" w:lineRule="exact"/>
        <w:rPr>
          <w:rFonts w:ascii="Arial" w:cs="Arial" w:eastAsia="Arial" w:hAnsi="Arial"/>
          <w:sz w:val="18"/>
          <w:szCs w:val="18"/>
          <w:b w:val="1"/>
          <w:bCs w:val="1"/>
          <w:color w:val="auto"/>
        </w:rPr>
      </w:pPr>
    </w:p>
    <w:p>
      <w:pPr>
        <w:ind w:left="660" w:right="16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We completed the redemption of our 8.5% Series A Cumulative Preferred Stock at a cost of $7.9 million. </w:t>
      </w:r>
      <w:r>
        <w:rPr>
          <w:rFonts w:ascii="Arial" w:cs="Arial" w:eastAsia="Arial" w:hAnsi="Arial"/>
          <w:sz w:val="18"/>
          <w:szCs w:val="18"/>
          <w:color w:val="auto"/>
        </w:rPr>
        <w:t>This will increase funds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common stockholders by $674,302 per year, or $0.02 per common share.</w:t>
      </w:r>
    </w:p>
    <w:p>
      <w:pPr>
        <w:spacing w:after="0" w:line="121"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ended the year with working capital of $23.4 million, down slightly from $28.6 million last year, but after funding all dividends, capital expenditures and the redemption of our preferred stock. </w:t>
      </w:r>
      <w:r>
        <w:rPr>
          <w:rFonts w:ascii="Arial" w:cs="Arial" w:eastAsia="Arial" w:hAnsi="Arial"/>
          <w:sz w:val="18"/>
          <w:szCs w:val="18"/>
          <w:color w:val="auto"/>
        </w:rPr>
        <w:t>Our strong balance sheet and working capital position have given us the stability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weather this industry downturn and provide an important resource for potential future acquisitions and growth. Our working capital at June 30, 2017 included $23.0 million of cash on hand.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40" w:lineRule="exact"/>
        <w:rPr>
          <w:sz w:val="20"/>
          <w:szCs w:val="20"/>
          <w:color w:val="auto"/>
        </w:rPr>
      </w:pPr>
    </w:p>
    <w:p>
      <w:pPr>
        <w:ind w:left="660" w:right="320" w:hanging="328"/>
        <w:spacing w:after="0" w:line="266"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net production volumes at Delhi increased by 17%, to 2,105 barrels of oil equivalent per day ("BOEPD") from 1,800 BOEPD in the prior year. </w:t>
      </w:r>
      <w:r>
        <w:rPr>
          <w:rFonts w:ascii="Arial" w:cs="Arial" w:eastAsia="Arial" w:hAnsi="Arial"/>
          <w:sz w:val="18"/>
          <w:szCs w:val="18"/>
          <w:color w:val="auto"/>
        </w:rPr>
        <w:t>The majority of this increase resulted from the continued conformance and production enhancement workover program in the Delhi</w:t>
      </w:r>
      <w:r>
        <w:rPr>
          <w:rFonts w:ascii="Arial" w:cs="Arial" w:eastAsia="Arial" w:hAnsi="Arial"/>
          <w:sz w:val="18"/>
          <w:szCs w:val="18"/>
          <w:b w:val="1"/>
          <w:bCs w:val="1"/>
          <w:color w:val="auto"/>
        </w:rPr>
        <w:t xml:space="preserve"> </w:t>
      </w:r>
      <w:r>
        <w:rPr>
          <w:rFonts w:ascii="Arial" w:cs="Arial" w:eastAsia="Arial" w:hAnsi="Arial"/>
          <w:sz w:val="18"/>
          <w:szCs w:val="18"/>
          <w:color w:val="auto"/>
        </w:rPr>
        <w:t>field. Natural gas liquid ("NGL") volumes for part of the year also contributed to the production gain.</w:t>
      </w:r>
    </w:p>
    <w:p>
      <w:pPr>
        <w:spacing w:after="0" w:line="176" w:lineRule="exact"/>
        <w:rPr>
          <w:rFonts w:ascii="Arial" w:cs="Arial" w:eastAsia="Arial" w:hAnsi="Arial"/>
          <w:sz w:val="18"/>
          <w:szCs w:val="18"/>
          <w:b w:val="1"/>
          <w:bCs w:val="1"/>
          <w:color w:val="auto"/>
        </w:rPr>
      </w:pPr>
    </w:p>
    <w:p>
      <w:pPr>
        <w:ind w:left="660" w:right="120" w:hanging="328"/>
        <w:spacing w:after="0" w:line="266"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oil and NGL revenues were up over 31%, to $34.5 million from $26.1 million in fiscal 2016. </w:t>
      </w:r>
      <w:r>
        <w:rPr>
          <w:rFonts w:ascii="Arial" w:cs="Arial" w:eastAsia="Arial" w:hAnsi="Arial"/>
          <w:sz w:val="18"/>
          <w:szCs w:val="18"/>
          <w:color w:val="auto"/>
        </w:rPr>
        <w:t>In addition to higher net production volumes,</w:t>
      </w:r>
      <w:r>
        <w:rPr>
          <w:rFonts w:ascii="Arial" w:cs="Arial" w:eastAsia="Arial" w:hAnsi="Arial"/>
          <w:sz w:val="18"/>
          <w:szCs w:val="18"/>
          <w:b w:val="1"/>
          <w:bCs w:val="1"/>
          <w:color w:val="auto"/>
        </w:rPr>
        <w:t xml:space="preserve"> </w:t>
      </w:r>
      <w:r>
        <w:rPr>
          <w:rFonts w:ascii="Arial" w:cs="Arial" w:eastAsia="Arial" w:hAnsi="Arial"/>
          <w:sz w:val="18"/>
          <w:szCs w:val="18"/>
          <w:color w:val="auto"/>
        </w:rPr>
        <w:t>we also experienced a 13% increase in our average price per barrel of oil equivalent ("BOE"), which rose to $44.88, from $39.68 per BOE in the prior year.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60" w:hanging="328"/>
        <w:spacing w:after="0" w:line="258"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Delhi NGL Plant was completed in December 2016 and began production January 2017. </w:t>
      </w:r>
      <w:r>
        <w:rPr>
          <w:rFonts w:ascii="Arial" w:cs="Arial" w:eastAsia="Arial" w:hAnsi="Arial"/>
          <w:sz w:val="18"/>
          <w:szCs w:val="18"/>
          <w:color w:val="auto"/>
        </w:rPr>
        <w:t>The NGL plant had a final net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$26.3 million and has been producing at approximately 70-75% of capacity since initial operations were stabilized. In August 2017, we completed inlet modifications to the CO</w:t>
      </w:r>
      <w:r>
        <w:rPr>
          <w:rFonts w:ascii="Arial" w:cs="Arial" w:eastAsia="Arial" w:hAnsi="Arial"/>
          <w:sz w:val="12"/>
          <w:szCs w:val="12"/>
          <w:color w:val="auto"/>
        </w:rPr>
        <w:t>2</w:t>
      </w:r>
      <w:r>
        <w:rPr>
          <w:rFonts w:ascii="Arial" w:cs="Arial" w:eastAsia="Arial" w:hAnsi="Arial"/>
          <w:sz w:val="18"/>
          <w:szCs w:val="18"/>
          <w:color w:val="auto"/>
        </w:rPr>
        <w:t xml:space="preserve"> recycle plant that have enabled the NGL plant to operate at full capacity. The NGL plant has been effective in removing methane and valuable NGL's to increase the purity of the CO</w:t>
      </w:r>
      <w:r>
        <w:rPr>
          <w:rFonts w:ascii="Arial" w:cs="Arial" w:eastAsia="Arial" w:hAnsi="Arial"/>
          <w:sz w:val="12"/>
          <w:szCs w:val="12"/>
          <w:color w:val="auto"/>
        </w:rPr>
        <w:t>2</w:t>
      </w:r>
      <w:r>
        <w:rPr>
          <w:rFonts w:ascii="Arial" w:cs="Arial" w:eastAsia="Arial" w:hAnsi="Arial"/>
          <w:sz w:val="18"/>
          <w:szCs w:val="18"/>
          <w:color w:val="auto"/>
        </w:rPr>
        <w:t xml:space="preserve"> stream and is expected to improve the efficiency of the CO</w:t>
      </w:r>
      <w:r>
        <w:rPr>
          <w:rFonts w:ascii="Arial" w:cs="Arial" w:eastAsia="Arial" w:hAnsi="Arial"/>
          <w:sz w:val="12"/>
          <w:szCs w:val="12"/>
          <w:color w:val="auto"/>
        </w:rPr>
        <w:t>2</w:t>
      </w:r>
      <w:r>
        <w:rPr>
          <w:rFonts w:ascii="Arial" w:cs="Arial" w:eastAsia="Arial" w:hAnsi="Arial"/>
          <w:sz w:val="18"/>
          <w:szCs w:val="18"/>
          <w:color w:val="auto"/>
        </w:rPr>
        <w:t xml:space="preserve"> flood.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&amp; Gas Reserves (based on SEC defined net oil price of $46.65 and NGL price of $20.48 per barrel)</w:t>
      </w:r>
    </w:p>
    <w:p>
      <w:pPr>
        <w:spacing w:after="0" w:line="275" w:lineRule="exact"/>
        <w:rPr>
          <w:sz w:val="20"/>
          <w:szCs w:val="20"/>
          <w:color w:val="auto"/>
        </w:rPr>
      </w:pPr>
    </w:p>
    <w:p>
      <w:pPr>
        <w:ind w:left="660" w:right="3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Delhi proved oil equivalent reserves at June 30, 2017 were 10.1 MMBOE. </w:t>
      </w:r>
      <w:r>
        <w:rPr>
          <w:rFonts w:ascii="Arial" w:cs="Arial" w:eastAsia="Arial" w:hAnsi="Arial"/>
          <w:sz w:val="18"/>
          <w:szCs w:val="18"/>
          <w:color w:val="auto"/>
        </w:rPr>
        <w:t>After adjusting for production of approximately 0.8 MMBOE, our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net oil equivalent reserves were essentially flat with the prior year. The Standardized Measure (defined below) increased 6% to $83 million as a result of a higher oil and NGL prices, partially offset by an increase in future operating costs. Proved reserves are 83% oil and 17% natural gas liquids, with 79% of these proved reserves developed and producing.</w:t>
      </w:r>
    </w:p>
    <w:p>
      <w:pPr>
        <w:spacing w:after="0" w:line="23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Delhi probable oil equivalent reserves at June 30, 2017 were 5.3 MMBOE</w:t>
      </w:r>
      <w:r>
        <w:rPr>
          <w:rFonts w:ascii="Arial" w:cs="Arial" w:eastAsia="Arial" w:hAnsi="Arial"/>
          <w:sz w:val="18"/>
          <w:szCs w:val="18"/>
          <w:color w:val="auto"/>
        </w:rPr>
        <w:t>, an 18% increase over the prior year.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Delhi possible oil equivalent reserves at June 30, 2017 were 3.2 MMBOE</w:t>
      </w:r>
      <w:r>
        <w:rPr>
          <w:rFonts w:ascii="Arial" w:cs="Arial" w:eastAsia="Arial" w:hAnsi="Arial"/>
          <w:sz w:val="18"/>
          <w:szCs w:val="18"/>
          <w:color w:val="auto"/>
        </w:rPr>
        <w:t>, a 19% increase over the prior year.</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proved, probable and possible reserves for 2017 and 2016:</w:t>
      </w:r>
    </w:p>
    <w:p>
      <w:pPr>
        <w:spacing w:after="0" w:line="200" w:lineRule="exact"/>
        <w:rPr>
          <w:sz w:val="20"/>
          <w:szCs w:val="20"/>
          <w:color w:val="auto"/>
        </w:rPr>
      </w:pPr>
    </w:p>
    <w:p>
      <w:pPr>
        <w:spacing w:after="0" w:line="381"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Proved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Probable</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6"/>
              </w:rPr>
              <w:t>Possible</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64"/>
        </w:trPr>
        <w:tc>
          <w:tcPr>
            <w:tcW w:w="2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MMBOE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c>
          <w:tcPr>
            <w:tcW w:w="8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700" w:type="dxa"/>
            <w:vAlign w:val="bottom"/>
          </w:tcPr>
          <w:p>
            <w:pPr>
              <w:ind w:left="160"/>
              <w:spacing w:after="0"/>
              <w:rPr>
                <w:sz w:val="20"/>
                <w:szCs w:val="20"/>
                <w:color w:val="auto"/>
              </w:rPr>
            </w:pPr>
            <w:r>
              <w:rPr>
                <w:rFonts w:ascii="Arial" w:cs="Arial" w:eastAsia="Arial" w:hAnsi="Arial"/>
                <w:sz w:val="18"/>
                <w:szCs w:val="18"/>
                <w:color w:val="auto"/>
              </w:rPr>
              <w:t>% Developed</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19%</w:t>
            </w: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Liquids %</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160"/>
              <w:spacing w:after="0"/>
              <w:rPr>
                <w:sz w:val="20"/>
                <w:szCs w:val="20"/>
                <w:color w:val="auto"/>
              </w:rPr>
            </w:pPr>
            <w:r>
              <w:rPr>
                <w:rFonts w:ascii="Arial" w:cs="Arial" w:eastAsia="Arial" w:hAnsi="Arial"/>
                <w:sz w:val="18"/>
                <w:szCs w:val="18"/>
                <w:color w:val="auto"/>
              </w:rPr>
              <w:t>Standardized Measure ($MM)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PV-10* ($MM)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2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41" w:lineRule="exact"/>
        <w:rPr>
          <w:sz w:val="20"/>
          <w:szCs w:val="20"/>
          <w:color w:val="auto"/>
        </w:rPr>
      </w:pPr>
    </w:p>
    <w:p>
      <w:pPr>
        <w:ind w:left="660" w:right="80" w:hanging="328"/>
        <w:spacing w:after="0" w:line="28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PV-10 of Proved reserves is a pre-tax non-GAAP measure. We have included a reconciliation of PV-10 to the unaudited after-tax Standardized Measure of Discounted Future Net Cash Flows ("Standardized Measure"), which is the most directly comparable financial measure calculated in accordance with GAAP, in </w:t>
      </w:r>
      <w:r>
        <w:rPr>
          <w:rFonts w:ascii="Arial" w:cs="Arial" w:eastAsia="Arial" w:hAnsi="Arial"/>
          <w:sz w:val="16"/>
          <w:szCs w:val="16"/>
          <w:i w:val="1"/>
          <w:iCs w:val="1"/>
          <w:color w:val="auto"/>
        </w:rPr>
        <w:t>Item 2. "Properties."</w:t>
      </w:r>
      <w:r>
        <w:rPr>
          <w:rFonts w:ascii="Arial" w:cs="Arial" w:eastAsia="Arial" w:hAnsi="Arial"/>
          <w:sz w:val="16"/>
          <w:szCs w:val="16"/>
          <w:color w:val="auto"/>
        </w:rPr>
        <w:t xml:space="preserve"> We believe that the presentation of the non-GAAP financial measure of PV-10 provides useful and relevant information to investors because of its wide use by analysts and investors in evaluating the relative monetary significance of oil and natural gas properties, and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in </w:t>
      </w:r>
      <w:r>
        <w:rPr>
          <w:rFonts w:ascii="Arial" w:cs="Arial" w:eastAsia="Arial" w:hAnsi="Arial"/>
          <w:sz w:val="16"/>
          <w:szCs w:val="16"/>
          <w:i w:val="1"/>
          <w:iCs w:val="1"/>
          <w:color w:val="auto"/>
        </w:rPr>
        <w:t>Item 2. Properties</w:t>
      </w:r>
      <w:r>
        <w:rPr>
          <w:rFonts w:ascii="Arial" w:cs="Arial" w:eastAsia="Arial" w:hAnsi="Arial"/>
          <w:sz w:val="16"/>
          <w:szCs w:val="16"/>
          <w:color w:val="auto"/>
        </w:rPr>
        <w:t>. Probable and possible reserves are not recognized as GAAP, nor is there a comparable GAAP measure.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Projects</w:t>
      </w:r>
    </w:p>
    <w:p>
      <w:pPr>
        <w:spacing w:after="0" w:line="2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Additional property and project information is included under </w:t>
      </w:r>
      <w:r>
        <w:rPr>
          <w:rFonts w:ascii="Arial" w:cs="Arial" w:eastAsia="Arial" w:hAnsi="Arial"/>
          <w:sz w:val="18"/>
          <w:szCs w:val="18"/>
          <w:i w:val="1"/>
          <w:iCs w:val="1"/>
          <w:color w:val="auto"/>
        </w:rPr>
        <w:t>Item 1. Business, Item 2. Properties, Item 8. Financial Statements - Notes to the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Exhibit 99.1 </w:t>
      </w:r>
      <w:r>
        <w:rPr>
          <w:rFonts w:ascii="Arial" w:cs="Arial" w:eastAsia="Arial" w:hAnsi="Arial"/>
          <w:sz w:val="18"/>
          <w:szCs w:val="18"/>
          <w:color w:val="auto"/>
        </w:rPr>
        <w:t>of this Form 10-K.</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Delhi Field EOR—Northeast Louisiana</w:t>
      </w:r>
    </w:p>
    <w:p>
      <w:pPr>
        <w:spacing w:after="0" w:line="28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Proved reserves volumes totaled 10.1 MMBOE with a Standardized Measure of $83 million and a PV-10* value of $111 million compared to the prior year's 10.8 MMBOE with a Standardized Measure of $78 million and a PV-10* value of $101 million. Our reserves quantities in the Delhi field were generally consistent with expectations year over year. Oil production in the field exceeded expectations in the fiscal year, and this led to a 0.5 MMBO (6%) positive revision in proved oil reserves. Results from the NGL plant were below our original expectations, and this resulted in a 0.5 MMBO (22%) negative revision to NGL reserves. Combined, these revisions had virtually no effect on equivalent reserves volumes. However with oil prices more than twice the level of NGL prices, the overall impact on value was positive.</w:t>
      </w:r>
    </w:p>
    <w:p>
      <w:pPr>
        <w:sectPr>
          <w:pgSz w:w="11900" w:h="16838" w:orient="portrait"/>
          <w:cols w:equalWidth="0" w:num="1">
            <w:col w:w="11400"/>
          </w:cols>
          <w:pgMar w:left="240" w:top="125" w:right="25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Probable reserve volumes at Delhi were 5.3 MMBOE, an increase of 18% compared to 4.5 MMBOE in the prior year. Possible reserves volumes at Delhi were 3.2 MMBOE, an increase of 19% compared to 2.7 MMBOE in the prior year. Both of these reserve estimates were increased based on positive production performance in the field and its expected positive impact on ultimate reserve recoveries.</w:t>
      </w:r>
    </w:p>
    <w:p>
      <w:pPr>
        <w:spacing w:after="0" w:line="23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Gross production at Delhi in the fourth quarter of fiscal 2017 was 8,559 BOEPD, essentially flat compared to 8,616 BOEPD in the third fiscal quarter. Oil production was 7,540 barrels of oil per day (“BOPD”), down 3% from the third fiscal quarter’s 7,786 BOPD. NGL production in the fourth quarter was 1,019 BOEPD, up 23% from the prior quarter of 830 BOEPD. Oil production was impacted in the fourth quarter due to a weather related power outage, compressor downtime and a planned facility shut down for maintenance.</w:t>
      </w:r>
    </w:p>
    <w:p>
      <w:pPr>
        <w:spacing w:after="0" w:line="106"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During the past two years, we have participated in multiple conformance and re-entry projects, as well as workovers to convert idle wells into producers, that were primarily responsible for the increased production rates. We are continuing to evaluate similar projects within the field in order to optimize production and increase ultimate reserve recoveries.</w:t>
      </w:r>
    </w:p>
    <w:p>
      <w:pPr>
        <w:spacing w:after="0" w:line="10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cost of purchased CO</w:t>
      </w:r>
      <w:r>
        <w:rPr>
          <w:rFonts w:ascii="Arial" w:cs="Arial" w:eastAsia="Arial" w:hAnsi="Arial"/>
          <w:sz w:val="11"/>
          <w:szCs w:val="11"/>
          <w:color w:val="auto"/>
        </w:rPr>
        <w:t>2</w:t>
      </w:r>
      <w:r>
        <w:rPr>
          <w:rFonts w:ascii="Arial" w:cs="Arial" w:eastAsia="Arial" w:hAnsi="Arial"/>
          <w:sz w:val="16"/>
          <w:szCs w:val="16"/>
          <w:color w:val="auto"/>
        </w:rPr>
        <w:t xml:space="preserve"> in the Delhi field, the largest single component of operating costs, is directly tied to the price of oil sold from the field. Therefore this major operating cost has dropped commensurate with the price of crude. Also, we have been successful in realizing a sustained reduction in aggregate CO</w:t>
      </w:r>
      <w:r>
        <w:rPr>
          <w:rFonts w:ascii="Arial" w:cs="Arial" w:eastAsia="Arial" w:hAnsi="Arial"/>
          <w:sz w:val="11"/>
          <w:szCs w:val="11"/>
          <w:color w:val="auto"/>
        </w:rPr>
        <w:t>2</w:t>
      </w:r>
      <w:r>
        <w:rPr>
          <w:rFonts w:ascii="Arial" w:cs="Arial" w:eastAsia="Arial" w:hAnsi="Arial"/>
          <w:sz w:val="16"/>
          <w:szCs w:val="16"/>
          <w:color w:val="auto"/>
        </w:rPr>
        <w:t xml:space="preserve"> injection rates without impacting oil production rates. Gross CO</w:t>
      </w:r>
      <w:r>
        <w:rPr>
          <w:rFonts w:ascii="Arial" w:cs="Arial" w:eastAsia="Arial" w:hAnsi="Arial"/>
          <w:sz w:val="11"/>
          <w:szCs w:val="11"/>
          <w:color w:val="auto"/>
        </w:rPr>
        <w:t>2</w:t>
      </w:r>
      <w:r>
        <w:rPr>
          <w:rFonts w:ascii="Arial" w:cs="Arial" w:eastAsia="Arial" w:hAnsi="Arial"/>
          <w:sz w:val="16"/>
          <w:szCs w:val="16"/>
          <w:color w:val="auto"/>
        </w:rPr>
        <w:t xml:space="preserve"> injection rates for the year ended June 30, 2017 averaged 73.1 MMcf per day, a decline of 1% compared to the 73.8 MMcf per day during fiscal 2016. We have experienced increases to total lease operating expenses in the second half of fiscal 2017, primarily due to new costs associated with the NGL plant and prolonged issues with optimizing throughput and plant operations. We have also recently increased purchased CO</w:t>
      </w:r>
      <w:r>
        <w:rPr>
          <w:rFonts w:ascii="Arial" w:cs="Arial" w:eastAsia="Arial" w:hAnsi="Arial"/>
          <w:sz w:val="11"/>
          <w:szCs w:val="11"/>
          <w:color w:val="auto"/>
        </w:rPr>
        <w:t>2</w:t>
      </w:r>
      <w:r>
        <w:rPr>
          <w:rFonts w:ascii="Arial" w:cs="Arial" w:eastAsia="Arial" w:hAnsi="Arial"/>
          <w:sz w:val="16"/>
          <w:szCs w:val="16"/>
          <w:color w:val="auto"/>
        </w:rPr>
        <w:t xml:space="preserve"> injections, which has resulted in higher costs. Our overall lifting costs for the year were $14.10 per BOE, up slightly from $13.76 per BOE in the prior year. This remains a healthy field margin despite the prolonged low oil price environment.</w:t>
      </w:r>
    </w:p>
    <w:p>
      <w:pPr>
        <w:spacing w:after="0" w:line="2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Following the December 31, 2016 startup of the NGL plant, NGL sales commenced in mid-January 2017 and have been continuous ever since. In the fiscal year, we recorded over $0.9 million of NGL revenues. Our gross NGL production was 459 BOEPD and was sold at an average price of $21.28 per barrel. Production from the NGL plant is transported by truck to a fractionation plant in East Texas. Under the marketing contract, we receive market index pricing for each NGL component, based on the processed yield, less transportation and fractionation (or processing) fees. There may also be a quality deduction for NGL's that do not meet the purchaser's specifications. The current mix of products contains a large percentage (approximately 68%) of higher value NGL's, such as pentanes and butane, and almost no lower value ethane. Market pricing for NGL's during the winter period was seasonally high, but our price was affected by quality deductions on much of the NGL's produced during the fiscal year.</w:t>
      </w:r>
    </w:p>
    <w:p>
      <w:pPr>
        <w:spacing w:after="0" w:line="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NGL plant includes an electric turbine to convert methane and part of the ethane processed by the plant to electricity. This turbine is generating power for the NGL plant and is expected to supply excess power to the CO</w:t>
      </w:r>
      <w:r>
        <w:rPr>
          <w:rFonts w:ascii="Arial" w:cs="Arial" w:eastAsia="Arial" w:hAnsi="Arial"/>
          <w:sz w:val="11"/>
          <w:szCs w:val="11"/>
          <w:color w:val="auto"/>
        </w:rPr>
        <w:t>2</w:t>
      </w:r>
      <w:r>
        <w:rPr>
          <w:rFonts w:ascii="Arial" w:cs="Arial" w:eastAsia="Arial" w:hAnsi="Arial"/>
          <w:sz w:val="16"/>
          <w:szCs w:val="16"/>
          <w:color w:val="auto"/>
        </w:rPr>
        <w:t xml:space="preserve"> recycle facility, which we expect to lower our overall power costs in the Delhi field. During the initial two quarters of production, with the NGL plant operating at approximately 70-75% of capacity, we have not seen measurable savings in power costs. The NGL plant is accomplishing its primary objective of removing the lighter hydrocarbons (i.e. methane and ethane), thereby increasing the purity of the CO</w:t>
      </w:r>
      <w:r>
        <w:rPr>
          <w:rFonts w:ascii="Arial" w:cs="Arial" w:eastAsia="Arial" w:hAnsi="Arial"/>
          <w:sz w:val="11"/>
          <w:szCs w:val="11"/>
          <w:color w:val="auto"/>
        </w:rPr>
        <w:t>2</w:t>
      </w:r>
      <w:r>
        <w:rPr>
          <w:rFonts w:ascii="Arial" w:cs="Arial" w:eastAsia="Arial" w:hAnsi="Arial"/>
          <w:sz w:val="16"/>
          <w:szCs w:val="16"/>
          <w:color w:val="auto"/>
        </w:rPr>
        <w:t xml:space="preserve"> recycle stream and improving the efficiency of the flood. Over time, it is expected to increase the recovery of crude oil in the field. The plant is also providing feedstock to power the electric turbine and producing significant quantities of higher value NGL's for sale.</w:t>
      </w:r>
    </w:p>
    <w:p>
      <w:pPr>
        <w:spacing w:after="0" w:line="8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Remaining estimated capital expenditures for our proved undeveloped reserves amount to $6.71 per BOE for the infill drilling project and Phase V. No remaining capital expenditures are required to develop our probable or possible reserves as these reserves reflect incremental quantities associated with a greater percentage recovery of hydrocarbons in place than the recovery quantities assumed for proved reserves. Looking forward, the timing of plans for continued development of the eastern part of the Delhi field is dependent on the operator’s plans for capital allocation within their portfolio. We continue to believe that this high quality and economically viable project will be executed as planned, subject to oil price volatility.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had $23.0 million and $34.1 million in cash and cash equivalents at June 30, 2017 and June 30, 2016, respectively. In addition, we had $10 million of availability under our senior secured reserve-based credit facility on both dates. During the year ended June 30, 2017, we funded our operations and capital spending with cash generated from operations and cash on hand. As of June 30, 2017, our working capital was $23.4 million, compared to working capital of $28.6 million at June 30, 2016. The $5.2 million working capital decrease is primarily due to a $11.0 million decrease in cash, partly offset by a $0.1 million increase in prepaid expenses together with declines of $3.7 million and $1.5 million in accounts payable and accrued liabilities, respectively.</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On April 11, 2016, the Company entered into a three-year, senior secured reserve-based credit facility (the "Facility") with MidFirst Bank. The Facility provides a senior secured revolving credit facility with an elected borrowing base of $10 million (the “Borrowing Base”) and a maximum borrowing amount of $50 million. The Facility matures on April 11, 2019, and is secured by substantially all of the Company’s assets.</w:t>
      </w:r>
    </w:p>
    <w:p>
      <w:pPr>
        <w:spacing w:after="0" w:line="2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 Borrowing Base is subject to periodic redeterminations and further adjustments from time to time. The Borrowing Base will be redetermined semi-annually on May 15 and November 15 of each year. The Borrowing Base will also be reduced in certain circumstances such as the sale or disposition of certain oil and gas properties of the Company or its subsidiaries and changes to certain hedging positions. With volatility in commodity prices, our borrowing base and related commitments under the Facility could be reduced in the future. The Facility bears interest, at the Company's option, at either LIBOR plus</w:t>
      </w:r>
    </w:p>
    <w:p>
      <w:pPr>
        <w:spacing w:after="0" w:line="2"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2.75% or the Prime Rate, as defined, plus 1.0%. In November 2016 and May 2017, as part of our semiannual borrowing base redeterminations, the lender's commitment, based on our requests, was reaffirmed at $10 million, with our next borrowing base redetermination scheduled for November 2017.</w:t>
      </w:r>
    </w:p>
    <w:p>
      <w:pPr>
        <w:spacing w:after="0" w:line="19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Facility contains certain covenants, which, among other things, require the maintenance of (i) a total leverage ratio of not more than 3.0 to 1.0, (ii) a debt service coverage ratio of not less than 1.1 to 1.0 and (iii) a consolidated tangible net worth of not less than $40 million, each as defined in the Facility. The Facility also contains other affirmative and negative covenants and events of default. As of June 30, 2017, the Company was in compliance with all covenants contained in the Facility, and no amounts were outstanding under the Facility.</w:t>
      </w:r>
    </w:p>
    <w:p>
      <w:pPr>
        <w:spacing w:after="0" w:line="24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We have historically funded our operations through cash available from operations and working capital. Our primary source of cash in fiscal 2017 were funds generated from the sale of oil and natural gas liquids production. A portion of these cash flows were used to fund our capital expenditures. While we expect to continue to expend capital to further develop the Delhi field, we and the operator have flexibility as to when this capital is spent. Certain projects were recently electively delayed by the operator based on their funds available for capital spending in the current oil price environment. The Company expects to manage future development activities in the Delhi field within the boundaries of its operating cash flow and existing working capital.</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 ended June 30, 2017, cash flows provided by operating activities were $16.5 million, reflecting $19.0 million provided by operations before $2.5 million used by other working capital changes. Of the $19.0 million provided before working capital changes, approximately $8.0 million resulted from net income and $10.9 million was attributable to non-cash expenses and gains.</w:t>
      </w:r>
    </w:p>
    <w:p>
      <w:pPr>
        <w:spacing w:after="0" w:line="23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the year ended June 30, 2016, cash flows provided by operating activities were $30.7 million, reflecting $28.9 million provided by operations before $1.8 million provided by other working capital changes. Of the $28.9 million provided before working capital changes, approximately $24.7 million resulted from net income and $4.2 million was attributable to non-cash expenses and gains.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 ended June 30, 2015, cash flows provided by operating activities were $10.4 million, reflecting $10.9 million provided by operations before $0.5 million used by other working capital changes. Of the $10.9 million provided before working capital changes, approximately $5.0 million resulted from net income and $5.9 million was attributable to non-cash expenses and gains.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year ended June 30, 2017, investing activities used $10.5 million of cash, consisting primarily of cash capital expenditures of approximately $10.2 million for Delhi field, partially offset by $0.3 million of derivative settlements paid.</w:t>
      </w:r>
    </w:p>
    <w:p>
      <w:pPr>
        <w:spacing w:after="0" w:line="2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For the year ended June 30, 2016, investing activities used $17.6 million of cash, consisting primarily of cash capital expenditures of approximately $21.1 million for the Delhi field, partially offset by $3.6 million of derivative settlement payments received.</w:t>
      </w:r>
    </w:p>
    <w:p>
      <w:pPr>
        <w:spacing w:after="0" w:line="224" w:lineRule="exact"/>
        <w:rPr>
          <w:sz w:val="20"/>
          <w:szCs w:val="20"/>
          <w:color w:val="auto"/>
        </w:rPr>
      </w:pPr>
    </w:p>
    <w:p>
      <w:pPr>
        <w:ind w:right="60" w:firstLine="432"/>
        <w:spacing w:after="0" w:line="238" w:lineRule="auto"/>
        <w:rPr>
          <w:sz w:val="20"/>
          <w:szCs w:val="20"/>
          <w:color w:val="auto"/>
        </w:rPr>
      </w:pPr>
      <w:r>
        <w:rPr>
          <w:rFonts w:ascii="Arial" w:cs="Arial" w:eastAsia="Arial" w:hAnsi="Arial"/>
          <w:sz w:val="17"/>
          <w:szCs w:val="17"/>
          <w:color w:val="auto"/>
        </w:rPr>
        <w:t>For the year ended June 30, 2015, investing activities used $5.0 million of cash, consisting primarily of cash capital expenditures of approximately $4.9 million for Delhi field, $0.3 million for artificial lift technology together with $0.2 million of other assets comprised primarily of GARP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patent costs, partially offset by $0.4 million of proceeds received from the sale of properties in the Mississippi Lime project in October 2014.</w:t>
      </w:r>
    </w:p>
    <w:p>
      <w:pPr>
        <w:spacing w:after="0" w:line="25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Oil and gas capital expenditures incurred, which includes accrued and other noncash expenditures, were $7.6 million, $19.7 million, and $11.2 million, respectively, for the years ended June 30, 2017, 2016, and 2015. These amounts can be reconciled to cash capital expenditures on their respective cash flow statements by adjusting them for related non-cash items presented at Note 12 - Supplemental Disclosure of Cash Flow Information.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jc w:val="both"/>
        <w:ind w:right="440" w:firstLine="351"/>
        <w:spacing w:after="0" w:line="264" w:lineRule="auto"/>
        <w:rPr>
          <w:sz w:val="20"/>
          <w:szCs w:val="20"/>
          <w:color w:val="auto"/>
        </w:rPr>
      </w:pPr>
      <w:r>
        <w:rPr>
          <w:rFonts w:ascii="Arial" w:cs="Arial" w:eastAsia="Arial" w:hAnsi="Arial"/>
          <w:sz w:val="18"/>
          <w:szCs w:val="18"/>
          <w:color w:val="auto"/>
        </w:rPr>
        <w:t>For the year ended June 30, 2017, financing activities used $17.1 million of cash, comprised of $8.4 million of common stock cash dividends, $0.3 million of preferred dividends, $7.9 million for redemption of preferred stock in November 2016 and $0.5 million of treasury stock acquired through the surrender of shares in satisfaction of payroll liabilities related to vestings of stock-based compensation.</w:t>
      </w:r>
    </w:p>
    <w:p>
      <w:pPr>
        <w:spacing w:after="0" w:line="2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the year ended June 30, 2016, financing activities provided $0.9 million of cash from $9.6 million of tax benefits related to stock-based compensation partially offset by $7.2 million of dividend payments to common and preferred shareholders and $1.4 million of treasury stock acquisitions primarily attributable to the Company's share buyback program. The tax benefits included a $1.5 million cash refund received from the State of Louisiana for carryback of stock-based compensation deductions to previously filed returns.</w:t>
      </w:r>
    </w:p>
    <w:p>
      <w:pPr>
        <w:spacing w:after="0" w:line="24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During the year ended June 30, 2015, we used $9.2 million in cash for financing activities, comprised of $9.8 million of common stock dividend payments, $0.7 million of preferred stock dividends and $0.3 million of treasury stock acquired through the surrender of shares by certain officers and employees in satisfaction of payroll liabilities related to stock-based compensation and open market purchases under our stock repurchase program, partially offset by cash inflows of $1.6 million from a tax benefit related to stock-based compensation and $0.1 million from stock option exercises.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Budget</w:t>
      </w:r>
    </w:p>
    <w:p>
      <w:pPr>
        <w:spacing w:after="0" w:line="2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fiscal 2017, our net share of capital expenditures was approximately $7.6 million, of which $4.8 million was related to the NGL plant, with the balance for conformance projects, capital maintenance and repairs and drilling a new water injection well.</w:t>
      </w:r>
    </w:p>
    <w:p>
      <w:pPr>
        <w:spacing w:after="0" w:line="22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An infill drilling program is planned for the second half of fiscal 2018 with an estimated net cost of $3.2 million. This program will consist of three new CO</w:t>
      </w:r>
      <w:r>
        <w:rPr>
          <w:rFonts w:ascii="Arial" w:cs="Arial" w:eastAsia="Arial" w:hAnsi="Arial"/>
          <w:sz w:val="11"/>
          <w:szCs w:val="11"/>
          <w:color w:val="auto"/>
        </w:rPr>
        <w:t>2</w:t>
      </w:r>
      <w:r>
        <w:rPr>
          <w:rFonts w:ascii="Arial" w:cs="Arial" w:eastAsia="Arial" w:hAnsi="Arial"/>
          <w:sz w:val="17"/>
          <w:szCs w:val="17"/>
          <w:color w:val="auto"/>
        </w:rPr>
        <w:t xml:space="preserve"> injection wells and five new production wells and will target productive oil zones which we believe are not being swept effectively by the current CO</w:t>
      </w:r>
      <w:r>
        <w:rPr>
          <w:rFonts w:ascii="Arial" w:cs="Arial" w:eastAsia="Arial" w:hAnsi="Arial"/>
          <w:sz w:val="11"/>
          <w:szCs w:val="11"/>
          <w:color w:val="auto"/>
        </w:rPr>
        <w:t>2</w:t>
      </w:r>
      <w:r>
        <w:rPr>
          <w:rFonts w:ascii="Arial" w:cs="Arial" w:eastAsia="Arial" w:hAnsi="Arial"/>
          <w:sz w:val="17"/>
          <w:szCs w:val="17"/>
          <w:color w:val="auto"/>
        </w:rPr>
        <w:t xml:space="preserve"> flood. This infill program is expected to both add production and increase ultimate recoveries above the current proved oil reserves.</w:t>
      </w:r>
    </w:p>
    <w:p>
      <w:pPr>
        <w:spacing w:after="0" w:line="22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have identified and approved additional net capital expenditures over the next fiscal year totaling $2.8 million for water injection and other infrastructure projects in preparation for the Phase V pattern development. In addition, there will continue to be conformance workover projects and maintenance capital expenditures that cannot be estimated accurately at this time. The amount of these projects is not expected to be material to our financial position.</w:t>
      </w:r>
    </w:p>
    <w:p>
      <w:pPr>
        <w:spacing w:after="0" w:line="241"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With the NGL plant completed, there are two remaining capital project phases planned to exploit the eastern part of the Delhi field. The first phase of this project, Phase V, was underway in the fall of 2014, immediately after reversion of our working interest. However, based on the decline in oil prices, the operator significantly reduced its capital budget and suspended work on this phase. The resumption of this project is dependent on prevailing oil prices, the availability of capital for such projects and the relative economics of this project versus other projects in the operator's portfolio. We believe this Phase V project, which has an estimated cost of $10.9 million net to our working interest, has favorable economics, even in this lower price environment, and, based on discussions with the operator, expect the related expansion of the CO</w:t>
      </w:r>
      <w:r>
        <w:rPr>
          <w:rFonts w:ascii="Arial" w:cs="Arial" w:eastAsia="Arial" w:hAnsi="Arial"/>
          <w:sz w:val="12"/>
          <w:szCs w:val="12"/>
          <w:color w:val="auto"/>
        </w:rPr>
        <w:t>2</w:t>
      </w:r>
      <w:r>
        <w:rPr>
          <w:rFonts w:ascii="Arial" w:cs="Arial" w:eastAsia="Arial" w:hAnsi="Arial"/>
          <w:sz w:val="18"/>
          <w:szCs w:val="18"/>
          <w:color w:val="auto"/>
        </w:rPr>
        <w:t xml:space="preserve"> flood to resume in fiscal 2019. The last phase of the project, Phase VI, has less favorable economics and will require a significant increase in oil prices or other improvements to the economics of the project before it is expected to move forward.</w:t>
      </w:r>
    </w:p>
    <w:p>
      <w:pPr>
        <w:spacing w:after="0" w:line="246"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Funding for our anticipated capital expenditures at Delhi over the next fiscal year is expected to be met from cash flows from operations and current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27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current liquidity position is very strong, with $23.4 million of working capital, which is significantly in excess of our expected capital needs. We also expect positive cash flow in the future. Our future liquidity is dependent on the realized prices we receive for the oil and natural gas liquids we produce. Commodity prices are market driven and historically volatile, and they are likely to continue to be volatile. In June 2015, the Company began using derivative instruments to reduce its exposure to short term oil price volatility with the goal of achieving a more predictable level of cash flows to support the Company’s capital expenditure and dividend programs. From time to time, the Company has used both fixed price swap agreements and costless collars to manage its exposure to crude oil price risk. We have no derivative commitments at June 30, 2017. While the use of derivative instruments limits the downside risk of adverse price movements, they may also limit future revenues from favorable price movements. Our future revenues, cash flow, profitability, access to capital and future rate of growth will be significantly impacted by the prices we receive for our production.</w:t>
      </w:r>
    </w:p>
    <w:p>
      <w:pPr>
        <w:spacing w:after="0" w:line="23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Funding for our anticipated capital expenditures over the next two fiscal years is expected to be met from cash flows from operations and current working capital. Our preference is to remain debt free under our current operating plans, but we have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access to at least $10 million of availability under a senior secured credit facility if required. In addition we have a maximum of $500 million authorized under an effective shelf registration statement with Securities and Exchange Commission under which we may sell securities from time to time in one or more offerings. We may choose to evaluate and pursue new growth opportunities through acquisitions or other transactions. In that event, we would expect to use our internal resources of cash, working capital and borrowing capacity under our credit facility. It may also be advantageous for us to consider issuing additional equity as part of any potential transaction, but we have no specific plans to do so at this time.</w:t>
      </w:r>
    </w:p>
    <w:p>
      <w:pPr>
        <w:spacing w:after="0" w:line="9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Board of Directors instituted a cash dividend on our common stock in December 2013 and we have since paid fifteen consecutive quarterly dividends. Distribution of free cash flow in excess of our operating and capital requirements through cash dividends and potential repurchases of our common stock remains a priority of our financial strategy, and it is our long term goal to increase our dividends over time as appropriate. With construction of the NGL plant completed during fiscal 2017, we announced an increase in the common stock cash dividend to $0.065 per share, effective with the dividend payment in December 2016. Following the redemption of our preferred stock and the end of its dividend requirement, we announced a further increase in the common stock dividend to $0.07 per share, effective with the dividend payment in March 2017. In August 2017, the Company announced a further increase in the common stock cash dividend to $0.075 per share, effective with the dividend payment in September 2017. The Board of Directors reviews the quarterly dividend rate in light of current financial results and operations, forecasted financial results, the timing of further expansion of Delhi development and the outlook for crude oil prices.</w:t>
      </w:r>
    </w:p>
    <w:p>
      <w:pPr>
        <w:spacing w:after="0" w:line="197"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In May 2015, we established a stock repurchase plan to allow us to acquire up to $5.0 million of our common stock over time. We have repurchased $1.6 million of common stock under the plan, but made no repurchases during fiscal 2017. The timing and amount of repurchases will depend upon several factors, including financial resources and market conditions. In general, our share repurchase program is limited to discretionary funds and is of lesser importance than our primary objectives related to our development capital spending at Delhi and our common stock dividend program. There is no fixed termination date for the repurchase program, and the repurchase program may be suspended or discontinued at any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discussed in Note 2 "Summary of Significant Accounting Policies," the Company early adopted two new accounting pronouncements, effective for the three months ended September 30, 2016, the first quarter of fiscal year 2017.</w:t>
      </w:r>
    </w:p>
    <w:p>
      <w:pPr>
        <w:spacing w:after="0" w:line="224"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ASU 2016-09, Compensation - Stock Compensation: Improvements to Employee Share-Based Payment Accounting. Under previous guidance excess tax benefits were recognized as paid in capital to the extent they reduced cash taxes otherwise payable, and tax deficiencies were recognized as an offset to accumulated excess benefits, if any, or in the statement of operations. The new guidance requires companies to record excess tax benefits and tax deficiencies as income tax benefit or expense in the statements of operations when the awards vest or are settled. Under the required modified retrospective transition, the Company had no cumulative-effect adjustment to retained earnings at the beginning of the period of adoption, as its accumulated excess tax benefits had been completely used in reducing taxable income for the year ended June 30, 2016. The Company elected to prospectively adopt the presentation of excess tax benefits in the operating section of the statements of cash flows. Accordingly, such statements for pre-adoption periods will continue to present excess tax benefits in the financing section. For vestings that occurred in the year ended June 30, 2017, a related tax deficiency of $27,884 was included in the operating section of the statement of cash flows as income tax expense and for the year ended June 30, 2016, $9.7 million of cash provided by tax benefits related to stock-based compensation was included in the financing section of statement of cash flow. Except for the accounting for income taxes discussed above, none of the other provisions in this amended guidance had a material impact on our condensed consolidated financial statements.</w:t>
      </w:r>
    </w:p>
    <w:p>
      <w:pPr>
        <w:spacing w:after="0" w:line="92"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 xml:space="preserve">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The update requires that deferred tax liabilities and assets be classified as noncurrent in a classified statement of financial position. As a result, current deferred tax assets have been netted together with noncurrent deferred income tax liabilities on the June 30, 2017 consolidated balance sheet. The prior years presented were not retroactively adjusted.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with respect to our oil and natural gas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09"/>
        </w:trPr>
        <w:tc>
          <w:tcPr>
            <w:tcW w:w="63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Oil and gas production: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Crude oil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33,550,698</w:t>
            </w:r>
          </w:p>
        </w:tc>
        <w:tc>
          <w:tcPr>
            <w:tcW w:w="36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26,130,762</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27,761,291</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NGL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934,202</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37,227</w:t>
            </w: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Natural gas revenues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2,895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26,601</w:t>
            </w: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34,484,896</w:t>
            </w:r>
          </w:p>
        </w:tc>
        <w:tc>
          <w:tcPr>
            <w:tcW w:w="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26,141,542</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27,825,119</w:t>
            </w:r>
          </w:p>
        </w:tc>
      </w:tr>
      <w:tr>
        <w:trPr>
          <w:trHeight w:val="270"/>
        </w:trPr>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Crude oil volumes (Bbl)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724,523</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658,041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450,713</w:t>
            </w: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NGL volumes (Bbl)</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43,907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1,358</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Natural gas volumes (Mcf)</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7,981</w:t>
            </w:r>
          </w:p>
        </w:tc>
      </w:tr>
      <w:tr>
        <w:trPr>
          <w:trHeight w:val="21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Equivalent volumes (BOE)</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768,433</w:t>
            </w: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658,802</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453,401</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6300" w:type="dxa"/>
            <w:vAlign w:val="bottom"/>
            <w:gridSpan w:val="3"/>
          </w:tcPr>
          <w:p>
            <w:pPr>
              <w:ind w:left="80"/>
              <w:spacing w:after="0"/>
              <w:rPr>
                <w:sz w:val="20"/>
                <w:szCs w:val="20"/>
                <w:color w:val="auto"/>
              </w:rPr>
            </w:pPr>
            <w:r>
              <w:rPr>
                <w:rFonts w:ascii="Arial" w:cs="Arial" w:eastAsia="Arial" w:hAnsi="Arial"/>
                <w:sz w:val="16"/>
                <w:szCs w:val="16"/>
                <w:color w:val="auto"/>
              </w:rPr>
              <w:t>Crude oil (BOPD, net)</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1,985</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1,798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NGLs (BOEPD,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40" w:type="dxa"/>
            <w:vAlign w:val="bottom"/>
          </w:tcPr>
          <w:p>
            <w:pPr>
              <w:spacing w:after="0"/>
              <w:rPr>
                <w:sz w:val="20"/>
                <w:szCs w:val="20"/>
                <w:color w:val="auto"/>
              </w:rPr>
            </w:pPr>
          </w:p>
        </w:tc>
        <w:tc>
          <w:tcPr>
            <w:tcW w:w="6300" w:type="dxa"/>
            <w:vAlign w:val="bottom"/>
            <w:gridSpan w:val="3"/>
          </w:tcPr>
          <w:p>
            <w:pPr>
              <w:ind w:left="80"/>
              <w:spacing w:after="0"/>
              <w:rPr>
                <w:sz w:val="20"/>
                <w:szCs w:val="20"/>
                <w:color w:val="auto"/>
              </w:rPr>
            </w:pPr>
            <w:r>
              <w:rPr>
                <w:rFonts w:ascii="Arial" w:cs="Arial" w:eastAsia="Arial" w:hAnsi="Arial"/>
                <w:sz w:val="16"/>
                <w:szCs w:val="16"/>
                <w:color w:val="auto"/>
              </w:rPr>
              <w:t>Natural gas (BOEPD, net)</w:t>
            </w:r>
          </w:p>
        </w:tc>
        <w:tc>
          <w:tcPr>
            <w:tcW w:w="3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Equivalent volumes (BOEPD, net)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2,105</w:t>
            </w:r>
          </w:p>
        </w:tc>
        <w:tc>
          <w:tcPr>
            <w:tcW w:w="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r>
      <w:tr>
        <w:trPr>
          <w:trHeight w:val="29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Crude oil price per Bbl</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46.31</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61.59</w:t>
            </w: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NGL price per Bbl</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21.28</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27.41</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Natural gas price per Mcf</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1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Equivalent price per BOE</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44.88</w:t>
            </w:r>
          </w:p>
        </w:tc>
        <w:tc>
          <w:tcPr>
            <w:tcW w:w="3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39.68</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61.37</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70"/>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costs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4,477,866</w:t>
            </w:r>
          </w:p>
        </w:tc>
        <w:tc>
          <w:tcPr>
            <w:tcW w:w="36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4,090,938</w:t>
            </w:r>
          </w:p>
        </w:tc>
        <w:tc>
          <w:tcPr>
            <w:tcW w:w="2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5,050,506</w:t>
            </w:r>
          </w:p>
        </w:tc>
      </w:tr>
      <w:tr>
        <w:trPr>
          <w:trHeight w:val="27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All other lease operating expenses (a)</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6,357,943</w:t>
            </w:r>
          </w:p>
        </w:tc>
        <w:tc>
          <w:tcPr>
            <w:tcW w:w="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4,971,241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4,284,738</w:t>
            </w:r>
          </w:p>
        </w:tc>
      </w:tr>
      <w:tr>
        <w:trPr>
          <w:trHeight w:val="21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Production costs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10,835,809</w:t>
            </w:r>
          </w:p>
        </w:tc>
        <w:tc>
          <w:tcPr>
            <w:tcW w:w="360" w:type="dxa"/>
            <w:vAlign w:val="bottom"/>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9,062,179</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9,335,244</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Production costs per BOE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20.59</w:t>
            </w:r>
          </w:p>
        </w:tc>
      </w:tr>
      <w:tr>
        <w:trPr>
          <w:trHeight w:val="297"/>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3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volumes (Mcf, gross)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26,664,188</w:t>
            </w:r>
          </w:p>
        </w:tc>
        <w:tc>
          <w:tcPr>
            <w:tcW w:w="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26,996,624</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25,615,144</w:t>
            </w:r>
          </w:p>
        </w:tc>
      </w:tr>
      <w:tr>
        <w:trPr>
          <w:trHeight w:val="270"/>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volumes (MMcf per day, gross)</w:t>
            </w:r>
          </w:p>
        </w:tc>
        <w:tc>
          <w:tcPr>
            <w:tcW w:w="36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297"/>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Oil and gas DD&amp;A (b)</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5,687,903</w:t>
            </w:r>
          </w:p>
        </w:tc>
        <w:tc>
          <w:tcPr>
            <w:tcW w:w="36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4,906,123</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3,220,990</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Oil and gas DD&amp;A per BOE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r>
      <w:tr>
        <w:trPr>
          <w:trHeight w:val="338"/>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3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Artificial lift technology services: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Services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207,960</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16,146</w:t>
            </w: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Cost of service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70,932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20,369</w:t>
            </w:r>
          </w:p>
        </w:tc>
      </w:tr>
      <w:tr>
        <w:trPr>
          <w:trHeight w:val="237"/>
        </w:trPr>
        <w:tc>
          <w:tcPr>
            <w:tcW w:w="6340" w:type="dxa"/>
            <w:vAlign w:val="bottom"/>
            <w:gridSpan w:val="4"/>
          </w:tcPr>
          <w:p>
            <w:pPr>
              <w:ind w:left="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238,475</w:t>
            </w:r>
          </w:p>
        </w:tc>
        <w:tc>
          <w:tcPr>
            <w:tcW w:w="2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374,371</w:t>
            </w:r>
          </w:p>
        </w:tc>
      </w:tr>
    </w:tbl>
    <w:p>
      <w:pPr>
        <w:spacing w:after="0" w:line="293"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ad valorem and production taxes of $214,553, $294,689, and $49,848 for the years ended June 30, 2017, 2016, and 2015, respectively.</w:t>
      </w:r>
    </w:p>
    <w:p>
      <w:pPr>
        <w:spacing w:after="0" w:line="275" w:lineRule="exact"/>
        <w:rPr>
          <w:rFonts w:ascii="Arial" w:cs="Arial" w:eastAsia="Arial" w:hAnsi="Arial"/>
          <w:sz w:val="16"/>
          <w:szCs w:val="16"/>
          <w:color w:val="auto"/>
        </w:rPr>
      </w:pPr>
    </w:p>
    <w:p>
      <w:pPr>
        <w:ind w:firstLine="8"/>
        <w:spacing w:after="0" w:line="275" w:lineRule="auto"/>
        <w:tabs>
          <w:tab w:leader="none" w:pos="2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depreciation and amortization expense of artificial lift technology services below and excludes non-operating asset depreciation of $31,502, $20,522, and $20,376 for the years ended June 30, 2017, 2016, and 2015, respectively.</w:t>
      </w:r>
    </w:p>
    <w:p>
      <w:pPr>
        <w:sectPr>
          <w:pgSz w:w="11900" w:h="16838" w:orient="portrait"/>
          <w:cols w:equalWidth="0" w:num="1">
            <w:col w:w="11380"/>
          </w:cols>
          <w:pgMar w:left="240" w:top="125" w:right="279" w:bottom="1440" w:gutter="0" w:footer="0" w:header="0"/>
        </w:sect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125" w:right="2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Year ended June 30, 2017 compared with the Year ended June 30, 2016</w:t>
      </w:r>
    </w:p>
    <w:p>
      <w:pPr>
        <w:spacing w:after="0" w:line="35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For the year ended June 30, 2017, we generated net income of $6.8 million, or $0.21 per diluted share, on total revenues of $34.5 million. This compares to net income of $24.0 million, or $0.73 per diluted share, on total revenues of $26.1 million for the corresponding year-ago period. The $17.2 million earnings decrease principally resulted from a decrease of $32.6 million in other income, reflecting a prior year $28.1 million litigation settlement, a $3.4 million decrease in derivative instrument gains, and a $1.1 million prior year insurance settlement together with a $0.6 million increase in allocated net income to holders of called preferred shares, partially offset by $8.1 million of higher revenue, $3.1 million of decreased operating costs, and $4.7 million of lower income taxes.</w:t>
      </w:r>
    </w:p>
    <w:p>
      <w:pPr>
        <w:spacing w:after="0" w:line="3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Oil and Gas Production.</w:t>
      </w:r>
      <w:r>
        <w:rPr>
          <w:rFonts w:ascii="Arial" w:cs="Arial" w:eastAsia="Arial" w:hAnsi="Arial"/>
          <w:sz w:val="18"/>
          <w:szCs w:val="18"/>
          <w:color w:val="auto"/>
        </w:rPr>
        <w:t xml:space="preserve"> Revenues increased 31.9% to $34.5 million primarily as a result of a 16.6% increase in production volumes from the year-ago period together with a 13.1% increase in realized prices from $39.68 per equivalent barrel to $44.88 per barrel in the current year. Delhi production and revenues comprise virtually all of our revenues. Net Delhi oil production of 1,985 BOPD was 10.4% higher compared to the prior year as a result of production enhancement and conformance operations in the field. In addition $0.9 million of initial plant NGL sales commenced at the beginning of our third fiscal quarter and averaged 120 BOEPD over the entire fiscal year.</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Production Costs</w:t>
      </w:r>
      <w:r>
        <w:rPr>
          <w:rFonts w:ascii="Arial" w:cs="Arial" w:eastAsia="Arial" w:hAnsi="Arial"/>
          <w:sz w:val="18"/>
          <w:szCs w:val="18"/>
          <w:color w:val="auto"/>
        </w:rPr>
        <w:t>. Production costs for the year ended June 30, 2017 were $10.8 million, a 19.6% increase from the prior year.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costs for the current year were $4.5 million, or 9.5% higher than the prior year, due to a higher CO</w:t>
      </w:r>
      <w:r>
        <w:rPr>
          <w:rFonts w:ascii="Arial" w:cs="Arial" w:eastAsia="Arial" w:hAnsi="Arial"/>
          <w:sz w:val="12"/>
          <w:szCs w:val="12"/>
          <w:color w:val="auto"/>
        </w:rPr>
        <w:t>2</w:t>
      </w:r>
      <w:r>
        <w:rPr>
          <w:rFonts w:ascii="Arial" w:cs="Arial" w:eastAsia="Arial" w:hAnsi="Arial"/>
          <w:sz w:val="18"/>
          <w:szCs w:val="18"/>
          <w:color w:val="auto"/>
        </w:rPr>
        <w:t xml:space="preserve"> price partially offset by a 1.2% decrease in purchase volumes as a result of operational efficiencies. The current year average gross CO</w:t>
      </w:r>
      <w:r>
        <w:rPr>
          <w:rFonts w:ascii="Arial" w:cs="Arial" w:eastAsia="Arial" w:hAnsi="Arial"/>
          <w:sz w:val="12"/>
          <w:szCs w:val="12"/>
          <w:color w:val="auto"/>
        </w:rPr>
        <w:t>2</w:t>
      </w:r>
      <w:r>
        <w:rPr>
          <w:rFonts w:ascii="Arial" w:cs="Arial" w:eastAsia="Arial" w:hAnsi="Arial"/>
          <w:sz w:val="18"/>
          <w:szCs w:val="18"/>
          <w:color w:val="auto"/>
        </w:rPr>
        <w:t xml:space="preserve"> injection rate was 73.1 MMcf per day, compared to 73.8 MMcf per day in the prior year. For the current year, production costs were $14.10 per barrel on total production volumes, compared to $13.76 per BOE in the prior year. Calculated solely on our Delhi working interest volumes, production costs were $19.01 per barrel of which $8.03 per barrel was CO</w:t>
      </w:r>
      <w:r>
        <w:rPr>
          <w:rFonts w:ascii="Arial" w:cs="Arial" w:eastAsia="Arial" w:hAnsi="Arial"/>
          <w:sz w:val="18"/>
          <w:szCs w:val="18"/>
          <w:color w:val="auto"/>
          <w:vertAlign w:val="subscript"/>
        </w:rPr>
        <w:t>2</w:t>
      </w:r>
      <w:r>
        <w:rPr>
          <w:rFonts w:ascii="Arial" w:cs="Arial" w:eastAsia="Arial" w:hAnsi="Arial"/>
          <w:sz w:val="18"/>
          <w:szCs w:val="18"/>
          <w:color w:val="auto"/>
        </w:rPr>
        <w:t xml:space="preserve"> cost. These latter production costs per barrel exclude production volumes from our royalty interests in the Delhi field as they bear only certain allocated NGL production costs, and are therefore higher than the rates per barrel on our total production volumes.</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General and Administrative Expenses (“G&amp;A”).</w:t>
      </w:r>
      <w:r>
        <w:rPr>
          <w:rFonts w:ascii="Arial" w:cs="Arial" w:eastAsia="Arial" w:hAnsi="Arial"/>
          <w:sz w:val="18"/>
          <w:szCs w:val="18"/>
          <w:color w:val="auto"/>
        </w:rPr>
        <w:t xml:space="preserve"> G&amp;A expenses decreased $4.1 million, or 45%, from the prior year, to $5.0 million for the year ended June 30, 2017, primarily due to a $2.6 million decrease in litigation costs, a $0.6 million decrease in stock-based compensation, $0.5 million of lower bonus expense, and $0.5 million of lower salary and benefit expenses.</w:t>
      </w:r>
    </w:p>
    <w:p>
      <w:pPr>
        <w:spacing w:after="0" w:line="28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u w:val="single" w:color="auto"/>
          <w:color w:val="auto"/>
        </w:rPr>
        <w:t>Other Income and Expenses</w:t>
      </w:r>
      <w:r>
        <w:rPr>
          <w:rFonts w:ascii="Arial" w:cs="Arial" w:eastAsia="Arial" w:hAnsi="Arial"/>
          <w:sz w:val="16"/>
          <w:szCs w:val="16"/>
          <w:color w:val="auto"/>
        </w:rPr>
        <w:t>. For the year ended June 30, 2017, aggregate other items decreased $32.6 million from the prior year due to the $28.1 million Delhi field litigation settlement in the prior year, a $3.4 million decrease in derivative gains and a $1.1 million insurance recovery in the prior year.</w:t>
      </w:r>
    </w:p>
    <w:p>
      <w:pPr>
        <w:spacing w:after="0" w:line="23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u w:val="single" w:color="auto"/>
          <w:color w:val="auto"/>
        </w:rPr>
        <w:t>Depreciation, Depletion &amp; Amortization Expense (“DD&amp;A”).</w:t>
      </w:r>
      <w:r>
        <w:rPr>
          <w:rFonts w:ascii="Arial" w:cs="Arial" w:eastAsia="Arial" w:hAnsi="Arial"/>
          <w:sz w:val="16"/>
          <w:szCs w:val="16"/>
          <w:color w:val="auto"/>
        </w:rPr>
        <w:t xml:space="preserve"> DD&amp;A increased $0.6 million, or 11%, to $5.7 million for the year ended June 30, 2017 compared to the prior year, due to an increase of $0.8 million in full cost pool depletion, partially offset by a $0.2 million decrease in fixed asset depreciation, which was impacted by the prior year impairment of artificial lift equipment. Compared to the prior year, the increase in full cost pool amortization reflects a 16.6% production increase to 0.8 million BOE, partially offset by a small 0.7% decrease in the amortization rate to $7.40 per BOE.</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Year ended June 30, 2016 ("Fiscal 2016") compared with the Year ended June 30, 2015 ("Previous Year")</w:t>
      </w:r>
    </w:p>
    <w:p>
      <w:pPr>
        <w:spacing w:after="0" w:line="32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u w:val="single" w:color="auto"/>
          <w:color w:val="auto"/>
        </w:rPr>
        <w:t>Net Income</w:t>
      </w:r>
      <w:r>
        <w:rPr>
          <w:rFonts w:ascii="Arial" w:cs="Arial" w:eastAsia="Arial" w:hAnsi="Arial"/>
          <w:sz w:val="18"/>
          <w:szCs w:val="18"/>
          <w:color w:val="auto"/>
        </w:rPr>
        <w:t>. For the year ended June 30, 2016, we generated net income of $24.0 million, or $0.73 per diluted share, on total revenues of $26.3 million. This compares to net income of $4.3 million, or $0.13 per diluted share, on total revenues of $27.8 million for the previous year. The $19.7 million increase in earnings resulted from $28.1 million from the Delhi field litigation settlement, $1.1 million from an insurance recovery, and $3.5 million of derivative gains, partially offset by $6.1 million of higher income taxes, $1.5 million of lower revenue, and $5.4 million of higher operating expenses (which includes a $1.3 million non-recurring restructuring charge).</w:t>
      </w:r>
    </w:p>
    <w:p>
      <w:pPr>
        <w:spacing w:after="0" w:line="2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Oil and Gas Production</w:t>
      </w:r>
      <w:r>
        <w:rPr>
          <w:rFonts w:ascii="Arial" w:cs="Arial" w:eastAsia="Arial" w:hAnsi="Arial"/>
          <w:sz w:val="17"/>
          <w:szCs w:val="17"/>
          <w:color w:val="auto"/>
        </w:rPr>
        <w:t>. Revenues decreased $1.7 million to $26.1 million primarily as a result of a 35% decline in realized prices from $61.37 per equivalent barrel in the previous year to $39.68 per barrel in fiscal 2016, partially offset by a 45% increase in production volumes. The previous year did not include a full twelve months of net production and revenues or production costs as reversion of our working interest did not occur until November 1, 2014. Delhi oil production and revenues comprise virtually all of our revenues. Delhi gross production of 6,778 BOPD was 12% higher that the average gross production of 6,038 BOPD in the previous year as a result of production enhancement and conformance operations in the field.</w:t>
      </w: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Production Costs.</w:t>
      </w:r>
      <w:r>
        <w:rPr>
          <w:rFonts w:ascii="Arial" w:cs="Arial" w:eastAsia="Arial" w:hAnsi="Arial"/>
          <w:sz w:val="16"/>
          <w:szCs w:val="16"/>
          <w:color w:val="auto"/>
        </w:rPr>
        <w:t xml:space="preserve"> Production costs for fiscal 2016 decreased $0.2 million to $9.1 million from $9.3 million in the previous year due to a $0.6 million decrease for the Company's operated wells as a result of previous year workover expense, partially offset by $0.4 million increase at the Delhi field. Delhi production costs for fiscal 2016 were $8.9 million, of which $4.1 million was for CO</w:t>
      </w:r>
      <w:r>
        <w:rPr>
          <w:rFonts w:ascii="Arial" w:cs="Arial" w:eastAsia="Arial" w:hAnsi="Arial"/>
          <w:sz w:val="11"/>
          <w:szCs w:val="11"/>
          <w:color w:val="auto"/>
        </w:rPr>
        <w:t>2</w:t>
      </w:r>
      <w:r>
        <w:rPr>
          <w:rFonts w:ascii="Arial" w:cs="Arial" w:eastAsia="Arial" w:hAnsi="Arial"/>
          <w:sz w:val="16"/>
          <w:szCs w:val="16"/>
          <w:color w:val="auto"/>
        </w:rPr>
        <w:t xml:space="preserve"> costs, compared to previous year production costs of $8.5 million, of which $5.1 million was for CO</w:t>
      </w:r>
      <w:r>
        <w:rPr>
          <w:rFonts w:ascii="Arial" w:cs="Arial" w:eastAsia="Arial" w:hAnsi="Arial"/>
          <w:sz w:val="11"/>
          <w:szCs w:val="11"/>
          <w:color w:val="auto"/>
        </w:rPr>
        <w:t>2</w:t>
      </w:r>
      <w:r>
        <w:rPr>
          <w:rFonts w:ascii="Arial" w:cs="Arial" w:eastAsia="Arial" w:hAnsi="Arial"/>
          <w:sz w:val="16"/>
          <w:szCs w:val="16"/>
          <w:color w:val="auto"/>
        </w:rPr>
        <w:t xml:space="preserve"> costs. Average gross injection volumes decreased from 105,848 Mcf per day in the post-reversion previous year period to</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73,762 Mcf per day for the year ended June 30, 2016. For the year ended June 30, 2016, production costs were $13.76 per BOE on total production volumes. Production costs were $18.90 per BOE calculated solely on our Delhi working interest volumes, which includes $8.66 per working interest BOE for</w:t>
      </w:r>
    </w:p>
    <w:p>
      <w:pPr>
        <w:ind w:right="240"/>
        <w:spacing w:after="0" w:line="261" w:lineRule="auto"/>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r>
        <w:rPr>
          <w:rFonts w:ascii="Arial" w:cs="Arial" w:eastAsia="Arial" w:hAnsi="Arial"/>
          <w:sz w:val="18"/>
          <w:szCs w:val="18"/>
          <w:color w:val="auto"/>
        </w:rPr>
        <w:t xml:space="preserve"> costs. These latter production costs per BOE exclude production volumes from our royalty interests in the Delhi field, which bear no production costs, and are therefore higher than the rates per BOE on our total production volumes.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Artificial Lift Technology Services</w:t>
      </w:r>
      <w:r>
        <w:rPr>
          <w:rFonts w:ascii="Arial" w:cs="Arial" w:eastAsia="Arial" w:hAnsi="Arial"/>
          <w:sz w:val="18"/>
          <w:szCs w:val="18"/>
          <w:color w:val="auto"/>
        </w:rPr>
        <w:t>. Service revenues were $0.2 million for the year ended June 30, 2016 as a result of fiscal 2016 installations at third party wells. Prior year service revenues and costs were negligible.</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Cost of Artificial Lift Technology Services.</w:t>
      </w:r>
      <w:r>
        <w:rPr>
          <w:rFonts w:ascii="Arial" w:cs="Arial" w:eastAsia="Arial" w:hAnsi="Arial"/>
          <w:sz w:val="18"/>
          <w:szCs w:val="18"/>
          <w:color w:val="auto"/>
        </w:rPr>
        <w:t xml:space="preserve"> Cost of technology services were $0.1 million for the year ended June 30, 2016 as a result of fiscal 2016 project activity.</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General and Administrative Expenses (“G&amp;A”)</w:t>
      </w:r>
      <w:r>
        <w:rPr>
          <w:rFonts w:ascii="Arial" w:cs="Arial" w:eastAsia="Arial" w:hAnsi="Arial"/>
          <w:sz w:val="18"/>
          <w:szCs w:val="18"/>
          <w:color w:val="auto"/>
        </w:rPr>
        <w:t>. G&amp;A expenses increased $2.8 million, or 45%, from the previous year, to $9.1 million for the year ended June 30, 2016, as a result of a $1.7 million increase in litigation costs and a $0.8 million increase in stock compensation expense. Total litigation costs for fiscal 2016 were approximately $2.7 million. In June 2016, we relocated our office to substantially smaller and less expensive premises. This cost savings will be reflected in future periods.</w:t>
      </w:r>
    </w:p>
    <w:p>
      <w:pPr>
        <w:spacing w:after="0" w:line="2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Restructuring charge</w:t>
      </w:r>
      <w:r>
        <w:rPr>
          <w:rFonts w:ascii="Arial" w:cs="Arial" w:eastAsia="Arial" w:hAnsi="Arial"/>
          <w:sz w:val="18"/>
          <w:szCs w:val="18"/>
          <w:color w:val="auto"/>
        </w:rPr>
        <w:t>. Effective December 31, 2015, we recognized a $1.3 million restructuring charge related to the separation of our GARP® artificial lift technology operations. Approximately $0.6 million of the charge consists of the impairment of assets used in that operation and $0.6 million was associated with accrued personnel termination costs to be paid from January 2016 through June 2017. The restructuring charge also includes approximately $0.1 million of non-cash stock compensation expense from the accelerated vesting of restricted stock. As a result of the restructuring, future annual overhead cost savings are estimated to be approximately $1.0 million per year.</w:t>
      </w:r>
    </w:p>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Other Income and Expenses</w:t>
      </w:r>
      <w:r>
        <w:rPr>
          <w:rFonts w:ascii="Arial" w:cs="Arial" w:eastAsia="Arial" w:hAnsi="Arial"/>
          <w:sz w:val="18"/>
          <w:szCs w:val="18"/>
          <w:color w:val="auto"/>
        </w:rPr>
        <w:t>. During the year ended June 30, 2016, the Company realized gains of $28.1 million from the Delhi field litigation settlement, $3.4 million of gains on derivatives and $1.1 million from an insurance recovery at the Delhi field.</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Depletion &amp; Amortization Expense (“DD&amp;A”)</w:t>
      </w:r>
      <w:r>
        <w:rPr>
          <w:rFonts w:ascii="Arial" w:cs="Arial" w:eastAsia="Arial" w:hAnsi="Arial"/>
          <w:sz w:val="18"/>
          <w:szCs w:val="18"/>
          <w:color w:val="auto"/>
        </w:rPr>
        <w:t>. DD&amp;A increased $1.5 million, or 43% to $5.2 million for fiscal 2016 compared to $3.6 million for the previous year as a result of $1.7 million of higher amortization of the full cost pool, partially offset by $0.1 million of lower depreciation on artificial lift technology. Compared to the previous year, production volumes increased 45% to 0.7 million BOE and the amortization rate increased 5% to $7.45 per BOE. Compared to the previous year, the higher amortization rate was due to an 18% decrease in our pool of unamortized costs, partially offset by a 13% decline in proved reserves BOE.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Economic Factors</w:t>
      </w:r>
    </w:p>
    <w:p>
      <w:pPr>
        <w:spacing w:after="0" w:line="2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u w:val="single" w:color="auto"/>
          <w:color w:val="auto"/>
        </w:rPr>
        <w:t>Inflation</w:t>
      </w:r>
      <w:r>
        <w:rPr>
          <w:rFonts w:ascii="Arial" w:cs="Arial" w:eastAsia="Arial" w:hAnsi="Arial"/>
          <w:sz w:val="16"/>
          <w:szCs w:val="16"/>
          <w:color w:val="auto"/>
        </w:rPr>
        <w:t>. Although the general inflation rate in the United States, as measured by the Consumer Price Index and the Producer Price Index, has been relatively low in recent years, the oil and gas industry has experienced unusually volatile price movements in commodity prices, vendor goods and oilfield services. Prices for drilling and oilfield services, oilfield equipment, tubulars, labor, expertise and other services greatly impact our lease operating expenses and our capital expenditures. During fiscal 2017, we have seen a firming of prices for operating and capital costs as a result of improving demand and a closer balance with the supply of goods and services in the industry. Product prices, operating costs and development costs may not always move in tandem.</w:t>
      </w:r>
    </w:p>
    <w:p>
      <w:pPr>
        <w:spacing w:after="0" w:line="2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Known Trends and Uncertainties</w:t>
      </w:r>
      <w:r>
        <w:rPr>
          <w:rFonts w:ascii="Arial" w:cs="Arial" w:eastAsia="Arial" w:hAnsi="Arial"/>
          <w:sz w:val="17"/>
          <w:szCs w:val="17"/>
          <w:color w:val="auto"/>
        </w:rPr>
        <w:t>. General worldwide economic conditions, as well as economic conditions for the oil and gas industry specifically, continue to be uncertain and volatile. Concerns over uncertain future economic growth are affecting numerous industries and companies, as well as consumers, which impact demand for crude oil and natural gas. If the supply of crude oil and natural gas continues to exceed demand in the future, it may put downward pressure on crude oil and natural gas prices, thereby lowering our revenues, profits, cash flow and working capital going forward.</w:t>
      </w:r>
    </w:p>
    <w:p>
      <w:pPr>
        <w:spacing w:after="0" w:line="2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Our business is generally not directly seasonal, except for instances when weather conditions may adversely affect access to our properties or delivery of our petroleum products. Although we do not generally modify our production for changes in market demand, we do experience seasonality in the product prices we receive, driven by summer cooling and driving, winter heating, and extremes in seasonal weather, including hurricanes, that may substantially affect oil and natural gas production and imports.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83" w:lineRule="exact"/>
        <w:rPr>
          <w:sz w:val="20"/>
          <w:szCs w:val="20"/>
          <w:color w:val="auto"/>
        </w:rPr>
      </w:pPr>
    </w:p>
    <w:p>
      <w:pPr>
        <w:ind w:right="780" w:firstLine="432"/>
        <w:spacing w:after="0" w:line="342" w:lineRule="auto"/>
        <w:rPr>
          <w:sz w:val="20"/>
          <w:szCs w:val="20"/>
          <w:color w:val="auto"/>
        </w:rPr>
      </w:pPr>
      <w:r>
        <w:rPr>
          <w:rFonts w:ascii="Arial" w:cs="Arial" w:eastAsia="Arial" w:hAnsi="Arial"/>
          <w:sz w:val="16"/>
          <w:szCs w:val="16"/>
          <w:color w:val="auto"/>
        </w:rPr>
        <w:t>The table below provides estimates of the timing of future payments that, as of June 30, 2017, we are obligated to make under our contractual obligations and commitments. We expect to fund these contractual obligations with cash on hand and cash generated from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345"/>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4"/>
                <w:szCs w:val="2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1 Year or Less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1 - 3 Years</w:t>
            </w:r>
          </w:p>
        </w:tc>
        <w:tc>
          <w:tcPr>
            <w:tcW w:w="280" w:type="dxa"/>
            <w:vAlign w:val="bottom"/>
          </w:tcPr>
          <w:p>
            <w:pPr>
              <w:spacing w:after="0"/>
              <w:rPr>
                <w:sz w:val="24"/>
                <w:szCs w:val="24"/>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3 - 5 Years</w:t>
            </w: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More than 5 Years</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140,057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73,073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1,288,743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35,115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1,253,628</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obligations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1,428,800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108,188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1,253,628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requires that we select certain accounting policies and make estimates and assumptions that affect the reported amounts of the assets and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2 to the consolidated financial statements. Following is a discussion of our most critical accounting estimates, judgments and uncertainties that are inherent in the preparation of our consolidated financial statements.</w:t>
      </w:r>
    </w:p>
    <w:p>
      <w:pPr>
        <w:spacing w:after="0" w:line="24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Oil and Natural Gas Properties. </w:t>
      </w:r>
      <w:r>
        <w:rPr>
          <w:rFonts w:ascii="Arial" w:cs="Arial" w:eastAsia="Arial" w:hAnsi="Arial"/>
          <w:sz w:val="17"/>
          <w:szCs w:val="17"/>
          <w:color w:val="auto"/>
        </w:rPr>
        <w:t>Companies engaged in the production of oil and natural gas are required to follow accounting rules that are unique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oil and gas industry. We apply the full cost accounting method for our oil and natural gas properties as prescribed by SEC Regulation S-X Rule 4-10. Under this method of accounting, the costs of unsuccessful, as well as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and include non-producing leasehold, geological and geophysical costs associated with leasehold or drilling interests and exploration drilling costs. We exclude these costs until the property has been evaluated. Costs are transferred to the full cost pool as the properties are evaluated. As of June 30, 2017, we had no unevaluated properties costs.</w:t>
      </w:r>
    </w:p>
    <w:p>
      <w:pPr>
        <w:spacing w:after="0" w:line="23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i w:val="1"/>
          <w:iCs w:val="1"/>
          <w:color w:val="auto"/>
        </w:rPr>
        <w:t xml:space="preserve">Estimates of Proved Reserves. </w:t>
      </w:r>
      <w:r>
        <w:rPr>
          <w:rFonts w:ascii="Arial" w:cs="Arial" w:eastAsia="Arial" w:hAnsi="Arial"/>
          <w:sz w:val="16"/>
          <w:szCs w:val="16"/>
          <w:color w:val="auto"/>
        </w:rPr>
        <w:t>The estimated quantities of proved oil and natural gas reserves have a significant impact on the underlying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The estimated quantities of proved reserves are used to calculate depletion expense, and the estimated future net cash flows associated with those proved reserves is the basis in determining impairment under the quarterly ceiling test calculation. The process of estimating oil and natural gas reserves is very complex, requiring significant decisions in the evaluation of all available geological, geophysical, engineering and economic data. Estimated reserves are often subject to future revisions, which could be substantial, based on the availability of additional information, including reservoir performance, additional development activity, new geological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represent the most accurate assessments possible, including the hiring of independent engineers to prepare our reserve estimates, the subjective decisions and variances in available data for the properties make these estimates generally less precise than other estimates included in our financial statements. Material revisions to reserve estimates and / or significant changes in commodity prices could substantially affect our estimated future net cash flows of our proved reserves, affecting our quarterly ceiling test calculation and could significantly affect our depletion rate. A 10% decrease in commodity prices used to determine our proved reserves as of June 30, 2017 would not have resulted in an impairment of our oil and natural gas properties. Holding all other factors constant, a reduction in the Company's proved reserve estimates at June 30, 2017 of 5%, 10% and 15% would affect depreciation, depletion and amortization expense by approximately $329,000, $696,000 and $1,106,000, respectively.</w:t>
      </w:r>
    </w:p>
    <w:p>
      <w:pPr>
        <w:spacing w:after="0" w:line="22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December 31, 2008, the SEC issued its final rule on the modernization of reporting oil and gas reserves. The rule allows consideration of new technologies in evaluating reserves, generally limits the designation of proved reserves to those projects forecast to be commenced within five years of the end of the period, allows companies to disclose their probable and possible reserves to investors, requires reporting of oil and gas reserves using an average price based on the previous 12-month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unweighted arithmetic average first-day-of-the-month price rather than year-end prices, revises the disclosure requirements for oil and gas operations, and revises accounting for the limitation on capitalized costs for full cost companies.</w:t>
      </w:r>
    </w:p>
    <w:p>
      <w:pPr>
        <w:spacing w:after="0" w:line="2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Valuation of Deferred Tax Assets. </w:t>
      </w:r>
      <w:r>
        <w:rPr>
          <w:rFonts w:ascii="Arial" w:cs="Arial" w:eastAsia="Arial" w:hAnsi="Arial"/>
          <w:sz w:val="17"/>
          <w:szCs w:val="17"/>
          <w:color w:val="auto"/>
        </w:rPr>
        <w:t>We make certain estimates and judgments in determining our income tax expense for financial reporting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These estimates and judgments occur in 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(primarily our net operating loss). If recovery is not likely, we must record a valuation allowance against such deferred tax assets for the amount we would not expect to recover, which would result in an increase to our income tax expense. As of June 30, 2017, we have recorded a valuation allowance for the portion of our net operating loss that is limited by IRS Section 382.</w:t>
      </w:r>
    </w:p>
    <w:p>
      <w:pPr>
        <w:spacing w:after="0" w:line="23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Management considers the scheduled reversal of deferred tax liabilities, projected future taxable income, and tax planning strategies in making the assessment of the ultimate realization of deferred tax assets. Based upon the level of historical taxable income and projections for future taxable income over the periods for which the deferred tax assets are deductible, as of end of the current fiscal year, we believe that it is more likely than not that the Company will realize the benefits of its net deferred tax assets. If our estimates and judgments change regarding our ability to utilize our deferred tax assets, our tax provision would increase in the period it is determined that recovery is not probable.</w:t>
      </w:r>
    </w:p>
    <w:p>
      <w:pPr>
        <w:spacing w:after="0" w:line="242"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The fair value and expected vesting period of the Company's market-based awards were determined using a Monte Carlo</w:t>
      </w:r>
      <w:r>
        <w:rPr>
          <w:rFonts w:ascii="Arial" w:cs="Arial" w:eastAsia="Arial" w:hAnsi="Arial"/>
          <w:sz w:val="17"/>
          <w:szCs w:val="17"/>
          <w:i w:val="1"/>
          <w:iCs w:val="1"/>
          <w:color w:val="auto"/>
        </w:rPr>
        <w:t xml:space="preserve"> </w:t>
      </w:r>
      <w:r>
        <w:rPr>
          <w:rFonts w:ascii="Arial" w:cs="Arial" w:eastAsia="Arial" w:hAnsi="Arial"/>
          <w:sz w:val="17"/>
          <w:szCs w:val="17"/>
          <w:color w:val="auto"/>
        </w:rPr>
        <w:t>simulation based on the historical volatility of our total common stock return compared to the historical volatilities of the other companies in the index. Vesting of market-based awards is based on the Company's total common stock return compared to a peer group of other companies in our industry with comparable market capitalizations. We estimate the fair value of stock option awards on the date of grant using the Black-Scholes option pricing model. This valuation method requires the input of certain assumptions, including expected stock price volatility, expected term of the award, the expected risk-free interest rate, and the expected dividend yield of the Company's stock. The risk-free interest rate used is the U.S. Treasury yield for bonds matching the expected term of the option on the date of grant. Because of our limited trading experience of our common stock and limited exercise history of our stock option awards, estimating the volatility and expected term is very subjective. We base our estimate of our expected future volatility on peer companies whose common stock has been trading longer than ours, along with our own limited trading history while operating as an oil and natural gas producer. Future estimates of our stock volatility could be substantially different from our current estimate, which could significantly affect the amount of expense we recognize for our stock-based compensation awards.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off-balance sheet arrangements as of June 30, 2017.</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are exposed to changes in interest rates. Changes in interest rates affect the interest earned on our cash and cash equivalents. Under our current policies, we do not use interest rate derivative instruments to manage exposure to interest rate changes.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2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most significant market risk is the pricing for crude oil, natural gas and NGL's. We expect energy prices to remain volatile and unpredictable. If energy prices decline significantly, revenues and cash flow would significantly decline. In addition, a non-cash write-down of our oil and gas properties could be required under full cost accounting rules if future oil and gas commodity prices sustained a significant decline. Prices also affect the amount of cash flow available for capital expenditures and our ability to borrow and raise additional capital, as, if and when needed. We use derivative instruments to manage our exposure to commodity price risk from time to time based on our assessment of such risk. We primarily utilize swaps and costless collars to reduce the effect of price changes on a portion of our future oil production. We do not enter into derivative instruments for trading purposes. The Company had no positions in derivative instruments at June 30, 2017.</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9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7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7"/>
        </w:trPr>
        <w:tc>
          <w:tcPr>
            <w:tcW w:w="89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w:t>
            </w:r>
          </w:p>
        </w:tc>
        <w:tc>
          <w:tcPr>
            <w:tcW w:w="180" w:type="dxa"/>
            <w:vAlign w:val="bottom"/>
          </w:tcPr>
          <w:p>
            <w:pPr>
              <w:spacing w:after="0"/>
              <w:rPr>
                <w:sz w:val="24"/>
                <w:szCs w:val="24"/>
                <w:color w:val="auto"/>
              </w:rPr>
            </w:pPr>
          </w:p>
        </w:tc>
      </w:tr>
      <w:tr>
        <w:trPr>
          <w:trHeight w:val="702"/>
        </w:trPr>
        <w:tc>
          <w:tcPr>
            <w:tcW w:w="890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73"/>
        </w:trPr>
        <w:tc>
          <w:tcPr>
            <w:tcW w:w="720" w:type="dxa"/>
            <w:vAlign w:val="bottom"/>
          </w:tcPr>
          <w:p>
            <w:pPr>
              <w:spacing w:after="0"/>
              <w:rPr>
                <w:sz w:val="24"/>
                <w:szCs w:val="24"/>
                <w:color w:val="auto"/>
              </w:rPr>
            </w:pPr>
          </w:p>
        </w:tc>
        <w:tc>
          <w:tcPr>
            <w:tcW w:w="818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Reports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r>
      <w:tr>
        <w:trPr>
          <w:trHeight w:val="250"/>
        </w:trPr>
        <w:tc>
          <w:tcPr>
            <w:tcW w:w="720" w:type="dxa"/>
            <w:vAlign w:val="bottom"/>
          </w:tcPr>
          <w:p>
            <w:pPr>
              <w:spacing w:after="0"/>
              <w:rPr>
                <w:sz w:val="21"/>
                <w:szCs w:val="21"/>
                <w:color w:val="auto"/>
              </w:rPr>
            </w:pPr>
          </w:p>
        </w:tc>
        <w:tc>
          <w:tcPr>
            <w:tcW w:w="42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Balance Sheets as of June 30, 2017 and 2016</w:t>
              </w:r>
            </w:hyperlink>
          </w:p>
        </w:tc>
        <w:tc>
          <w:tcPr>
            <w:tcW w:w="40" w:type="dxa"/>
            <w:vAlign w:val="bottom"/>
            <w:tcBorders>
              <w:top w:val="single" w:sz="8" w:color="0000EE"/>
            </w:tcBorders>
          </w:tcPr>
          <w:p>
            <w:pPr>
              <w:spacing w:after="0"/>
              <w:rPr>
                <w:sz w:val="21"/>
                <w:szCs w:val="21"/>
                <w:color w:val="auto"/>
              </w:rPr>
            </w:pPr>
          </w:p>
        </w:tc>
        <w:tc>
          <w:tcPr>
            <w:tcW w:w="3920" w:type="dxa"/>
            <w:vAlign w:val="bottom"/>
            <w:gridSpan w:val="4"/>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 for the Years ended June 30, 2017, 2016, and 2015</w:t>
              </w:r>
            </w:hyperlink>
          </w:p>
        </w:tc>
        <w:tc>
          <w:tcPr>
            <w:tcW w:w="180" w:type="dxa"/>
            <w:vAlign w:val="bottom"/>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 for the Years ended June 30, 2017, 2016, and 2015</w:t>
              </w:r>
            </w:hyperlink>
          </w:p>
        </w:tc>
        <w:tc>
          <w:tcPr>
            <w:tcW w:w="180" w:type="dxa"/>
            <w:vAlign w:val="bottom"/>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40</w:t>
              </w:r>
            </w:hyperlink>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7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Stockholders' Equity for the Years ended June 30, 2017, 2016, and 2015</w:t>
              </w:r>
            </w:hyperlink>
          </w:p>
        </w:tc>
        <w:tc>
          <w:tcPr>
            <w:tcW w:w="9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41</w:t>
              </w:r>
            </w:hyperlink>
          </w:p>
        </w:tc>
      </w:tr>
      <w:tr>
        <w:trPr>
          <w:trHeight w:val="250"/>
        </w:trPr>
        <w:tc>
          <w:tcPr>
            <w:tcW w:w="720" w:type="dxa"/>
            <w:vAlign w:val="bottom"/>
          </w:tcPr>
          <w:p>
            <w:pPr>
              <w:spacing w:after="0"/>
              <w:rPr>
                <w:sz w:val="21"/>
                <w:szCs w:val="21"/>
                <w:color w:val="auto"/>
              </w:rPr>
            </w:pPr>
          </w:p>
        </w:tc>
        <w:tc>
          <w:tcPr>
            <w:tcW w:w="818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507"/>
        </w:trPr>
        <w:tc>
          <w:tcPr>
            <w:tcW w:w="72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360" w:type="dxa"/>
            <w:vAlign w:val="bottom"/>
            <w:gridSpan w:val="3"/>
          </w:tcPr>
          <w:p>
            <w:pPr>
              <w:jc w:val="right"/>
              <w:ind w:right="140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Evolution Petroleum Corporation</w:t>
      </w:r>
    </w:p>
    <w:p>
      <w:pPr>
        <w:spacing w:after="0" w:line="200" w:lineRule="exact"/>
        <w:rPr>
          <w:sz w:val="20"/>
          <w:szCs w:val="20"/>
          <w:color w:val="auto"/>
        </w:rPr>
      </w:pPr>
    </w:p>
    <w:p>
      <w:pPr>
        <w:spacing w:after="0" w:line="389" w:lineRule="exact"/>
        <w:rPr>
          <w:sz w:val="20"/>
          <w:szCs w:val="20"/>
          <w:color w:val="auto"/>
        </w:rPr>
      </w:pPr>
    </w:p>
    <w:p>
      <w:pPr>
        <w:ind w:firstLine="42"/>
        <w:spacing w:after="0" w:line="259" w:lineRule="auto"/>
        <w:rPr>
          <w:sz w:val="20"/>
          <w:szCs w:val="20"/>
          <w:color w:val="auto"/>
        </w:rPr>
      </w:pPr>
      <w:r>
        <w:rPr>
          <w:rFonts w:ascii="Arial" w:cs="Arial" w:eastAsia="Arial" w:hAnsi="Arial"/>
          <w:sz w:val="18"/>
          <w:szCs w:val="18"/>
          <w:color w:val="auto"/>
        </w:rPr>
        <w:t>We have audited the accompanying consolidated balance sheets of Evolution Petroleum Corporation and subsidiaries (the “Company”) as of June 30, 2017 and 2016, and the related consolidated statements of operations, changes in stockholders' equity, and cash flows for each of the three years in the period ended June 30, 2017.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ind w:right="80" w:firstLine="4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96" w:lineRule="exact"/>
        <w:rPr>
          <w:sz w:val="20"/>
          <w:szCs w:val="20"/>
          <w:color w:val="auto"/>
        </w:rPr>
      </w:pPr>
    </w:p>
    <w:p>
      <w:pPr>
        <w:jc w:val="both"/>
        <w:ind w:right="40" w:firstLine="45"/>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Evolution Petroleum Corporation and subsidiaries as of June 30, 2017 and 2016, and the results of their operations and their cash flows for each of the three years in the period ended June 30, 2017, in conformity with U.S. generally accepted accounting principles.</w:t>
      </w:r>
    </w:p>
    <w:p>
      <w:pPr>
        <w:spacing w:after="0" w:line="289" w:lineRule="exact"/>
        <w:rPr>
          <w:sz w:val="20"/>
          <w:szCs w:val="20"/>
          <w:color w:val="auto"/>
        </w:rPr>
      </w:pPr>
    </w:p>
    <w:p>
      <w:pPr>
        <w:ind w:right="60" w:firstLine="42"/>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Evolution Petroleum Corporation and subsidiaries’ internal control over financial reporting as of June 30, 2017, based on criteria established in Internal Control - Integrated Framework issued by the Committee of Sponsoring Organizations of the Treadway Commission in 2013, and our report dated September 15, 2017 expressed an unqualified opinion on the effectiveness of the Evolution Petroleum Corporation and subsidiaries'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Hein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Evolution Petroleum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Evolution Petroleum Corporation and subsidiaries' (the "Company") internal control over financial reporting as of June 30, 2017, based on criteria established in Internal Control - Integrated Framework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81" w:lineRule="exact"/>
        <w:rPr>
          <w:sz w:val="20"/>
          <w:szCs w:val="20"/>
          <w:color w:val="auto"/>
        </w:rPr>
      </w:pPr>
    </w:p>
    <w:p>
      <w:pPr>
        <w:ind w:right="160" w:firstLine="42"/>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6" w:lineRule="exact"/>
        <w:rPr>
          <w:sz w:val="20"/>
          <w:szCs w:val="20"/>
          <w:color w:val="auto"/>
        </w:rPr>
      </w:pPr>
    </w:p>
    <w:p>
      <w:pPr>
        <w:ind w:right="20" w:firstLine="3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ind w:right="100" w:firstLine="4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ind w:right="400" w:firstLine="45"/>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June 30, 2017, based on criteria established in Internal Control - Integrated Framework issued by the Committee of Sponsoring Organizations of the Treadway Commission in 2013.</w:t>
      </w:r>
    </w:p>
    <w:p>
      <w:pPr>
        <w:spacing w:after="0" w:line="232" w:lineRule="exact"/>
        <w:rPr>
          <w:sz w:val="20"/>
          <w:szCs w:val="20"/>
          <w:color w:val="auto"/>
        </w:rPr>
      </w:pPr>
    </w:p>
    <w:p>
      <w:pPr>
        <w:ind w:right="100" w:firstLine="42"/>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Evolution Petroleum Corporation and subsidiaries as of June 30, 2017 and 2016, and the related consolidated statements of operations, changes in stockholders’ equity, and cash flows for each of the three years in the period ended June 30, 2017 and our report dated September 15, 2017 expressed an unqualified opinion.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Hein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6"/>
                <w:szCs w:val="16"/>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56"/>
        </w:trPr>
        <w:tc>
          <w:tcPr>
            <w:tcW w:w="8340" w:type="dxa"/>
            <w:vAlign w:val="bottom"/>
            <w:tcBorders>
              <w:top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23,028,153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34,077,060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Receivables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2,726,702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2,638,188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w:t>
            </w:r>
          </w:p>
        </w:tc>
        <w:tc>
          <w:tcPr>
            <w:tcW w:w="2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105,321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387,672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265,881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26,142,527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37,086,450</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 of depreciation, depletion, and amortization</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Oil and natural gas property and equipment, net (full-cost method of accounting)</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61,790,068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59,970,463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property and equipment, net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28,649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property and equipment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61,830,757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59,999,112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295,384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365,489</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88,268,668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97,451,051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2,101,055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5,809,107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 and other</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617,839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2,097,951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State and federal taxes payable</w:t>
            </w:r>
          </w:p>
        </w:tc>
        <w:tc>
          <w:tcPr>
            <w:tcW w:w="2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621,850</w:t>
            </w:r>
          </w:p>
        </w:tc>
        <w:tc>
          <w:tcPr>
            <w:tcW w:w="0" w:type="dxa"/>
            <w:vAlign w:val="bottom"/>
          </w:tcPr>
          <w:p>
            <w:pPr>
              <w:spacing w:after="0"/>
              <w:rPr>
                <w:sz w:val="1"/>
                <w:szCs w:val="1"/>
                <w:color w:val="auto"/>
              </w:rPr>
            </w:pPr>
          </w:p>
        </w:tc>
      </w:tr>
      <w:tr>
        <w:trPr>
          <w:trHeight w:val="256"/>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2,718,894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8,528,908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 term liabilities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15,826,291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11,840,693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 retirement obligations, net of current portion</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1,253,628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760,300</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19,798,813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21,129,901</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18)</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340" w:type="dxa"/>
            <w:vAlign w:val="bottom"/>
          </w:tcPr>
          <w:p>
            <w:pPr>
              <w:ind w:left="180"/>
              <w:spacing w:after="0" w:line="157" w:lineRule="exact"/>
              <w:rPr>
                <w:sz w:val="20"/>
                <w:szCs w:val="20"/>
                <w:color w:val="auto"/>
              </w:rPr>
            </w:pPr>
            <w:r>
              <w:rPr>
                <w:rFonts w:ascii="Arial" w:cs="Arial" w:eastAsia="Arial" w:hAnsi="Arial"/>
                <w:sz w:val="14"/>
                <w:szCs w:val="14"/>
                <w:color w:val="auto"/>
                <w:w w:val="93"/>
              </w:rPr>
              <w:t>Preferred stock, par value $0.001; 5,000,000 shares authorized:8.5% Series A Cumulative Preferred Stock, 1,000,000 shares designated; no</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340" w:type="dxa"/>
            <w:vAlign w:val="bottom"/>
          </w:tcPr>
          <w:p>
            <w:pPr>
              <w:ind w:left="180"/>
              <w:spacing w:after="0" w:line="149" w:lineRule="exact"/>
              <w:rPr>
                <w:sz w:val="20"/>
                <w:szCs w:val="20"/>
                <w:color w:val="auto"/>
              </w:rPr>
            </w:pPr>
            <w:r>
              <w:rPr>
                <w:rFonts w:ascii="Arial" w:cs="Arial" w:eastAsia="Arial" w:hAnsi="Arial"/>
                <w:sz w:val="14"/>
                <w:szCs w:val="14"/>
                <w:color w:val="auto"/>
                <w:w w:val="91"/>
              </w:rPr>
              <w:t>shares outstanding at June 30, 2017 as all shares were redeemed November 14, 2016 (Note 10); and 317,319 shares issued and outstanding at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180"/>
              <w:spacing w:after="0"/>
              <w:rPr>
                <w:sz w:val="20"/>
                <w:szCs w:val="20"/>
                <w:color w:val="auto"/>
              </w:rPr>
            </w:pPr>
            <w:r>
              <w:rPr>
                <w:rFonts w:ascii="Arial" w:cs="Arial" w:eastAsia="Arial" w:hAnsi="Arial"/>
                <w:sz w:val="14"/>
                <w:szCs w:val="14"/>
                <w:color w:val="auto"/>
              </w:rPr>
              <w:t>June 30, 2016 with a liquidation preference of $7,932,975 ($25.00 per share)</w:t>
            </w:r>
          </w:p>
        </w:tc>
        <w:tc>
          <w:tcPr>
            <w:tcW w:w="2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Common stock; par value $0.001; 100,000,000 shares authorized: issued and outstanding 33,087,308 and 32,907,863 shares as of June 30,</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2017 and 2016, respectively</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32,907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40,961,957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47,171,563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27,474,811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29,116,363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68,469,855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76,321,150</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88,268,668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97,451,051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636"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636"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Crude oil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33,550,698</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26,130,762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27,761,291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Natural gas liquids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37,227</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Artificial lift technology services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34,484,896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26,349,502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27,841,265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Production costs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10,835,809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9,062,179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9,335,244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artificial lift technology services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20,369</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5,719,405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5,165,120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3,615,737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Accretion of discount on asset retirement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34,866</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4,985,408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9,079,597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6,256,783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Total operating costs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21,604,774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24,684,315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19,257,568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12,880,122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8,583,697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realized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Gain (loss) on unrealized derivative instruments,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(109,974)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Delhi field 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28,096,500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Delhi field insurance recovery related to pre-reversion event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1,074,957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35,991</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(73,636)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12,884,977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34,231,141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8,436,078</w:t>
            </w:r>
          </w:p>
        </w:tc>
      </w:tr>
      <w:tr>
        <w:trPr>
          <w:trHeight w:val="243"/>
        </w:trPr>
        <w:tc>
          <w:tcPr>
            <w:tcW w:w="674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4,840,664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9,570,779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3,444,221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Company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8,044,313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24,660,362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4,991,857</w:t>
            </w:r>
          </w:p>
        </w:tc>
      </w:tr>
      <w:tr>
        <w:trPr>
          <w:trHeight w:val="243"/>
        </w:trPr>
        <w:tc>
          <w:tcPr>
            <w:tcW w:w="674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250,990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674,302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preferred shares called for redemption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1,002,440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6,790,883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23,986,060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4,317,555</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33,034,480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32,810,375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32,817,456</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33,110,560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32,861,231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32,924,018</w:t>
            </w:r>
          </w:p>
        </w:tc>
      </w:tr>
      <w:tr>
        <w:trPr>
          <w:trHeight w:val="191"/>
        </w:trPr>
        <w:tc>
          <w:tcPr>
            <w:tcW w:w="674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19" w:lineRule="exact"/>
        <w:rPr>
          <w:sz w:val="20"/>
          <w:szCs w:val="20"/>
          <w:color w:val="auto"/>
        </w:rPr>
      </w:pPr>
    </w:p>
    <w:p>
      <w:pPr>
        <w:ind w:left="660" w:right="3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administrative expenses for the years ended June 30, 2017, 2016 and 2015 included non-cash stock-based compensation expense of $1,180,618, $1,750,209, and $943,653, respectively. These years also included litigation expenses of $127,435, $2,729,755, and $1,015,105, respectively.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00"/>
              <w:spacing w:after="0"/>
              <w:rPr>
                <w:sz w:val="20"/>
                <w:szCs w:val="20"/>
                <w:color w:val="auto"/>
              </w:rPr>
            </w:pPr>
            <w:r>
              <w:rPr>
                <w:rFonts w:ascii="Arial" w:cs="Arial" w:eastAsia="Arial" w:hAnsi="Arial"/>
                <w:sz w:val="16"/>
                <w:szCs w:val="16"/>
                <w:b w:val="1"/>
                <w:bCs w:val="1"/>
                <w:color w:val="auto"/>
                <w:w w:val="96"/>
              </w:rPr>
              <w:t>Years Ended June 30,</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 attributable to the Company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8,044,313</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24,660,362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4,991,857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5,775,946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5,211,494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3,664,373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Impairments included in restructuring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1,180,618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1,809,548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943,653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Accretion of discount on asset retirement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34,866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Settlement of asset retirement obligations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(157,910)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(223,564)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4,090,919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1,422,489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(3,439,229)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109,974</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Noncash gain on Delhi field litigation settlement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Write-off of deferred loan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(1,665,261)</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(135,923)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24,754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378,049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551,452</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(621,850)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431,818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190,032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16,490,857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30,653,193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10,380,775</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settlements received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3,633,831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Proceeds from asset sales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398,242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 for development of oil and natural gas properties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(10,158,960)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(21,095,901)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(4,890,909)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Capital expenditures for technology and other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(313,059)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(161,345)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(236,559)</w:t>
            </w: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Net cash used by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(10,463,538)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(17,630,298)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(5,042,285)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141,600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share repurchases, including shares surrendered for tax withholding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(459,858)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(333,841)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Cash dividends to common stockholders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(8,432,435)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(6,565,823)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(9,833,642)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to preferred stockholders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(674,302)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Redemption of preferred shares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(7,932,975)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loan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(94,075)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Tax benefits related to 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9,650,657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1,633,946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Net cash provided (used)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(17,076,226)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935,408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(9,160,247)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(11,048,907)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13,958,303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(3,821,757)</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Cash and cash equivalents, beginning of year</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34,077,060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20,118,757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23,940,514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Cash and cash equivalents, end of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23,028,153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34,077,060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20,118,757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June 30, 2017, 2016 and 2015</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rPr>
              <w:t>Preferred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Par Value</w:t>
            </w:r>
          </w:p>
        </w:tc>
        <w:tc>
          <w:tcPr>
            <w:tcW w:w="120" w:type="dxa"/>
            <w:vAlign w:val="bottom"/>
            <w:vMerge w:val="restart"/>
          </w:tcPr>
          <w:p>
            <w:pPr>
              <w:spacing w:after="0"/>
              <w:rPr>
                <w:sz w:val="12"/>
                <w:szCs w:val="12"/>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June 30, 2014</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317,319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32,615,646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32,615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34,632,377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17,212,213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51,877,522</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Issuance of restricted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213,466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87,000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141,513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141,600</w:t>
            </w:r>
          </w:p>
        </w:tc>
        <w:tc>
          <w:tcPr>
            <w:tcW w:w="0" w:type="dxa"/>
            <w:vAlign w:val="bottom"/>
          </w:tcPr>
          <w:p>
            <w:pPr>
              <w:spacing w:after="0"/>
              <w:rPr>
                <w:sz w:val="1"/>
                <w:szCs w:val="1"/>
                <w:color w:val="auto"/>
              </w:rPr>
            </w:pPr>
          </w:p>
        </w:tc>
      </w:tr>
      <w:tr>
        <w:trPr>
          <w:trHeight w:val="157"/>
        </w:trPr>
        <w:tc>
          <w:tcPr>
            <w:tcW w:w="2960" w:type="dxa"/>
            <w:vAlign w:val="bottom"/>
          </w:tcPr>
          <w:p>
            <w:pPr>
              <w:ind w:left="40"/>
              <w:spacing w:after="0" w:line="157" w:lineRule="exact"/>
              <w:rPr>
                <w:sz w:val="20"/>
                <w:szCs w:val="20"/>
                <w:color w:val="auto"/>
              </w:rPr>
            </w:pPr>
            <w:r>
              <w:rPr>
                <w:rFonts w:ascii="Arial" w:cs="Arial" w:eastAsia="Arial" w:hAnsi="Arial"/>
                <w:sz w:val="14"/>
                <w:szCs w:val="14"/>
                <w:color w:val="auto"/>
              </w:rPr>
              <w:t>Common share repurchases, including shares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40"/>
              <w:spacing w:after="0"/>
              <w:rPr>
                <w:sz w:val="20"/>
                <w:szCs w:val="20"/>
                <w:color w:val="auto"/>
              </w:rPr>
            </w:pPr>
            <w:r>
              <w:rPr>
                <w:rFonts w:ascii="Arial" w:cs="Arial" w:eastAsia="Arial" w:hAnsi="Arial"/>
                <w:sz w:val="14"/>
                <w:szCs w:val="14"/>
                <w:color w:val="auto"/>
              </w:rPr>
              <w:t>surrendered for tax withholding</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(70,907)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(504,124)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(504,124)</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Retirements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504,124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943,653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943,653</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Tax benefits related to 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1,633,946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1,633,946</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4,991,857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4,991,857</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cash dividends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(9,833,642)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(9,833,642)</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Preferred stock cash dividends</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(674,302)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(674,302)</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June 30, 2015</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317,319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32,845,205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32,845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36,847,289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11,696,126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48,576,577</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Issuance of restricted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272,098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Forfeitures of restricted 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(40,758)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 repurchases, including shares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surrendered for tax withholding</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(218,682)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(1,263,402)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(1,263,402)</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Retirements of treasury 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(1,263,183)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1,263,402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1,809,548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1,809,548</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w w:val="93"/>
              </w:rPr>
              <w:t>Tax benefits related to 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9,650,657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9,650,657</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the Company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24,660,362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24,660,362</w:t>
            </w:r>
          </w:p>
        </w:tc>
        <w:tc>
          <w:tcPr>
            <w:tcW w:w="0" w:type="dxa"/>
            <w:vAlign w:val="bottom"/>
          </w:tcPr>
          <w:p>
            <w:pPr>
              <w:spacing w:after="0"/>
              <w:rPr>
                <w:sz w:val="1"/>
                <w:szCs w:val="1"/>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Common stock 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(6,565,823)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(6,565,823)</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cash dividends</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(674,302)</w:t>
            </w:r>
          </w:p>
        </w:tc>
        <w:tc>
          <w:tcPr>
            <w:tcW w:w="0" w:type="dxa"/>
            <w:vAlign w:val="bottom"/>
          </w:tcPr>
          <w:p>
            <w:pPr>
              <w:spacing w:after="0"/>
              <w:rPr>
                <w:sz w:val="1"/>
                <w:szCs w:val="1"/>
                <w:color w:val="auto"/>
              </w:rPr>
            </w:pPr>
          </w:p>
        </w:tc>
      </w:tr>
      <w:tr>
        <w:trPr>
          <w:trHeight w:val="250"/>
        </w:trPr>
        <w:tc>
          <w:tcPr>
            <w:tcW w:w="2960" w:type="dxa"/>
            <w:vAlign w:val="bottom"/>
          </w:tcPr>
          <w:p>
            <w:pPr>
              <w:ind w:left="40"/>
              <w:spacing w:after="0"/>
              <w:rPr>
                <w:sz w:val="20"/>
                <w:szCs w:val="20"/>
                <w:color w:val="auto"/>
              </w:rPr>
            </w:pPr>
            <w:r>
              <w:rPr>
                <w:rFonts w:ascii="Arial" w:cs="Arial" w:eastAsia="Arial" w:hAnsi="Arial"/>
                <w:sz w:val="14"/>
                <w:szCs w:val="14"/>
                <w:color w:val="auto"/>
              </w:rPr>
              <w:t>Balance, June 30, 2016</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317,319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32,907,863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32,907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47,171,563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29,116,363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76,321,150</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common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227,889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35,231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77,121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77,156</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Common share repurchases, including shares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surrendered for tax withholding</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(83,675)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(537,014)</w:t>
            </w:r>
          </w:p>
        </w:tc>
        <w:tc>
          <w:tcPr>
            <w:tcW w:w="0" w:type="dxa"/>
            <w:vAlign w:val="bottom"/>
          </w:tcPr>
          <w:p>
            <w:pPr>
              <w:spacing w:after="0"/>
              <w:rPr>
                <w:sz w:val="1"/>
                <w:szCs w:val="1"/>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Retirements of treasury 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(536,931)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537,014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1,180,618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1,180,618</w:t>
            </w:r>
          </w:p>
        </w:tc>
        <w:tc>
          <w:tcPr>
            <w:tcW w:w="0" w:type="dxa"/>
            <w:vAlign w:val="bottom"/>
          </w:tcPr>
          <w:p>
            <w:pPr>
              <w:spacing w:after="0"/>
              <w:rPr>
                <w:sz w:val="1"/>
                <w:szCs w:val="1"/>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Redemption of preferred shares</w:t>
            </w:r>
          </w:p>
        </w:tc>
        <w:tc>
          <w:tcPr>
            <w:tcW w:w="920" w:type="dxa"/>
            <w:vAlign w:val="bottom"/>
          </w:tcPr>
          <w:p>
            <w:pPr>
              <w:jc w:val="right"/>
              <w:spacing w:after="0"/>
              <w:rPr>
                <w:sz w:val="20"/>
                <w:szCs w:val="20"/>
                <w:color w:val="auto"/>
              </w:rPr>
            </w:pPr>
            <w:r>
              <w:rPr>
                <w:rFonts w:ascii="Arial" w:cs="Arial" w:eastAsia="Arial" w:hAnsi="Arial"/>
                <w:sz w:val="14"/>
                <w:szCs w:val="14"/>
                <w:color w:val="auto"/>
              </w:rPr>
              <w:t>(317,319)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(6,930,218)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(1,002,440)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(7,932,975)</w:t>
            </w:r>
          </w:p>
        </w:tc>
        <w:tc>
          <w:tcPr>
            <w:tcW w:w="0" w:type="dxa"/>
            <w:vAlign w:val="bottom"/>
          </w:tcPr>
          <w:p>
            <w:pPr>
              <w:spacing w:after="0"/>
              <w:rPr>
                <w:sz w:val="1"/>
                <w:szCs w:val="1"/>
                <w:color w:val="auto"/>
              </w:rPr>
            </w:pP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attributable to the Company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8,044,313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8,044,313</w:t>
            </w:r>
          </w:p>
        </w:tc>
        <w:tc>
          <w:tcPr>
            <w:tcW w:w="0" w:type="dxa"/>
            <w:vAlign w:val="bottom"/>
          </w:tcPr>
          <w:p>
            <w:pPr>
              <w:spacing w:after="0"/>
              <w:rPr>
                <w:sz w:val="1"/>
                <w:szCs w:val="1"/>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Common stock 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(8,432,435)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(8,432,435)</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cash dividends</w:t>
            </w:r>
          </w:p>
        </w:tc>
        <w:tc>
          <w:tcPr>
            <w:tcW w:w="10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(250,990)</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(250,990)</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4"/>
                <w:szCs w:val="14"/>
                <w:color w:val="auto"/>
              </w:rPr>
              <w:t>Balance, June 30, 2017</w:t>
            </w: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33,087,308</w:t>
            </w: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33,087</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40,961,957</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27,474,811</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68,469,855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60"/>
          </w:cols>
          <w:pgMar w:left="240" w:top="125" w:right="29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Preparation</w:t>
      </w:r>
    </w:p>
    <w:p>
      <w:pPr>
        <w:spacing w:after="0" w:line="283"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Evolution Petroleum Corporation ("EPM"), together with its subsidiaries (the "Company", "we", "our" or "us"),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petroleum company headquartered in Houston, Texas and incorporated under the laws of the State of Nevada. We are engaged primarily in the development and production of oil and gas reserves.</w:t>
      </w:r>
    </w:p>
    <w:p>
      <w:pPr>
        <w:spacing w:after="0" w:line="235" w:lineRule="exact"/>
        <w:rPr>
          <w:sz w:val="20"/>
          <w:szCs w:val="20"/>
          <w:color w:val="auto"/>
        </w:rPr>
      </w:pPr>
    </w:p>
    <w:p>
      <w:pPr>
        <w:ind w:right="60" w:firstLine="405"/>
        <w:spacing w:after="0" w:line="257" w:lineRule="auto"/>
        <w:rPr>
          <w:sz w:val="20"/>
          <w:szCs w:val="20"/>
          <w:color w:val="auto"/>
        </w:rPr>
      </w:pPr>
      <w:r>
        <w:rPr>
          <w:rFonts w:ascii="Arial" w:cs="Arial" w:eastAsia="Arial" w:hAnsi="Arial"/>
          <w:sz w:val="17"/>
          <w:szCs w:val="17"/>
          <w:b w:val="1"/>
          <w:bCs w:val="1"/>
          <w:i w:val="1"/>
          <w:iCs w:val="1"/>
          <w:color w:val="auto"/>
        </w:rPr>
        <w:t xml:space="preserve">Principles of Consolidation and Reporting. </w:t>
      </w:r>
      <w:r>
        <w:rPr>
          <w:rFonts w:ascii="Arial" w:cs="Arial" w:eastAsia="Arial" w:hAnsi="Arial"/>
          <w:sz w:val="17"/>
          <w:szCs w:val="17"/>
          <w:color w:val="auto"/>
        </w:rPr>
        <w:t>Our consolidated financial statements include the accounts of EPM and its wholly-owned subsidiaries.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significant intercompany transactions have been eliminated in consolidation. The consolidated financial statements for the previous year include certain reclassifications that were made to conform to the current presentation. Such reclassifications have no impact on previously reported net income or stockholders' equity. As a result of the separation of our GARP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artificial lift technology operations discussed in Note 7, previously reported revenues for the Delhi field and our artificial lift technology operations have been reclassified as appropriate to crude oil, natural gas liquids, natural gas and artificial lift technology service revenues. Before the reclassification, artificial lift technology revenues included crude oil, natural gas liquids and gas revenues produced by certain of the Company’s operated wells that utilized the technology, together with service revenues derived from the use of the Company’s technology in third party wells. Previously reported production costs for our artificial lift technology operations have been reclassified as appropriate to oil and gas production costs and cost of artificial lift technology services.</w:t>
      </w:r>
    </w:p>
    <w:p>
      <w:pPr>
        <w:spacing w:after="0" w:line="24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GAAP requires us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at the dates of the financial statements and the reported amounts of revenues and expenses during the reporting periods. Significant estimates include (a) reserve quantities and estimated future cash flows associated with proved reserves, which significantly impact depletion expense and potential impairments of oil and natural gas properties, (b) asset retirement obligations, (c) stock-based compensation, (d) fair values of derivative assets and liabilities, (e) income taxes and the valuation of deferred tax assets and (f) commitments and contingencies.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8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We consider all highly liquid investments, with original maturities of 90 days or less when purchased, to be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w:t>
      </w:r>
    </w:p>
    <w:p>
      <w:pPr>
        <w:spacing w:after="0" w:line="22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7"/>
          <w:szCs w:val="17"/>
          <w:b w:val="1"/>
          <w:bCs w:val="1"/>
          <w:i w:val="1"/>
          <w:iCs w:val="1"/>
          <w:color w:val="auto"/>
        </w:rPr>
        <w:t xml:space="preserve">Account Receivable and Allowance for Doubtful Accounts. </w:t>
      </w:r>
      <w:r>
        <w:rPr>
          <w:rFonts w:ascii="Arial" w:cs="Arial" w:eastAsia="Arial" w:hAnsi="Arial"/>
          <w:sz w:val="17"/>
          <w:szCs w:val="17"/>
          <w:color w:val="auto"/>
        </w:rPr>
        <w:t>Accounts receivable consist of joint interest owner obligations due within 30 days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 date, accrued revenues due under normal trade terms, generally requiring payment within 30 days of production, and other miscellaneous receivables. No interest is charged on past-due balances. Payments made on accounts receivable are applied to the earliest unpaid items. We establish provisions for losses on accounts receivables if it is determined that collection of all or a part of an outstanding balance is not probable. Collectibility is reviewed regularly and an allowance is established or adjusted, as necessary, using the specific identification method.</w:t>
      </w:r>
    </w:p>
    <w:p>
      <w:pPr>
        <w:spacing w:after="0" w:line="22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b w:val="1"/>
          <w:bCs w:val="1"/>
          <w:i w:val="1"/>
          <w:iCs w:val="1"/>
          <w:color w:val="auto"/>
        </w:rPr>
        <w:t xml:space="preserve">Oil and Natural Gas Properties. </w:t>
      </w:r>
      <w:r>
        <w:rPr>
          <w:rFonts w:ascii="Arial" w:cs="Arial" w:eastAsia="Arial" w:hAnsi="Arial"/>
          <w:sz w:val="17"/>
          <w:szCs w:val="17"/>
          <w:color w:val="auto"/>
        </w:rPr>
        <w:t>We use the full cost method of accounting for our investments in oil and natural gas properties. Under this method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2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Oil and natural gas properties include costs that are excluded from costs being depleted or amortized. Excluded costs represent investments in unproved and unevaluated properties and include non-producing leasehold, geological and geophysical costs associated with leasehold or drilling interests and exploration drilling costs. We exclude these costs until the project is evaluated and proved reserves are established or impairment is determined. Excluded costs are reviewed at least quarterly to determine if impairment has occurred. The amount of any evaluated or impaired oil and natural gas properties is transferred to capitalized costs being amortized.</w:t>
      </w:r>
    </w:p>
    <w:p>
      <w:pPr>
        <w:spacing w:after="0" w:line="24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Limitation on Capitalized Costs. </w:t>
      </w:r>
      <w:r>
        <w:rPr>
          <w:rFonts w:ascii="Arial" w:cs="Arial" w:eastAsia="Arial" w:hAnsi="Arial"/>
          <w:sz w:val="18"/>
          <w:szCs w:val="18"/>
          <w:color w:val="auto"/>
        </w:rPr>
        <w:t>Under the full-cost method of accounting, we are required, at the end of each fiscal quarter, to perform a test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limit on the book value of our oil and natural gas properties (the "Ceiling Test"). If</w:t>
      </w:r>
    </w:p>
    <w:p>
      <w:pPr>
        <w:sectPr>
          <w:pgSz w:w="11900" w:h="16838" w:orient="portrait"/>
          <w:cols w:equalWidth="0" w:num="1">
            <w:col w:w="11400"/>
          </w:cols>
          <w:pgMar w:left="240" w:top="337"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337" w:right="25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capitalized costs of our oil and natural gas properties, net of accumulated amortization and related deferred income taxes, 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 (b) the cost of properties not being amortized (pursuant to Reg. S-X Rule 4-10 (c)</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(3)(ii)); plus (c) the lower of cost or estimated fair value of unproven properties included in the costs being amortized; net of (d) the related tax effects related to the difference between the book and tax basis of our oil and natural gas properties. Our Ceiling Tests did not result in an impairment of our oil and natural gas properties during the years ended June 30, 2017, 2016 or 2015.</w:t>
      </w:r>
    </w:p>
    <w:p>
      <w:pPr>
        <w:spacing w:after="0" w:line="244"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b w:val="1"/>
          <w:bCs w:val="1"/>
          <w:i w:val="1"/>
          <w:iCs w:val="1"/>
          <w:color w:val="auto"/>
        </w:rPr>
        <w:t xml:space="preserve">Other Property and Equipment. </w:t>
      </w:r>
      <w:r>
        <w:rPr>
          <w:rFonts w:ascii="Arial" w:cs="Arial" w:eastAsia="Arial" w:hAnsi="Arial"/>
          <w:sz w:val="16"/>
          <w:szCs w:val="16"/>
          <w:color w:val="auto"/>
        </w:rPr>
        <w:t>Other property and equipment includes leasehold improvements, data processing and telecommunications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office furniture and equipment, and oilfield service equipment related to our artificial lift technology operations. These items are recorded at cost and depreciated over expected lives of the individual assets or group of assets, which range from three to seven years. These assets are depreciated using the straight-line method, except for oilfield service equipment related to our artificial lift technology operations, which was depreciated using a method which approximated the timing and amounts of expected revenues from the contract.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22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b w:val="1"/>
          <w:bCs w:val="1"/>
          <w:i w:val="1"/>
          <w:iCs w:val="1"/>
          <w:color w:val="auto"/>
        </w:rPr>
        <w:t xml:space="preserve">Deferred Financing Costs. </w:t>
      </w:r>
      <w:r>
        <w:rPr>
          <w:rFonts w:ascii="Arial" w:cs="Arial" w:eastAsia="Arial" w:hAnsi="Arial"/>
          <w:sz w:val="18"/>
          <w:szCs w:val="18"/>
          <w:color w:val="auto"/>
        </w:rPr>
        <w:t>The Company capitalizes costs incurred in connection with obtaining financing. These costs are included in other assets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consolidated balance sheet and are amortized over the term of the related financing using the straight-line method, which approximates the effective interest method.</w:t>
      </w:r>
    </w:p>
    <w:p>
      <w:pPr>
        <w:spacing w:after="0" w:line="2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An asset retirement obligation associated with the retirement of a tangible long-lived asset is recognized as a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period incurred, with an associated 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22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Our financial instruments consist of cash and cash equivalents, certificates of deposit,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derivative instruments. Except for derivatives, the carrying amounts of these approximate fair value due to the highly liquid nature of these short-term instruments. The fair values of the Company’s derivative assets and liabilities are based on a third-party industry-standard pricing model that uses market data obtained from third-party sources, including quoted forward prices for oil and gas, discount rates and volatility factors.</w:t>
      </w:r>
    </w:p>
    <w:p>
      <w:pPr>
        <w:spacing w:after="0" w:line="20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We estimate the fair value of stock-based compensation awards on the grant date to provide the basis for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Service-based and performance-based Restricted Stock and Contingent Restricted Stock awards are valued using the market price of our common stock on the grant date. Market-based awards are valued using a Monte Carlo simulation based on the historical volatility of the Company's total stock return compared to the historical volatilities of other companies or indices to which we compare our performance. This Monte Carlo simulation also provides an expected vesting period. We use the Black-Scholes option-pricing model to determine grant date fair value of any Stock Option or Incentive Warrant awards. For service-based awards, stock-based compensation is recognized ratably over the service period. For performance-based awards, stock based compensation is recognized ratably over the expected vesting period when it is deemed probable, for accounting purposes, that the performance goal will be achieved. The expected vesting period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37"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may be shorter than the remaining term. For market-based awards, stock-based compensation expense is recognized ratably over the expected vesting period, so long as the award holder remains an employee of the Company. Total compensation expense is independent of vesting or expiration of the awards, except for termination of service.</w:t>
      </w:r>
    </w:p>
    <w:p>
      <w:pPr>
        <w:spacing w:after="0" w:line="2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 Oil and Gas. </w:t>
      </w:r>
      <w:r>
        <w:rPr>
          <w:rFonts w:ascii="Arial" w:cs="Arial" w:eastAsia="Arial" w:hAnsi="Arial"/>
          <w:sz w:val="18"/>
          <w:szCs w:val="18"/>
          <w:color w:val="auto"/>
        </w:rPr>
        <w:t>We recognize oil and natural gas revenue from our interests in producing wells at the time that title passes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purchaser. As a result, we accrue revenues related to production sold for which we have not received payment.</w:t>
      </w:r>
    </w:p>
    <w:p>
      <w:pPr>
        <w:spacing w:after="0" w:line="22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 Artificial Lift Technology. </w:t>
      </w:r>
      <w:r>
        <w:rPr>
          <w:rFonts w:ascii="Arial" w:cs="Arial" w:eastAsia="Arial" w:hAnsi="Arial"/>
          <w:sz w:val="18"/>
          <w:szCs w:val="18"/>
          <w:color w:val="auto"/>
        </w:rPr>
        <w:t>Our artificial lift technology operations generated revenues under contractual arrangements.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contracts, we were required to bear part or all of the incremental installation and capital costs for the technology. We evaluated the substance of each contractual arrangement and recognized revenues over the life of the contract as the earnings process was determined to be complete. We likewise charged our related costs, including both capital expenditures and operating expenses, to operating costs in a manner which either matched these costs to the timing of expected revenues, where appropriate, or charged these costs to the accounting period in which they were incurred where it was not appropriate to capitalize or defer them to match with revenues.</w:t>
      </w:r>
    </w:p>
    <w:p>
      <w:pPr>
        <w:spacing w:after="0" w:line="34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Derivative Instruments. </w:t>
      </w:r>
      <w:r>
        <w:rPr>
          <w:rFonts w:ascii="Arial" w:cs="Arial" w:eastAsia="Arial" w:hAnsi="Arial"/>
          <w:sz w:val="17"/>
          <w:szCs w:val="17"/>
          <w:color w:val="auto"/>
        </w:rPr>
        <w:t>The Company has used and may continue to use derivative transactions to reduce its exposure to oil price volatility.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instruments are recorded on the consolidated balance sheet as either an asset or liability measured at fair value. The Company nets its fair value amounts for derivative instruments executed with the same counterparty, where such transactions are covered by an ISDA master agreement that provides for net settlement over the term of the contract and in the event of default or termination of the contract. Although the derivative instruments are intended to provide an economic hedge of the Company’s exposure to commodity price volatility, the Company has not attempted to qualify its derivative instruments for hedge accounting treatment. As a result, changes in the fair value of derivative instruments are recognized as gains or losses in the consolidated statements of operations in the period in which the changes occur. The net cash flows resulting from the payments to and receipts from counterparties as a result of derivative settlements are classified as cash flows from investing activities rather than operating activities. The Company does not intend to enter into derivative instruments for speculative or trading purposes.</w:t>
      </w:r>
    </w:p>
    <w:p>
      <w:pPr>
        <w:spacing w:after="0" w:line="101" w:lineRule="exact"/>
        <w:rPr>
          <w:sz w:val="20"/>
          <w:szCs w:val="20"/>
          <w:color w:val="auto"/>
        </w:rPr>
      </w:pPr>
    </w:p>
    <w:p>
      <w:pPr>
        <w:ind w:right="380" w:firstLine="432"/>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depreciable base for oil and natural gas properties includes the sum of all capitalized costs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DD&amp;A,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 Other property, consisting of leasehold improvements, office and computer equipment, vehicles and artificial lift equipment is depreciated as described above in Other Property and Equipment.</w:t>
      </w:r>
    </w:p>
    <w:p>
      <w:pPr>
        <w:spacing w:after="0" w:line="2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recognize deferred tax assets and liabilities based on the differences between the tax basis of assets and liabilities and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in the financial statements that may result in taxable or deductible amounts in future years. The measurement of deferred tax assets may be reduced by a valuation allowance based upon management's assessment of available evidence if it is deemed more likely than not some or all of the deferred tax assets will not be realizable. We recognize a tax benefit from an uncertain position when it is more likely than not that the position will be sustained upon examination, based on the technical merits of the position and will record the amount of tax benefit that has a greater than 50% likelihood of being realized upon settlement with a taxing authority. The Company classifies any interest and penalties associated with income taxes as income tax expense.</w:t>
      </w:r>
    </w:p>
    <w:p>
      <w:pPr>
        <w:spacing w:after="0" w:line="219"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b w:val="1"/>
          <w:bCs w:val="1"/>
          <w:i w:val="1"/>
          <w:iCs w:val="1"/>
          <w:color w:val="auto"/>
        </w:rPr>
        <w:t xml:space="preserve">Earnings (loss) per share. </w:t>
      </w:r>
      <w:r>
        <w:rPr>
          <w:rFonts w:ascii="Arial" w:cs="Arial" w:eastAsia="Arial" w:hAnsi="Arial"/>
          <w:sz w:val="17"/>
          <w:szCs w:val="17"/>
          <w:color w:val="auto"/>
        </w:rPr>
        <w:t>Basic earnings (loss) per share ("EPS") is computed by dividing earnings or loss available to common stockholders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Potentially dilutive common shares are our outstanding stock options and contingent restricted common stock. We use the treasury stock method to determine the effect of potentially dilutive common shares on diluted EPS, unless the effect would be anti-dilutive. Under this method, exercise of stock options and, under certain conditions, contingent restricted common stock is assumed to have occurred at the beginning of the period (or at time of issuance, if later) and common shares are assumed to have been issued. The proceeds from exercise of stock options and unamortized stock compensation expense related to restricted common stock are assumed to be used to repurchase common stock at the average market price during the period. The incremental shares (the difference between the number of shares assumed issued and the number of shares assumed repurchased) are included in the denominator of the diluted EPS computation. Contingent restricted stock is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7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In August 2015, the Financial Accounting Standards Board ("FASB") issued Accounting Standards Update 2015-14, which defers the effective date of ASU 2014-09 </w:t>
      </w:r>
      <w:r>
        <w:rPr>
          <w:rFonts w:ascii="Arial" w:cs="Arial" w:eastAsia="Arial" w:hAnsi="Arial"/>
          <w:sz w:val="17"/>
          <w:szCs w:val="17"/>
          <w:i w:val="1"/>
          <w:iCs w:val="1"/>
          <w:color w:val="auto"/>
        </w:rPr>
        <w:t>Revenue from Contracts with Customers (Topic 606) ("</w:t>
      </w:r>
      <w:r>
        <w:rPr>
          <w:rFonts w:ascii="Arial" w:cs="Arial" w:eastAsia="Arial" w:hAnsi="Arial"/>
          <w:sz w:val="17"/>
          <w:szCs w:val="17"/>
          <w:color w:val="auto"/>
        </w:rPr>
        <w:t xml:space="preserve"> ASU 2014-09") by one year and allows entities the option to early adopt the new revenue standard as of the original effective date. Issued in May 2014, ASU 2014-09 provided guidance on revenue recognition on contracts with customers to transfer goods or services or on contracts for the transfer of nonfinancial assets. ASU 2014-09 requires that revenue recognition on contracts with customers depict the transfer of promised goods or services to customers in an amount that reflects the consideration to which the entity expects to be entitled in exchange for those goods or services. For public companies, ASU 2014-09 is now effective for fiscal years, and interim periods within those years, beginning after December 15, 2017. The standard provides for either the full retrospective or modified retrospective transition methods. We expect to adopt this standard using the modified retrospective method. The Company expects that additional disclosures will be required as a result of adopting ASU 2014-09 and is currently assessing the impact of the guidance on its consolidated financial statements.</w:t>
      </w:r>
    </w:p>
    <w:p>
      <w:pPr>
        <w:spacing w:after="0" w:line="101"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2016-01"). The pronouncement requires equity investments (except those accounted for under the equity method of accounting, or those</w:t>
      </w:r>
      <w:r>
        <w:rPr>
          <w:rFonts w:ascii="Arial" w:cs="Arial" w:eastAsia="Arial" w:hAnsi="Arial"/>
          <w:sz w:val="16"/>
          <w:szCs w:val="16"/>
          <w:i w:val="1"/>
          <w:iCs w:val="1"/>
          <w:color w:val="auto"/>
        </w:rPr>
        <w:t xml:space="preserve"> </w:t>
      </w:r>
      <w:r>
        <w:rPr>
          <w:rFonts w:ascii="Arial" w:cs="Arial" w:eastAsia="Arial" w:hAnsi="Arial"/>
          <w:sz w:val="16"/>
          <w:szCs w:val="16"/>
          <w:color w:val="auto"/>
        </w:rPr>
        <w:t>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The expected adoption method of ASU 2016-01 is being evaluated by the Company and the adoption is not expected to have a significant impact on the Company’s consolidated financial position or results of operations.</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On February 25, 2016, the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relates to the accounting for leasing transactions. This standard requires a lessee to record on the balance sheet the assets and liabilities for the rights and obligations created by leases with lease terms of more than twelve months. In addition, this standard requires both lessees and lessors to disclose certain key information about lease transactions. This standard will be effective for fiscal years beginning after December 15, 2018, including interim periods within those fiscal years. We are evaluating the impact the adoption of ASU 2016-02 will have on our consolidated financial statements.</w:t>
      </w:r>
    </w:p>
    <w:p>
      <w:pPr>
        <w:spacing w:after="0" w:line="18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which is intended to reduce diversity in practice in how certain transactions are classified in the statement of cash flows. The guidance addresses eight specific cash flow issues for which current GAAP is either unclear or does not include specific guidance. This standard will be effective for fiscal years beginning after December 15, 2017, including interim periods within those fiscal years with early adoption permitted, provided that it is adopted in its entirety in the same period. Currently, the Company does not expect the impact of adopting ASU 2016-15 to have a material effect on its consolidated statements of cash flows.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 xml:space="preserve">The Company early adopted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to be applied prospectively effective for the three months ended September 30, 2016, the first quarter of our fiscal year. This amended guidance simplifies the balance sheet position presentation and reduces complexity in accounting for deferred income tax assets and liabilities. The update requires that deferred tax assets and liabilities be classified as noncurrent in a classified statement of financial position. As a result, current deferred tax assets have been combined with noncurrent deferred income tax liabilities in the June 30, 2017 consolidated balance sheet. The prior periods presented were not retroactively adjusted.</w:t>
      </w:r>
    </w:p>
    <w:p>
      <w:pPr>
        <w:spacing w:after="0" w:line="158" w:lineRule="exact"/>
        <w:rPr>
          <w:sz w:val="20"/>
          <w:szCs w:val="20"/>
          <w:color w:val="auto"/>
        </w:rPr>
      </w:pPr>
    </w:p>
    <w:p>
      <w:pPr>
        <w:ind w:right="340" w:firstLine="405"/>
        <w:spacing w:after="0" w:line="293" w:lineRule="auto"/>
        <w:rPr>
          <w:sz w:val="20"/>
          <w:szCs w:val="20"/>
          <w:color w:val="auto"/>
        </w:rPr>
      </w:pPr>
      <w:r>
        <w:rPr>
          <w:rFonts w:ascii="Arial" w:cs="Arial" w:eastAsia="Arial" w:hAnsi="Arial"/>
          <w:sz w:val="16"/>
          <w:szCs w:val="16"/>
          <w:color w:val="auto"/>
        </w:rPr>
        <w:t xml:space="preserve">The Company early adopted ASU 2016-09, </w:t>
      </w:r>
      <w:r>
        <w:rPr>
          <w:rFonts w:ascii="Arial" w:cs="Arial" w:eastAsia="Arial" w:hAnsi="Arial"/>
          <w:sz w:val="16"/>
          <w:szCs w:val="16"/>
          <w:i w:val="1"/>
          <w:iCs w:val="1"/>
          <w:color w:val="auto"/>
        </w:rPr>
        <w:t>Compensation - Stock Compensation: Improvements to Employee Share-Based Payment Accounting,</w:t>
      </w:r>
      <w:r>
        <w:rPr>
          <w:rFonts w:ascii="Arial" w:cs="Arial" w:eastAsia="Arial" w:hAnsi="Arial"/>
          <w:sz w:val="16"/>
          <w:szCs w:val="16"/>
          <w:color w:val="auto"/>
        </w:rPr>
        <w:t xml:space="preserve"> effective for the three months ended September 30, 2016. This amended guidance simplifies and improves several aspects of the accounting for employee share-based payment transactions. Under previous guidance excess tax benefits were recognized as paid in capital to the extent they reduced cash taxes otherwise payable, and tax deficiencies were recognized as an offset to accumulated excess benefits, if any, or in the statement of operations. The new guidance requires companies to record excess tax benefits and tax deficiencies as income tax benefit or expense in the statements of operations when the awards vest or are settled. Under the required modified retrospective transition, the Company had no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cumulative-effect adjustment to retained earnings at the beginning of the period of adoption, as its accumulated excess tax benefits had been completely used in reducing taxable income for the year ended June 30, 2016. For vestings that occurred during the year ended June 30, 2017, a related tax deficiency of $27,884 was recognized in income tax expense. The Company also elected to prospectively adopt the presentation of excess tax benefits in the operating section of the statements of cash flows. Accordingly, such statements for pre-adoption periods will continue to present excess tax benefits in the financing section. The amended guidance permits entities to make an accounting policy election related to how forfeitures will impact the recognition of compensation cost for stock-based compensation. Entities can continue to estimate the number of awards which are expected to be forfeited prior to the end of the service period as currently required or can elect to account for forfeitures as they occur. Upon early adoption, the Company elected to change its accounting policy to account for forfeitures as they occur. Except for the effect on income tax expense mentioned above, none of the other provisions in this amended guidance had a material impact on our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and 2016 our receivables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oil and gas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2,722,880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2,637,593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595</w:t>
            </w:r>
          </w:p>
        </w:tc>
      </w:tr>
      <w:tr>
        <w:trPr>
          <w:trHeight w:val="27"/>
        </w:trPr>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receivables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2,726,702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2,638,188</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losses from uncollectible accounts receivable, nor any allowance for doubtful accounts in any of the periods presented in these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Prepaid Expenses and Other Current Assets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and 2016 our prepaid expenses and other current assets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168,681</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Prepaid federal and state income taxes</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121,232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Retainers and deposits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30,568</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Derivative assets, net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14,132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52,500</w:t>
            </w: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387,672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265,881</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and 2016, our oil and natural gas properties and other property and equipment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and natural gas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Property costs subject to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84,962,933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77,408,353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depletion,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(23,172,865)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(17,437,890)</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Unproved properties not subject to amortization</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and natural gas properties, net</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61,790,068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59,970,463</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property and equipment</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fixtures, office equipment and other, at cost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235,752</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(207,103)</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40,689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28,649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337" w:right="25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and 2016, all oil and gas property costs were being amortized.</w:t>
      </w:r>
    </w:p>
    <w:p>
      <w:pPr>
        <w:spacing w:after="0" w:line="279"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During the year ended June 30, 2017, the Company incurred capital expenditures of $7.1 million for the Delhi field, including approximately $4.8 million for the NGL plant project. We have incurred approximately $26.3 million on a cumulative basis for the NGL plant.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Assets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and 2016, our other assets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rights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108,512</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Less: Accumulated amortization of royalty rights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Well Lift Inc., at cost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108,750</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loan costs</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168,972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168,972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 of deferred loan costs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295,384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365,489</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For further details about our royalty rights and investment in Well Lift Inc. ("WLI"), see Note 7 – Restructuring. These assets were recorded in connection with the separation of our artificial lift technology operations. The Company accounts for its investment in WLI using the cost method, under which any return of capital reduces cost and any dividends paid are recorded as income. Investment value is evaluated for impairment at least quarterly or when management identifies any events or changes in circumstances that may have a significant adverse effect on the fair value of the investment. There is no published market value for this private investment, so it is not practicable to value it at fair market value on a periodic basis.</w:t>
      </w:r>
    </w:p>
    <w:p>
      <w:pPr>
        <w:spacing w:after="0" w:line="119"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In April 2016, we entered into a new secured credit facility, incurring $168,972 of deferred loan costs. Our previous credit facility had deferred loan costs of $179,468, which were fully amortized at its expiration in April 2016. During the year ended June 30, 2016, negotiations to obtain a new expanded secured credit facility from our previous lender were curtailed due to market conditions. We determined that $50,414 of deferred legal fees related to this proposed facility were unlikely to be utilized and were charged to expense. In addition, $107,196 of deferred costs incurred for title work in the Delhi field were charged to capitalized costs of oil and gas properties. Amortization of deferred loan costs related to our credit facilities for the years ended June 30, 2017, 2016 and 2015 was $56,541, $46,374 and $48,636,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GARP</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Artificial Lift Technology Operations</w:t>
      </w:r>
    </w:p>
    <w:p>
      <w:pPr>
        <w:spacing w:after="0" w:line="149" w:lineRule="exact"/>
        <w:rPr>
          <w:sz w:val="20"/>
          <w:szCs w:val="20"/>
          <w:color w:val="auto"/>
        </w:rPr>
      </w:pPr>
    </w:p>
    <w:p>
      <w:pPr>
        <w:ind w:firstLine="405"/>
        <w:spacing w:after="0" w:line="267" w:lineRule="auto"/>
        <w:rPr>
          <w:sz w:val="20"/>
          <w:szCs w:val="20"/>
          <w:color w:val="auto"/>
        </w:rPr>
      </w:pPr>
      <w:r>
        <w:rPr>
          <w:rFonts w:ascii="Arial" w:cs="Arial" w:eastAsia="Arial" w:hAnsi="Arial"/>
          <w:sz w:val="16"/>
          <w:szCs w:val="16"/>
          <w:color w:val="auto"/>
        </w:rPr>
        <w:t>During the quarter ended December 31, 2015, we conducted a strategic review of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artificial lift technology operations and consummated a plan to separate and transfer these operations to a new entity controlled by the inventor of the technology, our former Senior Vice President of Operations, and certain former employees of the Company. We invested $108,750 in common and preferred stock of the new entity, WLI. We own 17.5% of WLI and our former employees that previously had primary responsibility for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operations own the balance of the common stock. Our preferred stock is convertible at our option into common stock which would result in our ownership of 42.5% of WLI, based on the current capital structure of WLI. The Company has no contractual exposure to losses of WLI, nor does it have any obligation or agreement to provide additional funding or support to WLI if it is needed. In connection with this transaction, three employees of the Company were terminated. We accrued a restructuring charge based on agreements with the employees covering salary and benefit continuation and an acceleration of vesting of equity awards in exchange for release from liabilities and other provisions including agreements not to compete. At December 31, 2015, we recorded a personnel restructuring charge of $688,205 consisting of $59,339 in stock-based compensation and $628,866 of accrued separation and benefits expense. All of such accrued separation and benefits costs had been settled as of June 30, 2017, and an adjustment of $4,488 was recorded in the current year to reflect the difference between the original accrual and actual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Restructuring Impairments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in connection with the December 2015 separation of GARP</w:t>
      </w:r>
      <w:r>
        <w:rPr>
          <w:rFonts w:ascii="Arial" w:cs="Arial" w:eastAsia="Arial" w:hAnsi="Arial"/>
          <w:sz w:val="25"/>
          <w:szCs w:val="25"/>
          <w:color w:val="auto"/>
          <w:vertAlign w:val="superscript"/>
        </w:rPr>
        <w:t>®</w:t>
      </w:r>
      <w:r>
        <w:rPr>
          <w:rFonts w:ascii="Arial" w:cs="Arial" w:eastAsia="Arial" w:hAnsi="Arial"/>
          <w:sz w:val="18"/>
          <w:szCs w:val="18"/>
          <w:color w:val="auto"/>
        </w:rPr>
        <w:t>, we transferred our technology assets, including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37"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patents and trademarks, to WLI in exchange for a perpetual royalty of 5% on all future gross revenues associated with the GARP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We reduced the carrying value of these technology assets to our estimate of their expected discounted net present value, which was $108,512. This resulted in an impairment charge of $469,395. In addition, we transferred certain inventory and minor fixed assets to WLI that had no further use in our operations and were deemed to have negligible market or salvage value. This resulted in impairments of $92,901 to equipment inventory and $6,932 to fixed assets, respectively. These impairments totaled $569,228 and are included in restructuring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 and Other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and 2016 our accrued liabilities and other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 and other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999,172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restructuring charges</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419,488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due within one year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201,896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royalties, including suspended accounts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49,580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franchise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62,834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Payable for settled derivatives</w:t>
            </w: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318,708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46,273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Accrued liabilities and other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617,839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2,097,951</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–Asset Retirement Obligations</w:t>
      </w:r>
    </w:p>
    <w:p>
      <w:pPr>
        <w:spacing w:after="0" w:line="283"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Our asset retirement obligations represent the estimated present value of the amount we will incur to plug, abandon and remediate our producing properties at the end of their productive lives in accordance with applicable laws. The following is a reconciliation of the beginning and ending asset retirement obligations for the years ended June 30, 2017 and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June 30,</w:t>
            </w:r>
          </w:p>
        </w:tc>
      </w:tr>
      <w:tr>
        <w:trPr>
          <w:trHeight w:val="264"/>
        </w:trPr>
        <w:tc>
          <w:tcPr>
            <w:tcW w:w="79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772,990</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Liabilities incurred</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28,505</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Liabilities sold (b)</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discount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Revisions to previous estimates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419,072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111,647</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end of period (b)</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1,288,743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962,196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Less current asset retirement obligations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(201,896)</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asset retirement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1,253,628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760,300</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640" w:hanging="227"/>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conveyed our interest in a well to the previous operator in exchange for the assumption of our asset retirement obligations.</w:t>
      </w:r>
    </w:p>
    <w:p>
      <w:pPr>
        <w:spacing w:after="0" w:line="194" w:lineRule="exact"/>
        <w:rPr>
          <w:rFonts w:ascii="Arial" w:cs="Arial" w:eastAsia="Arial" w:hAnsi="Arial"/>
          <w:sz w:val="16"/>
          <w:szCs w:val="16"/>
          <w:color w:val="auto"/>
        </w:rPr>
      </w:pPr>
    </w:p>
    <w:p>
      <w:pPr>
        <w:ind w:left="420" w:hanging="7"/>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we have now retired all of our remaining operated wells, our asset retirement obligations as of June 30, 2017 consist entirely of our working interest obligations in the Delhi field.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we had 33,087,308 shares of common stock outstanding.</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December 2013, the Board of Directors initiated a quarterly cash dividend on our common stock at a quarterly rate of $0.10 per share. This rate was subsequently adjusted to $0.05 per share during the quarter ended March 31, 2015. During the</w:t>
      </w:r>
    </w:p>
    <w:p>
      <w:pPr>
        <w:sectPr>
          <w:pgSz w:w="11900" w:h="16838" w:orient="portrait"/>
          <w:cols w:equalWidth="0" w:num="1">
            <w:col w:w="11400"/>
          </w:cols>
          <w:pgMar w:left="240" w:top="337"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337" w:right="25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year ended June 30, 2017, the Board of Directors made two increases to the quarterly cash dividend, resulting in rates of $0.065 per share for the December 31, 2016 dividend payment and $0.07 per share for the March 31, 2017 dividend payment. We paid total cash dividends of $8,432,435, $6,565,823 and $9,833,642 to our common shareholders during the years ended June 30, 2017, 2016 and 2015, respectively.</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May 2015, the Board of Directors approved a share repurchase program covering up to $5 million of the Company's common stock. As of June 30, 2017, we have repurchased 265,762 shares at an average price of $6.05 per share, for total cost of $1,609,008. Under the program's terms, shares are repurchased only on the open market and in accordance with the requirements of the Securities and Exchange Commission. Such shares are initially recorded as treasury stock, then subsequently canceled. The timing and amount of repurchases depends upon several factors, including financial resources and market and business conditions. There is no fixed termination date for this repurchase program, and it may be suspended or discontinued at any time. We have not repurchased any shares since December 2015.</w:t>
      </w:r>
    </w:p>
    <w:p>
      <w:pPr>
        <w:spacing w:after="0" w:line="193"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During the year ended June 30, 2017, the Company acquired 83,675 shares of treasury stock at an average cost of $6.42 per share (totaling $537,014) from holders of newly vested stock-based awards to fund the recipients' payroll taxes paid in the year. The treasury shares were subsequently canceled.</w:t>
      </w:r>
    </w:p>
    <w:p>
      <w:pPr>
        <w:spacing w:after="0" w:line="43"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During the year ended June 30, 2016, the Company purchased 202,390 shares of treasury stock at an average cost of $5.80 per share (totaling</w:t>
      </w:r>
    </w:p>
    <w:p>
      <w:pPr>
        <w:spacing w:after="0" w:line="3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$1,173,899) under its share repurchase program and also acquired 16,292 shares of treasury stock at an average cost of $5.49 per share (totaling $89,503) from holders of newly vested stock-based awards to fund the recipients' payroll taxes paid in the year. All treasury shares were subsequently canceled.</w:t>
      </w:r>
    </w:p>
    <w:p>
      <w:pPr>
        <w:spacing w:after="0" w:line="19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During the year ended June 30, 2015, the Company purchased 63,372 shares of treasury stock at an average cost of $6.87 per share (totaling $435,109) under its share repurchase program and also acquired 7,535 shares of treasury stock at an average cost of $9.16 per share (totaling $69,015) from holders of newly vested stock-based awards to fund the recipients' payroll taxes paid in the year. All treasury shares were subsequently canceled.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Cumulative Perpetual Preferred Stock Called for Redemption</w:t>
      </w:r>
    </w:p>
    <w:p>
      <w:pPr>
        <w:spacing w:after="0" w:line="144"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On September 30, 2016, the Company elected to redeem all 317,319 outstanding shares of the Company’s 8.5% Series A Cumulative (perpetual) Preferred Stock. The redemption occurred on November 14, 2016 at the redemption value of $25.00 per share plus all accumulated and unpaid distributions, for an aggregate redemption cost of $7,932,975.</w:t>
      </w:r>
    </w:p>
    <w:p>
      <w:pPr>
        <w:spacing w:after="0" w:line="181"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On September 30, 2016, in connection with the planned redemption, the Company recorded a deemed dividend of $1,002,440, representing the difference between the redemption consideration paid and the historical net issuance proceeds of the preferred shares. Accordingly, net income was adjusted for this deemed dividend to determine net income attributable to common shareholders and earnings per common share.</w:t>
      </w:r>
    </w:p>
    <w:p>
      <w:pPr>
        <w:spacing w:after="0" w:line="16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Dividends on the Series A Cumulative Preferred Stock accrued and accumulated at a fixed rate of 8.5% per annum on the $25.00 per share liquidation preference, payable monthly. During the year ended June 30, 2017, we paid cash dividends of $250,990 to holders of our Series A Preferred Stock. During each of the years ended June 30, 2016 and 2015, we paid cash dividends of $674,302.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Dividends to Recipients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our current projections for the fiscal year ending June 30, 2017, we expect all preferred and common dividends to be treated for tax purposes as qualified dividend income to the recipients. For the fiscal year ended June 30, 2016, all preferred and common dividends for this fiscal year were treated for tax purposes as qualified dividend income to the recipients. For fiscal year ended June 30, 2015, 100% of cash dividends on preferred stock were treated as qualified dividend income. For the same period, approximately 86% of cash dividends on common shares were treated as a return of capital to stockholders and the remainder of 14% were treated as qualified dividend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At the December 8, 2016 annual meeting, the stockholders approved the adoption of the Evolution Petroleum Corporation 2016 Equity Incentive Plan (the “2016 Plan”), which replaced the Evolution Petroleum Corporation Amended and Restated 2004 Stock Plan (the "2004 Plan"). The 2016 Plan authorizes the issuance of 1,100,000 shares of common stock prior</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337" w:right="3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our common stock, including its appreciation in value. As of June 30, 2017, 1,100,000 shares were available for grant under the 2016 Plan.</w:t>
      </w:r>
    </w:p>
    <w:p>
      <w:pPr>
        <w:spacing w:after="0" w:line="15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At June 30, 2017, no shares remained available for grant under the 2004 Plan. We were authorized to issue 6,500,000 shares of common stock prior to its expiration on October 24, 2017. In connection with the adoption of the 2016 Plan, the Board terminated the 2004 Plan on December 8, 2016 and 32,146 remaining reserved shares were released to the Company's authorized but unissued and unreserved shares. All outstanding awards granted under the 2004 Plan continue to be subject to the terms and conditions as set forth in the agreements evidencing such awards and the terms of the 2004 Plan. Under these agreements, we have granted option awards to purchase common stock (the "Stock Options"), restricted common stock awards ("Restricted Stock"), contingent restricted common stock awards ("Contingent Restricted Stock") and/or unrestricted fully vested common stock, to employees, directors, and consultants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0" w:firstLine="486"/>
        <w:spacing w:after="0" w:line="342" w:lineRule="auto"/>
        <w:rPr>
          <w:sz w:val="20"/>
          <w:szCs w:val="20"/>
          <w:color w:val="auto"/>
        </w:rPr>
      </w:pPr>
      <w:r>
        <w:rPr>
          <w:rFonts w:ascii="Arial" w:cs="Arial" w:eastAsia="Arial" w:hAnsi="Arial"/>
          <w:sz w:val="16"/>
          <w:szCs w:val="16"/>
          <w:color w:val="auto"/>
        </w:rPr>
        <w:t>No Stock Options have been granted since August 2008 and all compensation costs attributable to Stock Options have been recognized in prior periods. The following summary presents information regarding outstanding Stock Options as of June 30, 2017, and the changes during the period: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Stock</w:t>
            </w:r>
          </w:p>
        </w:tc>
        <w:tc>
          <w:tcPr>
            <w:tcW w:w="170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Term (in</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left="342"/>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Intrinsic Value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 at July 1, 2016</w:t>
            </w: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tcPr>
          <w:p>
            <w:pPr>
              <w:jc w:val="right"/>
              <w:spacing w:after="0"/>
              <w:rPr>
                <w:sz w:val="20"/>
                <w:szCs w:val="20"/>
                <w:color w:val="auto"/>
              </w:rPr>
            </w:pPr>
            <w:r>
              <w:rPr>
                <w:rFonts w:ascii="Arial" w:cs="Arial" w:eastAsia="Arial" w:hAnsi="Arial"/>
                <w:sz w:val="18"/>
                <w:szCs w:val="18"/>
                <w:color w:val="auto"/>
              </w:rPr>
              <w:t>(35,231)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outstanding at June 30, 2017</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 ended June 30, 2017, there were 35,231 Stock Options exercised with an aggregate intrinsic value of $188,821. For the year ended June 30, 2016, there were 50,000 Stock Options exercised with an aggregate intrinsic value of $131,000. For the year ended June 30, 2015, there were 87,000 Stock Options exercised, with an aggregate intrinsic value of $501,810.</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stock options vested during the years ended June 30, 2017,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Contingent Restricted Stock</w:t>
      </w:r>
    </w:p>
    <w:p>
      <w:pPr>
        <w:spacing w:after="0" w:line="14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Prior to August 28, 2014, all Restricted Stock grants contained a four-year vesting period based solely on service. Restricted Stock which vests based solely on service is valued at the fair market value on the date of grant and amortized over the service period.</w:t>
      </w:r>
    </w:p>
    <w:p>
      <w:pPr>
        <w:spacing w:after="0" w:line="170"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 August 2014, December 2015 and September 2016, the Company awarded grants of both Restricted Stock and Contingent Restricted Stock as part of its long-term incentive plan. Such grants, which expire after four years if unvested, contain service-based, performance-based and market-based vesting provisions. The common shares underlying the Restricted Stock grants were issued on the date of grant, whereas the Contingent Restricted Stock are reserved from the Plan, but will be issued only upon the attainment of specified performance-based or market-based vesting provisions.</w:t>
      </w:r>
    </w:p>
    <w:p>
      <w:pPr>
        <w:spacing w:after="0" w:line="15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Performance-based grants vest upon the attainment of earnings, revenue and other operational goals and require that the recipient remain an employee of the Company through the vesting date. The Company recognizes compensation expense for performance-based awards ratably over the expected vesting period based on the grant date fair value when it is deemed probable, for accounting purposes, that the performance criteria will be achieved. The expected vesting period may be deemed to be shorter than the four-year term. As of June 30, 2017, certain performance-based awards were not considered probable of vesting for accounting purposes and no compensation expense has been recognized with regard to these awards. If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37"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awards are later determined to be probable of vesting, cumulative compensation expense would be recorded at that time and amortization would continue over the remaining expected vesting period.</w:t>
      </w:r>
    </w:p>
    <w:p>
      <w:pPr>
        <w:spacing w:after="0" w:line="17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Market-based awards granted in 2016 entitle employees to vest in a fixed number of shares when the three-year trailing total return on the Company’s common stock exceeds the corresponding total returns of various quartiles of an index consisting of designated peer companies during defined measurement periods. Market-based awards granted in fiscal 2015 and 2016 entitle employees to vest in a fixed number of shares when the three-year trailing total return on the Company’s common stock exceeds the corresponding total returns of various quartiles of companies comprising the SIG Exploration and Production Index (NASDAQ EPX) during defined measurement periods. The fair value and expected vesting period of these awards were determined using a Monte Carlo simulation based on the historical volatility of the Company's total return compared to the historical volatilities of the other companies in the index. Vesting of market-based awards granted in fiscal 2017 is based on the Company's total common stock return compared to a peer group of sixteen companies in our industry with comparable market capitalizations. During the fiscal year ended June 30, 2017, we granted market-based awards with grant date fair values ranging from $3.42 to $5.62 per share, all with an expected vesting period of 2.83 years, based on the various quartiles of comparable market performance. During the fiscal year ended June 30, 2016, we granted market-based awards with fair values ranging from $2.93 to $5.07, all with an expected vesting period of 3.83 years, based on the various quartiles of comparative market performance. During the fiscal year ended June 30, 2015, we granted market-based awards with fair values ranging from $4.26 to $8.40 with expected vesting periods of 2.55 to 3.30 years, based on the various quartiles of comparative market performance. Compensation expense for market-based awards is recognized over the expected vesting period using the straight-line method, so long as the award holder remains an employee of the Company. Total compensation expense is based on the fair value of the awards at the date of grant and is independent of vesting or expiration of the awards, except for termination of service.</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Unvested Restricted Stock awards at June 30, 2017 consisted of the following:</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4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Award Type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0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400" w:type="dxa"/>
            <w:vAlign w:val="bottom"/>
            <w:vMerge w:val="continue"/>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awards</w:t>
            </w: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217,922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Performance-based awards</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54,475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Market-based awards</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119,227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57"/>
        </w:trPr>
        <w:tc>
          <w:tcPr>
            <w:tcW w:w="8400" w:type="dxa"/>
            <w:vAlign w:val="bottom"/>
          </w:tcPr>
          <w:p>
            <w:pPr>
              <w:ind w:left="20"/>
              <w:spacing w:after="0"/>
              <w:rPr>
                <w:sz w:val="20"/>
                <w:szCs w:val="20"/>
                <w:color w:val="auto"/>
              </w:rPr>
            </w:pPr>
            <w:r>
              <w:rPr>
                <w:rFonts w:ascii="Arial" w:cs="Arial" w:eastAsia="Arial" w:hAnsi="Arial"/>
                <w:sz w:val="18"/>
                <w:szCs w:val="18"/>
                <w:color w:val="auto"/>
              </w:rPr>
              <w:t>Unvested Restricted Stock at June 30, 2017</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391,624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Restricted Stock transactions for the year ended June 30,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Unamortized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40" w:type="dxa"/>
            <w:vAlign w:val="bottom"/>
          </w:tcPr>
          <w:p>
            <w:pPr>
              <w:spacing w:after="0"/>
              <w:rPr>
                <w:sz w:val="12"/>
                <w:szCs w:val="12"/>
                <w:color w:val="auto"/>
              </w:rPr>
            </w:pPr>
          </w:p>
        </w:tc>
        <w:tc>
          <w:tcPr>
            <w:tcW w:w="12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6"/>
              </w:rPr>
              <w:t>Grant-Date</w:t>
            </w:r>
          </w:p>
        </w:tc>
        <w:tc>
          <w:tcPr>
            <w:tcW w:w="1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Expense at June 30,</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Period (Years)</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July 1, 2016</w:t>
            </w:r>
          </w:p>
        </w:tc>
        <w:tc>
          <w:tcPr>
            <w:tcW w:w="14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6.74</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Service-based awards granted</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86,563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7.02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Performance-based awards granted</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5.67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Market-based awards granted</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54,475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Unvested Restricted Stock at June 30, 2017</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391,624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6.22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1,648,297</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During the years ended June 30, 2017, 2016, and 2015, there were 210,737, 86,719, and 91,306 shares of Restricted Stock that vested with a total grant date fair value of $1,520,569, $757,229, and $766,970,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Unvested Contingent Restricted Stock awards at June 30, 2017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Contingent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00" w:type="dxa"/>
            <w:vAlign w:val="bottom"/>
            <w:vMerge w:val="restart"/>
          </w:tcPr>
          <w:p>
            <w:pPr>
              <w:ind w:left="3760"/>
              <w:spacing w:after="0"/>
              <w:rPr>
                <w:sz w:val="20"/>
                <w:szCs w:val="20"/>
                <w:color w:val="auto"/>
              </w:rPr>
            </w:pPr>
            <w:r>
              <w:rPr>
                <w:rFonts w:ascii="Arial" w:cs="Arial" w:eastAsia="Arial" w:hAnsi="Arial"/>
                <w:sz w:val="14"/>
                <w:szCs w:val="14"/>
                <w:b w:val="1"/>
                <w:bCs w:val="1"/>
                <w:color w:val="auto"/>
              </w:rPr>
              <w:t>Award Type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awards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39,403</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7.02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Market-based awards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73,867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Contingent Restricted Stock at June 30, 2017</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113,270</w:t>
            </w:r>
          </w:p>
        </w:tc>
        <w:tc>
          <w:tcPr>
            <w:tcW w:w="4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w w:val="93"/>
              </w:rPr>
              <w:t>The following table summarizes Contingent Restricted Stock activity:</w:t>
            </w: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24"/>
                <w:szCs w:val="24"/>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Unamortized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Grant-Date</w:t>
            </w:r>
          </w:p>
        </w:tc>
        <w:tc>
          <w:tcPr>
            <w:tcW w:w="60" w:type="dxa"/>
            <w:vAlign w:val="bottom"/>
          </w:tcPr>
          <w:p>
            <w:pPr>
              <w:spacing w:after="0"/>
              <w:rPr>
                <w:sz w:val="12"/>
                <w:szCs w:val="12"/>
                <w:color w:val="auto"/>
              </w:rPr>
            </w:pPr>
          </w:p>
        </w:tc>
        <w:tc>
          <w:tcPr>
            <w:tcW w:w="1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Expense at June 30,</w:t>
            </w:r>
          </w:p>
        </w:tc>
        <w:tc>
          <w:tcPr>
            <w:tcW w:w="60" w:type="dxa"/>
            <w:vAlign w:val="bottom"/>
          </w:tcPr>
          <w:p>
            <w:pPr>
              <w:spacing w:after="0"/>
              <w:rPr>
                <w:sz w:val="12"/>
                <w:szCs w:val="12"/>
                <w:color w:val="auto"/>
              </w:rPr>
            </w:pPr>
          </w:p>
        </w:tc>
        <w:tc>
          <w:tcPr>
            <w:tcW w:w="13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2017 (1)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July 1, 2016</w:t>
            </w:r>
          </w:p>
        </w:tc>
        <w:tc>
          <w:tcPr>
            <w:tcW w:w="13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00" w:type="dxa"/>
            <w:vAlign w:val="bottom"/>
          </w:tcPr>
          <w:p>
            <w:pPr>
              <w:ind w:left="40"/>
              <w:spacing w:after="0"/>
              <w:rPr>
                <w:sz w:val="20"/>
                <w:szCs w:val="20"/>
                <w:color w:val="auto"/>
              </w:rPr>
            </w:pPr>
            <w:r>
              <w:rPr>
                <w:rFonts w:ascii="Arial" w:cs="Arial" w:eastAsia="Arial" w:hAnsi="Arial"/>
                <w:sz w:val="18"/>
                <w:szCs w:val="18"/>
                <w:color w:val="auto"/>
              </w:rPr>
              <w:t>Performance-based awards granted</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27,237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awards granted</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(32,376)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Contingent Restricted Stock at June 30, 2017</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113,270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121,668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hanging="4"/>
        <w:spacing w:after="0" w:line="277" w:lineRule="auto"/>
        <w:tabs>
          <w:tab w:leader="none" w:pos="9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$276,702 of potential future compensation expense for 39,403 shares of performance-based awards for which vesting is not considered probable at this time for accounting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years ended June 30, 2017, 2016, and 2015, we recognized stock-based compensation expense related to Restricted Stock and Contingent Restricted Stock grants of $1,180,618, $1,809,548, and $943,653, respectively. Expense for June 30, 2016 includes $59,339 of stock-based compensation that was incurred in a restructuring.</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337" w:right="27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Supplemental Disclosure of Cash Flow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supplemental disclosures of cash flow information for the years ended June 30, 2017, 2016, and 2015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refunds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1,556,999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331,733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(decrease) in accrued 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(3,076,245)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5,422,566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loan costs charged to oil and gas property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9"/>
              </w:rPr>
              <w:t>Oil and natural gas property costs attributable to the recognition of asset retirement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471,864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140,151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576,039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Mengel working interest acquired in Delhi Field 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3"/>
              </w:rPr>
              <w:t>Royalty rights acquired through non-monetary exchange of patent and trademark assets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108,512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Previously acquired Company shares swapped by holders to pay stock option exercise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Accrued purchases of treasury stock</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170,283</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file a consolidated federal income tax return in the United States and various combined and separate filings in several state and local jurisdictions.</w:t>
      </w:r>
    </w:p>
    <w:p>
      <w:pPr>
        <w:spacing w:after="0" w:line="30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years ended June 30, 2017, 2016 and 2015.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tax returns are open to audit under the statute of limitations for the years ending June 30, 2014 through June 30, 2016 for federal tax purposes and for the years ended June 30, 2013 through June 30, 2016 for state tax purposes.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our income tax provision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16"/>
                <w:szCs w:val="16"/>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168,152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8,731,290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1,413,296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608,436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i w:val="1"/>
                <w:iCs w:val="1"/>
                <w:color w:val="auto"/>
              </w:rPr>
              <w:t>Total current income tax provision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749,745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8,995,544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2,021,732</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3,880,522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541,891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1,282,059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140,430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i w:val="1"/>
                <w:iCs w:val="1"/>
                <w:color w:val="auto"/>
              </w:rPr>
              <w:t>Total deferred income tax provision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4,090,919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575,235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1,422,489</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4,840,664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9,570,779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3,444,221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table presents the reconciliation of our income taxes calculated at the statutory federal tax rate, currently 34%, to the income tax provision in our financial statements. Our effective tax rate for 2017 exceeded the statutory rate primarily as a result of state of Louisiana income taxes, partly offset by depletion in excess of basis. The effective tax rate for 2016 is less than the statutory rate primarily due to the benefit derived from statutory depletion in excess of tax basis and the Company had significant legal settlement and derivative gains that were not taxable in Louisiana. The effective tax rates for 2015 exceeded the statutory rate primarily due to state of Louisiana income taxes.</w:t>
      </w:r>
    </w:p>
    <w:p>
      <w:pPr>
        <w:sectPr>
          <w:pgSz w:w="11900" w:h="16838" w:orient="portrait"/>
          <w:cols w:equalWidth="0" w:num="1">
            <w:col w:w="11400"/>
          </w:cols>
          <w:pgMar w:left="240" w:top="337"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337" w:right="25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Income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 Income</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 of Income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Before Income</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Before Income</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Before Income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Taxes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Taxes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Taxes</w:t>
            </w:r>
          </w:p>
        </w:tc>
        <w:tc>
          <w:tcPr>
            <w:tcW w:w="0" w:type="dxa"/>
            <w:vAlign w:val="bottom"/>
          </w:tcPr>
          <w:p>
            <w:pPr>
              <w:spacing w:after="0"/>
              <w:rPr>
                <w:sz w:val="1"/>
                <w:szCs w:val="1"/>
                <w:color w:val="auto"/>
              </w:rPr>
            </w:pPr>
          </w:p>
        </w:tc>
      </w:tr>
      <w:tr>
        <w:trPr>
          <w:trHeight w:val="202"/>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1"/>
              </w:rPr>
              <w:t>Income tax provision computed at the statutory federal</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4,380,892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11,638,588</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2,868,267</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Reconciling items: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Depletion in excess of basis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(2,242,620)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State income taxes, net of federal tax benefit</w:t>
            </w:r>
          </w:p>
        </w:tc>
        <w:tc>
          <w:tcPr>
            <w:tcW w:w="1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522,713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196,415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595,708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Permanent differences related to stock-based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(21,604)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(19,754)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4,840,664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9,570,779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3,444,221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Deferred income taxes primarily represent the net tax effect of temporary differences between the carrying amounts of assets and liabilities for financial reporting purposes and the amounts used for income tax purposes. Deferred tax assets and liabilities are classified as either current or noncurrent on the balance sheet based on the classification of the related asset or liability for financial reporting purposes. Deferred tax assets and liabilities not related to specific assets or liabilities on the financial statements are classified according to the expected reversal date of the temporary difference or the expected utilization date for tax attribute carryforwards.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Asset (Liability)</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Non-qualified stock-based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367,159</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553,182</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173,647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852,477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386,808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AMT credit carry-forward</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110,564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701,254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130,947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Gross deferred tax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1,348,781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1,070,937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1,366,302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Total deferred tax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1,056,335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778,491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1,073,856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Oil and natural gas properties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(16,882,626)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(12,513,863)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(12,233,993)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Total deferred tax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(16,882,626)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(12,513,863)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(12,233,993)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Net deferred tax liability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(15,826,291)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(11,735,372)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(11,160,137)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The above assets and liabilities are present on the balance sheet as follows: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deferred tax asset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Non-current deferred tax liability</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15,826,291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11,840,693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11,242,551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liability</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15,826,291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11,735,372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11,160,137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As the result of early adopting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at the beginning of this fiscal year current deferred tax assets have been netted together with noncurrent deferred income tax liabilities on the June 30, 2017 consolidated balance sheet. The prior years presented have not been retrospectively adjusted.</w:t>
      </w:r>
    </w:p>
    <w:p>
      <w:pPr>
        <w:sectPr>
          <w:pgSz w:w="11900" w:h="16838" w:orient="portrait"/>
          <w:cols w:equalWidth="0" w:num="1">
            <w:col w:w="11400"/>
          </w:cols>
          <w:pgMar w:left="240" w:top="337"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337" w:right="25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ind w:right="180" w:firstLine="405"/>
        <w:spacing w:after="0" w:line="288" w:lineRule="auto"/>
        <w:rPr>
          <w:sz w:val="20"/>
          <w:szCs w:val="20"/>
          <w:color w:val="auto"/>
        </w:rPr>
      </w:pPr>
      <w:r>
        <w:rPr>
          <w:rFonts w:ascii="Arial" w:cs="Arial" w:eastAsia="Arial" w:hAnsi="Arial"/>
          <w:sz w:val="16"/>
          <w:szCs w:val="16"/>
          <w:color w:val="auto"/>
        </w:rPr>
        <w:t>As of June 30, 2017, we had a federal tax loss carryforward of approximately $1.2 million that we acquired through the reverse merger in May 2004. The majority of the tax loss carryforwards from the reverse merger expired without being utilized. We will be able to utilize a maximum of $0.3 million of these carryforwards in equal annual amounts of $39,648 through 2023 and the balance is not able to be utilized based on the provisions of IRC Section 382.</w:t>
      </w:r>
    </w:p>
    <w:p>
      <w:pPr>
        <w:ind w:right="20"/>
        <w:spacing w:after="0" w:line="255" w:lineRule="auto"/>
        <w:rPr>
          <w:sz w:val="20"/>
          <w:szCs w:val="20"/>
          <w:color w:val="auto"/>
        </w:rPr>
      </w:pPr>
      <w:r>
        <w:rPr>
          <w:rFonts w:ascii="Arial" w:cs="Arial" w:eastAsia="Arial" w:hAnsi="Arial"/>
          <w:sz w:val="18"/>
          <w:szCs w:val="18"/>
          <w:color w:val="auto"/>
        </w:rPr>
        <w:t>We have recorded a valuation allowance for the portion of our net operating loss that is limited by IRC Section 382. During this fiscal year we generated a net operating loss of approximately $9.1 million in the State of Louisiana reflecting bonus depreciation tax deductions for our NGL plant, which was placed in service during fiscal 2017.</w:t>
      </w:r>
    </w:p>
    <w:p>
      <w:pPr>
        <w:spacing w:after="0" w:line="24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fiscal 2016 we utilized the remaining amount of $25.3 million of net operating losses ("NOL's") created primarily from tax deductions in excess of book deductions related to the exercise of non-qualified stock options and incentive warrants in fiscal 2014. NOL's related to such stock-based awards had not affected our future tax provision for financial reporting purposes, nor had it been recognized as a deferred tax asset for these future benefits. In fiscal 2016 and 2015, we recognized a tax benefit for utilization of these NOL's to offset cash taxes that would otherwise have been payable as an increase in additional paid in capital, in amounts of $9,650,657 and $1,633,946 respectively.</w:t>
      </w:r>
    </w:p>
    <w:p>
      <w:pPr>
        <w:spacing w:after="0" w:line="9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In late September 2015, we received a $1.5 million refund payment of cash taxes paid to the State of Louisiana over a three-year period ended June 30, 2014. We also received $57,467 from the State of Louisiana for interest on the refund and recorded it as a reduction of current income tax expense. This carryback of tax losses resulted from the exercise of stock options and incentive warrants in fiscal 2014 and, accordingly, we recognized this benefit as an increase in additional paid-in capital for financial reporting purposes. This carryback utilized approximately $19.1 million of an estimated $24.2 million net loss for state tax purposes. The remaining balance of this net loss carryforward in Louisiana was utilized in the tax return for the year ended June 30, 2015.</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as of June 30, 2017, the Company had an estimated carryforward of percentage depletion in excess of basis of approximately $7.2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future deductions are limited to 65% of taxable income in any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Party Transactions</w:t>
      </w:r>
    </w:p>
    <w:p>
      <w:pPr>
        <w:spacing w:after="0" w:line="28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June 30, 2011, we entered into a Technology Assignment Agreement with the Company’s Senior Vice President of Operations to acquire exclusive, perpetual, non-cancelable rights to the patented artificial lift technology he developed while employed by the Company. Under the agreement, he was paid a fee when the technology was employed. For the years ended June 30, 2016 and 2015, we made payments of $0 and $26,579, respectively, under the agreement, while he served as an officer of the Company. Our obligations with respect to this agreement were terminated in December 2015 in connection with the transfer of our artificial lift technology operations to WLI discussed in Note 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Per Share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6,790,883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23,986,060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4,317,555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number of common shares – 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33,034,480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32,810,375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32,817,456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Contingent restricted stock grants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102,140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weighted average dilutive securities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50,856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106,562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 average number of common shares and dilutive potential common shares used in</w:t>
            </w:r>
          </w:p>
        </w:tc>
        <w:tc>
          <w:tcPr>
            <w:tcW w:w="3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33,110,560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32,861,231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32,924,018</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Net income per common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common share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337" w:right="25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were reflected in the calculation of diluted earnings per share as of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49"/>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Outstanding Potential Dilutive Securities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6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Restricted Stock grants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113,270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were reflected in the calculation of diluted earnings per share as of June 30, 2016: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49"/>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Outstanding Potential Dilutive Securities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Restricted Stock grants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91,172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35,231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126,403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The following were reflected in the calculation of diluted earnings per share as of June 30, 2015:</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49"/>
        </w:trPr>
        <w:tc>
          <w:tcPr>
            <w:tcW w:w="8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Outstanding Potential Dilutive Securities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Restricted Stock grants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56,286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91,061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147,347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Credit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Senior Secured Credit Agreement</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11, 2016, the Company entered into a new three-year, senior secured reserve-based credit facility ("Facility") in an amount up to $50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The Facility replaces the Company's previous unsecured credit facility which expired in April 2016. The initial borrowing base under the Facility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 at $10,000,000 and the Company has no outstanding borrowings.</w:t>
      </w:r>
    </w:p>
    <w:p>
      <w:pPr>
        <w:spacing w:after="0" w:line="13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Borrowings from the Facility may be used for the acquisition and development of oil and gas properties and for letters of credit and other general corporate purposes. Availability of borrowings under the Facility is subject to semi-annual borrowing base redeterminations.</w:t>
      </w:r>
    </w:p>
    <w:p>
      <w:pPr>
        <w:spacing w:after="0" w:line="89" w:lineRule="exact"/>
        <w:rPr>
          <w:sz w:val="20"/>
          <w:szCs w:val="20"/>
          <w:color w:val="auto"/>
        </w:rPr>
      </w:pPr>
    </w:p>
    <w:p>
      <w:pPr>
        <w:ind w:right="400" w:firstLine="486"/>
        <w:spacing w:after="0" w:line="291" w:lineRule="auto"/>
        <w:rPr>
          <w:sz w:val="20"/>
          <w:szCs w:val="20"/>
          <w:color w:val="auto"/>
        </w:rPr>
      </w:pPr>
      <w:r>
        <w:rPr>
          <w:rFonts w:ascii="Arial" w:cs="Arial" w:eastAsia="Arial" w:hAnsi="Arial"/>
          <w:sz w:val="16"/>
          <w:szCs w:val="16"/>
          <w:color w:val="auto"/>
        </w:rPr>
        <w:t>The Facility included a placement fee of 0.50% on the initial borrowing base, amounting to $50,000, and carries a commitment fee of 0.25% per annum on the undrawn portion of the borrowing base. Any borrowings under the Facility will bear interest, at the Company’s option, at either Libor plus</w:t>
      </w:r>
    </w:p>
    <w:p>
      <w:pPr>
        <w:jc w:val="both"/>
        <w:ind w:right="60"/>
        <w:spacing w:after="0" w:line="255" w:lineRule="auto"/>
        <w:rPr>
          <w:sz w:val="20"/>
          <w:szCs w:val="20"/>
          <w:color w:val="auto"/>
        </w:rPr>
      </w:pPr>
      <w:r>
        <w:rPr>
          <w:rFonts w:ascii="Arial" w:cs="Arial" w:eastAsia="Arial" w:hAnsi="Arial"/>
          <w:sz w:val="18"/>
          <w:szCs w:val="18"/>
          <w:color w:val="auto"/>
        </w:rPr>
        <w:t>2.75% or the Prime Rate, as defined, plus 1.00%. The Facility contains financial covenants including a requirement that the Company maintain, as of the last day of each fiscal quarter, (a) a maximum total leverage ratio of not more than 3.00 to 1.00, (b) a debt service coverage ratio of not less than 1.10 to 1.00, and (c) a consolidated tangible net worth of not less than $40 million, all as defined under the Facility.</w:t>
      </w:r>
    </w:p>
    <w:p>
      <w:pPr>
        <w:spacing w:after="0" w:line="109"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In connection with this agreement, the Company incurred $168,972 of debt issuance costs. Such costs were capitalized in Other Assets and are being amortized to expense over the term of the facility. The unamortized balance in debt issuance costs related to the Facility was $98,468 as of June 30, 2017.</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Unsecured Revolving Credit Agreement</w:t>
      </w:r>
    </w:p>
    <w:p>
      <w:pPr>
        <w:spacing w:after="0" w:line="14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February 29, 2012, the Company and a commercial bank entered into an unsecured credit agreement with a four year term. The agreement had provided $5 million of availability, which the Company never utilized. The original expiration date was extended to April 29, 2016. In connection with this agreement, the Company had incurred $179,468 of debt issuance costs. Such costs had been capitalized in Other Assets and have been completely amortized to expense in the prior fiscal year.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Delhi Field Litigation Settlement</w:t>
      </w:r>
    </w:p>
    <w:p>
      <w:pPr>
        <w:spacing w:after="0" w:line="14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On June 24, 2016, we entered into a settlement agreement with Denbury Resources, Inc., operator of the Delhi field, to resolve all outstanding disputes and claims between the parties, including litigation between Evolution and Denbury with respect to the Delhi field in northeastern Louisiana. The litigation between the parties has been dismissed by the Court with prejudice. In connection with this settlement, the Company recognized a $28.1 million settlement gain consisting of a $27.5 million cash payment made by Denbury to Evolution, together with its conveyance to Evolution of a 23.9% working interest in the Mengel Sand Interval, a separate interval within the boundaries of the Delhi field which is not currently producing and for which we estimated a Level 2 fair value of $596,500. As part of the settlement, Evolution conveyed a 0.2226% (.002226) overriding royalty interest in the Delhi field to Denbury.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4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December 3, 2013, our wholly owned subsidiary, NGS Sub Corp., was served with a lawsuit filed in the 8th Judicial District Court of Winn Parish, Louisiana by Cecil M. Brooks and Brandon Hawkins, residents of Louisiana, alleging that in 2006 a former subsidiary of NGS Sub Corp. improperly disposed of water from an off-lease well into a well located on the plaintiffs’ land in Winn Parish. The plaintiffs requested monetary damages and other relief. The plaintiffs subsequently filed an amended petition joining the Company as defendants in its capacity as parent company of NGS Sub Corp. NGS Sub Corp. divested its ownership of the property in question along with its ownership of the subsidiary in 2008 to a third party. NGS Sub Corp. and the Company have denied the plaintiffs’ claims. The district court dismissed the claim of Brooks against NGS Sub Corp. and the Company because Brooks purchased the land where the well is located subsequent to the divestiture of the property by NGS Sub. Corp. The claim of Hawkins is still being defended. Trial is currently scheduled for March 2018. We will continue to vigorously defend the claims and after consultation with our legal counsel, we consider the likelihood of a material loss to the Company in this matter to be remote.</w:t>
      </w:r>
    </w:p>
    <w:p>
      <w:pPr>
        <w:spacing w:after="0" w:line="10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During the year ended June 30, 2017, our previous lease for office space ended and we moved into smaller office space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non-cancelable lease that expires on May 31, 2019. Future minimum lease commitments as of June 30, 2017 under our office lease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fiscal year ended June 30,</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73,073</w:t>
            </w:r>
          </w:p>
        </w:tc>
      </w:tr>
      <w:tr>
        <w:trPr>
          <w:trHeight w:val="243"/>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66,984</w:t>
            </w:r>
          </w:p>
        </w:tc>
      </w:tr>
      <w:tr>
        <w:trPr>
          <w:trHeight w:val="27"/>
        </w:trPr>
        <w:tc>
          <w:tcPr>
            <w:tcW w:w="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140,057</w:t>
            </w: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June 30, 2017, 2016, and 2015 was $80,472, $182,626, and $175,103,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283"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b w:val="1"/>
          <w:bCs w:val="1"/>
          <w:i w:val="1"/>
          <w:iCs w:val="1"/>
          <w:color w:val="auto"/>
        </w:rPr>
        <w:t xml:space="preserve">Major Customers. </w:t>
      </w:r>
      <w:r>
        <w:rPr>
          <w:rFonts w:ascii="Arial" w:cs="Arial" w:eastAsia="Arial" w:hAnsi="Arial"/>
          <w:sz w:val="17"/>
          <w:szCs w:val="17"/>
          <w:color w:val="auto"/>
        </w:rPr>
        <w:t>Historically we market all of our oil and natural gas production from the properties we operate. We do not currently market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of crude oil and NGL production from Delhi. Although we have the right to take our working interest production at Delhi in-kind, we are currently selling our production under the Delhi operator's agreement with Plains Marketing L.P. and American Midstream for the sale of our oil and NGL's, respectively at the field. The majority of our operated gas, oil and condensate production is sold to purchasers under short-term (less than 12 months) contracts at market-based prices. The following table identifies customers from whom we derived 10 percent or more of our net oil and natural gas revenues during the years ended June 30, 2017, 2016, and 2015. The loss of our purchasers at the Delhi field or disruption to pipeline transportation from the field could adversely affect our net realized pricing and potentially our near-term production levels.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 June 30,</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40"/>
              <w:spacing w:after="0"/>
              <w:rPr>
                <w:sz w:val="20"/>
                <w:szCs w:val="20"/>
                <w:color w:val="auto"/>
              </w:rPr>
            </w:pPr>
            <w:r>
              <w:rPr>
                <w:rFonts w:ascii="Arial" w:cs="Arial" w:eastAsia="Arial" w:hAnsi="Arial"/>
                <w:sz w:val="14"/>
                <w:szCs w:val="14"/>
                <w:b w:val="1"/>
                <w:bCs w:val="1"/>
                <w:color w:val="auto"/>
              </w:rPr>
              <w:t>Customers</w:t>
            </w:r>
          </w:p>
        </w:tc>
        <w:tc>
          <w:tcPr>
            <w:tcW w:w="27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Plains Marketing L.P. (Oil sales from Delhi)</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American Midstream Gas Solutions (NGL sales from Delhi)</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others</w:t>
            </w:r>
          </w:p>
        </w:tc>
        <w:tc>
          <w:tcPr>
            <w:tcW w:w="1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60" w:type="dxa"/>
            <w:vAlign w:val="bottom"/>
            <w:vMerge w:val="restart"/>
          </w:tcPr>
          <w:p>
            <w:pPr>
              <w:jc w:val="right"/>
              <w:ind w:right="374"/>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Substantially all of our accounts receivable result from oil and natural gas sales to third parties in the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Our concentration of customers in this industry may impact our overall credit risk.</w:t>
      </w:r>
    </w:p>
    <w:p>
      <w:pPr>
        <w:spacing w:after="0" w:line="2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and Certificates of Deposit. </w:t>
      </w:r>
      <w:r>
        <w:rPr>
          <w:rFonts w:ascii="Arial" w:cs="Arial" w:eastAsia="Arial" w:hAnsi="Arial"/>
          <w:sz w:val="18"/>
          <w:szCs w:val="18"/>
          <w:color w:val="auto"/>
        </w:rPr>
        <w:t>We are subject to concentrations of credit risk with respect to our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attempt to minimize by maintaining our cash and cash equivalents in high quality money market funds. At times, cash balances may exceed limits federally insured by the Federal Deposit Insurance Corporation ("FDIC"). Our certificates of deposit are below or at the maximum federally insured limit set by the FDIC.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Retirement Plan</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have a Company sponsored 401(k) Retirement Plan ("Plan") which covers all full-time employees. We currently match 100% of employees' contributions to the Plan, to a maximum of the first 6% of each participant's eligible compensation, with Company cash contributions fully vested when made. Our matching contributions to the Plan totaled $53,113, $88,348, and $85,676 for the years ended June 30, 2017, 2016, and 2015,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Derivatives</w:t>
      </w:r>
    </w:p>
    <w:p>
      <w:pPr>
        <w:spacing w:after="0" w:line="3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2015, the Company began using derivative instruments to reduce its exposure to crude oil price volatility for a substantial portion of its near-term forecasted production. The Company's objectives for this program were to achieve a more predictable level of cash flows to support the Company’s capital expenditure program and to provide better financial visibility for the payment of dividends on common stock. The Company uses both fixed price swap agreements and costless collars to manage its exposure to crude oil price risk. While these derivative instruments are intended to limit the downside risk of adverse price movements, they may also limit future revenues from favorable price movements. The Company does not intend to enter into derivative instruments for speculative or trading purposes.</w:t>
      </w:r>
    </w:p>
    <w:p>
      <w:pPr>
        <w:spacing w:after="0" w:line="13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 xml:space="preserve">The Company accounts for derivatives under the provisions of ASC 815 </w:t>
      </w:r>
      <w:r>
        <w:rPr>
          <w:rFonts w:ascii="Arial" w:cs="Arial" w:eastAsia="Arial" w:hAnsi="Arial"/>
          <w:sz w:val="18"/>
          <w:szCs w:val="18"/>
          <w:i w:val="1"/>
          <w:iCs w:val="1"/>
          <w:color w:val="auto"/>
        </w:rPr>
        <w:t>Derivatives and Hedgin</w:t>
      </w:r>
      <w:r>
        <w:rPr>
          <w:rFonts w:ascii="Arial" w:cs="Arial" w:eastAsia="Arial" w:hAnsi="Arial"/>
          <w:sz w:val="18"/>
          <w:szCs w:val="18"/>
          <w:color w:val="auto"/>
        </w:rPr>
        <w:t>g ("ASC 815") under which the Company records the fair value of the instruments on the balance sheet at each reporting date, with changes in fair value recognized in income. Given cost and complexity considerations, the Company did not elect to use cash flow hedge accounting provided under ASC 815. Under cash flow hedge accounting, the effective portion of the change in fair value of the derivative instruments would be deferred in other comprehensive income and not recognized in earnings until the underlying hedged item impacts earnings.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These derivative instruments can result in both fair value asset and liability positions held with each counterparty. These positions are offset to a single net fair value asset or liability at the end of each reporting period. The Company nets its fair value amounts of derivative instruments executed with the same counterparty pursuant to ISDA master agreements, which provide for net settlement over the term of the contract and in the event of default or termination of the contract. At June 30, 2017, the Company had no derivative asset or liability positions. At June 30, 2016, the Company held a derivative instrument net asset position with its counterparty that had a fair value of $14,132.</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monitors the credit rating of its counterparties and believes it does not have significant credit risk. Accordingly, we do not currently require our counterparties to post collateral to support the net asset positions of our derivative instruments. As such, the Company is exposed to credit risk to the extent of nonperformance by the counterparties to its derivative instruments.</w:t>
      </w:r>
    </w:p>
    <w:p>
      <w:pPr>
        <w:spacing w:after="0" w:line="1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June 30, 2017, the Company recorded in the consolidated statement of operations a gain on derivative instruments of $29,758 consisting of a realized gain of $43,890 on settled derivatives and an unrealized loss of $14,132 on unsettled derivatives. For the year ended June 30, 2016, the Company recorded in the consolidated statement of operations a gain on derivative instruments of $3,439,229 which included a realized gain of $3,315,123 on settled derivatives and an unrealized gain of $124,106 on unsettled derivatives. For the year ended June 30, 2015, the Company recorded in the consolidated statement of operations a net unrealized loss on unsettled derivatives of $109,974.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Fair Value Measurement</w:t>
      </w:r>
    </w:p>
    <w:p>
      <w:pPr>
        <w:spacing w:after="0" w:line="28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are defined as follows:</w:t>
      </w:r>
    </w:p>
    <w:p>
      <w:pPr>
        <w:sectPr>
          <w:pgSz w:w="11900" w:h="16838" w:orient="portrait"/>
          <w:cols w:equalWidth="0" w:num="1">
            <w:col w:w="11420"/>
          </w:cols>
          <w:pgMar w:left="240" w:top="337"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37"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1—Observable inputs such as quoted prices in active markets at the measurement date for identical, unrestricted assets or liabilities.</w:t>
      </w:r>
    </w:p>
    <w:p>
      <w:pPr>
        <w:spacing w:after="0" w:line="279" w:lineRule="exact"/>
        <w:rPr>
          <w:sz w:val="20"/>
          <w:szCs w:val="20"/>
          <w:color w:val="auto"/>
        </w:rPr>
      </w:pPr>
    </w:p>
    <w:p>
      <w:pPr>
        <w:ind w:right="100" w:firstLine="716"/>
        <w:spacing w:after="0" w:line="277" w:lineRule="auto"/>
        <w:rPr>
          <w:sz w:val="20"/>
          <w:szCs w:val="20"/>
          <w:color w:val="auto"/>
        </w:rPr>
      </w:pPr>
      <w:r>
        <w:rPr>
          <w:rFonts w:ascii="Arial" w:cs="Arial" w:eastAsia="Arial" w:hAnsi="Arial"/>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224" w:lineRule="exact"/>
        <w:rPr>
          <w:sz w:val="20"/>
          <w:szCs w:val="20"/>
          <w:color w:val="auto"/>
        </w:rPr>
      </w:pPr>
    </w:p>
    <w:p>
      <w:pPr>
        <w:ind w:right="340" w:firstLine="716"/>
        <w:spacing w:after="0" w:line="277" w:lineRule="auto"/>
        <w:rPr>
          <w:sz w:val="20"/>
          <w:szCs w:val="20"/>
          <w:color w:val="auto"/>
        </w:rPr>
      </w:pPr>
      <w:r>
        <w:rPr>
          <w:rFonts w:ascii="Arial" w:cs="Arial" w:eastAsia="Arial" w:hAnsi="Arial"/>
          <w:sz w:val="18"/>
          <w:szCs w:val="18"/>
          <w:color w:val="auto"/>
        </w:rPr>
        <w:t>Level 3—Unobservable inputs for which there is little or no market data and which the Company makes its own assumptions about how market participants would price the assets and liabilities.</w:t>
      </w:r>
    </w:p>
    <w:p>
      <w:pPr>
        <w:spacing w:after="0" w:line="22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 xml:space="preserve">Fair Value of Derivative Instruments. </w:t>
      </w:r>
      <w:r>
        <w:rPr>
          <w:rFonts w:ascii="Arial" w:cs="Arial" w:eastAsia="Arial" w:hAnsi="Arial"/>
          <w:sz w:val="18"/>
          <w:szCs w:val="18"/>
          <w:color w:val="auto"/>
        </w:rPr>
        <w:t>At June 30, 2017, the Company had no derivative instruments and, accordingly, there were no derivative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presented in the year end balance sheet. The following table summarizes the location and amounts of the Company’s assets and liabilities measured at fair value on a recurring basis as presented in the June 30, 2016 consolidated balance sheet. All items included in the tables below are Level 2 inputs within the fair value hierarchy: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26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2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0" w:type="dxa"/>
            <w:vAlign w:val="bottom"/>
          </w:tcPr>
          <w:p>
            <w:pPr>
              <w:spacing w:after="0"/>
              <w:rPr>
                <w:sz w:val="1"/>
                <w:szCs w:val="1"/>
                <w:color w:val="auto"/>
              </w:rPr>
            </w:pPr>
          </w:p>
        </w:tc>
      </w:tr>
      <w:tr>
        <w:trPr>
          <w:trHeight w:val="149"/>
        </w:trPr>
        <w:tc>
          <w:tcPr>
            <w:tcW w:w="598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Asset (Liability)</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Balance Sheet</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derivative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45,263</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(31,131)</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43"/>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Current derivative liabilities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(31,131)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31,131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14,132</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fair values of the Company’s derivative assets and liabilities are based on a third-party industry-standard pricing model that uses market data obtained from third-party sources, including quoted forward prices for oil and gas, discount rates and volatility factors. The fair values are also compared to the values provided by the counterparty for reasonableness and are adjusted for the counterparties' credit quality for derivative assets and the Company’s credit quality for derivative liabilities. To date, adjustments for credit quality have not had a material impact on the fair values.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Supplemental Disclosures about Oil and Natural Gas Producing Properties (unaudited)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for oil and natural gas property acquisition, exploration and development activities</w:t>
      </w:r>
    </w:p>
    <w:p>
      <w:pPr>
        <w:spacing w:after="0" w:line="2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following table summarizes costs incurred and capitalized in oil and natural gas property related to acquisition, exploration and development activities. Property acquisition costs are those costs incurred to lease property, including both undeveloped leasehold and the purchase of reserves in place. Exploration costs include costs of identifying areas that may warrant examination and examining specific areas that are considered to have prospects containing oil and natural gas reserves, including costs of drilling exploratory wells, geological and geophysical costs and carrying costs on undeveloped properties. Development costs are incurred to obtain access to proved reserves, including the cost of drilling. Exploration and development costs also include amounts incurred due to the recognition of asset retirement obligations of $471,864, $140,151 and $576,039 during the years ended June 30, 2017, 2016, and 2015,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For the Years Ended June 30,</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Property acquisition costs: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Proved property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Unproved property (a)</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596,500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7,554,579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19,093,200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10,975,637</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costs incurred for oil and natural gas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7,554,579</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19,689,700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10,975,637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37"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54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described in Note 17 — Delhi Field Litigation Settlement, we received a 23.9% working interest in the non-producing Mengel Interval with an estimated fair value of $596,500. This cost is included in properties subject to amortization.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Net Quantities of Proved Oil and Natural Gas Reserves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estimates of the net proved oil and natural gas reserves of our oil and gas properties located entirely within the United States of America are based on evaluations prepared by third-party reservoir engineers. Reserves volumes and values were determined under the method prescribed by the SEC for our fiscal years ended June 30, 2017, 2016, and 2015, which requires the application of the previous 12 months unweighted arithmetic average first-day-of-the-month price, and current costs held constant throughout the projected life of the property, when estimating whether reserves quantities are economical to produce.</w:t>
      </w:r>
    </w:p>
    <w:p>
      <w:pPr>
        <w:spacing w:after="0" w:line="242"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Proved oil and natural gas reserves are estimated quantities of crude oil, natural gas and natural gas liquids that geological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337" w:right="3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Estimated quantities of proved oil and natural gas reserves and changes in quantities of proved developed and undeveloped reserves for each of the periods indicated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Crude Oil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Natural Gas</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Natural Gas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Liquids</w:t>
            </w:r>
          </w:p>
        </w:tc>
        <w:tc>
          <w:tcPr>
            <w:tcW w:w="1580" w:type="dxa"/>
            <w:vAlign w:val="bottom"/>
            <w:gridSpan w:val="2"/>
            <w:vMerge w:val="continue"/>
          </w:tcPr>
          <w:p>
            <w:pPr>
              <w:spacing w:after="0"/>
              <w:rPr>
                <w:sz w:val="12"/>
                <w:szCs w:val="12"/>
                <w:color w:val="auto"/>
              </w:rPr>
            </w:pPr>
          </w:p>
        </w:tc>
        <w:tc>
          <w:tcPr>
            <w:tcW w:w="148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BOE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(Bbls)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(Bbls)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(Mcf)</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and undeveloped reserves:</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10,526,344</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2,278,688</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2,906,863</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13,289,510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Revisions of previous estimates (a)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(2,894,703)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(390,330)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minerals in place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Production (sales volumes)</w:t>
            </w:r>
          </w:p>
        </w:tc>
        <w:tc>
          <w:tcPr>
            <w:tcW w:w="1500" w:type="dxa"/>
            <w:vAlign w:val="bottom"/>
          </w:tcPr>
          <w:p>
            <w:pPr>
              <w:jc w:val="right"/>
              <w:spacing w:after="0"/>
              <w:rPr>
                <w:sz w:val="20"/>
                <w:szCs w:val="20"/>
                <w:color w:val="auto"/>
              </w:rPr>
            </w:pPr>
            <w:r>
              <w:rPr>
                <w:rFonts w:ascii="Arial" w:cs="Arial" w:eastAsia="Arial" w:hAnsi="Arial"/>
                <w:sz w:val="18"/>
                <w:szCs w:val="18"/>
                <w:color w:val="auto"/>
              </w:rPr>
              <w:t>(450,294)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(452,786)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10,011,976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2,433,595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12,446,394</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Revisions of previous estimates (b)</w:t>
            </w:r>
          </w:p>
        </w:tc>
        <w:tc>
          <w:tcPr>
            <w:tcW w:w="1500" w:type="dxa"/>
            <w:vAlign w:val="bottom"/>
          </w:tcPr>
          <w:p>
            <w:pPr>
              <w:jc w:val="right"/>
              <w:spacing w:after="0"/>
              <w:rPr>
                <w:sz w:val="20"/>
                <w:szCs w:val="20"/>
                <w:color w:val="auto"/>
              </w:rPr>
            </w:pPr>
            <w:r>
              <w:rPr>
                <w:rFonts w:ascii="Arial" w:cs="Arial" w:eastAsia="Arial" w:hAnsi="Arial"/>
                <w:sz w:val="18"/>
                <w:szCs w:val="18"/>
                <w:color w:val="auto"/>
              </w:rPr>
              <w:t>(765,385)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(198,233)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(964,171)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of minerals in place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(sales volumes)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(658,041)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(658,802)</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8,588,550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2,234,871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10,823,421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Revisions of previous estimates (c)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Improved recovery, extensions and discoveries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minerals in place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Production (sales volumes)</w:t>
            </w:r>
          </w:p>
        </w:tc>
        <w:tc>
          <w:tcPr>
            <w:tcW w:w="1500" w:type="dxa"/>
            <w:vAlign w:val="bottom"/>
          </w:tcPr>
          <w:p>
            <w:pPr>
              <w:jc w:val="right"/>
              <w:spacing w:after="0"/>
              <w:rPr>
                <w:sz w:val="20"/>
                <w:szCs w:val="20"/>
                <w:color w:val="auto"/>
              </w:rPr>
            </w:pPr>
            <w:r>
              <w:rPr>
                <w:rFonts w:ascii="Arial" w:cs="Arial" w:eastAsia="Arial" w:hAnsi="Arial"/>
                <w:sz w:val="18"/>
                <w:szCs w:val="18"/>
                <w:color w:val="auto"/>
              </w:rPr>
              <w:t>(724,523)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(768,433)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8,372,150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1,686,231</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10,058,378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7,858,224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481,042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7,970,562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7,347,231</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7,349,626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7,168,249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7,168,249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6,617,389</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1,332,803</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7,950,192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2,668,120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2,246,524</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2,425,821</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5,318,948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2,664,745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5,096,768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1,420,301</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2,234,871</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3,655,172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1,754,761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353,425</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2,108,186</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right="280" w:hanging="7"/>
        <w:spacing w:after="0" w:line="257"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2,894,703 revision for natural gas in fiscal 2015 primarily reflects a 2,246,524 MCF reduction for the Delhi field NGL plant together with a 452,786 MCF revision at the Giddings Field for a well that was lost due to mechanical issues. The NGL plant revision resulted from a decision to change in the plant design to use the methane production internally to reduce field operating costs rather than selling it into the market. The 156,195 BBL positive natural gas liquids revision primarily reflects 185,499 BBL positive revision for better recovery from the redesigned NGL plant, partly offset by a 29,304 BBL negative revision from the lost Giddings well.</w:t>
      </w:r>
    </w:p>
    <w:p>
      <w:pPr>
        <w:spacing w:after="0" w:line="188" w:lineRule="exact"/>
        <w:rPr>
          <w:rFonts w:ascii="Arial" w:cs="Arial" w:eastAsia="Arial" w:hAnsi="Arial"/>
          <w:sz w:val="18"/>
          <w:szCs w:val="18"/>
          <w:color w:val="auto"/>
        </w:rPr>
      </w:pPr>
    </w:p>
    <w:p>
      <w:pPr>
        <w:ind w:left="420" w:right="80" w:hanging="7"/>
        <w:spacing w:after="0" w:line="277"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negative revision results primarily from the removal of proved undeveloped reserves in the far eastern part of the Delhi field, referred to as Test Site 6, which were deemed uneconomic under the lower SEC price case utilized at the end of the period.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37"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20" w:right="160" w:hanging="7"/>
        <w:spacing w:after="0" w:line="264" w:lineRule="auto"/>
        <w:tabs>
          <w:tab w:leader="none" w:pos="6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positive crude oil revision resulted from better production performance during fiscal 2017 and the expectation of greater ultimate recoveries of oil from the Delhi field. The negative NGL revision results primarily from lower expectations for ultimate NGL recoveries from the plant based on production data after the plant commenced production.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Future oil and natural gas sales and production and development costs have been estimated using, respectively, trailing 12 month unweighted arithmetic average first-day-of-the-month prices, and costs in effect at the end of the years indicated, as required by ASC 932, </w:t>
      </w:r>
      <w:r>
        <w:rPr>
          <w:rFonts w:ascii="Arial" w:cs="Arial" w:eastAsia="Arial" w:hAnsi="Arial"/>
          <w:sz w:val="17"/>
          <w:szCs w:val="17"/>
          <w:i w:val="1"/>
          <w:iCs w:val="1"/>
          <w:color w:val="auto"/>
        </w:rPr>
        <w:t>Extractive Activities - Oil and Gas</w:t>
      </w:r>
      <w:r>
        <w:rPr>
          <w:rFonts w:ascii="Arial" w:cs="Arial" w:eastAsia="Arial" w:hAnsi="Arial"/>
          <w:sz w:val="17"/>
          <w:szCs w:val="17"/>
          <w:color w:val="auto"/>
        </w:rPr>
        <w:t xml:space="preserve"> ("ASC 932"). ASC 932 requires that net cash flow amounts be discounted at 10%. Future production and development costs are computed by estimating the expenditures to be incurred in developing and producing our proved oil and natural gas reserves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10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standardized measure of discounted future net cash flows related to proved oil and natural gas reserves as of June 30, 2017, 2016, and 2015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June 30,</w:t>
            </w:r>
          </w:p>
        </w:tc>
        <w:tc>
          <w:tcPr>
            <w:tcW w:w="12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425,094,736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383,491,193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807,030,282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Future production costs and severance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(213,115,443)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(179,182,565)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(309,225,333)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(22,631,856)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(49,691,006)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Future income tax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(47,055,551)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(45,713,438)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(123,888,665)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Future net cash flows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142,291,886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142,000,143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324,225,278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10% annual discount for estimated timing of cash flows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(59,354,333)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(64,042,824)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(165,028,739)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Standardized measure of discounted future net cash flows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82,937,553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77,957,319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159,196,539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2015</w:t>
            </w:r>
          </w:p>
        </w:tc>
        <w:tc>
          <w:tcPr>
            <w:tcW w:w="1200" w:type="dxa"/>
            <w:vAlign w:val="bottom"/>
            <w:tcBorders>
              <w:bottom w:val="single" w:sz="8" w:color="auto"/>
            </w:tcBorders>
          </w:tcPr>
          <w:p>
            <w:pPr>
              <w:spacing w:after="0"/>
              <w:rPr>
                <w:sz w:val="22"/>
                <w:szCs w:val="22"/>
                <w:color w:val="auto"/>
              </w:rPr>
            </w:pPr>
          </w:p>
        </w:tc>
      </w:tr>
      <w:tr>
        <w:trPr>
          <w:trHeight w:val="152"/>
        </w:trPr>
        <w:tc>
          <w:tcPr>
            <w:tcW w:w="1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3"/>
          </w:tcPr>
          <w:p>
            <w:pPr>
              <w:jc w:val="center"/>
              <w:ind w:right="760"/>
              <w:spacing w:after="0" w:line="153" w:lineRule="exact"/>
              <w:rPr>
                <w:sz w:val="20"/>
                <w:szCs w:val="20"/>
                <w:color w:val="auto"/>
              </w:rPr>
            </w:pPr>
            <w:r>
              <w:rPr>
                <w:rFonts w:ascii="Arial" w:cs="Arial" w:eastAsia="Arial" w:hAnsi="Arial"/>
                <w:sz w:val="14"/>
                <w:szCs w:val="14"/>
                <w:b w:val="1"/>
                <w:bCs w:val="1"/>
                <w:color w:val="auto"/>
                <w:w w:val="96"/>
              </w:rPr>
              <w:t>Oil</w:t>
            </w:r>
          </w:p>
        </w:tc>
        <w:tc>
          <w:tcPr>
            <w:tcW w:w="1680" w:type="dxa"/>
            <w:vAlign w:val="bottom"/>
            <w:gridSpan w:val="3"/>
          </w:tcPr>
          <w:p>
            <w:pPr>
              <w:jc w:val="center"/>
              <w:ind w:right="760"/>
              <w:spacing w:after="0" w:line="153" w:lineRule="exact"/>
              <w:rPr>
                <w:sz w:val="20"/>
                <w:szCs w:val="20"/>
                <w:color w:val="auto"/>
              </w:rPr>
            </w:pPr>
            <w:r>
              <w:rPr>
                <w:rFonts w:ascii="Arial" w:cs="Arial" w:eastAsia="Arial" w:hAnsi="Arial"/>
                <w:sz w:val="14"/>
                <w:szCs w:val="14"/>
                <w:b w:val="1"/>
                <w:bCs w:val="1"/>
                <w:color w:val="auto"/>
                <w:w w:val="90"/>
              </w:rPr>
              <w:t>Gas</w:t>
            </w:r>
          </w:p>
        </w:tc>
        <w:tc>
          <w:tcPr>
            <w:tcW w:w="58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rPr>
              <w:t>Oil</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0"/>
              </w:rPr>
              <w:t>Gas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rPr>
              <w:t>Oil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0"/>
              </w:rPr>
              <w:t>Gas</w:t>
            </w:r>
          </w:p>
        </w:tc>
      </w:tr>
      <w:tr>
        <w:trPr>
          <w:trHeight w:val="192"/>
        </w:trPr>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3"/>
              </w:rPr>
              <w:t>(Bbl)</w:t>
            </w:r>
          </w:p>
        </w:tc>
        <w:tc>
          <w:tcPr>
            <w:tcW w:w="16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(MMBtu)</w:t>
            </w:r>
          </w:p>
        </w:tc>
        <w:tc>
          <w:tcPr>
            <w:tcW w:w="580" w:type="dxa"/>
            <w:vAlign w:val="bottom"/>
          </w:tcPr>
          <w:p>
            <w:pPr>
              <w:jc w:val="center"/>
              <w:ind w:left="148"/>
              <w:spacing w:after="0"/>
              <w:rPr>
                <w:sz w:val="20"/>
                <w:szCs w:val="20"/>
                <w:color w:val="auto"/>
              </w:rPr>
            </w:pPr>
            <w:r>
              <w:rPr>
                <w:rFonts w:ascii="Arial" w:cs="Arial" w:eastAsia="Arial" w:hAnsi="Arial"/>
                <w:sz w:val="14"/>
                <w:szCs w:val="14"/>
                <w:b w:val="1"/>
                <w:bCs w:val="1"/>
                <w:color w:val="auto"/>
              </w:rPr>
              <w:t>(Bbl)</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rPr>
              <w:t>(MMBtu)</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center"/>
              <w:ind w:right="182"/>
              <w:spacing w:after="0"/>
              <w:rPr>
                <w:sz w:val="20"/>
                <w:szCs w:val="20"/>
                <w:color w:val="auto"/>
              </w:rPr>
            </w:pPr>
            <w:r>
              <w:rPr>
                <w:rFonts w:ascii="Arial" w:cs="Arial" w:eastAsia="Arial" w:hAnsi="Arial"/>
                <w:sz w:val="14"/>
                <w:szCs w:val="14"/>
                <w:b w:val="1"/>
                <w:bCs w:val="1"/>
                <w:color w:val="auto"/>
              </w:rPr>
              <w:t>(Bbl)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02"/>
              <w:spacing w:after="0"/>
              <w:rPr>
                <w:sz w:val="20"/>
                <w:szCs w:val="20"/>
                <w:color w:val="auto"/>
              </w:rPr>
            </w:pPr>
            <w:r>
              <w:rPr>
                <w:rFonts w:ascii="Arial" w:cs="Arial" w:eastAsia="Arial" w:hAnsi="Arial"/>
                <w:sz w:val="14"/>
                <w:szCs w:val="14"/>
                <w:b w:val="1"/>
                <w:bCs w:val="1"/>
                <w:color w:val="auto"/>
              </w:rPr>
              <w:t>(MMBtu)</w:t>
            </w:r>
          </w:p>
        </w:tc>
      </w:tr>
      <w:tr>
        <w:trPr>
          <w:trHeight w:val="215"/>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 prices used in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6"/>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determining future cash</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flows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n/a  $</w:t>
            </w: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7"/>
              </w:rPr>
              <w:t>42.91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n/a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3.44</w:t>
            </w:r>
          </w:p>
        </w:tc>
      </w:tr>
      <w:tr>
        <w:trPr>
          <w:trHeight w:val="27"/>
        </w:trPr>
        <w:tc>
          <w:tcPr>
            <w:tcW w:w="1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There were no natural gas reserves in 2017 and 2016. The NGL prices utilized for future cash inflows were based on historical prices received, where available. For the Delhi NGL plant, we utilized historical prices for the expected mix and net pricing of natural gas liquid products.</w:t>
      </w:r>
    </w:p>
    <w:p>
      <w:pPr>
        <w:spacing w:after="0" w:line="20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 summary of the changes in the standardized measure of discounted future net cash flows applicable to proved crude oil, natural gas liquids, and natural gas reserves is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June 30,</w:t>
            </w:r>
          </w:p>
        </w:tc>
        <w:tc>
          <w:tcPr>
            <w:tcW w:w="11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77,957,319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159,196,539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226,077,672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changes in sales prices and production costs related to future production</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19,821,288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(120,832,747)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(88,043,095)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(9,585,405)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of oil and gas produced during the period, net of production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(23,649,087)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(17,079,363)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(18,538,016)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extensions, discoveries, and improved recovery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due to revisions in quantity estimates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(2,206,287)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(18,821,014)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(9,391,321)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sales of minerals in place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Development costs incurred during the period</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2,632,547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16,327,883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7,785,095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discount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10,086,904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21,870,650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31,974,540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discounted income taxes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(5,045,279)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36,598,239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34,157,767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4,966,981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(15,240,698)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82,937,553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77,957,319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159,196,539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Selected Quarterly Financial Data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summarized quarterly financial information for the years ended June 30, 2017 and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ind w:left="244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6"/>
                <w:szCs w:val="16"/>
                <w:color w:val="auto"/>
              </w:rPr>
            </w:pPr>
          </w:p>
        </w:tc>
        <w:tc>
          <w:tcPr>
            <w:tcW w:w="122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7,593,940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8,529,817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9,525,437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8,835,702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2,727,593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3,675,381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3,893,236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2,583,912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563,345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2,419,143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1,500,761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Basic and diluted net income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Dividends per share declared and paid in the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0.070</w:t>
            </w:r>
          </w:p>
        </w:tc>
      </w:tr>
      <w:tr>
        <w:trPr>
          <w:trHeight w:val="642"/>
        </w:trPr>
        <w:tc>
          <w:tcPr>
            <w:tcW w:w="5140" w:type="dxa"/>
            <w:vAlign w:val="bottom"/>
          </w:tcPr>
          <w:p>
            <w:pPr>
              <w:ind w:left="244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24"/>
                <w:szCs w:val="2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Second (1)</w:t>
            </w:r>
          </w:p>
        </w:tc>
        <w:tc>
          <w:tcPr>
            <w:tcW w:w="34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Fourth (2)</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7,379,406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6,622,927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5,106,735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7,240,434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1,846,498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954,823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2,923,652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20,705,894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Basic and diluted net income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0.63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Dividends per share declared and paid in the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0.05</w:t>
            </w:r>
          </w:p>
        </w:tc>
      </w:tr>
    </w:tbl>
    <w:p>
      <w:pPr>
        <w:spacing w:after="0" w:line="22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$1.3 million restructuring charge.</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gain on settlement of Delhi field litigation of $28.1 million.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37"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8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this Company's management, including our Chief Executive Officer and Chief Financial Officer, as appropriate to allow for timely decisions regarding required disclosure.</w:t>
      </w:r>
    </w:p>
    <w:p>
      <w:pPr>
        <w:spacing w:after="0" w:line="24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required by Securities and Exchange Commission Rule 13a-15(b), we carried out an evaluation, under the supervision and with the participation of the Company's management, including our Chief Executive Officer and Chief Financial Officer, of the effectiveness of the design and operation of our disclosure controls and procedures as of the end of the period covered by this report. Based on this evaluation, our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07" w:lineRule="exact"/>
        <w:rPr>
          <w:sz w:val="20"/>
          <w:szCs w:val="20"/>
          <w:color w:val="auto"/>
        </w:rPr>
      </w:pPr>
    </w:p>
    <w:p>
      <w:pPr>
        <w:ind w:left="660" w:right="48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 xml:space="preserve">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Chief Executive Officer and the Chief Financial Officer, an evaluation was conducted on the effectiveness of the Company's internal control over financial reporting based on criteria established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Management concluded that the Company maintained effective internal control over financial reporting as of June 30, 2017.</w:t>
      </w:r>
    </w:p>
    <w:p>
      <w:pPr>
        <w:spacing w:after="0" w:line="22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 xml:space="preserve">The effectiveness of our internal control over financial reporting at June 30, 2017 has been audited by Hein &amp; Associates LLP, the independent registered public accounting firm that also audited our financial statements. Their report is included in </w:t>
      </w:r>
      <w:r>
        <w:rPr>
          <w:rFonts w:ascii="Arial" w:cs="Arial" w:eastAsia="Arial" w:hAnsi="Arial"/>
          <w:sz w:val="17"/>
          <w:szCs w:val="17"/>
          <w:i w:val="1"/>
          <w:iCs w:val="1"/>
          <w:color w:val="auto"/>
        </w:rPr>
        <w:t>Item 8. "Financial Statements"</w:t>
      </w:r>
      <w:r>
        <w:rPr>
          <w:rFonts w:ascii="Arial" w:cs="Arial" w:eastAsia="Arial" w:hAnsi="Arial"/>
          <w:sz w:val="17"/>
          <w:szCs w:val="17"/>
          <w:color w:val="auto"/>
        </w:rPr>
        <w:t xml:space="preserve"> of this Annual Report on form 10-K under the heading Report of Independent Registered Public Accounting Firm on internal control over financial reporting.</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during the fourth quarter ended June 30, 2017 that has materially affected, or is reasonably likely to materially affect, the Company's internal control over financial reporting.</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125" w:right="4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the Company's Proxy Statement to be filed with the Commission pursuant to Regulation 14A within 120 days of the end of the Company's 2017 fiscal year.</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Incorporated by reference to the Company's Proxy Statement to be filed with the Commission pursuant to Regulation 14A within 120 days of the end of the Company's 2017 fiscal year.</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Incorporated by reference to the Company's Proxy Statement to be filed with the Commission pursuant to Regulation 14A within 120 days of the end of the Company's 2017 fiscal year.</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Director Independence</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Incorporated by reference to the Company's Proxy Statement to be filed with the Commission pursuant to Regulation 14A within 120 days of the end of the Company's 2017 fiscal year.</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Incorporated by reference to the Company's Proxy Statement to be filed with the Commission pursuant to Regulation 14A within 120 days of the end of the Company's 2017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75" w:lineRule="exact"/>
        <w:rPr>
          <w:sz w:val="20"/>
          <w:szCs w:val="20"/>
          <w:color w:val="auto"/>
        </w:rPr>
      </w:pPr>
    </w:p>
    <w:p>
      <w:pPr>
        <w:ind w:left="680" w:hanging="321"/>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Our consolidated financial statements are included in Part II, Item 8 of this report:</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Operations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Cash Flows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Stockholders' Equity</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Notes to the Consolidated Financial Statements</w:t>
      </w:r>
    </w:p>
    <w:p>
      <w:pPr>
        <w:spacing w:after="0" w:line="275" w:lineRule="exact"/>
        <w:rPr>
          <w:sz w:val="20"/>
          <w:szCs w:val="20"/>
          <w:color w:val="auto"/>
        </w:rPr>
      </w:pPr>
    </w:p>
    <w:p>
      <w:pPr>
        <w:ind w:left="1080" w:right="3740" w:hanging="721"/>
        <w:spacing w:after="0" w:line="438" w:lineRule="auto"/>
        <w:tabs>
          <w:tab w:leader="none" w:pos="6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Schedules and supplementary information required to be submitted: </w:t>
      </w:r>
      <w:r>
        <w:rPr>
          <w:rFonts w:ascii="Arial" w:cs="Arial" w:eastAsia="Arial" w:hAnsi="Arial"/>
          <w:sz w:val="18"/>
          <w:szCs w:val="18"/>
          <w:color w:val="auto"/>
        </w:rPr>
        <w:t>None.</w:t>
      </w:r>
    </w:p>
    <w:p>
      <w:pPr>
        <w:spacing w:after="0" w:line="81" w:lineRule="exact"/>
        <w:rPr>
          <w:rFonts w:ascii="Arial" w:cs="Arial" w:eastAsia="Arial" w:hAnsi="Arial"/>
          <w:sz w:val="18"/>
          <w:szCs w:val="18"/>
          <w:b w:val="1"/>
          <w:bCs w:val="1"/>
          <w:color w:val="auto"/>
        </w:rPr>
      </w:pPr>
    </w:p>
    <w:p>
      <w:pPr>
        <w:ind w:left="680" w:hanging="321"/>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125"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SELECTED PETROLEUM TERMS</w:t>
      </w: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abbreviations and definitions are terms commonly used in the crude oil and natural gas industry and throughout this form 10-K:</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"BBL." A standard measure of volume for crude oil and liquid petroleum products; one barrel equals 42 U.S. gallons.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"BCF." Billion Cubic Feet of natural gas at standard temperature and pressure.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"BOE." Barrels of oil equivalent. BOE is calculated by converting 6 MCF of natural gas to 1 BBL of oil.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"BOPD." Barrels of oil per day.</w:t>
      </w:r>
    </w:p>
    <w:p>
      <w:pPr>
        <w:spacing w:after="0" w:line="279" w:lineRule="exact"/>
        <w:rPr>
          <w:sz w:val="20"/>
          <w:szCs w:val="20"/>
          <w:color w:val="auto"/>
        </w:rPr>
      </w:pPr>
    </w:p>
    <w:p>
      <w:pPr>
        <w:ind w:left="340" w:right="40" w:firstLine="324"/>
        <w:spacing w:after="0" w:line="277" w:lineRule="auto"/>
        <w:rPr>
          <w:sz w:val="20"/>
          <w:szCs w:val="20"/>
          <w:color w:val="auto"/>
        </w:rPr>
      </w:pPr>
      <w:r>
        <w:rPr>
          <w:rFonts w:ascii="Arial" w:cs="Arial" w:eastAsia="Arial" w:hAnsi="Arial"/>
          <w:sz w:val="18"/>
          <w:szCs w:val="18"/>
          <w:color w:val="auto"/>
        </w:rPr>
        <w:t>"BTU" or "British Thermal Unit." The standard unit of measure of energy equal to the amount of heat required to raise the temperature of one pound of water 1 degree Fahrenheit. One Bbl of crude is typically 5.8 MMBTU, and one standard MCF is typically one MMBTU.</w:t>
      </w:r>
    </w:p>
    <w:p>
      <w:pPr>
        <w:spacing w:after="0" w:line="224" w:lineRule="exact"/>
        <w:rPr>
          <w:sz w:val="20"/>
          <w:szCs w:val="20"/>
          <w:color w:val="auto"/>
        </w:rPr>
      </w:pPr>
    </w:p>
    <w:p>
      <w:pPr>
        <w:jc w:val="both"/>
        <w:ind w:left="340" w:right="160" w:firstLine="324"/>
        <w:spacing w:after="0" w:line="271" w:lineRule="auto"/>
        <w:rPr>
          <w:sz w:val="20"/>
          <w:szCs w:val="20"/>
          <w:color w:val="auto"/>
        </w:rPr>
      </w:pPr>
      <w:r>
        <w:rPr>
          <w:rFonts w:ascii="Arial" w:cs="Arial" w:eastAsia="Arial" w:hAnsi="Arial"/>
          <w:sz w:val="18"/>
          <w:szCs w:val="18"/>
          <w:color w:val="auto"/>
        </w:rPr>
        <w:t>"CO</w:t>
      </w:r>
      <w:r>
        <w:rPr>
          <w:rFonts w:ascii="Arial" w:cs="Arial" w:eastAsia="Arial" w:hAnsi="Arial"/>
          <w:sz w:val="14"/>
          <w:szCs w:val="14"/>
          <w:color w:val="auto"/>
        </w:rPr>
        <w:t>2</w:t>
      </w:r>
      <w:r>
        <w:rPr>
          <w:rFonts w:ascii="Arial" w:cs="Arial" w:eastAsia="Arial" w:hAnsi="Arial"/>
          <w:sz w:val="18"/>
          <w:szCs w:val="18"/>
          <w:color w:val="auto"/>
        </w:rPr>
        <w:t>." Carbon dioxide, an atmospheric gas that can be found concentrated in naturally occurring underground reservoirs, typically associated with ancient volcanoes, and also is a major byproduct from manufacturing and power production. It is used in enhanced oil recovery through injection under pressure into an oil reservoir.</w:t>
      </w:r>
    </w:p>
    <w:p>
      <w:pPr>
        <w:spacing w:after="0" w:line="231" w:lineRule="exact"/>
        <w:rPr>
          <w:sz w:val="20"/>
          <w:szCs w:val="20"/>
          <w:color w:val="auto"/>
        </w:rPr>
      </w:pPr>
    </w:p>
    <w:p>
      <w:pPr>
        <w:jc w:val="both"/>
        <w:ind w:left="340" w:right="560" w:firstLine="324"/>
        <w:spacing w:after="0" w:line="312" w:lineRule="auto"/>
        <w:rPr>
          <w:sz w:val="20"/>
          <w:szCs w:val="20"/>
          <w:color w:val="auto"/>
        </w:rPr>
      </w:pPr>
      <w:r>
        <w:rPr>
          <w:rFonts w:ascii="Arial" w:cs="Arial" w:eastAsia="Arial" w:hAnsi="Arial"/>
          <w:sz w:val="16"/>
          <w:szCs w:val="16"/>
          <w:color w:val="auto"/>
        </w:rPr>
        <w:t>"Developed Reserves."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01" w:lineRule="exact"/>
        <w:rPr>
          <w:sz w:val="20"/>
          <w:szCs w:val="20"/>
          <w:color w:val="auto"/>
        </w:rPr>
      </w:pPr>
    </w:p>
    <w:p>
      <w:pPr>
        <w:ind w:left="340" w:right="200" w:firstLine="324"/>
        <w:spacing w:after="0" w:line="277" w:lineRule="auto"/>
        <w:rPr>
          <w:sz w:val="20"/>
          <w:szCs w:val="20"/>
          <w:color w:val="auto"/>
        </w:rPr>
      </w:pPr>
      <w:r>
        <w:rPr>
          <w:rFonts w:ascii="Arial" w:cs="Arial" w:eastAsia="Arial" w:hAnsi="Arial"/>
          <w:sz w:val="18"/>
          <w:szCs w:val="18"/>
          <w:color w:val="auto"/>
        </w:rPr>
        <w:t>"EOR." Enhanced Oil Recovery projects involve injection of heat, miscible or immiscible gas, or chemicals into oil reservoirs, typically following full primary and secondary waterflood recovery efforts, in order to gain incremental recovery of oil from the reservoir.</w:t>
      </w:r>
    </w:p>
    <w:p>
      <w:pPr>
        <w:spacing w:after="0" w:line="224" w:lineRule="exact"/>
        <w:rPr>
          <w:sz w:val="20"/>
          <w:szCs w:val="20"/>
          <w:color w:val="auto"/>
        </w:rPr>
      </w:pPr>
    </w:p>
    <w:p>
      <w:pPr>
        <w:ind w:left="340" w:right="340" w:firstLine="324"/>
        <w:spacing w:after="0" w:line="277" w:lineRule="auto"/>
        <w:rPr>
          <w:sz w:val="20"/>
          <w:szCs w:val="20"/>
          <w:color w:val="auto"/>
        </w:rPr>
      </w:pPr>
      <w:r>
        <w:rPr>
          <w:rFonts w:ascii="Arial" w:cs="Arial" w:eastAsia="Arial" w:hAnsi="Arial"/>
          <w:sz w:val="18"/>
          <w:szCs w:val="18"/>
          <w:color w:val="auto"/>
        </w:rPr>
        <w:t>"Field." An area consisting of a single reservoir or multiple reservoirs all grouped on or related to the same individual geologic structural feature and/or stratigraphic feature.*</w:t>
      </w:r>
    </w:p>
    <w:p>
      <w:pPr>
        <w:spacing w:after="0" w:line="224" w:lineRule="exact"/>
        <w:rPr>
          <w:sz w:val="20"/>
          <w:szCs w:val="20"/>
          <w:color w:val="auto"/>
        </w:rPr>
      </w:pPr>
    </w:p>
    <w:p>
      <w:pPr>
        <w:ind w:left="340" w:firstLine="324"/>
        <w:spacing w:after="0" w:line="259" w:lineRule="auto"/>
        <w:rPr>
          <w:sz w:val="20"/>
          <w:szCs w:val="20"/>
          <w:color w:val="auto"/>
        </w:rPr>
      </w:pPr>
      <w:r>
        <w:rPr>
          <w:rFonts w:ascii="Arial" w:cs="Arial" w:eastAsia="Arial" w:hAnsi="Arial"/>
          <w:sz w:val="18"/>
          <w:szCs w:val="18"/>
          <w:color w:val="auto"/>
        </w:rPr>
        <w:t>"Farmout." 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Acres or Gross Wells." The total acres or number of wells participated in, regardless of the amount of working interest owned.</w:t>
      </w:r>
    </w:p>
    <w:p>
      <w:pPr>
        <w:spacing w:after="0" w:line="279" w:lineRule="exact"/>
        <w:rPr>
          <w:sz w:val="20"/>
          <w:szCs w:val="20"/>
          <w:color w:val="auto"/>
        </w:rPr>
      </w:pPr>
    </w:p>
    <w:p>
      <w:pPr>
        <w:ind w:left="340" w:right="160" w:firstLine="324"/>
        <w:spacing w:after="0" w:line="277" w:lineRule="auto"/>
        <w:rPr>
          <w:sz w:val="20"/>
          <w:szCs w:val="20"/>
          <w:color w:val="auto"/>
        </w:rPr>
      </w:pPr>
      <w:r>
        <w:rPr>
          <w:rFonts w:ascii="Arial" w:cs="Arial" w:eastAsia="Arial" w:hAnsi="Arial"/>
          <w:sz w:val="18"/>
          <w:szCs w:val="18"/>
          <w:color w:val="auto"/>
        </w:rPr>
        <w:t>"Horizontal Drilling." Involves drilling horizontally out from a vertical well bore, thereby potentially increasing the area and reach of the well bore that is in contact with the reservoir.</w:t>
      </w:r>
    </w:p>
    <w:p>
      <w:pPr>
        <w:spacing w:after="0" w:line="224"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8"/>
          <w:szCs w:val="18"/>
          <w:color w:val="auto"/>
        </w:rPr>
        <w:t>"Hydraulic Fracturing." Involves pumping a fluid with or without particulates into a formation at high pressure, thereby creating fractures in the rock and leaving the particulates in the fractures to ensure that the fractures remain open, thereby potentially increasing the ability of the reservoir to produce oil or gas.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"LOE." Means lease operating expense(s), a current period expense incurred to operate a well.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"MBO." One thousand barrels of oil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"MBOE." One thousand barrels of oil equivalent.</w:t>
      </w:r>
    </w:p>
    <w:p>
      <w:pPr>
        <w:spacing w:after="0" w:line="279" w:lineRule="exact"/>
        <w:rPr>
          <w:sz w:val="20"/>
          <w:szCs w:val="20"/>
          <w:color w:val="auto"/>
        </w:rPr>
      </w:pPr>
    </w:p>
    <w:p>
      <w:pPr>
        <w:ind w:left="340" w:right="920" w:firstLine="324"/>
        <w:spacing w:after="0" w:line="342" w:lineRule="auto"/>
        <w:rPr>
          <w:sz w:val="20"/>
          <w:szCs w:val="20"/>
          <w:color w:val="auto"/>
        </w:rPr>
      </w:pPr>
      <w:r>
        <w:rPr>
          <w:rFonts w:ascii="Arial" w:cs="Arial" w:eastAsia="Arial" w:hAnsi="Arial"/>
          <w:sz w:val="16"/>
          <w:szCs w:val="16"/>
          <w:color w:val="auto"/>
        </w:rPr>
        <w:t>"MCF." One thousand cubic feet of natural gas at standard conditions, being approximately sea level pressure and 60 degrees Fahrenheit temperature. Standard pressure in the state of Louisiana is deemed to be 15.025 psi by regulation, but varies in other states.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"MMBOE." One million barrels of oil equivalent.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"MMBTU." One million British thermal units.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"MMCF." One million cubic feet of natural gas at standard temperature and pressure.</w:t>
      </w:r>
    </w:p>
    <w:p>
      <w:pPr>
        <w:sectPr>
          <w:pgSz w:w="11900" w:h="16838" w:orient="portrait"/>
          <w:cols w:equalWidth="0" w:num="1">
            <w:col w:w="11400"/>
          </w:cols>
          <w:pgMar w:left="240" w:top="125" w:right="259" w:bottom="1149"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25" w:right="259" w:bottom="1149"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"Mineral Royalty Interest." A royalty interest that is retained by the owner of the minerals underlying a lease. See "Royalty Interest".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Acres or Net Wells." The sum of the fractional working interests owned in gross acres or gross wells.</w:t>
      </w:r>
    </w:p>
    <w:p>
      <w:pPr>
        <w:spacing w:after="0" w:line="279" w:lineRule="exact"/>
        <w:rPr>
          <w:sz w:val="20"/>
          <w:szCs w:val="20"/>
          <w:color w:val="auto"/>
        </w:rPr>
      </w:pPr>
    </w:p>
    <w:p>
      <w:pPr>
        <w:ind w:left="340" w:right="100" w:firstLine="324"/>
        <w:spacing w:after="0" w:line="264" w:lineRule="auto"/>
        <w:rPr>
          <w:sz w:val="20"/>
          <w:szCs w:val="20"/>
          <w:color w:val="auto"/>
        </w:rPr>
      </w:pPr>
      <w:r>
        <w:rPr>
          <w:rFonts w:ascii="Arial" w:cs="Arial" w:eastAsia="Arial" w:hAnsi="Arial"/>
          <w:sz w:val="18"/>
          <w:szCs w:val="18"/>
          <w:color w:val="auto"/>
        </w:rPr>
        <w:t>"NGL." Natural gas liquids, being the combination of ethane, propane, butane and natural gasoline that can be removed from natural gas through processing, typically through refrigeration plants that utilize low temperatures, or through J-T plants that utilize compression, temperature reduction and expansion to a lower pressure.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"NYMEX." New York Mercantile Exchange.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"OOIP." Original Oil in Place. An estimate of the barrels originally contained in a reservoir before any production therefrom.</w:t>
      </w:r>
    </w:p>
    <w:p>
      <w:pPr>
        <w:spacing w:after="0" w:line="279" w:lineRule="exact"/>
        <w:rPr>
          <w:sz w:val="20"/>
          <w:szCs w:val="20"/>
          <w:color w:val="auto"/>
        </w:rPr>
      </w:pPr>
    </w:p>
    <w:p>
      <w:pPr>
        <w:jc w:val="both"/>
        <w:ind w:left="340" w:right="100" w:firstLine="324"/>
        <w:spacing w:after="0" w:line="264" w:lineRule="auto"/>
        <w:rPr>
          <w:sz w:val="20"/>
          <w:szCs w:val="20"/>
          <w:color w:val="auto"/>
        </w:rPr>
      </w:pPr>
      <w:r>
        <w:rPr>
          <w:rFonts w:ascii="Arial" w:cs="Arial" w:eastAsia="Arial" w:hAnsi="Arial"/>
          <w:sz w:val="18"/>
          <w:szCs w:val="18"/>
          <w:color w:val="auto"/>
        </w:rPr>
        <w:t>"Operator." An oil and gas joint venture participant that manages the joint venture, pays venture costs and bills the venture's non-operators for their share of venture costs. The operator is also responsible to market all oil and gas production, except for those non-operators who take their production in-kind.</w:t>
      </w:r>
    </w:p>
    <w:p>
      <w:pPr>
        <w:spacing w:after="0" w:line="235" w:lineRule="exact"/>
        <w:rPr>
          <w:sz w:val="20"/>
          <w:szCs w:val="20"/>
          <w:color w:val="auto"/>
        </w:rPr>
      </w:pPr>
    </w:p>
    <w:p>
      <w:pPr>
        <w:ind w:left="340" w:right="580" w:firstLine="324"/>
        <w:spacing w:after="0" w:line="308" w:lineRule="auto"/>
        <w:rPr>
          <w:sz w:val="20"/>
          <w:szCs w:val="20"/>
          <w:color w:val="auto"/>
        </w:rPr>
      </w:pPr>
      <w:r>
        <w:rPr>
          <w:rFonts w:ascii="Arial" w:cs="Arial" w:eastAsia="Arial" w:hAnsi="Arial"/>
          <w:sz w:val="17"/>
          <w:szCs w:val="17"/>
          <w:color w:val="auto"/>
        </w:rPr>
        <w:t>"Overriding Royalty Interest or ORRI." A royalty interest that is created out of the operating or working interest. Unlike a royalty interest, an overriding royalty interest terminates with the operating interest from which it was created or carved out of. See "Royalty Interest".</w:t>
      </w:r>
    </w:p>
    <w:p>
      <w:pPr>
        <w:spacing w:after="0" w:line="201" w:lineRule="exact"/>
        <w:rPr>
          <w:sz w:val="20"/>
          <w:szCs w:val="20"/>
          <w:color w:val="auto"/>
        </w:rPr>
      </w:pPr>
    </w:p>
    <w:p>
      <w:pPr>
        <w:ind w:left="340" w:right="140" w:firstLine="324"/>
        <w:spacing w:after="0" w:line="259" w:lineRule="auto"/>
        <w:rPr>
          <w:sz w:val="20"/>
          <w:szCs w:val="20"/>
          <w:color w:val="auto"/>
        </w:rPr>
      </w:pPr>
      <w:r>
        <w:rPr>
          <w:rFonts w:ascii="Arial" w:cs="Arial" w:eastAsia="Arial" w:hAnsi="Arial"/>
          <w:sz w:val="18"/>
          <w:szCs w:val="18"/>
          <w:color w:val="auto"/>
        </w:rPr>
        <w:t>"Permeability." The measure of ease with which a fluid can move through a reservoir. The unit of measure is a darcy, or any metric derivation thereof, such as a millidarcy, where one darcy equals 1,000 millidarcys. Extremely low permeability of 10 millidarcys, or less, are often associated with source rocks, such as shale, making extraction of hydrocarbons more difficult, than say sandstone traps, where permeability can be one to two darcys or more.</w:t>
      </w:r>
    </w:p>
    <w:p>
      <w:pPr>
        <w:spacing w:after="0" w:line="241" w:lineRule="exact"/>
        <w:rPr>
          <w:sz w:val="20"/>
          <w:szCs w:val="20"/>
          <w:color w:val="auto"/>
        </w:rPr>
      </w:pPr>
    </w:p>
    <w:p>
      <w:pPr>
        <w:ind w:left="340" w:firstLine="324"/>
        <w:spacing w:after="0" w:line="342" w:lineRule="auto"/>
        <w:rPr>
          <w:sz w:val="20"/>
          <w:szCs w:val="20"/>
          <w:color w:val="auto"/>
        </w:rPr>
      </w:pPr>
      <w:r>
        <w:rPr>
          <w:rFonts w:ascii="Arial" w:cs="Arial" w:eastAsia="Arial" w:hAnsi="Arial"/>
          <w:sz w:val="16"/>
          <w:szCs w:val="16"/>
          <w:color w:val="auto"/>
        </w:rPr>
        <w:t>"Porosity." (of sand or sandstone). The relative volume of the pore space (or open area) compared to the total bulk volume of the reservoir, stated in percent. Higher porosity rocks provide more storage space for hydrocarbon accumulations than lower porosity rocks in a given cubic volume of reservoir.</w:t>
      </w:r>
    </w:p>
    <w:p>
      <w:pPr>
        <w:spacing w:after="0" w:line="178" w:lineRule="exact"/>
        <w:rPr>
          <w:sz w:val="20"/>
          <w:szCs w:val="20"/>
          <w:color w:val="auto"/>
        </w:rPr>
      </w:pPr>
    </w:p>
    <w:p>
      <w:pPr>
        <w:ind w:left="340" w:right="260" w:firstLine="324"/>
        <w:spacing w:after="0" w:line="277" w:lineRule="auto"/>
        <w:rPr>
          <w:sz w:val="20"/>
          <w:szCs w:val="20"/>
          <w:color w:val="auto"/>
        </w:rPr>
      </w:pPr>
      <w:r>
        <w:rPr>
          <w:rFonts w:ascii="Arial" w:cs="Arial" w:eastAsia="Arial" w:hAnsi="Arial"/>
          <w:sz w:val="18"/>
          <w:szCs w:val="18"/>
          <w:color w:val="auto"/>
        </w:rPr>
        <w:t>“Possible Reserves.” Additional unproved reserves that analysis of geological and engineering data suggests are less likely to be recoverable than Probable Reserves, but have at least a ten percent probability of being recovered.*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"Probable Developed Producing Reserves." Probable Reserves that are Developed and Producing.*</w:t>
      </w:r>
    </w:p>
    <w:p>
      <w:pPr>
        <w:spacing w:after="0" w:line="279"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"Probable Reserves." Additional reserves that are less certain to be recovered than Proved Reserves but which, together with Proved Reserves, are as likely as not to be recovered.*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"Producing Reserves." Any category of reserves that have been developed and production has been initiated.*</w:t>
      </w:r>
    </w:p>
    <w:p>
      <w:pPr>
        <w:spacing w:after="0" w:line="279" w:lineRule="exact"/>
        <w:rPr>
          <w:sz w:val="20"/>
          <w:szCs w:val="20"/>
          <w:color w:val="auto"/>
        </w:rPr>
      </w:pPr>
    </w:p>
    <w:p>
      <w:pPr>
        <w:ind w:left="340" w:right="560" w:firstLine="324"/>
        <w:spacing w:after="0" w:line="312" w:lineRule="auto"/>
        <w:rPr>
          <w:sz w:val="20"/>
          <w:szCs w:val="20"/>
          <w:color w:val="auto"/>
        </w:rPr>
      </w:pPr>
      <w:r>
        <w:rPr>
          <w:rFonts w:ascii="Arial" w:cs="Arial" w:eastAsia="Arial" w:hAnsi="Arial"/>
          <w:sz w:val="16"/>
          <w:szCs w:val="16"/>
          <w:color w:val="auto"/>
        </w:rPr>
        <w:t>"Proved Developed Reserves." 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01" w:lineRule="exact"/>
        <w:rPr>
          <w:sz w:val="20"/>
          <w:szCs w:val="20"/>
          <w:color w:val="auto"/>
        </w:rPr>
      </w:pPr>
    </w:p>
    <w:p>
      <w:pPr>
        <w:jc w:val="both"/>
        <w:ind w:left="340" w:right="80" w:firstLine="324"/>
        <w:spacing w:after="0" w:line="264" w:lineRule="auto"/>
        <w:rPr>
          <w:sz w:val="20"/>
          <w:szCs w:val="20"/>
          <w:color w:val="auto"/>
        </w:rPr>
      </w:pPr>
      <w:r>
        <w:rPr>
          <w:rFonts w:ascii="Arial" w:cs="Arial" w:eastAsia="Arial" w:hAnsi="Arial"/>
          <w:sz w:val="18"/>
          <w:szCs w:val="18"/>
          <w:color w:val="auto"/>
        </w:rPr>
        <w:t>"Proved Developed Nonproducing Reserves ("PDNP")." Proved Reserves that have been developed and no material amount of capital expenditures are required to bring on production, but production has not yet been initiated due to timing, markets, or lack of third party completed connection to a gas sales pipeline.*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"Proved Developed Producing Reserves ("PDP")." Proved Reserves that have been developed and production has been initiated.*</w:t>
      </w:r>
    </w:p>
    <w:p>
      <w:pPr>
        <w:spacing w:after="0" w:line="279" w:lineRule="exact"/>
        <w:rPr>
          <w:sz w:val="20"/>
          <w:szCs w:val="20"/>
          <w:color w:val="auto"/>
        </w:rPr>
      </w:pPr>
    </w:p>
    <w:p>
      <w:pPr>
        <w:ind w:left="340" w:right="40" w:firstLine="324"/>
        <w:spacing w:after="0" w:line="276" w:lineRule="auto"/>
        <w:rPr>
          <w:sz w:val="20"/>
          <w:szCs w:val="20"/>
          <w:color w:val="auto"/>
        </w:rPr>
      </w:pPr>
      <w:r>
        <w:rPr>
          <w:rFonts w:ascii="Arial" w:cs="Arial" w:eastAsia="Arial" w:hAnsi="Arial"/>
          <w:sz w:val="17"/>
          <w:szCs w:val="17"/>
          <w:color w:val="auto"/>
        </w:rPr>
        <w:t>"Proved Reserves." Estimated quantities of crude oil, natural gas, and natural gas liquids which geological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27" w:lineRule="exact"/>
        <w:rPr>
          <w:sz w:val="20"/>
          <w:szCs w:val="20"/>
          <w:color w:val="auto"/>
        </w:rPr>
      </w:pPr>
    </w:p>
    <w:p>
      <w:pPr>
        <w:ind w:left="340" w:right="80" w:firstLine="324"/>
        <w:spacing w:after="0" w:line="277" w:lineRule="auto"/>
        <w:rPr>
          <w:sz w:val="20"/>
          <w:szCs w:val="20"/>
          <w:color w:val="auto"/>
        </w:rPr>
      </w:pPr>
      <w:r>
        <w:rPr>
          <w:rFonts w:ascii="Arial" w:cs="Arial" w:eastAsia="Arial" w:hAnsi="Arial"/>
          <w:sz w:val="18"/>
          <w:szCs w:val="18"/>
          <w:color w:val="auto"/>
        </w:rPr>
        <w:t>"Proved Undeveloped Reserves ("PUD")." Proved Reserves that are expected to be recovered from new wells on undrilled acreage, or from existing wells where a relatively major expenditure is required for recompletion.*</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125" w:right="25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280" w:firstLine="316"/>
        <w:spacing w:after="0" w:line="342" w:lineRule="auto"/>
        <w:tabs>
          <w:tab w:leader="none" w:pos="9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7" w:lineRule="exact"/>
        <w:rPr>
          <w:rFonts w:ascii="Arial" w:cs="Arial" w:eastAsia="Arial" w:hAnsi="Arial"/>
          <w:sz w:val="16"/>
          <w:szCs w:val="16"/>
          <w:color w:val="auto"/>
        </w:rPr>
      </w:pPr>
    </w:p>
    <w:p>
      <w:pPr>
        <w:ind w:left="340" w:right="520" w:firstLine="316"/>
        <w:spacing w:after="0" w:line="277" w:lineRule="auto"/>
        <w:tabs>
          <w:tab w:leader="none" w:pos="9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24" w:lineRule="exact"/>
        <w:rPr>
          <w:rFonts w:ascii="Arial" w:cs="Arial" w:eastAsia="Arial" w:hAnsi="Arial"/>
          <w:sz w:val="18"/>
          <w:szCs w:val="18"/>
          <w:color w:val="auto"/>
        </w:rPr>
      </w:pPr>
    </w:p>
    <w:p>
      <w:pPr>
        <w:ind w:left="340" w:right="280" w:firstLine="316"/>
        <w:spacing w:after="0" w:line="286" w:lineRule="auto"/>
        <w:tabs>
          <w:tab w:leader="none" w:pos="10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p>
      <w:pPr>
        <w:spacing w:after="0" w:line="220" w:lineRule="exact"/>
        <w:rPr>
          <w:sz w:val="20"/>
          <w:szCs w:val="20"/>
          <w:color w:val="auto"/>
        </w:rPr>
      </w:pPr>
    </w:p>
    <w:p>
      <w:pPr>
        <w:ind w:left="340" w:right="140" w:firstLine="324"/>
        <w:spacing w:after="0" w:line="277" w:lineRule="auto"/>
        <w:rPr>
          <w:sz w:val="20"/>
          <w:szCs w:val="20"/>
          <w:color w:val="auto"/>
        </w:rPr>
      </w:pPr>
      <w:r>
        <w:rPr>
          <w:rFonts w:ascii="Arial" w:cs="Arial" w:eastAsia="Arial" w:hAnsi="Arial"/>
          <w:sz w:val="18"/>
          <w:szCs w:val="18"/>
          <w:color w:val="auto"/>
        </w:rPr>
        <w:t>"PSI," or pounds per square inch, a measure of pressure. Pressure is typically measured as "psig", or the pressure in excess of standard atmospheric pressure.</w:t>
      </w:r>
    </w:p>
    <w:p>
      <w:pPr>
        <w:spacing w:after="0" w:line="224" w:lineRule="exact"/>
        <w:rPr>
          <w:sz w:val="20"/>
          <w:szCs w:val="20"/>
          <w:color w:val="auto"/>
        </w:rPr>
      </w:pPr>
    </w:p>
    <w:p>
      <w:pPr>
        <w:ind w:left="340" w:right="40" w:firstLine="324"/>
        <w:spacing w:after="0" w:line="257" w:lineRule="auto"/>
        <w:rPr>
          <w:sz w:val="20"/>
          <w:szCs w:val="20"/>
          <w:color w:val="auto"/>
        </w:rPr>
      </w:pPr>
      <w:r>
        <w:rPr>
          <w:rFonts w:ascii="Arial" w:cs="Arial" w:eastAsia="Arial" w:hAnsi="Arial"/>
          <w:sz w:val="18"/>
          <w:szCs w:val="18"/>
          <w:color w:val="auto"/>
        </w:rPr>
        <w:t>"Present Value." When used with respect to oil and gas reserves, present value means the estimated future net revenues computed by applying current prices of oil and gas reserves (with consideration of price changes only to the extent provided by contractual arrangements) to estimated future production of proved oil and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"Productive Well." A well that is producing oil or gas or that is capable of production.</w:t>
      </w:r>
    </w:p>
    <w:p>
      <w:pPr>
        <w:spacing w:after="0" w:line="279" w:lineRule="exact"/>
        <w:rPr>
          <w:sz w:val="20"/>
          <w:szCs w:val="20"/>
          <w:color w:val="auto"/>
        </w:rPr>
      </w:pPr>
    </w:p>
    <w:p>
      <w:pPr>
        <w:ind w:left="340" w:right="80" w:firstLine="324"/>
        <w:spacing w:after="0" w:line="273" w:lineRule="auto"/>
        <w:rPr>
          <w:sz w:val="20"/>
          <w:szCs w:val="20"/>
          <w:color w:val="auto"/>
        </w:rPr>
      </w:pPr>
      <w:r>
        <w:rPr>
          <w:rFonts w:ascii="Arial" w:cs="Arial" w:eastAsia="Arial" w:hAnsi="Arial"/>
          <w:sz w:val="17"/>
          <w:szCs w:val="17"/>
          <w:color w:val="auto"/>
        </w:rPr>
        <w:t>"PV-10." 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Securities and Exchange Commission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p>
      <w:pPr>
        <w:spacing w:after="0" w:line="233" w:lineRule="exact"/>
        <w:rPr>
          <w:sz w:val="20"/>
          <w:szCs w:val="20"/>
          <w:color w:val="auto"/>
        </w:rPr>
      </w:pPr>
    </w:p>
    <w:p>
      <w:pPr>
        <w:ind w:left="340" w:right="320" w:firstLine="324"/>
        <w:spacing w:after="0" w:line="285" w:lineRule="auto"/>
        <w:rPr>
          <w:sz w:val="20"/>
          <w:szCs w:val="20"/>
          <w:color w:val="auto"/>
        </w:rPr>
      </w:pPr>
      <w:r>
        <w:rPr>
          <w:rFonts w:ascii="Arial" w:cs="Arial" w:eastAsia="Arial" w:hAnsi="Arial"/>
          <w:sz w:val="17"/>
          <w:szCs w:val="17"/>
          <w:color w:val="auto"/>
        </w:rPr>
        <w:t xml:space="preserve">"Royalty" or "Royalty Interest." 1) The mineral owner's share of oil or gas production (typically between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and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free of costs, but subject to severance taxes unless the lessor is a government. In certain circumstances, the royalty owner bears a proportionate share of the costs of making the natural gas saleable, such as processing, compression and gathering. 2) When a royalty interest is coterminous with and carved out of an operating or working interest, it is an "Overriding Royalty Interest," which also may generically be referred to as a Royalty.</w:t>
      </w:r>
    </w:p>
    <w:p>
      <w:pPr>
        <w:spacing w:after="0" w:line="219"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"Shut-in Well." A well that is not on production, but has not yet been plugged and abandoned. Wells may be shut-in in anticipation of future utility as a producing well, plugging and abandonment or other use.</w:t>
      </w:r>
    </w:p>
    <w:p>
      <w:pPr>
        <w:spacing w:after="0" w:line="224" w:lineRule="exact"/>
        <w:rPr>
          <w:sz w:val="20"/>
          <w:szCs w:val="20"/>
          <w:color w:val="auto"/>
        </w:rPr>
      </w:pPr>
    </w:p>
    <w:p>
      <w:pPr>
        <w:ind w:left="340" w:right="240" w:firstLine="324"/>
        <w:spacing w:after="0" w:line="297" w:lineRule="auto"/>
        <w:rPr>
          <w:sz w:val="20"/>
          <w:szCs w:val="20"/>
          <w:color w:val="auto"/>
        </w:rPr>
      </w:pPr>
      <w:r>
        <w:rPr>
          <w:rFonts w:ascii="Arial" w:cs="Arial" w:eastAsia="Arial" w:hAnsi="Arial"/>
          <w:sz w:val="16"/>
          <w:szCs w:val="16"/>
          <w:color w:val="auto"/>
        </w:rPr>
        <w:t>"Standardized Measure." The standardized measure of discounted future net cash flows (the "Standardized Measure") is an estimate of future net cash flows associated with proved reserves, discounted at 10% per annum. Future net cash flows is calculated by reducing future net revenues by estimated future income tax expenses and discounting at 10% per annum. The Standardized Measure and the PV-10 of proved reserves is calculated in the same exact fashion, except that the Standardized Measure includes future estimated income taxes discounted at 10% per annum. The Standardized Measure is in accordance with accounting standards generally accepted in the United States of America ("GAAP").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"SWIW." Salt water injection well.</w:t>
      </w:r>
    </w:p>
    <w:p>
      <w:pPr>
        <w:spacing w:after="0" w:line="279" w:lineRule="exact"/>
        <w:rPr>
          <w:sz w:val="20"/>
          <w:szCs w:val="20"/>
          <w:color w:val="auto"/>
        </w:rPr>
      </w:pPr>
    </w:p>
    <w:p>
      <w:pPr>
        <w:ind w:left="340" w:right="260" w:firstLine="324"/>
        <w:spacing w:after="0" w:line="277" w:lineRule="auto"/>
        <w:rPr>
          <w:sz w:val="20"/>
          <w:szCs w:val="20"/>
          <w:color w:val="auto"/>
        </w:rPr>
      </w:pPr>
      <w:r>
        <w:rPr>
          <w:rFonts w:ascii="Arial" w:cs="Arial" w:eastAsia="Arial" w:hAnsi="Arial"/>
          <w:sz w:val="18"/>
          <w:szCs w:val="18"/>
          <w:color w:val="auto"/>
        </w:rPr>
        <w:t>"Undeveloped Reserves." Reserves of any category that are expected to be recovered from new wells on undrilled acreage, or from existing wells where a relatively major expenditure is required for recompletion.*</w:t>
      </w:r>
    </w:p>
    <w:p>
      <w:pPr>
        <w:spacing w:after="0" w:line="224"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"Working Interest." The interest in the oil and gas in place which is burdened with the cost of development and operation of the property. Also called the operating interest.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"Workover." A remedial operation on a completed well to restore, maintain or improve the well's production.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4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definition may be an abbreviated version of the complete definition as defined by the SEC in Rule 4-10(a) of Regulation S-X.</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5" w:right="25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Evolution Petroleum Corporation</w:t>
      </w:r>
    </w:p>
    <w:p>
      <w:pPr>
        <w:spacing w:after="0" w:line="6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RANDALL D. KEYS</w:t>
      </w:r>
    </w:p>
    <w:p>
      <w:pPr>
        <w:spacing w:after="0" w:line="23" w:lineRule="exact"/>
        <w:rPr>
          <w:sz w:val="20"/>
          <w:szCs w:val="20"/>
          <w:color w:val="auto"/>
        </w:rPr>
      </w:pPr>
    </w:p>
    <w:p>
      <w:pPr>
        <w:ind w:left="5640" w:right="800" w:hanging="7627"/>
        <w:spacing w:after="0"/>
        <w:tabs>
          <w:tab w:leader="none" w:pos="5620" w:val="left"/>
        </w:tabs>
        <w:rPr>
          <w:sz w:val="20"/>
          <w:szCs w:val="20"/>
          <w:color w:val="auto"/>
        </w:rPr>
      </w:pPr>
      <w:r>
        <w:rPr>
          <w:rFonts w:ascii="Arial" w:cs="Arial" w:eastAsia="Arial" w:hAnsi="Arial"/>
          <w:sz w:val="18"/>
          <w:szCs w:val="18"/>
          <w:color w:val="auto"/>
        </w:rPr>
        <w:t>Date: September 15,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33"/>
          <w:szCs w:val="33"/>
          <w:color w:val="auto"/>
          <w:vertAlign w:val="superscript"/>
        </w:rPr>
        <w:t>Randall D. Keys</w:t>
      </w:r>
      <w:r>
        <w:rPr>
          <w:rFonts w:ascii="Arial" w:cs="Arial" w:eastAsia="Arial" w:hAnsi="Arial"/>
          <w:sz w:val="17"/>
          <w:szCs w:val="17"/>
          <w:color w:val="auto"/>
        </w:rPr>
        <w:t xml:space="preserve"> </w:t>
      </w:r>
      <w:r>
        <w:rPr>
          <w:rFonts w:ascii="Arial" w:cs="Arial" w:eastAsia="Arial" w:hAnsi="Arial"/>
          <w:sz w:val="17"/>
          <w:szCs w:val="17"/>
          <w:i w:val="1"/>
          <w:iCs w:val="1"/>
          <w:color w:val="auto"/>
        </w:rPr>
        <w:t>President and Chief Executive Officer</w:t>
      </w:r>
    </w:p>
    <w:p>
      <w:pPr>
        <w:spacing w:after="0" w:line="54"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86"/>
        </w:trPr>
        <w:tc>
          <w:tcPr>
            <w:tcW w:w="2240" w:type="dxa"/>
            <w:vAlign w:val="bottom"/>
          </w:tcPr>
          <w:p>
            <w:pPr>
              <w:jc w:val="center"/>
              <w:ind w:right="712"/>
              <w:spacing w:after="0"/>
              <w:rPr>
                <w:sz w:val="20"/>
                <w:szCs w:val="20"/>
                <w:color w:val="auto"/>
              </w:rPr>
            </w:pPr>
            <w:r>
              <w:rPr>
                <w:rFonts w:ascii="Arial" w:cs="Arial" w:eastAsia="Arial" w:hAnsi="Arial"/>
                <w:sz w:val="14"/>
                <w:szCs w:val="14"/>
                <w:b w:val="1"/>
                <w:bCs w:val="1"/>
                <w:color w:val="auto"/>
                <w:w w:val="92"/>
              </w:rPr>
              <w:t>Date</w:t>
            </w:r>
          </w:p>
        </w:tc>
        <w:tc>
          <w:tcPr>
            <w:tcW w:w="2860" w:type="dxa"/>
            <w:vAlign w:val="bottom"/>
          </w:tcPr>
          <w:p>
            <w:pPr>
              <w:jc w:val="center"/>
              <w:ind w:left="651"/>
              <w:spacing w:after="0"/>
              <w:rPr>
                <w:sz w:val="20"/>
                <w:szCs w:val="20"/>
                <w:color w:val="auto"/>
              </w:rPr>
            </w:pPr>
            <w:r>
              <w:rPr>
                <w:rFonts w:ascii="Arial" w:cs="Arial" w:eastAsia="Arial" w:hAnsi="Arial"/>
                <w:sz w:val="14"/>
                <w:szCs w:val="14"/>
                <w:b w:val="1"/>
                <w:bCs w:val="1"/>
                <w:color w:val="auto"/>
                <w:w w:val="92"/>
              </w:rPr>
              <w:t>Signature</w:t>
            </w:r>
          </w:p>
        </w:tc>
        <w:tc>
          <w:tcPr>
            <w:tcW w:w="548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r>
      <w:tr>
        <w:trPr>
          <w:trHeight w:val="511"/>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3"/>
              </w:rPr>
              <w:t>/s/ ROBERT S. HERLIN</w:t>
            </w:r>
          </w:p>
        </w:tc>
        <w:tc>
          <w:tcPr>
            <w:tcW w:w="5480" w:type="dxa"/>
            <w:vAlign w:val="bottom"/>
          </w:tcPr>
          <w:p>
            <w:pPr>
              <w:ind w:left="1120"/>
              <w:spacing w:after="0"/>
              <w:rPr>
                <w:sz w:val="20"/>
                <w:szCs w:val="20"/>
                <w:color w:val="auto"/>
              </w:rPr>
            </w:pPr>
            <w:r>
              <w:rPr>
                <w:rFonts w:ascii="Arial" w:cs="Arial" w:eastAsia="Arial" w:hAnsi="Arial"/>
                <w:sz w:val="18"/>
                <w:szCs w:val="18"/>
                <w:color w:val="auto"/>
              </w:rPr>
              <w:t>Chairman of the Board</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3"/>
              </w:rPr>
              <w:t>Robert S. Herlin</w:t>
            </w:r>
          </w:p>
        </w:tc>
        <w:tc>
          <w:tcPr>
            <w:tcW w:w="5480" w:type="dxa"/>
            <w:vAlign w:val="bottom"/>
          </w:tcPr>
          <w:p>
            <w:pPr>
              <w:spacing w:after="0"/>
              <w:rPr>
                <w:sz w:val="20"/>
                <w:szCs w:val="20"/>
                <w:color w:val="auto"/>
              </w:rPr>
            </w:pP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8"/>
              </w:rPr>
              <w:t>/s/ RANDALL D. KEYS</w:t>
            </w:r>
          </w:p>
        </w:tc>
        <w:tc>
          <w:tcPr>
            <w:tcW w:w="5480" w:type="dxa"/>
            <w:vAlign w:val="bottom"/>
          </w:tcPr>
          <w:p>
            <w:pPr>
              <w:ind w:left="1120"/>
              <w:spacing w:after="0"/>
              <w:rPr>
                <w:sz w:val="20"/>
                <w:szCs w:val="20"/>
                <w:color w:val="auto"/>
              </w:rPr>
            </w:pPr>
            <w:r>
              <w:rPr>
                <w:rFonts w:ascii="Arial" w:cs="Arial" w:eastAsia="Arial" w:hAnsi="Arial"/>
                <w:sz w:val="18"/>
                <w:szCs w:val="18"/>
                <w:color w:val="auto"/>
                <w:w w:val="93"/>
              </w:rPr>
              <w:t>President and Chief Executive Officer (Principal Executive</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2"/>
              </w:rPr>
              <w:t>Randall D. Keys</w:t>
            </w:r>
          </w:p>
        </w:tc>
        <w:tc>
          <w:tcPr>
            <w:tcW w:w="5480" w:type="dxa"/>
            <w:vAlign w:val="bottom"/>
          </w:tcPr>
          <w:p>
            <w:pPr>
              <w:ind w:left="1120"/>
              <w:spacing w:after="0"/>
              <w:rPr>
                <w:sz w:val="20"/>
                <w:szCs w:val="20"/>
                <w:color w:val="auto"/>
              </w:rPr>
            </w:pPr>
            <w:r>
              <w:rPr>
                <w:rFonts w:ascii="Arial" w:cs="Arial" w:eastAsia="Arial" w:hAnsi="Arial"/>
                <w:sz w:val="18"/>
                <w:szCs w:val="18"/>
                <w:color w:val="auto"/>
              </w:rPr>
              <w:t>Officer)</w:t>
            </w: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4"/>
              </w:rPr>
              <w:t>/s/ DAVID JOE</w:t>
            </w:r>
          </w:p>
        </w:tc>
        <w:tc>
          <w:tcPr>
            <w:tcW w:w="5480" w:type="dxa"/>
            <w:vAlign w:val="bottom"/>
          </w:tcPr>
          <w:p>
            <w:pPr>
              <w:ind w:left="1120"/>
              <w:spacing w:after="0"/>
              <w:rPr>
                <w:sz w:val="20"/>
                <w:szCs w:val="20"/>
                <w:color w:val="auto"/>
              </w:rPr>
            </w:pPr>
            <w:r>
              <w:rPr>
                <w:rFonts w:ascii="Arial" w:cs="Arial" w:eastAsia="Arial" w:hAnsi="Arial"/>
                <w:sz w:val="18"/>
                <w:szCs w:val="18"/>
                <w:color w:val="auto"/>
                <w:w w:val="90"/>
              </w:rPr>
              <w:t>Senior Vice President, Chief Financial Officer and Treasurer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89"/>
              </w:rPr>
              <w:t>David Joe</w:t>
            </w:r>
          </w:p>
        </w:tc>
        <w:tc>
          <w:tcPr>
            <w:tcW w:w="5480" w:type="dxa"/>
            <w:vAlign w:val="bottom"/>
          </w:tcPr>
          <w:p>
            <w:pPr>
              <w:ind w:left="1120"/>
              <w:spacing w:after="0"/>
              <w:rPr>
                <w:sz w:val="20"/>
                <w:szCs w:val="20"/>
                <w:color w:val="auto"/>
              </w:rPr>
            </w:pPr>
            <w:r>
              <w:rPr>
                <w:rFonts w:ascii="Arial" w:cs="Arial" w:eastAsia="Arial" w:hAnsi="Arial"/>
                <w:sz w:val="18"/>
                <w:szCs w:val="18"/>
                <w:color w:val="auto"/>
              </w:rPr>
              <w:t>(Principal Financial Officer)</w:t>
            </w: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4"/>
              </w:rPr>
              <w:t>/s/ RODERICK SCHULTZ</w:t>
            </w:r>
          </w:p>
        </w:tc>
        <w:tc>
          <w:tcPr>
            <w:tcW w:w="5480" w:type="dxa"/>
            <w:vAlign w:val="bottom"/>
          </w:tcPr>
          <w:p>
            <w:pPr>
              <w:ind w:left="1120"/>
              <w:spacing w:after="0"/>
              <w:rPr>
                <w:sz w:val="20"/>
                <w:szCs w:val="20"/>
                <w:color w:val="auto"/>
              </w:rPr>
            </w:pPr>
            <w:r>
              <w:rPr>
                <w:rFonts w:ascii="Arial" w:cs="Arial" w:eastAsia="Arial" w:hAnsi="Arial"/>
                <w:sz w:val="18"/>
                <w:szCs w:val="18"/>
                <w:color w:val="auto"/>
              </w:rPr>
              <w:t>Chief Accounting Officer (Principal Accounting Officer)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1"/>
              </w:rPr>
              <w:t>Roderick Schultz</w:t>
            </w:r>
          </w:p>
        </w:tc>
        <w:tc>
          <w:tcPr>
            <w:tcW w:w="5480" w:type="dxa"/>
            <w:vAlign w:val="bottom"/>
          </w:tcPr>
          <w:p>
            <w:pPr>
              <w:spacing w:after="0"/>
              <w:rPr>
                <w:sz w:val="20"/>
                <w:szCs w:val="20"/>
                <w:color w:val="auto"/>
              </w:rPr>
            </w:pP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4"/>
              </w:rPr>
              <w:t>/s/ EDWARD J. DIPAOLO</w:t>
            </w:r>
          </w:p>
        </w:tc>
        <w:tc>
          <w:tcPr>
            <w:tcW w:w="5480" w:type="dxa"/>
            <w:vAlign w:val="bottom"/>
          </w:tcPr>
          <w:p>
            <w:pPr>
              <w:ind w:left="1120"/>
              <w:spacing w:after="0"/>
              <w:rPr>
                <w:sz w:val="20"/>
                <w:szCs w:val="20"/>
                <w:color w:val="auto"/>
              </w:rPr>
            </w:pPr>
            <w:r>
              <w:rPr>
                <w:rFonts w:ascii="Arial" w:cs="Arial" w:eastAsia="Arial" w:hAnsi="Arial"/>
                <w:sz w:val="18"/>
                <w:szCs w:val="18"/>
                <w:color w:val="auto"/>
              </w:rPr>
              <w:t>Lead Independent Director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1"/>
              </w:rPr>
              <w:t>Edward J. DiPaolo</w:t>
            </w:r>
          </w:p>
        </w:tc>
        <w:tc>
          <w:tcPr>
            <w:tcW w:w="5480" w:type="dxa"/>
            <w:vAlign w:val="bottom"/>
          </w:tcPr>
          <w:p>
            <w:pPr>
              <w:spacing w:after="0"/>
              <w:rPr>
                <w:sz w:val="20"/>
                <w:szCs w:val="20"/>
                <w:color w:val="auto"/>
              </w:rPr>
            </w:pP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3"/>
              </w:rPr>
              <w:t>/s/ GENE STOEVER</w:t>
            </w:r>
          </w:p>
        </w:tc>
        <w:tc>
          <w:tcPr>
            <w:tcW w:w="548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86"/>
              </w:rPr>
              <w:t>Gene Stoever</w:t>
            </w:r>
          </w:p>
        </w:tc>
        <w:tc>
          <w:tcPr>
            <w:tcW w:w="5480" w:type="dxa"/>
            <w:vAlign w:val="bottom"/>
          </w:tcPr>
          <w:p>
            <w:pPr>
              <w:spacing w:after="0"/>
              <w:rPr>
                <w:sz w:val="20"/>
                <w:szCs w:val="20"/>
                <w:color w:val="auto"/>
              </w:rPr>
            </w:pP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rPr>
              <w:t>/s/ WILLIAM DOZIER</w:t>
            </w:r>
          </w:p>
        </w:tc>
        <w:tc>
          <w:tcPr>
            <w:tcW w:w="548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7"/>
              </w:rPr>
              <w:t>William Dozier</w:t>
            </w:r>
          </w:p>
        </w:tc>
        <w:tc>
          <w:tcPr>
            <w:tcW w:w="5480" w:type="dxa"/>
            <w:vAlign w:val="bottom"/>
          </w:tcPr>
          <w:p>
            <w:pPr>
              <w:spacing w:after="0"/>
              <w:rPr>
                <w:sz w:val="20"/>
                <w:szCs w:val="20"/>
                <w:color w:val="auto"/>
              </w:rPr>
            </w:pPr>
          </w:p>
        </w:tc>
      </w:tr>
      <w:tr>
        <w:trPr>
          <w:trHeight w:val="256"/>
        </w:trPr>
        <w:tc>
          <w:tcPr>
            <w:tcW w:w="2240" w:type="dxa"/>
            <w:vAlign w:val="bottom"/>
          </w:tcPr>
          <w:p>
            <w:pPr>
              <w:jc w:val="center"/>
              <w:ind w:right="712"/>
              <w:spacing w:after="0"/>
              <w:rPr>
                <w:sz w:val="20"/>
                <w:szCs w:val="20"/>
                <w:color w:val="auto"/>
              </w:rPr>
            </w:pPr>
            <w:r>
              <w:rPr>
                <w:rFonts w:ascii="Arial" w:cs="Arial" w:eastAsia="Arial" w:hAnsi="Arial"/>
                <w:sz w:val="18"/>
                <w:szCs w:val="18"/>
                <w:color w:val="auto"/>
                <w:w w:val="88"/>
              </w:rPr>
              <w:t>September 15, 2017</w:t>
            </w: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6"/>
              </w:rPr>
              <w:t>/s/ KELLY W. LOYD</w:t>
            </w:r>
          </w:p>
        </w:tc>
        <w:tc>
          <w:tcPr>
            <w:tcW w:w="548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230"/>
        </w:trPr>
        <w:tc>
          <w:tcPr>
            <w:tcW w:w="2240" w:type="dxa"/>
            <w:vAlign w:val="bottom"/>
          </w:tcPr>
          <w:p>
            <w:pPr>
              <w:spacing w:after="0"/>
              <w:rPr>
                <w:sz w:val="20"/>
                <w:szCs w:val="20"/>
                <w:color w:val="auto"/>
              </w:rPr>
            </w:pPr>
          </w:p>
        </w:tc>
        <w:tc>
          <w:tcPr>
            <w:tcW w:w="2860" w:type="dxa"/>
            <w:vAlign w:val="bottom"/>
          </w:tcPr>
          <w:p>
            <w:pPr>
              <w:jc w:val="center"/>
              <w:ind w:left="651"/>
              <w:spacing w:after="0"/>
              <w:rPr>
                <w:sz w:val="20"/>
                <w:szCs w:val="20"/>
                <w:color w:val="auto"/>
              </w:rPr>
            </w:pPr>
            <w:r>
              <w:rPr>
                <w:rFonts w:ascii="Arial" w:cs="Arial" w:eastAsia="Arial" w:hAnsi="Arial"/>
                <w:sz w:val="18"/>
                <w:szCs w:val="18"/>
                <w:color w:val="auto"/>
                <w:w w:val="98"/>
              </w:rPr>
              <w:t>Kelly W. Loyd</w:t>
            </w:r>
          </w:p>
        </w:tc>
        <w:tc>
          <w:tcPr>
            <w:tcW w:w="5480" w:type="dxa"/>
            <w:vAlign w:val="bottom"/>
          </w:tcPr>
          <w:p>
            <w:pPr>
              <w:spacing w:after="0"/>
              <w:rPr>
                <w:sz w:val="20"/>
                <w:szCs w:val="20"/>
                <w:color w:val="auto"/>
              </w:rPr>
            </w:pPr>
          </w:p>
        </w:tc>
      </w:tr>
      <w:tr>
        <w:trPr>
          <w:trHeight w:val="702"/>
        </w:trPr>
        <w:tc>
          <w:tcPr>
            <w:tcW w:w="2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200"/>
          </w:cols>
          <w:pgMar w:left="240" w:top="125" w:right="4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4100" w:type="dxa"/>
            <w:vAlign w:val="bottom"/>
          </w:tcPr>
          <w:p>
            <w:pPr>
              <w:ind w:left="1880"/>
              <w:spacing w:after="0"/>
              <w:rPr>
                <w:sz w:val="20"/>
                <w:szCs w:val="20"/>
                <w:color w:val="auto"/>
              </w:rPr>
            </w:pPr>
            <w:r>
              <w:rPr>
                <w:rFonts w:ascii="Arial" w:cs="Arial" w:eastAsia="Arial" w:hAnsi="Arial"/>
                <w:sz w:val="18"/>
                <w:szCs w:val="18"/>
                <w:b w:val="1"/>
                <w:bCs w:val="1"/>
                <w:color w:val="auto"/>
              </w:rPr>
              <w:t>MASTER EXHIBIT INDEX</w:t>
            </w:r>
          </w:p>
        </w:tc>
        <w:tc>
          <w:tcPr>
            <w:tcW w:w="0" w:type="dxa"/>
            <w:vAlign w:val="bottom"/>
          </w:tcPr>
          <w:p>
            <w:pPr>
              <w:spacing w:after="0"/>
              <w:rPr>
                <w:sz w:val="1"/>
                <w:szCs w:val="1"/>
                <w:color w:val="auto"/>
              </w:rPr>
            </w:pPr>
          </w:p>
        </w:tc>
      </w:tr>
      <w:tr>
        <w:trPr>
          <w:trHeight w:val="423"/>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10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26">
        <w:r>
          <w:rPr>
            <w:rFonts w:ascii="Arial" w:cs="Arial" w:eastAsia="Arial" w:hAnsi="Arial"/>
            <w:sz w:val="16"/>
            <w:szCs w:val="16"/>
            <w:u w:val="single" w:color="auto"/>
            <w:color w:val="0000FF"/>
          </w:rPr>
          <w:t>Articles of Incorporation (previously filed as an exhibit to Form 8-K on February 7, 2002)</w:t>
        </w:r>
      </w:hyperlink>
    </w:p>
    <w:p>
      <w:pPr>
        <w:spacing w:after="0" w:line="6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27">
        <w:r>
          <w:rPr>
            <w:rFonts w:ascii="Arial" w:cs="Arial" w:eastAsia="Arial" w:hAnsi="Arial"/>
            <w:sz w:val="16"/>
            <w:szCs w:val="16"/>
            <w:u w:val="single" w:color="auto"/>
            <w:color w:val="0000FF"/>
          </w:rPr>
          <w:t>Certificate of Amendment to Articles of Incorporation (previously filed as an exhibit to Form 8-K on February 7,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29">
        <w:r>
          <w:rPr>
            <w:rFonts w:ascii="Arial" w:cs="Arial" w:eastAsia="Arial" w:hAnsi="Arial"/>
            <w:sz w:val="16"/>
            <w:szCs w:val="16"/>
            <w:u w:val="single" w:color="auto"/>
            <w:color w:val="0000FF"/>
          </w:rPr>
          <w:t>Certificate of Amendment to Articles of Incorporation (previously filed as an exhibit to Form SB 2/A on October 19, 2005)</w:t>
        </w:r>
      </w:hyperlink>
    </w:p>
    <w:p>
      <w:pPr>
        <w:spacing w:after="0" w:line="63" w:lineRule="exact"/>
        <w:rPr>
          <w:sz w:val="20"/>
          <w:szCs w:val="20"/>
          <w:color w:val="auto"/>
        </w:rPr>
      </w:pPr>
    </w:p>
    <w:p>
      <w:pPr>
        <w:ind w:left="108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30">
        <w:r>
          <w:rPr>
            <w:rFonts w:ascii="Arial" w:cs="Arial" w:eastAsia="Arial" w:hAnsi="Arial"/>
            <w:sz w:val="18"/>
            <w:szCs w:val="18"/>
            <w:u w:val="single" w:color="auto"/>
            <w:color w:val="0000FF"/>
          </w:rPr>
          <w:t>Certificate of Designation of Rights and Preferences for 8.5% Series A Cumulative Preferred Stock (previously filed as an exhibit to Form 8-K</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on June 29,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3.5</w:t>
      </w:r>
      <w:r>
        <w:rPr>
          <w:sz w:val="20"/>
          <w:szCs w:val="20"/>
          <w:color w:val="auto"/>
        </w:rPr>
        <w:tab/>
      </w:r>
      <w:hyperlink r:id="rId32">
        <w:r>
          <w:rPr>
            <w:rFonts w:ascii="Arial" w:cs="Arial" w:eastAsia="Arial" w:hAnsi="Arial"/>
            <w:sz w:val="16"/>
            <w:szCs w:val="16"/>
            <w:u w:val="single" w:color="auto"/>
            <w:color w:val="0000FF"/>
          </w:rPr>
          <w:t>Bylaws (previously filed as an exhibit to Form 8-K on February 7, 2002)</w:t>
        </w:r>
      </w:hyperlink>
    </w:p>
    <w:p>
      <w:pPr>
        <w:spacing w:after="0" w:line="6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3.6</w:t>
      </w:r>
      <w:r>
        <w:rPr>
          <w:sz w:val="20"/>
          <w:szCs w:val="20"/>
          <w:color w:val="auto"/>
        </w:rPr>
        <w:tab/>
      </w:r>
      <w:hyperlink r:id="rId33">
        <w:r>
          <w:rPr>
            <w:rFonts w:ascii="Arial" w:cs="Arial" w:eastAsia="Arial" w:hAnsi="Arial"/>
            <w:sz w:val="16"/>
            <w:szCs w:val="16"/>
            <w:u w:val="single" w:color="auto"/>
            <w:color w:val="0000FF"/>
          </w:rPr>
          <w:t>Amended Bylaws (previously filed as Exhibit 2.1 to Form 10KSB on March 31,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35">
        <w:r>
          <w:rPr>
            <w:rFonts w:ascii="Arial" w:cs="Arial" w:eastAsia="Arial" w:hAnsi="Arial"/>
            <w:sz w:val="16"/>
            <w:szCs w:val="16"/>
            <w:u w:val="single" w:color="auto"/>
            <w:color w:val="0000FF"/>
          </w:rPr>
          <w:t>Specimen form of the Company's Common Stock Certificate (previously filed as an exhibit to Form S-3 on June 19, 2013)</w:t>
        </w:r>
      </w:hyperlink>
    </w:p>
    <w:p>
      <w:pPr>
        <w:spacing w:after="0" w:line="63" w:lineRule="exact"/>
        <w:rPr>
          <w:sz w:val="20"/>
          <w:szCs w:val="20"/>
          <w:color w:val="auto"/>
        </w:rPr>
      </w:pPr>
    </w:p>
    <w:p>
      <w:pPr>
        <w:ind w:left="1080" w:right="58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6">
        <w:r>
          <w:rPr>
            <w:rFonts w:ascii="Arial" w:cs="Arial" w:eastAsia="Arial" w:hAnsi="Arial"/>
            <w:sz w:val="18"/>
            <w:szCs w:val="18"/>
            <w:u w:val="single" w:color="auto"/>
            <w:color w:val="0000FF"/>
          </w:rPr>
          <w:t>Specimen form of the Company's 8.5% Series A Cumulative Preferred Stock Certificate (previously filed as an exhibit to Form 8-A on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June 29,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38">
        <w:r>
          <w:rPr>
            <w:rFonts w:ascii="Arial" w:cs="Arial" w:eastAsia="Arial" w:hAnsi="Arial"/>
            <w:sz w:val="16"/>
            <w:szCs w:val="16"/>
            <w:u w:val="single" w:color="auto"/>
            <w:color w:val="0000FF"/>
          </w:rPr>
          <w:t>2004 Stock Plan (previously filed as an exhibit to the Company's Definitive Information Statement on Schedule 14C on August 9, 2004)</w:t>
        </w:r>
      </w:hyperlink>
    </w:p>
    <w:p>
      <w:pPr>
        <w:spacing w:after="0" w:line="63" w:lineRule="exact"/>
        <w:rPr>
          <w:sz w:val="20"/>
          <w:szCs w:val="20"/>
          <w:color w:val="auto"/>
        </w:rPr>
      </w:pPr>
    </w:p>
    <w:p>
      <w:pPr>
        <w:ind w:left="1080" w:right="24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9">
        <w:r>
          <w:rPr>
            <w:rFonts w:ascii="Arial" w:cs="Arial" w:eastAsia="Arial" w:hAnsi="Arial"/>
            <w:sz w:val="18"/>
            <w:szCs w:val="18"/>
            <w:u w:val="single" w:color="auto"/>
            <w:color w:val="0000FF"/>
          </w:rPr>
          <w:t>Amended and Restated 2004 Stock Plan, adopted December 4, 2007 (previously filed as Annex A to the Company's Definitive Information</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Statement on Schedule 14A on October 29,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80" w:right="4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41">
        <w:r>
          <w:rPr>
            <w:rFonts w:ascii="Arial" w:cs="Arial" w:eastAsia="Arial" w:hAnsi="Arial"/>
            <w:sz w:val="18"/>
            <w:szCs w:val="18"/>
            <w:u w:val="single" w:color="auto"/>
            <w:color w:val="0000FF"/>
          </w:rPr>
          <w:t>Amendment to Amended and Restated 2004 Stock Plan, adopted December 5, 2011 (previously filed as Annex A to the Company's Definitive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Information Statement on Schedule 14A on October 28, 2011)</w:t>
        </w:r>
      </w:hyperlink>
    </w:p>
    <w:p>
      <w:pPr>
        <w:spacing w:after="0" w:line="8"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42">
        <w:r>
          <w:rPr>
            <w:rFonts w:ascii="Arial" w:cs="Arial" w:eastAsia="Arial" w:hAnsi="Arial"/>
            <w:sz w:val="16"/>
            <w:szCs w:val="16"/>
            <w:u w:val="single" w:color="auto"/>
            <w:color w:val="0000FF"/>
          </w:rPr>
          <w:t>Form of Stock Option Agreement for the Natural Gas Systems 2004 Stock Plan (previously filed as an exhibit to Form 8-K on April 8,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hyperlink r:id="rId44">
        <w:r>
          <w:rPr>
            <w:rFonts w:ascii="Arial" w:cs="Arial" w:eastAsia="Arial" w:hAnsi="Arial"/>
            <w:sz w:val="16"/>
            <w:szCs w:val="16"/>
            <w:u w:val="single" w:color="auto"/>
            <w:color w:val="0000FF"/>
          </w:rPr>
          <w:t>Form of Restricted Stock Agreement (previously filed as an exhibit to Form SC TO-I on May 15, 2009)</w:t>
        </w:r>
      </w:hyperlink>
    </w:p>
    <w:p>
      <w:pPr>
        <w:spacing w:after="0" w:line="63" w:lineRule="exact"/>
        <w:rPr>
          <w:sz w:val="20"/>
          <w:szCs w:val="20"/>
          <w:color w:val="auto"/>
        </w:rPr>
      </w:pPr>
    </w:p>
    <w:p>
      <w:pPr>
        <w:ind w:left="1080" w:right="10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45">
        <w:r>
          <w:rPr>
            <w:rFonts w:ascii="Arial" w:cs="Arial" w:eastAsia="Arial" w:hAnsi="Arial"/>
            <w:sz w:val="18"/>
            <w:szCs w:val="18"/>
            <w:u w:val="single" w:color="auto"/>
            <w:color w:val="0000FF"/>
          </w:rPr>
          <w:t>Form of Contingent Performance Stock Grant under the Amended and Restated 2004 Stock Plan (previously filed as an exhibit to Form 10-Q</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on November 7,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47">
        <w:r>
          <w:rPr>
            <w:rFonts w:ascii="Arial" w:cs="Arial" w:eastAsia="Arial" w:hAnsi="Arial"/>
            <w:sz w:val="16"/>
            <w:szCs w:val="16"/>
            <w:u w:val="single" w:color="auto"/>
            <w:color w:val="0000FF"/>
          </w:rPr>
          <w:t>2016 Equity Incentive Plan (previously filed as an exhibit to the Company's Form 10-Q on February 8, 2017)</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48">
        <w:r>
          <w:rPr>
            <w:rFonts w:ascii="Arial" w:cs="Arial" w:eastAsia="Arial" w:hAnsi="Arial"/>
            <w:sz w:val="16"/>
            <w:szCs w:val="16"/>
            <w:u w:val="single" w:color="auto"/>
            <w:color w:val="0000FF"/>
          </w:rPr>
          <w:t>Majority Voting Policy for Directors (previously filed as an exhibit to the Company's Current Report on Form 8-K on October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080" w:right="480" w:hanging="46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0">
        <w:r>
          <w:rPr>
            <w:rFonts w:ascii="Arial" w:cs="Arial" w:eastAsia="Arial" w:hAnsi="Arial"/>
            <w:sz w:val="18"/>
            <w:szCs w:val="18"/>
            <w:u w:val="single" w:color="auto"/>
            <w:color w:val="0000FF"/>
          </w:rPr>
          <w:t>Purchase and Sale Agreement I, by and between NGS Sub Corp. and Denbury Onshore, LLC, dated May 8, 2006 (previously filed as an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exhibit to Form 8-K on June 16, 2006)</w:t>
        </w:r>
      </w:hyperlink>
    </w:p>
    <w:p>
      <w:pPr>
        <w:spacing w:after="0" w:line="8" w:lineRule="exact"/>
        <w:rPr>
          <w:sz w:val="20"/>
          <w:szCs w:val="20"/>
          <w:color w:val="auto"/>
        </w:rPr>
      </w:pPr>
    </w:p>
    <w:p>
      <w:pPr>
        <w:ind w:left="1080" w:right="420" w:hanging="46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51">
        <w:r>
          <w:rPr>
            <w:rFonts w:ascii="Arial" w:cs="Arial" w:eastAsia="Arial" w:hAnsi="Arial"/>
            <w:sz w:val="18"/>
            <w:szCs w:val="18"/>
            <w:u w:val="single" w:color="auto"/>
            <w:color w:val="0000FF"/>
          </w:rPr>
          <w:t>Purchase and Sale Agreement II, by and between NGS Sub Corp. and Denbury Onshore, LLC, dated May 8, 2006 (previously filed as an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exhibit to 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80" w:right="80" w:hanging="46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3">
        <w:r>
          <w:rPr>
            <w:rFonts w:ascii="Arial" w:cs="Arial" w:eastAsia="Arial" w:hAnsi="Arial"/>
            <w:sz w:val="18"/>
            <w:szCs w:val="18"/>
            <w:u w:val="single" w:color="auto"/>
            <w:color w:val="0000FF"/>
          </w:rPr>
          <w:t>Unit Operating Agreement, by and between NGS Sub Corp. and Denbury Onshore, LLC, dated May 8, 2006 (previously filed as an exhibit to</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Form 8-K on June 16, 2006)</w:t>
        </w:r>
      </w:hyperlink>
    </w:p>
    <w:p>
      <w:pPr>
        <w:spacing w:after="0" w:line="8" w:lineRule="exact"/>
        <w:rPr>
          <w:sz w:val="20"/>
          <w:szCs w:val="20"/>
          <w:color w:val="auto"/>
        </w:rPr>
      </w:pPr>
    </w:p>
    <w:p>
      <w:pPr>
        <w:ind w:left="1080" w:right="520" w:hanging="46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4">
        <w:r>
          <w:rPr>
            <w:rFonts w:ascii="Arial" w:cs="Arial" w:eastAsia="Arial" w:hAnsi="Arial"/>
            <w:sz w:val="18"/>
            <w:szCs w:val="18"/>
            <w:u w:val="single" w:color="auto"/>
            <w:color w:val="0000FF"/>
          </w:rPr>
          <w:t>Conveyance, Assignment and Bill of Sale Agreement, by and between NGS Sub Corp. and Denbury Onshore, LLC, dated May 8, 2006</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(previously filed as an exhibit to 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80" w:right="520" w:hanging="462"/>
        <w:spacing w:after="0" w:line="29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56">
        <w:r>
          <w:rPr>
            <w:rFonts w:ascii="Arial" w:cs="Arial" w:eastAsia="Arial" w:hAnsi="Arial"/>
            <w:sz w:val="17"/>
            <w:szCs w:val="17"/>
            <w:u w:val="single" w:color="auto"/>
            <w:color w:val="0000FF"/>
          </w:rPr>
          <w:t>Settlement Agreement, dated June 24, 2016, by and among Denbury Onshore, LLC, Denbury Resources Inc., NGS Sub Corp., Tertiaire</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Resources Company, and the Company (previously filed as an exhibit to Form 10-K on September 9, 2016)</w:t>
        </w:r>
      </w:hyperlink>
    </w:p>
    <w:p>
      <w:pPr>
        <w:spacing w:after="0" w:line="1" w:lineRule="exact"/>
        <w:rPr>
          <w:sz w:val="20"/>
          <w:szCs w:val="20"/>
          <w:color w:val="auto"/>
        </w:rPr>
      </w:pPr>
    </w:p>
    <w:p>
      <w:pPr>
        <w:ind w:left="1080" w:right="40" w:hanging="462"/>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57">
        <w:r>
          <w:rPr>
            <w:rFonts w:ascii="Arial" w:cs="Arial" w:eastAsia="Arial" w:hAnsi="Arial"/>
            <w:sz w:val="18"/>
            <w:szCs w:val="18"/>
            <w:u w:val="single" w:color="auto"/>
            <w:color w:val="0000FF"/>
          </w:rPr>
          <w:t>Form of Indemnification Agreement for Officers and Directors, as adopted on September 20, 2006 (previously filed as an exhibit to Form 8-K</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on September 22,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59">
        <w:r>
          <w:rPr>
            <w:rFonts w:ascii="Arial" w:cs="Arial" w:eastAsia="Arial" w:hAnsi="Arial"/>
            <w:sz w:val="16"/>
            <w:szCs w:val="16"/>
            <w:u w:val="single" w:color="auto"/>
            <w:color w:val="0000FF"/>
          </w:rPr>
          <w:t>Credit Agreement dated April 11, 2016 between Evolution Petroleum Corporation and MidFirst Bank (previously filed as an exhibit to Form</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8-K on April 15, 2016)</w:t>
        </w:r>
      </w:hyperlink>
    </w:p>
    <w:p>
      <w:pPr>
        <w:spacing w:after="0" w:line="49"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14.1</w:t>
      </w:r>
      <w:r>
        <w:rPr>
          <w:sz w:val="20"/>
          <w:szCs w:val="20"/>
          <w:color w:val="auto"/>
        </w:rPr>
        <w:tab/>
      </w:r>
      <w:hyperlink r:id="rId60">
        <w:r>
          <w:rPr>
            <w:rFonts w:ascii="Arial" w:cs="Arial" w:eastAsia="Arial" w:hAnsi="Arial"/>
            <w:sz w:val="16"/>
            <w:szCs w:val="16"/>
            <w:u w:val="single" w:color="auto"/>
            <w:color w:val="0000FF"/>
          </w:rPr>
          <w:t>Code of Business Conduct and Ethics (previously filed as an exhibit to Form 8-K on May 4,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77">
        <w:r>
          <w:rPr>
            <w:rFonts w:ascii="Arial" w:cs="Arial" w:eastAsia="Arial" w:hAnsi="Arial"/>
            <w:sz w:val="16"/>
            <w:szCs w:val="16"/>
            <w:u w:val="single" w:color="auto"/>
            <w:color w:val="0000FF"/>
          </w:rPr>
          <w:t>List of Subsidiaries of Evolution Petroleum Corporation (filed herein)</w:t>
        </w:r>
      </w:hyperlink>
    </w:p>
    <w:p>
      <w:pPr>
        <w:spacing w:after="0" w:line="6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78">
        <w:r>
          <w:rPr>
            <w:rFonts w:ascii="Arial" w:cs="Arial" w:eastAsia="Arial" w:hAnsi="Arial"/>
            <w:sz w:val="16"/>
            <w:szCs w:val="16"/>
            <w:u w:val="single" w:color="auto"/>
            <w:color w:val="0000FF"/>
          </w:rPr>
          <w:t>Consent of Hein &amp; Associates LLP (filed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79">
        <w:r>
          <w:rPr>
            <w:rFonts w:ascii="Arial" w:cs="Arial" w:eastAsia="Arial" w:hAnsi="Arial"/>
            <w:sz w:val="16"/>
            <w:szCs w:val="16"/>
            <w:u w:val="single" w:color="auto"/>
            <w:color w:val="0000FF"/>
          </w:rPr>
          <w:t>Consent of DeGolyer and MacNaughton (filed herein)</w:t>
        </w:r>
      </w:hyperlink>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5"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94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1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31.1</w:t>
            </w:r>
          </w:p>
        </w:tc>
        <w:tc>
          <w:tcPr>
            <w:tcW w:w="10340" w:type="dxa"/>
            <w:vAlign w:val="bottom"/>
            <w:gridSpan w:val="11"/>
          </w:tcPr>
          <w:p>
            <w:pPr>
              <w:spacing w:after="0" w:line="202"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 of Chief Executive Officer Pursuant to Rule 15D-14 of the Securities Exchange Act of 1934, as Amended as Adopted Pursuant to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2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Section 302 of the Sarbanes-Oxley Act of 2002 (filed herein)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31.2</w:t>
            </w:r>
          </w:p>
        </w:tc>
        <w:tc>
          <w:tcPr>
            <w:tcW w:w="974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President and Chief Financial Officer Pursuant to Rule 15D-14 of the Securities Exchange Act of 1934, as Amended as</w:t>
              </w:r>
            </w:hyperlink>
          </w:p>
        </w:tc>
        <w:tc>
          <w:tcPr>
            <w:tcW w:w="60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17"/>
                <w:szCs w:val="17"/>
                <w:color w:val="auto"/>
              </w:rPr>
            </w:pPr>
          </w:p>
        </w:tc>
        <w:tc>
          <w:tcPr>
            <w:tcW w:w="10340" w:type="dxa"/>
            <w:vAlign w:val="bottom"/>
            <w:gridSpan w:val="11"/>
            <w:shd w:val="clear" w:color="auto" w:fill="CCEEFF"/>
          </w:tcPr>
          <w:p>
            <w:pPr>
              <w:spacing w:after="0" w:line="196" w:lineRule="exact"/>
              <w:rPr>
                <w:rFonts w:ascii="Arial" w:cs="Arial" w:eastAsia="Arial" w:hAnsi="Arial"/>
                <w:sz w:val="18"/>
                <w:szCs w:val="18"/>
                <w:color w:val="0000FF"/>
              </w:rPr>
            </w:pPr>
            <w:hyperlink w:anchor="page81">
              <w:r>
                <w:rPr>
                  <w:rFonts w:ascii="Arial" w:cs="Arial" w:eastAsia="Arial" w:hAnsi="Arial"/>
                  <w:sz w:val="18"/>
                  <w:szCs w:val="18"/>
                  <w:color w:val="0000FF"/>
                </w:rPr>
                <w:t>Adopted Pursuant to Section 302 of the Sarbanes-Oxley Act of 2002 (filed herein)</w:t>
              </w:r>
            </w:hyperlink>
          </w:p>
        </w:tc>
        <w:tc>
          <w:tcPr>
            <w:tcW w:w="0" w:type="dxa"/>
            <w:vAlign w:val="bottom"/>
          </w:tcPr>
          <w:p>
            <w:pPr>
              <w:spacing w:after="0"/>
              <w:rPr>
                <w:sz w:val="1"/>
                <w:szCs w:val="1"/>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32.1</w:t>
            </w:r>
          </w:p>
        </w:tc>
        <w:tc>
          <w:tcPr>
            <w:tcW w:w="10300" w:type="dxa"/>
            <w:vAlign w:val="bottom"/>
            <w:tcBorders>
              <w:bottom w:val="single" w:sz="8" w:color="0000FF"/>
            </w:tcBorders>
            <w:gridSpan w:val="10"/>
          </w:tcPr>
          <w:p>
            <w:pPr>
              <w:spacing w:after="0" w:line="202"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Chief Executive Officer Pursuant to 18 U.S.C. Section 1350, as Adopted Pursuant to Section 906 of the Sarbanes-Oxley Act of</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340" w:type="dxa"/>
            <w:vAlign w:val="bottom"/>
            <w:gridSpan w:val="11"/>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2002 (filed herein)</w:t>
              </w:r>
            </w:hyperlink>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32.2</w:t>
            </w:r>
          </w:p>
        </w:tc>
        <w:tc>
          <w:tcPr>
            <w:tcW w:w="10340" w:type="dxa"/>
            <w:vAlign w:val="bottom"/>
            <w:gridSpan w:val="11"/>
            <w:shd w:val="clear" w:color="auto" w:fill="CCEEFF"/>
          </w:tcPr>
          <w:p>
            <w:pPr>
              <w:spacing w:after="0" w:line="202" w:lineRule="exact"/>
              <w:rPr>
                <w:rFonts w:ascii="Arial" w:cs="Arial" w:eastAsia="Arial" w:hAnsi="Arial"/>
                <w:sz w:val="18"/>
                <w:szCs w:val="18"/>
                <w:color w:val="0000FF"/>
                <w:w w:val="98"/>
              </w:rPr>
            </w:pPr>
            <w:hyperlink w:anchor="page83">
              <w:r>
                <w:rPr>
                  <w:rFonts w:ascii="Arial" w:cs="Arial" w:eastAsia="Arial" w:hAnsi="Arial"/>
                  <w:sz w:val="18"/>
                  <w:szCs w:val="18"/>
                  <w:color w:val="0000FF"/>
                  <w:w w:val="98"/>
                </w:rPr>
                <w:t>Certification of President and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Sarbanes-Oxley Act of 2002 (filed herein)`</w:t>
              </w:r>
            </w:hyperlink>
          </w:p>
        </w:tc>
        <w:tc>
          <w:tcPr>
            <w:tcW w:w="646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78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99.1</w:t>
            </w:r>
          </w:p>
        </w:tc>
        <w:tc>
          <w:tcPr>
            <w:tcW w:w="10000" w:type="dxa"/>
            <w:vAlign w:val="bottom"/>
            <w:tcBorders>
              <w:bottom w:val="single" w:sz="8" w:color="0000FF"/>
            </w:tcBorders>
            <w:gridSpan w:val="8"/>
          </w:tcPr>
          <w:p>
            <w:pPr>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The summary of DeGolyer and MacNaughton's Report as of June 30, 2017, on oil and gas reserves (SEC Case) dated August 31, 2017 and</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340" w:type="dxa"/>
            <w:vAlign w:val="bottom"/>
            <w:gridSpan w:val="11"/>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certificate of qualification (filed herein)</w:t>
              </w:r>
            </w:hyperlink>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101.INS</w:t>
            </w:r>
          </w:p>
        </w:tc>
        <w:tc>
          <w:tcPr>
            <w:tcW w:w="103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43"/>
        </w:trPr>
        <w:tc>
          <w:tcPr>
            <w:tcW w:w="1080" w:type="dxa"/>
            <w:vAlign w:val="bottom"/>
          </w:tcPr>
          <w:p>
            <w:pPr>
              <w:jc w:val="right"/>
              <w:ind w:right="73"/>
              <w:spacing w:after="0"/>
              <w:rPr>
                <w:sz w:val="20"/>
                <w:szCs w:val="20"/>
                <w:color w:val="auto"/>
              </w:rPr>
            </w:pPr>
            <w:r>
              <w:rPr>
                <w:rFonts w:ascii="Arial" w:cs="Arial" w:eastAsia="Arial" w:hAnsi="Arial"/>
                <w:sz w:val="18"/>
                <w:szCs w:val="18"/>
                <w:color w:val="auto"/>
              </w:rPr>
              <w:t>101.SCH</w:t>
            </w: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101.CAL</w:t>
            </w:r>
          </w:p>
        </w:tc>
        <w:tc>
          <w:tcPr>
            <w:tcW w:w="103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080" w:type="dxa"/>
            <w:vAlign w:val="bottom"/>
          </w:tcPr>
          <w:p>
            <w:pPr>
              <w:jc w:val="right"/>
              <w:ind w:right="73"/>
              <w:spacing w:after="0"/>
              <w:rPr>
                <w:sz w:val="20"/>
                <w:szCs w:val="20"/>
                <w:color w:val="auto"/>
              </w:rPr>
            </w:pPr>
            <w:r>
              <w:rPr>
                <w:rFonts w:ascii="Arial" w:cs="Arial" w:eastAsia="Arial" w:hAnsi="Arial"/>
                <w:sz w:val="18"/>
                <w:szCs w:val="18"/>
                <w:color w:val="auto"/>
              </w:rPr>
              <w:t>101.DEF</w:t>
            </w: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101.LAB</w:t>
            </w:r>
          </w:p>
        </w:tc>
        <w:tc>
          <w:tcPr>
            <w:tcW w:w="103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080" w:type="dxa"/>
            <w:vAlign w:val="bottom"/>
          </w:tcPr>
          <w:p>
            <w:pPr>
              <w:jc w:val="right"/>
              <w:ind w:right="73"/>
              <w:spacing w:after="0"/>
              <w:rPr>
                <w:sz w:val="20"/>
                <w:szCs w:val="20"/>
                <w:color w:val="auto"/>
              </w:rPr>
            </w:pPr>
            <w:r>
              <w:rPr>
                <w:rFonts w:ascii="Arial" w:cs="Arial" w:eastAsia="Arial" w:hAnsi="Arial"/>
                <w:sz w:val="18"/>
                <w:szCs w:val="18"/>
                <w:color w:val="auto"/>
              </w:rPr>
              <w:t>101.PRE</w:t>
            </w:r>
          </w:p>
        </w:tc>
        <w:tc>
          <w:tcPr>
            <w:tcW w:w="103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5920" w:type="dxa"/>
            <w:vAlign w:val="bottom"/>
            <w:gridSpan w:val="5"/>
          </w:tcPr>
          <w:p>
            <w:pPr>
              <w:ind w:left="4540"/>
              <w:spacing w:after="0"/>
              <w:rPr>
                <w:sz w:val="20"/>
                <w:szCs w:val="20"/>
                <w:color w:val="auto"/>
              </w:rPr>
            </w:pPr>
            <w:r>
              <w:rPr>
                <w:rFonts w:ascii="Arial" w:cs="Arial" w:eastAsia="Arial" w:hAnsi="Arial"/>
                <w:sz w:val="18"/>
                <w:szCs w:val="18"/>
                <w:color w:val="auto"/>
              </w:rPr>
              <w:t>73</w:t>
            </w: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ind w:left="3560"/>
              <w:spacing w:after="0"/>
              <w:rPr>
                <w:sz w:val="20"/>
                <w:szCs w:val="20"/>
                <w:color w:val="auto"/>
              </w:rPr>
            </w:pPr>
            <w:r>
              <w:rPr>
                <w:rFonts w:ascii="Arial" w:cs="Arial" w:eastAsia="Arial" w:hAnsi="Arial"/>
                <w:sz w:val="18"/>
                <w:szCs w:val="18"/>
                <w:b w:val="1"/>
                <w:bCs w:val="1"/>
                <w:color w:val="auto"/>
                <w:w w:val="95"/>
              </w:rPr>
              <w:t>List of Subsidiaries of Evolution Petroleum Corporation</w:t>
            </w:r>
          </w:p>
        </w:tc>
        <w:tc>
          <w:tcPr>
            <w:tcW w:w="2000" w:type="dxa"/>
            <w:vAlign w:val="bottom"/>
          </w:tcPr>
          <w:p>
            <w:pPr>
              <w:spacing w:after="0"/>
              <w:rPr>
                <w:sz w:val="20"/>
                <w:szCs w:val="20"/>
                <w:color w:val="auto"/>
              </w:rPr>
            </w:pPr>
          </w:p>
        </w:tc>
      </w:tr>
      <w:tr>
        <w:trPr>
          <w:trHeight w:val="792"/>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16"/>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or</w:t>
            </w:r>
          </w:p>
        </w:tc>
      </w:tr>
      <w:tr>
        <w:trPr>
          <w:trHeight w:val="234"/>
        </w:trPr>
        <w:tc>
          <w:tcPr>
            <w:tcW w:w="8120" w:type="dxa"/>
            <w:vAlign w:val="bottom"/>
            <w:gridSpan w:val="2"/>
          </w:tcPr>
          <w:p>
            <w:pPr>
              <w:ind w:left="3140"/>
              <w:spacing w:after="0"/>
              <w:rPr>
                <w:sz w:val="20"/>
                <w:szCs w:val="20"/>
                <w:color w:val="auto"/>
              </w:rPr>
            </w:pPr>
            <w:r>
              <w:rPr>
                <w:rFonts w:ascii="Arial" w:cs="Arial" w:eastAsia="Arial" w:hAnsi="Arial"/>
                <w:sz w:val="18"/>
                <w:szCs w:val="18"/>
                <w:b w:val="1"/>
                <w:bCs w:val="1"/>
                <w:color w:val="auto"/>
              </w:rPr>
              <w:t>Name of Subsidiary</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7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NGS Sub Corp.</w:t>
            </w:r>
          </w:p>
        </w:tc>
        <w:tc>
          <w:tcPr>
            <w:tcW w:w="2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NGS Technologies, Inc.</w:t>
            </w:r>
          </w:p>
        </w:tc>
        <w:tc>
          <w:tcPr>
            <w:tcW w:w="2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Evolution Operating Co., Inc.</w:t>
            </w:r>
          </w:p>
        </w:tc>
        <w:tc>
          <w:tcPr>
            <w:tcW w:w="20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Tertiaire Resources Company</w:t>
            </w:r>
          </w:p>
        </w:tc>
        <w:tc>
          <w:tcPr>
            <w:tcW w:w="20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Evolution Petroleum OK, Inc.</w:t>
            </w:r>
          </w:p>
        </w:tc>
        <w:tc>
          <w:tcPr>
            <w:tcW w:w="20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NGS Resources, LLC (Subsidiary of NGS Technologies, Inc.)</w:t>
            </w:r>
          </w:p>
        </w:tc>
        <w:tc>
          <w:tcPr>
            <w:tcW w:w="2000" w:type="dxa"/>
            <w:vAlign w:val="bottom"/>
          </w:tcPr>
          <w:p>
            <w:pPr>
              <w:ind w:left="2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0" w:lineRule="exact"/>
        <w:rPr>
          <w:sz w:val="20"/>
          <w:szCs w:val="20"/>
          <w:color w:val="auto"/>
        </w:rPr>
      </w:pPr>
    </w:p>
    <w:p>
      <w:pPr>
        <w:ind w:right="20"/>
        <w:spacing w:after="0" w:line="234" w:lineRule="exact"/>
        <w:rPr>
          <w:sz w:val="20"/>
          <w:szCs w:val="20"/>
          <w:color w:val="auto"/>
        </w:rPr>
      </w:pPr>
      <w:r>
        <w:rPr>
          <w:rFonts w:ascii="Arial" w:cs="Arial" w:eastAsia="Arial" w:hAnsi="Arial"/>
          <w:sz w:val="16"/>
          <w:szCs w:val="16"/>
          <w:color w:val="auto"/>
        </w:rPr>
        <w:t>We consent to the incorporation by reference in Registration Statement No. 333-193899 on Form S-3,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211338 on Form S</w:t>
      </w:r>
      <w:r>
        <w:rPr>
          <w:rFonts w:ascii="MS PGothic" w:cs="MS PGothic" w:eastAsia="MS PGothic" w:hAnsi="MS PGothic"/>
          <w:sz w:val="16"/>
          <w:szCs w:val="16"/>
          <w:color w:val="auto"/>
        </w:rPr>
        <w:t>‑</w:t>
      </w:r>
      <w:r>
        <w:rPr>
          <w:rFonts w:ascii="Arial" w:cs="Arial" w:eastAsia="Arial" w:hAnsi="Arial"/>
          <w:sz w:val="16"/>
          <w:szCs w:val="16"/>
          <w:color w:val="auto"/>
        </w:rPr>
        <w:t>3,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152136 on Form S</w:t>
      </w:r>
      <w:r>
        <w:rPr>
          <w:rFonts w:ascii="MS PGothic" w:cs="MS PGothic" w:eastAsia="MS PGothic" w:hAnsi="MS PGothic"/>
          <w:sz w:val="16"/>
          <w:szCs w:val="16"/>
          <w:color w:val="auto"/>
        </w:rPr>
        <w:t>‑</w:t>
      </w:r>
      <w:r>
        <w:rPr>
          <w:rFonts w:ascii="Arial" w:cs="Arial" w:eastAsia="Arial" w:hAnsi="Arial"/>
          <w:sz w:val="16"/>
          <w:szCs w:val="16"/>
          <w:color w:val="auto"/>
        </w:rPr>
        <w:t>8,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140182 on Form S</w:t>
      </w:r>
      <w:r>
        <w:rPr>
          <w:rFonts w:ascii="MS PGothic" w:cs="MS PGothic" w:eastAsia="MS PGothic" w:hAnsi="MS PGothic"/>
          <w:sz w:val="16"/>
          <w:szCs w:val="16"/>
          <w:color w:val="auto"/>
        </w:rPr>
        <w:t>‑</w:t>
      </w:r>
      <w:r>
        <w:rPr>
          <w:rFonts w:ascii="Arial" w:cs="Arial" w:eastAsia="Arial" w:hAnsi="Arial"/>
          <w:sz w:val="16"/>
          <w:szCs w:val="16"/>
          <w:color w:val="auto"/>
        </w:rPr>
        <w:t>8,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183746 on Form S</w:t>
      </w:r>
      <w:r>
        <w:rPr>
          <w:rFonts w:ascii="MS PGothic" w:cs="MS PGothic" w:eastAsia="MS PGothic" w:hAnsi="MS PGothic"/>
          <w:sz w:val="16"/>
          <w:szCs w:val="16"/>
          <w:color w:val="auto"/>
        </w:rPr>
        <w:t>‑</w:t>
      </w:r>
      <w:r>
        <w:rPr>
          <w:rFonts w:ascii="Arial" w:cs="Arial" w:eastAsia="Arial" w:hAnsi="Arial"/>
          <w:sz w:val="16"/>
          <w:szCs w:val="16"/>
          <w:color w:val="auto"/>
        </w:rPr>
        <w:t>8, and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216098 on Form S</w:t>
      </w:r>
      <w:r>
        <w:rPr>
          <w:rFonts w:ascii="MS PGothic" w:cs="MS PGothic" w:eastAsia="MS PGothic" w:hAnsi="MS PGothic"/>
          <w:sz w:val="16"/>
          <w:szCs w:val="16"/>
          <w:color w:val="auto"/>
        </w:rPr>
        <w:t>‑</w:t>
      </w:r>
      <w:r>
        <w:rPr>
          <w:rFonts w:ascii="Arial" w:cs="Arial" w:eastAsia="Arial" w:hAnsi="Arial"/>
          <w:sz w:val="16"/>
          <w:szCs w:val="16"/>
          <w:color w:val="auto"/>
        </w:rPr>
        <w:t xml:space="preserve">8 of Evolution Petroleum Corporation of our report dated </w:t>
      </w:r>
      <w:r>
        <w:rPr>
          <w:rFonts w:ascii="Arial" w:cs="Arial" w:eastAsia="Arial" w:hAnsi="Arial"/>
          <w:sz w:val="15"/>
          <w:szCs w:val="15"/>
          <w:color w:val="auto"/>
        </w:rPr>
        <w:t>September 15, 2017</w:t>
      </w:r>
      <w:r>
        <w:rPr>
          <w:rFonts w:ascii="Arial" w:cs="Arial" w:eastAsia="Arial" w:hAnsi="Arial"/>
          <w:sz w:val="16"/>
          <w:szCs w:val="16"/>
          <w:color w:val="auto"/>
        </w:rPr>
        <w:t>, relating to the consolidated financial statements of Evolution Petroleum Corporation (which report expresses an unqualified opinion and includes an explanatory paragraph relating to the effectiveness of internal control over financial reporting) of Evolution Petroleum Corporation, appearing in this Annual Report on Form 10-K of Evolution Petroleum Corporation for the year ended June 30, 2017.</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 Hein &amp; Associates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Hein &amp; Associates LLP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ectPr>
          <w:pgSz w:w="11900" w:h="16838" w:orient="portrait"/>
          <w:cols w:equalWidth="0" w:num="1">
            <w:col w:w="11420"/>
          </w:cols>
          <w:pgMar w:left="240" w:top="32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1D1D1D"/>
        </w:rPr>
        <w:t>EXHIBIT 23.2</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DEGOLYER AND MACNAUGHTON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500 I SPRING ALLEY ROAD SUITE 800 EAST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DALLAS, TEXAS 75244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1D1D1D"/>
        </w:rPr>
        <w:t>September 11, 2017</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1D1D1D"/>
        </w:rPr>
        <w:t>Evolution Petroleum Corporation 1155 Dairy Ashford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20"/>
          <w:szCs w:val="20"/>
          <w:color w:val="1D1D1D"/>
        </w:rPr>
        <w:t>Suite 425</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color w:val="1D1D1D"/>
        </w:rPr>
        <w:t>Houston, Texas 77079</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20"/>
          <w:szCs w:val="20"/>
          <w:color w:val="1D1D1D"/>
        </w:rPr>
        <w:t>Ladies and Gentlemen:</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1D1D1D"/>
        </w:rPr>
        <w:t xml:space="preserve">We hereby consent to the use of the name DeGolyer and MacNaughton, to references to DeGolyer and MacNaughton, to the inclusion of our letter report dated August 31, 2017, and to the inclusion of information taken from our </w:t>
      </w:r>
      <w:r>
        <w:rPr>
          <w:rFonts w:ascii="Arial" w:cs="Arial" w:eastAsia="Arial" w:hAnsi="Arial"/>
          <w:sz w:val="19"/>
          <w:szCs w:val="19"/>
          <w:color w:val="313131"/>
        </w:rPr>
        <w:t>"</w:t>
      </w:r>
      <w:r>
        <w:rPr>
          <w:rFonts w:ascii="Arial" w:cs="Arial" w:eastAsia="Arial" w:hAnsi="Arial"/>
          <w:sz w:val="19"/>
          <w:szCs w:val="19"/>
          <w:color w:val="1D1D1D"/>
        </w:rPr>
        <w:t>Report as of June 30, 2017 on Reserves and Revenue of Certain Properties owned by Evolution Petroleum Corporation" in the sections Business Strategy-Delhi Field - Enhanced Oil Recovery - Onshore Louisiana, Estimated Oil and Natural Gas Reserves and Estimated Future Net Revenues, and Item 7. Management's Discussion and Analysis of Financial Condition and Results of Operations in the Form 10-K of Evolution Petroleum Corporation for the year ended June 30, 2017. We further consent to the incorporation by reference of information in the Form 10-K, in the Evolution Petroleum Corporation Registration Statement No. 333-152136 on Form S-8, Registration Statement No. 333-140182 on Form S-8, Registration Statement No. 333-183746 on Form S-8, Registration Statement No. 333-216098 on Form S-8, Registration Statement No. 333-211338 on Form S-3, and Registration Statement No. 333-193899 on Form S-3.</w:t>
      </w:r>
    </w:p>
    <w:p>
      <w:pPr>
        <w:spacing w:after="0" w:line="200" w:lineRule="exact"/>
        <w:rPr>
          <w:sz w:val="20"/>
          <w:szCs w:val="20"/>
          <w:color w:val="auto"/>
        </w:rPr>
      </w:pPr>
    </w:p>
    <w:p>
      <w:pPr>
        <w:spacing w:after="0" w:line="386" w:lineRule="exact"/>
        <w:rPr>
          <w:sz w:val="20"/>
          <w:szCs w:val="20"/>
          <w:color w:val="auto"/>
        </w:rPr>
      </w:pPr>
    </w:p>
    <w:p>
      <w:pPr>
        <w:ind w:left="4300"/>
        <w:spacing w:after="0"/>
        <w:rPr>
          <w:sz w:val="20"/>
          <w:szCs w:val="20"/>
          <w:color w:val="auto"/>
        </w:rPr>
      </w:pPr>
      <w:r>
        <w:rPr>
          <w:rFonts w:ascii="Arial" w:cs="Arial" w:eastAsia="Arial" w:hAnsi="Arial"/>
          <w:sz w:val="20"/>
          <w:szCs w:val="20"/>
          <w:color w:val="1D1D1D"/>
        </w:rPr>
        <w:t>Very truly yours,</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color w:val="1D1D1D"/>
        </w:rPr>
        <w:t>DeGolyer and MacNaughton</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1D1D1D"/>
        </w:rPr>
        <w:t>DeGOLYER and MacNAUGHTON</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color w:val="1D1D1D"/>
        </w:rPr>
        <w:t>Texas Registered Engineering Firm F-716</w:t>
      </w:r>
    </w:p>
    <w:p>
      <w:pPr>
        <w:sectPr>
          <w:pgSz w:w="11900" w:h="16838" w:orient="portrait"/>
          <w:cols w:equalWidth="0" w:num="1">
            <w:col w:w="11340"/>
          </w:cols>
          <w:pgMar w:left="320" w:top="166"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Randall D. Keys, President and Chief Executive Officer of Evolution Petroleum Corporation, certify that:</w:t>
      </w:r>
    </w:p>
    <w:p>
      <w:pPr>
        <w:spacing w:after="0" w:line="2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Evolution Petroleum Corporation;</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September 15,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/s/ RANDALL D. KEYS</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Randall D. Keys</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6600" w:space="720"/>
            <w:col w:w="4100"/>
          </w:cols>
          <w:pgMar w:left="240" w:top="715" w:right="2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David Joe, Chief Financial Officer of Evolution Petroleum Corporation, certify that:</w:t>
      </w:r>
    </w:p>
    <w:p>
      <w:pPr>
        <w:spacing w:after="0" w:line="2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Evolution Petroleum Corporation;</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300" w:right="80" w:hanging="401"/>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300" w:right="220" w:hanging="401"/>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300" w:right="380" w:hanging="401"/>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1300" w:right="100" w:hanging="401"/>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620" w:hanging="401"/>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300" w:right="340" w:hanging="401"/>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September 15,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 DAVID JOE</w:t>
      </w:r>
    </w:p>
    <w:p>
      <w:pPr>
        <w:spacing w:after="0" w:line="23"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David Joe</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2">
            <w:col w:w="7120" w:space="720"/>
            <w:col w:w="3580"/>
          </w:cols>
          <w:pgMar w:left="240" w:top="715"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undersigned, Randall D. Keys, President and Chief Executive Officer of Evolution Petroleum Corporation (the "Company"), certifies in connection with the filing with the Securities and Exchange Commission of the Company's Annual Report on Form 10-K for the year ended June 30, 2017 (the "Report") pursuant to 18 U.S.C. Section 1350, as adopted pursuant to Section 906 of the Sarbanes-Oxley Act of 2002, to his knowledge, that:</w:t>
      </w:r>
    </w:p>
    <w:p>
      <w:pPr>
        <w:spacing w:after="0" w:line="20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September 15,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RANDALL D. KEYS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Randall D. Keys</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 xml:space="preserve">Executive </w:t>
      </w: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71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undersigned, David Joe, Chief Financial Officer of Evolution Petroleum Corporation (the "Company"), certifies in connection with the filing with the Securities and Exchange Commission of the Company's Annual Report on Form 10-K for the year ended June 30, 2017 (the "Report") pursuant to 18 U.S.C. Section 1350, as adopted pursuant to Section 906 of the Sarbanes-Oxley Act of 2002, to his knowledge, that:</w:t>
      </w:r>
    </w:p>
    <w:p>
      <w:pPr>
        <w:spacing w:after="0" w:line="10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September 15,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DAVID JOE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David Joe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right="480" w:firstLine="432"/>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71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99.1</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DeGolyer and MacNaughton</w:t>
      </w:r>
    </w:p>
    <w:p>
      <w:pPr>
        <w:spacing w:after="0" w:line="3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5001 Spring Valley Road</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Suite 800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Dallas, Texas 75244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31, 2017</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Evolution Petroleum Corporation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1155 Dairy Ashford, #425</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Houston, Texas 77079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78" w:lineRule="exact"/>
        <w:rPr>
          <w:sz w:val="20"/>
          <w:szCs w:val="20"/>
          <w:color w:val="auto"/>
        </w:rPr>
      </w:pPr>
    </w:p>
    <w:p>
      <w:pPr>
        <w:jc w:val="both"/>
        <w:ind w:firstLine="567"/>
        <w:spacing w:after="0" w:line="398" w:lineRule="auto"/>
        <w:rPr>
          <w:sz w:val="20"/>
          <w:szCs w:val="20"/>
          <w:color w:val="auto"/>
        </w:rPr>
      </w:pPr>
      <w:r>
        <w:rPr>
          <w:rFonts w:ascii="Arial" w:cs="Arial" w:eastAsia="Arial" w:hAnsi="Arial"/>
          <w:sz w:val="18"/>
          <w:szCs w:val="18"/>
          <w:color w:val="auto"/>
        </w:rPr>
        <w:t>Pursuant to your request, we have prepared estimates of the extent and value of the net proved, probable, and possible oil, condensate, natural gas liquids (NGL), and gas reserves, as of June 30, 2017, of certain properties in which Evolution Petroleum Corporation and its subsidiaries (collectively referred to herein as Evolution) have represented that they own an interest. This evaluation was completed on August 31, 2017. The properties evaluated consist of working and royalty interests in the Delhi field located in Franklin, Madison, and Richland Parishes, Louisiana. Evolution has represented that these properties account for 100 percent of its proved reserves as of June 30, 2017. The net proved reserves estimates have been prepared in accordance with the reserves definitions of Rules 4-10(a) (1)-(32) of Regulation S-X of the United States Securities and Exchange Commission (SEC). This report was prepared in accordance with the guidelines specified in Item 1202 (a)(8) of Regulation S-K, and is to be used for inclusion in certain SEC filings by Evolution.</w:t>
      </w:r>
    </w:p>
    <w:p>
      <w:pPr>
        <w:spacing w:after="0" w:line="171"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Estimates of reserves included herein are expressed as net reserves. Gross reserves are defined as the total estimated petroleum to be produced from these properties after June 30, 2017. Net reserves are defined as that portion of the gross reserves attributable to the interests owned by Evolution after deducting all interests owned by others.</w:t>
      </w:r>
    </w:p>
    <w:p>
      <w:pPr>
        <w:spacing w:after="0" w:line="185"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9"/>
          <w:szCs w:val="19"/>
          <w:color w:val="auto"/>
        </w:rPr>
        <w:t>Values of proved, probable, and possible reserves in this report are expressed in terms of estimated future gross revenue, future net revenue, and present worth. Future gross revenue is that revenue which will accrue to the evaluated interests from the production and sale of the estimated net reserves. Future net revenue is calculated by deducting production and ad valorem taxes, operating expenses, and capital and abandonment costs from the future gross revenue. Operating expenses include field operating expenses, carbon dioxide purchase expenses, transportation expenses, compression charges, and an allocation of overhead that directly relates to production activities. Future income tax expenses were not taken into account in the preparation of</w:t>
      </w:r>
    </w:p>
    <w:p>
      <w:pPr>
        <w:sectPr>
          <w:pgSz w:w="11900" w:h="16838" w:orient="portrait"/>
          <w:cols w:equalWidth="0" w:num="1">
            <w:col w:w="11420"/>
          </w:cols>
          <w:pgMar w:left="240" w:top="139" w:right="239" w:bottom="1440" w:gutter="0" w:footer="0" w:header="0"/>
        </w:sectPr>
      </w:pPr>
    </w:p>
    <w:bookmarkStart w:id="84" w:name="page85"/>
    <w:bookmarkEnd w:id="84"/>
    <w:tbl>
      <w:tblPr>
        <w:tblLayout w:type="fixed"/>
        <w:tblInd w:w="11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323"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these estimates. Present worth is defined as future net revenue discounted at 10 percent compounded annually over the expected period of realization. Present worth should not be construed as fair market value because no consideration was given to additional factors that influence the prices at which properties are bought and sold.</w:t>
      </w:r>
    </w:p>
    <w:p>
      <w:pPr>
        <w:spacing w:after="0" w:line="185"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0"/>
          <w:szCs w:val="20"/>
          <w:color w:val="auto"/>
        </w:rPr>
        <w:t>Estimates of oil, condensate, NGL, and gas reserves and future net revenue should be regarded only as estimates that may change as further production history and additional information become available. Not only are such reserves and revenue estimates based on that information which is currently available, but such estimates are also subject to the uncertainties inherent in the application of judgmental factors in interpreting such information.</w:t>
      </w:r>
    </w:p>
    <w:p>
      <w:pPr>
        <w:spacing w:after="0" w:line="312"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18"/>
          <w:szCs w:val="18"/>
          <w:color w:val="auto"/>
        </w:rPr>
        <w:t>Data used in this report were obtained from Evolution, from records on file with the appropriate regulatory agencies, and from public sources. In the preparation of this report we have relied, without independent verification, upon such information furnished by Evolution with respect to property interests evaluated, production from such properties, current costs of operation and development, current prices for production, agreements relating to current and future operations and sale of production, and various other information and data that were accepted as represented. It was not considered necessary to make a field examination of the physical condition and operation of the properties.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 and Procedures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9"/>
          <w:szCs w:val="19"/>
          <w:color w:val="auto"/>
        </w:rPr>
        <w:t>Estimates of reserves were prepared by the use of appropriate geologic, petroleum engineering, and evaluation principles and techniques that are in accordance with practices generally recognized by the petroleum industry as presented in the publication of the Society of Petroleum Engineers entitled “Standards Pertaining to the Estimating and Auditing of Oil and Gas Reserves Information (Revision as of February 19, 2007).” The method or combination of methods used in the analysis was tempered by experience with similar reservoirs, stage of development, quality and completeness of basic data, and production history.</w:t>
      </w:r>
    </w:p>
    <w:p>
      <w:pPr>
        <w:spacing w:after="0" w:line="179" w:lineRule="exact"/>
        <w:rPr>
          <w:sz w:val="20"/>
          <w:szCs w:val="20"/>
          <w:color w:val="auto"/>
        </w:rPr>
      </w:pPr>
    </w:p>
    <w:p>
      <w:pPr>
        <w:jc w:val="both"/>
        <w:ind w:firstLine="648"/>
        <w:spacing w:after="0" w:line="405" w:lineRule="auto"/>
        <w:rPr>
          <w:sz w:val="20"/>
          <w:szCs w:val="20"/>
          <w:color w:val="auto"/>
        </w:rPr>
      </w:pPr>
      <w:r>
        <w:rPr>
          <w:rFonts w:ascii="Arial" w:cs="Arial" w:eastAsia="Arial" w:hAnsi="Arial"/>
          <w:sz w:val="19"/>
          <w:szCs w:val="19"/>
          <w:color w:val="auto"/>
        </w:rPr>
        <w:t>Based on the current stage of field development, production performance, the development plans provided by Evolution, and the analyses of areas offsetting existing wells with test or production data, reserves were classified as proved, probable, or possible.</w:t>
      </w:r>
    </w:p>
    <w:p>
      <w:pPr>
        <w:spacing w:after="0" w:line="154" w:lineRule="exact"/>
        <w:rPr>
          <w:sz w:val="20"/>
          <w:szCs w:val="20"/>
          <w:color w:val="auto"/>
        </w:rPr>
      </w:pPr>
    </w:p>
    <w:p>
      <w:pPr>
        <w:jc w:val="both"/>
        <w:ind w:firstLine="648"/>
        <w:spacing w:after="0" w:line="382" w:lineRule="auto"/>
        <w:rPr>
          <w:sz w:val="20"/>
          <w:szCs w:val="20"/>
          <w:color w:val="auto"/>
        </w:rPr>
      </w:pPr>
      <w:r>
        <w:rPr>
          <w:rFonts w:ascii="Arial" w:cs="Arial" w:eastAsia="Arial" w:hAnsi="Arial"/>
          <w:sz w:val="19"/>
          <w:szCs w:val="19"/>
          <w:color w:val="auto"/>
        </w:rPr>
        <w:t>The proved, probable, and possible oil, condensate, and gas reserves estimated for the evaluated interests are located in the Holt-Bryant reservoir in the Delhi field. This reservoir was originally discovered in 1944, produced under primary means until unitized for water injection in 1953, and was purchased by Denbury Resources (Denbury) in 2006 in order to initiate a carbon dioxide injection program. Average depth is 3,235 feet subsea. The Delhi Holt-Bryant Unit area is 13,636 acres, and the reservoir area is approximately</w:t>
      </w:r>
    </w:p>
    <w:p>
      <w:pPr>
        <w:sectPr>
          <w:pgSz w:w="11900" w:h="16838" w:orient="portrait"/>
          <w:cols w:equalWidth="0" w:num="1">
            <w:col w:w="11420"/>
          </w:cols>
          <w:pgMar w:left="240" w:top="503" w:right="239" w:bottom="1440" w:gutter="0" w:footer="0" w:header="0"/>
        </w:sectPr>
      </w:pPr>
    </w:p>
    <w:bookmarkStart w:id="85" w:name="page86"/>
    <w:bookmarkEnd w:id="85"/>
    <w:tbl>
      <w:tblPr>
        <w:tblLayout w:type="fixed"/>
        <w:tblInd w:w="11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323"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6,189 acres. Denbury began carbon dioxide injection in 3 patterns in November 2009 and has since expanded to 15 patterns, which have all seen production response to injection.</w:t>
      </w:r>
    </w:p>
    <w:p>
      <w:pPr>
        <w:spacing w:after="0" w:line="176" w:lineRule="exact"/>
        <w:rPr>
          <w:sz w:val="20"/>
          <w:szCs w:val="20"/>
          <w:color w:val="auto"/>
        </w:rPr>
      </w:pPr>
    </w:p>
    <w:p>
      <w:pPr>
        <w:jc w:val="both"/>
        <w:ind w:firstLine="648"/>
        <w:spacing w:after="0" w:line="396" w:lineRule="auto"/>
        <w:rPr>
          <w:sz w:val="20"/>
          <w:szCs w:val="20"/>
          <w:color w:val="auto"/>
        </w:rPr>
      </w:pPr>
      <w:r>
        <w:rPr>
          <w:rFonts w:ascii="Arial" w:cs="Arial" w:eastAsia="Arial" w:hAnsi="Arial"/>
          <w:sz w:val="18"/>
          <w:szCs w:val="18"/>
          <w:color w:val="auto"/>
        </w:rPr>
        <w:t>The volumetric method was used to estimate the original oil in place (OOIP). Structure maps were utilized to delineate each reservoir, and isopach maps were utilized to estimate reservoir volume. Electrical logs, radioactivity logs, and other available data were used to prepare these maps as well as to estimate representative values for porosity and water saturation. Cumulative recovery from the Delhi Holt-Bryant Unit prior to carbon dioxide injection was about 195 million barrels. Estimates of ultimate recovery resulting from carbon dioxide injection in the Holt-Bryant reservoir were obtained after applying recovery factors to the current carbon dioxide flood area OOIP (flood area OOIP) of 325.1 million barrels. This recovery factor was based on consideration of the type of energy inherent in the reservoirs, analyses of the petroleum, the structural positions of the properties, and the production histories. Oil production response to the carbon dioxide injection was observed in March 2010. Based on the production response from a number of producers, and noting the amount of carbon dioxide injection to date, a total recovery factor for proved reserves was estimated to be about 14.3 percent of the flood area OOIP, incremental probable reserves about 5.1 percent of the flood area OOIP, and incremental possible reserves about 3.1 percent of the flood area OOIP. In the analyses of production-decline curves, reserves were estimated only to the limits of economic production.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oil and gas producing rates estimated for this report are based on production rates considering the most recent data available.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rates used for future production are estimated to be within the capacity of a well or reservoir to produce.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In the preparation of this report, as of June 30, 2017, production data through June 2017 were available. Gross production through June 30, 2017, was deducted from gross ultimate recovery to arrive at the estimates of gross reserves. Data available from wells drilled through June 2017 were used in this report.</w:t>
      </w:r>
    </w:p>
    <w:p>
      <w:pPr>
        <w:spacing w:after="0" w:line="307"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0"/>
          <w:szCs w:val="20"/>
          <w:color w:val="auto"/>
        </w:rPr>
        <w:t>Evolution has represented that it owns an interest in the Delhi Plant that began operation in December 2016 and that the Delhi Plant processes gas from the Delhi Holt-Bryant Unit to produce NGL and methane. The methane is used for fuel in the field and for plant operations. The NGL yield through the plant was provided by Evolution. This NGL yield was used to estimate the NGL reserves attributable to the leases in the Delhi Holt-Bryant Unit.</w:t>
      </w:r>
    </w:p>
    <w:p>
      <w:pPr>
        <w:spacing w:after="0" w:line="285"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0"/>
          <w:szCs w:val="20"/>
          <w:color w:val="auto"/>
        </w:rPr>
        <w:t>Gas quantities estimated herein are expressed as separator gas and sales gas. Separator gas is the gas remaining after field separation but prior to gas processing and shrinkage for fuel use or flare. Sales gas is defined as that portion of the separator gas to be delivered into a gas pipeline for sale after field separation, processing, fuel use, and flare. All gas quantities are expressed at a temperature base of 60 degrees Fahrenheit</w:t>
      </w:r>
    </w:p>
    <w:p>
      <w:pPr>
        <w:sectPr>
          <w:pgSz w:w="11900" w:h="16838" w:orient="portrait"/>
          <w:cols w:equalWidth="0" w:num="1">
            <w:col w:w="11420"/>
          </w:cols>
          <w:pgMar w:left="240" w:top="503" w:right="239" w:bottom="1440" w:gutter="0" w:footer="0" w:header="0"/>
        </w:sectPr>
      </w:pPr>
    </w:p>
    <w:bookmarkStart w:id="86" w:name="page87"/>
    <w:bookmarkEnd w:id="86"/>
    <w:tbl>
      <w:tblPr>
        <w:tblLayout w:type="fixed"/>
        <w:tblInd w:w="11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323" w:lineRule="exact"/>
        <w:rPr>
          <w:sz w:val="20"/>
          <w:szCs w:val="20"/>
          <w:color w:val="auto"/>
        </w:rPr>
      </w:pPr>
    </w:p>
    <w:p>
      <w:pPr>
        <w:jc w:val="both"/>
        <w:ind w:right="20"/>
        <w:spacing w:after="0" w:line="405" w:lineRule="auto"/>
        <w:rPr>
          <w:sz w:val="20"/>
          <w:szCs w:val="20"/>
          <w:color w:val="auto"/>
        </w:rPr>
      </w:pPr>
      <w:r>
        <w:rPr>
          <w:rFonts w:ascii="Arial" w:cs="Arial" w:eastAsia="Arial" w:hAnsi="Arial"/>
          <w:sz w:val="19"/>
          <w:szCs w:val="19"/>
          <w:color w:val="auto"/>
        </w:rPr>
        <w:t>and at a pressure base of 15.025 pounds per square inch absolute. Gas quantities included in this report are expressed in thousands of cubic feet (Mcf). All of the produced gas is consumed as fuel or lost in processing, so the sales gas reserves are zero.</w:t>
      </w:r>
    </w:p>
    <w:p>
      <w:pPr>
        <w:spacing w:after="0" w:line="154"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0"/>
          <w:szCs w:val="20"/>
          <w:color w:val="auto"/>
        </w:rPr>
        <w:t>Oil and condensate reserves estimated herein are those to be recovered by conventional lease separation and are expressed in terms of barrels (bbl) representing 42 United States gallons per barrel. For reporting purposes, oil and condensate reserves have been estimated separately and are presented herein as a summed quantity. NGL reserves are those attributed to the leasehold interests according to processing agreements.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Definition of Reserves</w:t>
      </w:r>
    </w:p>
    <w:p>
      <w:pPr>
        <w:spacing w:after="0" w:line="276" w:lineRule="exact"/>
        <w:rPr>
          <w:sz w:val="20"/>
          <w:szCs w:val="20"/>
          <w:color w:val="auto"/>
        </w:rPr>
      </w:pPr>
    </w:p>
    <w:p>
      <w:pPr>
        <w:jc w:val="both"/>
        <w:ind w:firstLine="648"/>
        <w:spacing w:after="0" w:line="399" w:lineRule="auto"/>
        <w:rPr>
          <w:sz w:val="20"/>
          <w:szCs w:val="20"/>
          <w:color w:val="auto"/>
        </w:rPr>
      </w:pPr>
      <w:r>
        <w:rPr>
          <w:rFonts w:ascii="Arial" w:cs="Arial" w:eastAsia="Arial" w:hAnsi="Arial"/>
          <w:sz w:val="18"/>
          <w:szCs w:val="18"/>
          <w:color w:val="auto"/>
        </w:rPr>
        <w:t>Petroleum reserves included in this report are classified by degree of proof as proved, probable, or possible.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171" w:lineRule="exact"/>
        <w:rPr>
          <w:sz w:val="20"/>
          <w:szCs w:val="20"/>
          <w:color w:val="auto"/>
        </w:rPr>
      </w:pPr>
    </w:p>
    <w:p>
      <w:pPr>
        <w:jc w:val="both"/>
        <w:ind w:left="1040"/>
        <w:spacing w:after="0" w:line="401" w:lineRule="auto"/>
        <w:rPr>
          <w:sz w:val="20"/>
          <w:szCs w:val="20"/>
          <w:color w:val="auto"/>
        </w:rPr>
      </w:pPr>
      <w:r>
        <w:rPr>
          <w:rFonts w:ascii="Arial" w:cs="Arial" w:eastAsia="Arial" w:hAnsi="Arial"/>
          <w:sz w:val="18"/>
          <w:szCs w:val="18"/>
          <w:i w:val="1"/>
          <w:iCs w:val="1"/>
          <w:color w:val="auto"/>
        </w:rPr>
        <w:t xml:space="preserve">Proved oil and gas reserves </w:t>
      </w:r>
      <w:r>
        <w:rPr>
          <w:rFonts w:ascii="Arial" w:cs="Arial" w:eastAsia="Arial" w:hAnsi="Arial"/>
          <w:sz w:val="18"/>
          <w:szCs w:val="18"/>
          <w:color w:val="auto"/>
        </w:rPr>
        <w:t>- Proved oil and gas reserves are those quantities of oil and gas, which, by analysis of geoscience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26" w:lineRule="exact"/>
        <w:rPr>
          <w:sz w:val="20"/>
          <w:szCs w:val="20"/>
          <w:color w:val="auto"/>
        </w:rPr>
      </w:pPr>
    </w:p>
    <w:p>
      <w:pPr>
        <w:ind w:left="2100" w:hanging="728"/>
        <w:spacing w:after="0"/>
        <w:tabs>
          <w:tab w:leader="none" w:pos="2100" w:val="left"/>
        </w:tabs>
        <w:numPr>
          <w:ilvl w:val="0"/>
          <w:numId w:val="42"/>
        </w:numPr>
        <w:rPr>
          <w:rFonts w:ascii="Arial" w:cs="Arial" w:eastAsia="Arial" w:hAnsi="Arial"/>
          <w:sz w:val="18"/>
          <w:szCs w:val="18"/>
          <w:color w:val="auto"/>
        </w:rPr>
      </w:pPr>
      <w:r>
        <w:rPr>
          <w:rFonts w:ascii="Arial" w:cs="Arial" w:eastAsia="Arial" w:hAnsi="Arial"/>
          <w:sz w:val="20"/>
          <w:szCs w:val="20"/>
          <w:color w:val="auto"/>
        </w:rPr>
        <w:t>The area of the reservoir considered as proved includes:</w:t>
      </w:r>
    </w:p>
    <w:p>
      <w:pPr>
        <w:spacing w:after="0" w:line="108" w:lineRule="exact"/>
        <w:rPr>
          <w:sz w:val="20"/>
          <w:szCs w:val="20"/>
          <w:color w:val="auto"/>
        </w:rPr>
      </w:pPr>
    </w:p>
    <w:p>
      <w:pPr>
        <w:jc w:val="both"/>
        <w:ind w:left="1360" w:right="20" w:hanging="1"/>
        <w:spacing w:after="0" w:line="363" w:lineRule="auto"/>
        <w:tabs>
          <w:tab w:leader="none" w:pos="1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ectPr>
          <w:pgSz w:w="11900" w:h="16838" w:orient="portrait"/>
          <w:cols w:equalWidth="0" w:num="1">
            <w:col w:w="11420"/>
          </w:cols>
          <w:pgMar w:left="240" w:top="503" w:right="239" w:bottom="1440" w:gutter="0" w:footer="0" w:header="0"/>
        </w:sectPr>
      </w:pPr>
    </w:p>
    <w:bookmarkStart w:id="87" w:name="page88"/>
    <w:bookmarkEnd w:id="87"/>
    <w:tbl>
      <w:tblPr>
        <w:tblLayout w:type="fixed"/>
        <w:tblInd w:w="10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337" w:lineRule="exact"/>
        <w:rPr>
          <w:sz w:val="20"/>
          <w:szCs w:val="20"/>
          <w:color w:val="auto"/>
        </w:rPr>
      </w:pPr>
    </w:p>
    <w:p>
      <w:pPr>
        <w:jc w:val="both"/>
        <w:ind w:left="340" w:hanging="8"/>
        <w:spacing w:after="0" w:line="391" w:lineRule="auto"/>
        <w:tabs>
          <w:tab w:leader="none" w:pos="1127" w:val="left"/>
        </w:tabs>
        <w:numPr>
          <w:ilvl w:val="0"/>
          <w:numId w:val="44"/>
        </w:numPr>
        <w:rPr>
          <w:rFonts w:ascii="Arial" w:cs="Arial" w:eastAsia="Arial" w:hAnsi="Arial"/>
          <w:sz w:val="18"/>
          <w:szCs w:val="18"/>
          <w:color w:val="auto"/>
        </w:rPr>
      </w:pPr>
      <w:r>
        <w:rPr>
          <w:rFonts w:ascii="Arial" w:cs="Arial" w:eastAsia="Arial" w:hAnsi="Arial"/>
          <w:sz w:val="20"/>
          <w:szCs w:val="20"/>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85" w:lineRule="exact"/>
        <w:rPr>
          <w:rFonts w:ascii="Arial" w:cs="Arial" w:eastAsia="Arial" w:hAnsi="Arial"/>
          <w:sz w:val="18"/>
          <w:szCs w:val="18"/>
          <w:color w:val="auto"/>
        </w:rPr>
      </w:pPr>
    </w:p>
    <w:p>
      <w:pPr>
        <w:jc w:val="both"/>
        <w:ind w:left="340" w:hanging="8"/>
        <w:spacing w:after="0" w:line="447" w:lineRule="auto"/>
        <w:tabs>
          <w:tab w:leader="none" w:pos="1177" w:val="left"/>
        </w:tabs>
        <w:numPr>
          <w:ilvl w:val="0"/>
          <w:numId w:val="44"/>
        </w:numPr>
        <w:rPr>
          <w:rFonts w:ascii="Arial" w:cs="Arial" w:eastAsia="Arial" w:hAnsi="Arial"/>
          <w:sz w:val="16"/>
          <w:szCs w:val="16"/>
          <w:color w:val="auto"/>
        </w:rPr>
      </w:pPr>
      <w:r>
        <w:rPr>
          <w:rFonts w:ascii="Arial" w:cs="Arial" w:eastAsia="Arial" w:hAnsi="Arial"/>
          <w:sz w:val="18"/>
          <w:szCs w:val="18"/>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53" w:lineRule="exact"/>
        <w:rPr>
          <w:rFonts w:ascii="Arial" w:cs="Arial" w:eastAsia="Arial" w:hAnsi="Arial"/>
          <w:sz w:val="16"/>
          <w:szCs w:val="16"/>
          <w:color w:val="auto"/>
        </w:rPr>
      </w:pPr>
    </w:p>
    <w:p>
      <w:pPr>
        <w:ind w:left="1160" w:hanging="828"/>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8"/>
          <w:szCs w:val="18"/>
          <w:color w:val="auto"/>
        </w:rPr>
        <w:t>Reserves which can be produced economically through application of improved recovery techniques (including, but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limited to, fluid injection) are included in the proved classification when:</w:t>
      </w:r>
    </w:p>
    <w:p>
      <w:pPr>
        <w:spacing w:after="0" w:line="135" w:lineRule="exact"/>
        <w:rPr>
          <w:sz w:val="20"/>
          <w:szCs w:val="20"/>
          <w:color w:val="auto"/>
        </w:rPr>
      </w:pPr>
    </w:p>
    <w:p>
      <w:pPr>
        <w:jc w:val="both"/>
        <w:ind w:left="340" w:hanging="8"/>
        <w:spacing w:after="0" w:line="385" w:lineRule="auto"/>
        <w:tabs>
          <w:tab w:leader="none" w:pos="1157" w:val="left"/>
        </w:tabs>
        <w:numPr>
          <w:ilvl w:val="0"/>
          <w:numId w:val="45"/>
        </w:numPr>
        <w:rPr>
          <w:rFonts w:ascii="Arial" w:cs="Arial" w:eastAsia="Arial" w:hAnsi="Arial"/>
          <w:sz w:val="18"/>
          <w:szCs w:val="18"/>
          <w:color w:val="auto"/>
        </w:rPr>
      </w:pPr>
      <w:r>
        <w:rPr>
          <w:rFonts w:ascii="Arial" w:cs="Arial" w:eastAsia="Arial" w:hAnsi="Arial"/>
          <w:sz w:val="20"/>
          <w:szCs w:val="20"/>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95" w:lineRule="exact"/>
        <w:rPr>
          <w:sz w:val="20"/>
          <w:szCs w:val="20"/>
          <w:color w:val="auto"/>
        </w:rPr>
      </w:pPr>
    </w:p>
    <w:p>
      <w:pPr>
        <w:jc w:val="both"/>
        <w:ind w:left="340" w:hanging="8"/>
        <w:spacing w:after="0" w:line="439" w:lineRule="auto"/>
        <w:tabs>
          <w:tab w:leader="none" w:pos="1117" w:val="left"/>
        </w:tabs>
        <w:numPr>
          <w:ilvl w:val="0"/>
          <w:numId w:val="46"/>
        </w:numPr>
        <w:rPr>
          <w:rFonts w:ascii="Arial" w:cs="Arial" w:eastAsia="Arial" w:hAnsi="Arial"/>
          <w:sz w:val="16"/>
          <w:szCs w:val="16"/>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47" w:lineRule="exact"/>
        <w:rPr>
          <w:sz w:val="20"/>
          <w:szCs w:val="20"/>
          <w:color w:val="auto"/>
        </w:rPr>
      </w:pPr>
    </w:p>
    <w:p>
      <w:pPr>
        <w:spacing w:after="0" w:line="373" w:lineRule="auto"/>
        <w:rPr>
          <w:sz w:val="20"/>
          <w:szCs w:val="20"/>
          <w:color w:val="auto"/>
        </w:rPr>
      </w:pPr>
      <w:r>
        <w:rPr>
          <w:rFonts w:ascii="Arial" w:cs="Arial" w:eastAsia="Arial" w:hAnsi="Arial"/>
          <w:sz w:val="20"/>
          <w:szCs w:val="20"/>
          <w:i w:val="1"/>
          <w:iCs w:val="1"/>
          <w:color w:val="auto"/>
        </w:rPr>
        <w:t xml:space="preserve">Probable reserves </w:t>
      </w:r>
      <w:r>
        <w:rPr>
          <w:rFonts w:ascii="Arial" w:cs="Arial" w:eastAsia="Arial" w:hAnsi="Arial"/>
          <w:sz w:val="20"/>
          <w:szCs w:val="20"/>
          <w:color w:val="auto"/>
        </w:rPr>
        <w:t>- Probable reserves are those additional reserves that are less certain to be recovered than proved reserves but</w:t>
      </w:r>
      <w:r>
        <w:rPr>
          <w:rFonts w:ascii="Arial" w:cs="Arial" w:eastAsia="Arial" w:hAnsi="Arial"/>
          <w:sz w:val="20"/>
          <w:szCs w:val="20"/>
          <w:i w:val="1"/>
          <w:iCs w:val="1"/>
          <w:color w:val="auto"/>
        </w:rPr>
        <w:t xml:space="preserve"> </w:t>
      </w:r>
      <w:r>
        <w:rPr>
          <w:rFonts w:ascii="Arial" w:cs="Arial" w:eastAsia="Arial" w:hAnsi="Arial"/>
          <w:sz w:val="20"/>
          <w:szCs w:val="20"/>
          <w:color w:val="auto"/>
        </w:rPr>
        <w:t>which, together with proved reserves, are as likely as not to be recovered.</w:t>
      </w:r>
    </w:p>
    <w:p>
      <w:pPr>
        <w:sectPr>
          <w:pgSz w:w="11900" w:h="16838" w:orient="portrait"/>
          <w:cols w:equalWidth="0" w:num="1">
            <w:col w:w="10380"/>
          </w:cols>
          <w:pgMar w:left="1280" w:top="503" w:right="239" w:bottom="1440" w:gutter="0" w:footer="0" w:header="0"/>
        </w:sectPr>
      </w:pPr>
    </w:p>
    <w:bookmarkStart w:id="88" w:name="page89"/>
    <w:bookmarkEnd w:id="88"/>
    <w:tbl>
      <w:tblPr>
        <w:tblLayout w:type="fixed"/>
        <w:tblInd w:w="10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337" w:lineRule="exact"/>
        <w:rPr>
          <w:sz w:val="20"/>
          <w:szCs w:val="20"/>
          <w:color w:val="auto"/>
        </w:rPr>
      </w:pPr>
    </w:p>
    <w:p>
      <w:pPr>
        <w:jc w:val="both"/>
        <w:ind w:left="340" w:right="20" w:hanging="8"/>
        <w:spacing w:after="0" w:line="447" w:lineRule="auto"/>
        <w:tabs>
          <w:tab w:leader="none" w:pos="1077" w:val="left"/>
        </w:tabs>
        <w:numPr>
          <w:ilvl w:val="0"/>
          <w:numId w:val="47"/>
        </w:numPr>
        <w:rPr>
          <w:rFonts w:ascii="Arial" w:cs="Arial" w:eastAsia="Arial" w:hAnsi="Arial"/>
          <w:sz w:val="16"/>
          <w:szCs w:val="16"/>
          <w:color w:val="auto"/>
        </w:rPr>
      </w:pPr>
      <w:r>
        <w:rPr>
          <w:rFonts w:ascii="Arial" w:cs="Arial" w:eastAsia="Arial" w:hAnsi="Arial"/>
          <w:sz w:val="18"/>
          <w:szCs w:val="18"/>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53" w:lineRule="exact"/>
        <w:rPr>
          <w:rFonts w:ascii="Arial" w:cs="Arial" w:eastAsia="Arial" w:hAnsi="Arial"/>
          <w:sz w:val="16"/>
          <w:szCs w:val="16"/>
          <w:color w:val="auto"/>
        </w:rPr>
      </w:pPr>
    </w:p>
    <w:p>
      <w:pPr>
        <w:jc w:val="both"/>
        <w:ind w:left="340" w:hanging="8"/>
        <w:spacing w:after="0" w:line="387" w:lineRule="auto"/>
        <w:tabs>
          <w:tab w:leader="none" w:pos="1127" w:val="left"/>
        </w:tabs>
        <w:numPr>
          <w:ilvl w:val="0"/>
          <w:numId w:val="47"/>
        </w:numPr>
        <w:rPr>
          <w:rFonts w:ascii="Arial" w:cs="Arial" w:eastAsia="Arial" w:hAnsi="Arial"/>
          <w:sz w:val="18"/>
          <w:szCs w:val="18"/>
          <w:color w:val="auto"/>
        </w:rPr>
      </w:pPr>
      <w:r>
        <w:rPr>
          <w:rFonts w:ascii="Arial" w:cs="Arial" w:eastAsia="Arial" w:hAnsi="Arial"/>
          <w:sz w:val="20"/>
          <w:szCs w:val="20"/>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91" w:lineRule="exact"/>
        <w:rPr>
          <w:rFonts w:ascii="Arial" w:cs="Arial" w:eastAsia="Arial" w:hAnsi="Arial"/>
          <w:sz w:val="18"/>
          <w:szCs w:val="18"/>
          <w:color w:val="auto"/>
        </w:rPr>
      </w:pPr>
    </w:p>
    <w:p>
      <w:pPr>
        <w:ind w:left="340" w:hanging="8"/>
        <w:spacing w:after="0" w:line="380" w:lineRule="auto"/>
        <w:tabs>
          <w:tab w:leader="none" w:pos="1177" w:val="left"/>
        </w:tabs>
        <w:numPr>
          <w:ilvl w:val="0"/>
          <w:numId w:val="47"/>
        </w:numPr>
        <w:rPr>
          <w:rFonts w:ascii="Arial" w:cs="Arial" w:eastAsia="Arial" w:hAnsi="Arial"/>
          <w:sz w:val="18"/>
          <w:szCs w:val="18"/>
          <w:color w:val="auto"/>
        </w:rPr>
      </w:pPr>
      <w:r>
        <w:rPr>
          <w:rFonts w:ascii="Arial" w:cs="Arial" w:eastAsia="Arial" w:hAnsi="Arial"/>
          <w:sz w:val="20"/>
          <w:szCs w:val="20"/>
          <w:color w:val="auto"/>
        </w:rPr>
        <w:t>Probable reserves estimates also include potential incremental quantities associated with a greater percentage recovery of the hydrocarbons in place than assumed for proved reserves.</w:t>
      </w:r>
    </w:p>
    <w:p>
      <w:pPr>
        <w:spacing w:after="0" w:line="1" w:lineRule="exact"/>
        <w:rPr>
          <w:rFonts w:ascii="Arial" w:cs="Arial" w:eastAsia="Arial" w:hAnsi="Arial"/>
          <w:sz w:val="18"/>
          <w:szCs w:val="18"/>
          <w:color w:val="auto"/>
        </w:rPr>
      </w:pPr>
    </w:p>
    <w:p>
      <w:pPr>
        <w:ind w:left="1160" w:hanging="828"/>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20"/>
          <w:szCs w:val="20"/>
          <w:color w:val="auto"/>
        </w:rPr>
        <w:t>See also guidelines in paragraphs (iv) and (vi) of the definition of possible reserves.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Possible reserves </w:t>
      </w:r>
      <w:r>
        <w:rPr>
          <w:rFonts w:ascii="Arial" w:cs="Arial" w:eastAsia="Arial" w:hAnsi="Arial"/>
          <w:sz w:val="18"/>
          <w:szCs w:val="18"/>
          <w:color w:val="auto"/>
        </w:rPr>
        <w:t>- Possible reserves are those additional reserves that are less certain to be recovered than probable reserves.</w:t>
      </w:r>
    </w:p>
    <w:p>
      <w:pPr>
        <w:spacing w:after="0" w:line="144" w:lineRule="exact"/>
        <w:rPr>
          <w:sz w:val="20"/>
          <w:szCs w:val="20"/>
          <w:color w:val="auto"/>
        </w:rPr>
      </w:pPr>
    </w:p>
    <w:p>
      <w:pPr>
        <w:jc w:val="both"/>
        <w:ind w:left="340" w:hanging="8"/>
        <w:spacing w:after="0" w:line="387" w:lineRule="auto"/>
        <w:tabs>
          <w:tab w:leader="none" w:pos="1077" w:val="left"/>
        </w:tabs>
        <w:numPr>
          <w:ilvl w:val="0"/>
          <w:numId w:val="48"/>
        </w:numPr>
        <w:rPr>
          <w:rFonts w:ascii="Arial" w:cs="Arial" w:eastAsia="Arial" w:hAnsi="Arial"/>
          <w:sz w:val="18"/>
          <w:szCs w:val="18"/>
          <w:color w:val="auto"/>
        </w:rPr>
      </w:pPr>
      <w:r>
        <w:rPr>
          <w:rFonts w:ascii="Arial" w:cs="Arial" w:eastAsia="Arial" w:hAnsi="Arial"/>
          <w:sz w:val="20"/>
          <w:szCs w:val="20"/>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91" w:lineRule="exact"/>
        <w:rPr>
          <w:rFonts w:ascii="Arial" w:cs="Arial" w:eastAsia="Arial" w:hAnsi="Arial"/>
          <w:sz w:val="18"/>
          <w:szCs w:val="18"/>
          <w:color w:val="auto"/>
        </w:rPr>
      </w:pPr>
    </w:p>
    <w:p>
      <w:pPr>
        <w:jc w:val="both"/>
        <w:ind w:left="340" w:hanging="8"/>
        <w:spacing w:after="0" w:line="387" w:lineRule="auto"/>
        <w:tabs>
          <w:tab w:leader="none" w:pos="1127" w:val="left"/>
        </w:tabs>
        <w:numPr>
          <w:ilvl w:val="0"/>
          <w:numId w:val="48"/>
        </w:numPr>
        <w:rPr>
          <w:rFonts w:ascii="Arial" w:cs="Arial" w:eastAsia="Arial" w:hAnsi="Arial"/>
          <w:sz w:val="18"/>
          <w:szCs w:val="18"/>
          <w:color w:val="auto"/>
        </w:rPr>
      </w:pPr>
      <w:r>
        <w:rPr>
          <w:rFonts w:ascii="Arial" w:cs="Arial" w:eastAsia="Arial" w:hAnsi="Arial"/>
          <w:sz w:val="20"/>
          <w:szCs w:val="20"/>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ectPr>
          <w:pgSz w:w="11900" w:h="16838" w:orient="portrait"/>
          <w:cols w:equalWidth="0" w:num="1">
            <w:col w:w="10380"/>
          </w:cols>
          <w:pgMar w:left="1280" w:top="503" w:right="239" w:bottom="1440" w:gutter="0" w:footer="0" w:header="0"/>
        </w:sectPr>
      </w:pPr>
    </w:p>
    <w:bookmarkStart w:id="89" w:name="page90"/>
    <w:bookmarkEnd w:id="89"/>
    <w:tbl>
      <w:tblPr>
        <w:tblLayout w:type="fixed"/>
        <w:tblInd w:w="10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337" w:lineRule="exact"/>
        <w:rPr>
          <w:sz w:val="20"/>
          <w:szCs w:val="20"/>
          <w:color w:val="auto"/>
        </w:rPr>
      </w:pPr>
    </w:p>
    <w:p>
      <w:pPr>
        <w:ind w:left="340" w:hanging="8"/>
        <w:spacing w:after="0" w:line="401" w:lineRule="auto"/>
        <w:tabs>
          <w:tab w:leader="none" w:pos="1177" w:val="left"/>
        </w:tabs>
        <w:numPr>
          <w:ilvl w:val="0"/>
          <w:numId w:val="49"/>
        </w:numPr>
        <w:rPr>
          <w:rFonts w:ascii="Arial" w:cs="Arial" w:eastAsia="Arial" w:hAnsi="Arial"/>
          <w:sz w:val="18"/>
          <w:szCs w:val="18"/>
          <w:color w:val="auto"/>
        </w:rPr>
      </w:pPr>
      <w:r>
        <w:rPr>
          <w:rFonts w:ascii="Arial" w:cs="Arial" w:eastAsia="Arial" w:hAnsi="Arial"/>
          <w:sz w:val="20"/>
          <w:szCs w:val="20"/>
          <w:color w:val="auto"/>
        </w:rPr>
        <w:t>Possible reserves also include incremental quantities associated with a greater percentage recovery of the hydrocarbons in place than the recovery quantities assumed for probable reserves.</w:t>
      </w:r>
    </w:p>
    <w:p>
      <w:pPr>
        <w:spacing w:after="0" w:line="176" w:lineRule="exact"/>
        <w:rPr>
          <w:rFonts w:ascii="Arial" w:cs="Arial" w:eastAsia="Arial" w:hAnsi="Arial"/>
          <w:sz w:val="18"/>
          <w:szCs w:val="18"/>
          <w:color w:val="auto"/>
        </w:rPr>
      </w:pPr>
    </w:p>
    <w:p>
      <w:pPr>
        <w:jc w:val="both"/>
        <w:ind w:left="340" w:hanging="8"/>
        <w:spacing w:after="0" w:line="391" w:lineRule="auto"/>
        <w:tabs>
          <w:tab w:leader="none" w:pos="1167" w:val="left"/>
        </w:tabs>
        <w:numPr>
          <w:ilvl w:val="0"/>
          <w:numId w:val="49"/>
        </w:numPr>
        <w:rPr>
          <w:rFonts w:ascii="Arial" w:cs="Arial" w:eastAsia="Arial" w:hAnsi="Arial"/>
          <w:sz w:val="18"/>
          <w:szCs w:val="18"/>
          <w:color w:val="auto"/>
        </w:rPr>
      </w:pPr>
      <w:r>
        <w:rPr>
          <w:rFonts w:ascii="Arial" w:cs="Arial" w:eastAsia="Arial" w:hAnsi="Arial"/>
          <w:sz w:val="20"/>
          <w:szCs w:val="20"/>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85" w:lineRule="exact"/>
        <w:rPr>
          <w:rFonts w:ascii="Arial" w:cs="Arial" w:eastAsia="Arial" w:hAnsi="Arial"/>
          <w:sz w:val="18"/>
          <w:szCs w:val="18"/>
          <w:color w:val="auto"/>
        </w:rPr>
      </w:pPr>
    </w:p>
    <w:p>
      <w:pPr>
        <w:jc w:val="both"/>
        <w:ind w:left="340" w:hanging="8"/>
        <w:spacing w:after="0" w:line="384"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20"/>
          <w:szCs w:val="20"/>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96" w:lineRule="exact"/>
        <w:rPr>
          <w:rFonts w:ascii="Arial" w:cs="Arial" w:eastAsia="Arial" w:hAnsi="Arial"/>
          <w:sz w:val="18"/>
          <w:szCs w:val="18"/>
          <w:color w:val="auto"/>
        </w:rPr>
      </w:pPr>
    </w:p>
    <w:p>
      <w:pPr>
        <w:jc w:val="both"/>
        <w:ind w:left="340" w:hanging="8"/>
        <w:spacing w:after="0" w:line="435" w:lineRule="auto"/>
        <w:tabs>
          <w:tab w:leader="none" w:pos="1167" w:val="left"/>
        </w:tabs>
        <w:numPr>
          <w:ilvl w:val="0"/>
          <w:numId w:val="49"/>
        </w:numPr>
        <w:rPr>
          <w:rFonts w:ascii="Arial" w:cs="Arial" w:eastAsia="Arial" w:hAnsi="Arial"/>
          <w:sz w:val="16"/>
          <w:szCs w:val="16"/>
          <w:color w:val="auto"/>
        </w:rPr>
      </w:pPr>
      <w:r>
        <w:rPr>
          <w:rFonts w:ascii="Arial" w:cs="Arial" w:eastAsia="Arial" w:hAnsi="Arial"/>
          <w:sz w:val="18"/>
          <w:szCs w:val="18"/>
          <w:color w:val="auto"/>
        </w:rPr>
        <w:t>Pursuant to paragraph (iii) of the proved oil and gas reserves definition,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Developed oil and gas reserves </w:t>
      </w:r>
      <w:r>
        <w:rPr>
          <w:rFonts w:ascii="Arial" w:cs="Arial" w:eastAsia="Arial" w:hAnsi="Arial"/>
          <w:sz w:val="16"/>
          <w:szCs w:val="16"/>
          <w:color w:val="auto"/>
        </w:rPr>
        <w:t>- Developed oil and gas reserves are reserves of any category that can be expected to be recovered:</w:t>
      </w:r>
    </w:p>
    <w:p>
      <w:pPr>
        <w:spacing w:after="0" w:line="383" w:lineRule="exact"/>
        <w:rPr>
          <w:sz w:val="20"/>
          <w:szCs w:val="20"/>
          <w:color w:val="auto"/>
        </w:rPr>
      </w:pPr>
    </w:p>
    <w:p>
      <w:pPr>
        <w:ind w:left="340" w:hanging="8"/>
        <w:spacing w:after="0" w:line="401" w:lineRule="auto"/>
        <w:tabs>
          <w:tab w:leader="none" w:pos="1077"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Through existing wells with existing equipment and operating methods or in which the cost of the required equipment is relatively minor compared to the cost of a new well; and</w:t>
      </w:r>
    </w:p>
    <w:p>
      <w:pPr>
        <w:spacing w:after="0" w:line="176" w:lineRule="exact"/>
        <w:rPr>
          <w:rFonts w:ascii="Arial" w:cs="Arial" w:eastAsia="Arial" w:hAnsi="Arial"/>
          <w:sz w:val="18"/>
          <w:szCs w:val="18"/>
          <w:color w:val="auto"/>
        </w:rPr>
      </w:pPr>
    </w:p>
    <w:p>
      <w:pPr>
        <w:ind w:left="1120" w:hanging="78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Through installed extraction equipment and infrastructure</w:t>
      </w:r>
    </w:p>
    <w:p>
      <w:pPr>
        <w:sectPr>
          <w:pgSz w:w="11900" w:h="16838" w:orient="portrait"/>
          <w:cols w:equalWidth="0" w:num="1">
            <w:col w:w="10380"/>
          </w:cols>
          <w:pgMar w:left="1280" w:top="503" w:right="239" w:bottom="1440" w:gutter="0" w:footer="0" w:header="0"/>
        </w:sectPr>
      </w:pPr>
    </w:p>
    <w:bookmarkStart w:id="90" w:name="page91"/>
    <w:bookmarkEnd w:id="90"/>
    <w:tbl>
      <w:tblPr>
        <w:tblLayout w:type="fixed"/>
        <w:tblInd w:w="11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337"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operational at the time of the reserves estimate if the extraction is by means not involving a well.</w:t>
      </w:r>
    </w:p>
    <w:p>
      <w:pPr>
        <w:spacing w:after="0" w:line="337" w:lineRule="exact"/>
        <w:rPr>
          <w:sz w:val="20"/>
          <w:szCs w:val="20"/>
          <w:color w:val="auto"/>
        </w:rPr>
      </w:pPr>
    </w:p>
    <w:p>
      <w:pPr>
        <w:jc w:val="both"/>
        <w:ind w:left="1040" w:right="680"/>
        <w:spacing w:after="0" w:line="357" w:lineRule="auto"/>
        <w:rPr>
          <w:sz w:val="20"/>
          <w:szCs w:val="20"/>
          <w:color w:val="auto"/>
        </w:rPr>
      </w:pPr>
      <w:r>
        <w:rPr>
          <w:rFonts w:ascii="Arial" w:cs="Arial" w:eastAsia="Arial" w:hAnsi="Arial"/>
          <w:sz w:val="20"/>
          <w:szCs w:val="20"/>
          <w:i w:val="1"/>
          <w:iCs w:val="1"/>
          <w:color w:val="auto"/>
        </w:rPr>
        <w:t xml:space="preserve">Undeveloped oil and gas reserves - </w:t>
      </w:r>
      <w:r>
        <w:rPr>
          <w:rFonts w:ascii="Arial" w:cs="Arial" w:eastAsia="Arial" w:hAnsi="Arial"/>
          <w:sz w:val="20"/>
          <w:szCs w:val="20"/>
          <w:color w:val="auto"/>
        </w:rPr>
        <w:t>Undeveloped oil and gas reserves are reserves of any category that are expected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recovered from new wells on undrilled acreage, or from existing wells where a relatively major expenditure is required for recompletion.</w:t>
      </w:r>
    </w:p>
    <w:p>
      <w:pPr>
        <w:jc w:val="both"/>
        <w:ind w:left="1380" w:right="20" w:hanging="8"/>
        <w:spacing w:after="0" w:line="391" w:lineRule="auto"/>
        <w:tabs>
          <w:tab w:leader="none" w:pos="2117" w:val="left"/>
        </w:tabs>
        <w:numPr>
          <w:ilvl w:val="0"/>
          <w:numId w:val="51"/>
        </w:numPr>
        <w:rPr>
          <w:rFonts w:ascii="Arial" w:cs="Arial" w:eastAsia="Arial" w:hAnsi="Arial"/>
          <w:sz w:val="18"/>
          <w:szCs w:val="18"/>
          <w:color w:val="auto"/>
        </w:rPr>
      </w:pPr>
      <w:r>
        <w:rPr>
          <w:rFonts w:ascii="Arial" w:cs="Arial" w:eastAsia="Arial" w:hAnsi="Arial"/>
          <w:sz w:val="20"/>
          <w:szCs w:val="20"/>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85" w:lineRule="exact"/>
        <w:rPr>
          <w:rFonts w:ascii="Arial" w:cs="Arial" w:eastAsia="Arial" w:hAnsi="Arial"/>
          <w:sz w:val="18"/>
          <w:szCs w:val="18"/>
          <w:color w:val="auto"/>
        </w:rPr>
      </w:pPr>
    </w:p>
    <w:p>
      <w:pPr>
        <w:ind w:left="1380" w:hanging="8"/>
        <w:spacing w:after="0" w:line="473" w:lineRule="auto"/>
        <w:tabs>
          <w:tab w:leader="none" w:pos="2167" w:val="left"/>
        </w:tabs>
        <w:numPr>
          <w:ilvl w:val="0"/>
          <w:numId w:val="51"/>
        </w:numPr>
        <w:rPr>
          <w:rFonts w:ascii="Arial" w:cs="Arial" w:eastAsia="Arial" w:hAnsi="Arial"/>
          <w:sz w:val="16"/>
          <w:szCs w:val="16"/>
          <w:color w:val="auto"/>
        </w:rPr>
      </w:pPr>
      <w:r>
        <w:rPr>
          <w:rFonts w:ascii="Arial" w:cs="Arial" w:eastAsia="Arial" w:hAnsi="Arial"/>
          <w:sz w:val="18"/>
          <w:szCs w:val="18"/>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29" w:lineRule="exact"/>
        <w:rPr>
          <w:rFonts w:ascii="Arial" w:cs="Arial" w:eastAsia="Arial" w:hAnsi="Arial"/>
          <w:sz w:val="16"/>
          <w:szCs w:val="16"/>
          <w:color w:val="auto"/>
        </w:rPr>
      </w:pPr>
    </w:p>
    <w:p>
      <w:pPr>
        <w:jc w:val="both"/>
        <w:ind w:left="1380" w:right="20" w:hanging="8"/>
        <w:spacing w:after="0" w:line="412" w:lineRule="auto"/>
        <w:tabs>
          <w:tab w:leader="none" w:pos="2217" w:val="left"/>
        </w:tabs>
        <w:numPr>
          <w:ilvl w:val="0"/>
          <w:numId w:val="51"/>
        </w:numPr>
        <w:rPr>
          <w:rFonts w:ascii="Arial" w:cs="Arial" w:eastAsia="Arial" w:hAnsi="Arial"/>
          <w:sz w:val="17"/>
          <w:szCs w:val="17"/>
          <w:color w:val="auto"/>
        </w:rPr>
      </w:pPr>
      <w:r>
        <w:rPr>
          <w:rFonts w:ascii="Arial" w:cs="Arial" w:eastAsia="Arial" w:hAnsi="Arial"/>
          <w:sz w:val="19"/>
          <w:szCs w:val="19"/>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spacing w:after="0" w:line="161" w:lineRule="exact"/>
        <w:rPr>
          <w:sz w:val="20"/>
          <w:szCs w:val="20"/>
          <w:color w:val="auto"/>
        </w:rPr>
      </w:pPr>
    </w:p>
    <w:p>
      <w:pPr>
        <w:jc w:val="both"/>
        <w:ind w:firstLine="648"/>
        <w:spacing w:after="0" w:line="382" w:lineRule="auto"/>
        <w:rPr>
          <w:sz w:val="20"/>
          <w:szCs w:val="20"/>
          <w:color w:val="auto"/>
        </w:rPr>
      </w:pPr>
      <w:r>
        <w:rPr>
          <w:rFonts w:ascii="Arial" w:cs="Arial" w:eastAsia="Arial" w:hAnsi="Arial"/>
          <w:sz w:val="19"/>
          <w:szCs w:val="19"/>
          <w:color w:val="auto"/>
        </w:rPr>
        <w:t>The extent to which probable and possible reserves ultimately may be reclassified as proved reserves is dependent upon future drilling, testing, and well performance. The degree of risk to be applied in evaluating probable and possible reserves is influenced by economic and technological factors as well as the time element. Estimates of probable and possible reserves in this report have not been adjusted in consideration of these additional risks and therefore are not comparable with estimates of proved reserves.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Primary Economic Assumptions</w:t>
      </w:r>
    </w:p>
    <w:p>
      <w:pPr>
        <w:spacing w:after="0" w:line="276"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Revenue values in this report were estimated using the initial prices and costs specified by Evolution. Future prices were estimated using guidelines established by the SEC and the Financial Accounting Standards Board (FASB). The assumptions used for estimating future prices and expenses are as follows:</w:t>
      </w:r>
    </w:p>
    <w:p>
      <w:pPr>
        <w:sectPr>
          <w:pgSz w:w="11900" w:h="16838" w:orient="portrait"/>
          <w:cols w:equalWidth="0" w:num="1">
            <w:col w:w="11420"/>
          </w:cols>
          <w:pgMar w:left="240" w:top="503" w:right="239" w:bottom="1440" w:gutter="0" w:footer="0" w:header="0"/>
        </w:sectPr>
      </w:pPr>
    </w:p>
    <w:bookmarkStart w:id="91" w:name="page92"/>
    <w:bookmarkEnd w:id="91"/>
    <w:tbl>
      <w:tblPr>
        <w:tblLayout w:type="fixed"/>
        <w:tblInd w:w="10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4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Oil and Condensate Prices</w:t>
      </w:r>
    </w:p>
    <w:p>
      <w:pPr>
        <w:spacing w:after="0" w:line="270" w:lineRule="exact"/>
        <w:rPr>
          <w:sz w:val="20"/>
          <w:szCs w:val="20"/>
          <w:color w:val="auto"/>
        </w:rPr>
      </w:pPr>
    </w:p>
    <w:p>
      <w:pPr>
        <w:jc w:val="both"/>
        <w:ind w:left="320"/>
        <w:spacing w:after="0" w:line="404" w:lineRule="auto"/>
        <w:rPr>
          <w:sz w:val="20"/>
          <w:szCs w:val="20"/>
          <w:color w:val="auto"/>
        </w:rPr>
      </w:pPr>
      <w:r>
        <w:rPr>
          <w:rFonts w:ascii="Arial" w:cs="Arial" w:eastAsia="Arial" w:hAnsi="Arial"/>
          <w:sz w:val="18"/>
          <w:szCs w:val="18"/>
          <w:color w:val="auto"/>
        </w:rPr>
        <w:t>An oil and condensate price differential was estimated from data provided by Evolution. The oil and condensate price was calculated by applying this differential to a West Texas Intermediate (WTI) crude oil price of $48.85 per barrel and was held constant over the lives of the properties. The WTI price of $48.85 is the 12-month average price calculated as the unweighted arithmetic average of the first-day-of-the-month price for each month within the 12 month period prior to June 30, 2017. The volume-weighted average price attributable to the proved reserves over the lives of the properties was $46.65 per barrel.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NGL Prices</w:t>
      </w:r>
    </w:p>
    <w:p>
      <w:pPr>
        <w:spacing w:after="0" w:line="270" w:lineRule="exact"/>
        <w:rPr>
          <w:sz w:val="20"/>
          <w:szCs w:val="20"/>
          <w:color w:val="auto"/>
        </w:rPr>
      </w:pPr>
    </w:p>
    <w:p>
      <w:pPr>
        <w:jc w:val="both"/>
        <w:ind w:left="340"/>
        <w:spacing w:after="0" w:line="338" w:lineRule="auto"/>
        <w:rPr>
          <w:sz w:val="20"/>
          <w:szCs w:val="20"/>
          <w:color w:val="auto"/>
        </w:rPr>
      </w:pPr>
      <w:r>
        <w:rPr>
          <w:rFonts w:ascii="Arial" w:cs="Arial" w:eastAsia="Arial" w:hAnsi="Arial"/>
          <w:sz w:val="20"/>
          <w:szCs w:val="20"/>
          <w:color w:val="auto"/>
        </w:rPr>
        <w:t>Evolution has represented that the NGL price was based on a 12-month average price, calculated as the unweighted arithmetic average of the first-day-of-the-month price for each month within the 12-month period prior to the end of the reporting period, unless prices are defined by contractual arrangements. The volume-weighted average price attributable to the proved reserves over the lives of the properties was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$20.48 per barrel.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 Capital Costs, and Abandonment Costs</w:t>
      </w:r>
    </w:p>
    <w:p>
      <w:pPr>
        <w:spacing w:after="0" w:line="270" w:lineRule="exact"/>
        <w:rPr>
          <w:sz w:val="20"/>
          <w:szCs w:val="20"/>
          <w:color w:val="auto"/>
        </w:rPr>
      </w:pPr>
    </w:p>
    <w:p>
      <w:pPr>
        <w:jc w:val="both"/>
        <w:ind w:left="320"/>
        <w:spacing w:after="0" w:line="357" w:lineRule="auto"/>
        <w:rPr>
          <w:sz w:val="20"/>
          <w:szCs w:val="20"/>
          <w:color w:val="auto"/>
        </w:rPr>
      </w:pPr>
      <w:r>
        <w:rPr>
          <w:rFonts w:ascii="Arial" w:cs="Arial" w:eastAsia="Arial" w:hAnsi="Arial"/>
          <w:sz w:val="20"/>
          <w:szCs w:val="20"/>
          <w:color w:val="auto"/>
        </w:rPr>
        <w:t>Estimates of operating expenses, capital costs, and abandonment costs, based on information provided by Evolution for current costs, were used for the lives of the properties with no increases in the future based on inflation. Future capital costs provided by Evolution were estimated using 2017 values and were not adjusted for inflation. Evolution has represented that the abandonment costs include site restoration and reclamation. No significant capital costs other than abandonment are expected after 2022.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Production and Ad Valorem Taxes</w:t>
      </w:r>
    </w:p>
    <w:p>
      <w:pPr>
        <w:spacing w:after="0" w:line="270" w:lineRule="exact"/>
        <w:rPr>
          <w:sz w:val="20"/>
          <w:szCs w:val="20"/>
          <w:color w:val="auto"/>
        </w:rPr>
      </w:pPr>
    </w:p>
    <w:p>
      <w:pPr>
        <w:jc w:val="both"/>
        <w:ind w:left="320"/>
        <w:spacing w:after="0" w:line="363" w:lineRule="auto"/>
        <w:rPr>
          <w:sz w:val="20"/>
          <w:szCs w:val="20"/>
          <w:color w:val="auto"/>
        </w:rPr>
      </w:pPr>
      <w:r>
        <w:rPr>
          <w:rFonts w:ascii="Arial" w:cs="Arial" w:eastAsia="Arial" w:hAnsi="Arial"/>
          <w:sz w:val="20"/>
          <w:szCs w:val="20"/>
          <w:color w:val="auto"/>
        </w:rPr>
        <w:t>Production taxes were based on current state tax rates. Evolution has represented that the Delhi carbon dioxide flood has been qualified as a tertiary recovery project and that no oil and condensate production taxes will be charged until payout of investment and certain interest expenses</w:t>
      </w:r>
    </w:p>
    <w:p>
      <w:pPr>
        <w:sectPr>
          <w:pgSz w:w="11900" w:h="16838" w:orient="portrait"/>
          <w:cols w:equalWidth="0" w:num="1">
            <w:col w:w="10380"/>
          </w:cols>
          <w:pgMar w:left="1280" w:top="503" w:right="239" w:bottom="1440" w:gutter="0" w:footer="0" w:header="0"/>
        </w:sectPr>
      </w:pPr>
    </w:p>
    <w:bookmarkStart w:id="92" w:name="page93"/>
    <w:bookmarkEnd w:id="92"/>
    <w:tbl>
      <w:tblPr>
        <w:tblLayout w:type="fixed"/>
        <w:tblInd w:w="11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323" w:lineRule="exact"/>
        <w:rPr>
          <w:sz w:val="20"/>
          <w:szCs w:val="20"/>
          <w:color w:val="auto"/>
        </w:rPr>
      </w:pPr>
    </w:p>
    <w:p>
      <w:pPr>
        <w:jc w:val="both"/>
        <w:ind w:left="1360"/>
        <w:spacing w:after="0" w:line="379" w:lineRule="auto"/>
        <w:rPr>
          <w:sz w:val="20"/>
          <w:szCs w:val="20"/>
          <w:color w:val="auto"/>
        </w:rPr>
      </w:pPr>
      <w:r>
        <w:rPr>
          <w:rFonts w:ascii="Arial" w:cs="Arial" w:eastAsia="Arial" w:hAnsi="Arial"/>
          <w:sz w:val="19"/>
          <w:szCs w:val="19"/>
          <w:color w:val="auto"/>
        </w:rPr>
        <w:t>from project revenue. Oil and condensate production taxes then revert to a 12.5-percent rate, which rate is held constant until average oil production per well drops below 25 barrels per day, and then reduced to 6.25 percent thereafter. Payout is not expected to occur prior to depletion, so no oil and condensate production taxes are included herein. Production taxes for NGL are included at $0.14 per barrel. Evolution has represented that no ad valorem taxes are charged to the Louisiana royalty owners, so no ad valorem taxes are included herein for the royalty interests.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 and Conclusions</w:t>
      </w:r>
    </w:p>
    <w:p>
      <w:pPr>
        <w:spacing w:after="0" w:line="270" w:lineRule="exact"/>
        <w:rPr>
          <w:sz w:val="20"/>
          <w:szCs w:val="20"/>
          <w:color w:val="auto"/>
        </w:rPr>
      </w:pPr>
    </w:p>
    <w:p>
      <w:pPr>
        <w:ind w:firstLine="648"/>
        <w:spacing w:after="0" w:line="373" w:lineRule="auto"/>
        <w:rPr>
          <w:sz w:val="20"/>
          <w:szCs w:val="20"/>
          <w:color w:val="auto"/>
        </w:rPr>
      </w:pPr>
      <w:r>
        <w:rPr>
          <w:rFonts w:ascii="Arial" w:cs="Arial" w:eastAsia="Arial" w:hAnsi="Arial"/>
          <w:sz w:val="20"/>
          <w:szCs w:val="20"/>
          <w:color w:val="auto"/>
        </w:rPr>
        <w:t>The estimates of net proved, probable, and possible reserves attributable to Evolution from the properties evaluated, as of June 30, 2017, are summarized as follows, and expressed in thousands of barrels (Mbbl) and millions of cubic feet (MMcf):</w:t>
      </w:r>
    </w:p>
    <w:p>
      <w:pPr>
        <w:spacing w:after="0" w:line="346"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Net Reserves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Oil</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NGL</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Sales Gas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and Condensate</w:t>
            </w:r>
          </w:p>
        </w:tc>
        <w:tc>
          <w:tcPr>
            <w:tcW w:w="13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(Mbbl)</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(Mbbl)</w:t>
            </w: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4"/>
                <w:szCs w:val="14"/>
                <w:b w:val="1"/>
                <w:bCs w:val="1"/>
                <w:color w:val="auto"/>
              </w:rPr>
              <w:t>Proved</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6,617</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1,333</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Non-Producing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4260" w:type="dxa"/>
            <w:vAlign w:val="bottom"/>
          </w:tcPr>
          <w:p>
            <w:pPr>
              <w:ind w:left="80"/>
              <w:spacing w:after="0"/>
              <w:rPr>
                <w:sz w:val="20"/>
                <w:szCs w:val="20"/>
                <w:color w:val="auto"/>
              </w:rPr>
            </w:pPr>
            <w:r>
              <w:rPr>
                <w:rFonts w:ascii="Arial" w:cs="Arial" w:eastAsia="Arial" w:hAnsi="Arial"/>
                <w:sz w:val="14"/>
                <w:szCs w:val="14"/>
                <w:color w:val="auto"/>
              </w:rPr>
              <w:t>Undeveloped</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1,755</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Arial" w:cs="Arial" w:eastAsia="Arial" w:hAnsi="Arial"/>
                <w:sz w:val="14"/>
                <w:szCs w:val="14"/>
                <w:b w:val="1"/>
                <w:bCs w:val="1"/>
                <w:color w:val="auto"/>
              </w:rPr>
              <w:t>Total Proved</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8,372</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1,686</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608"/>
        </w:trPr>
        <w:tc>
          <w:tcPr>
            <w:tcW w:w="4260" w:type="dxa"/>
            <w:vAlign w:val="bottom"/>
          </w:tcPr>
          <w:p>
            <w:pPr>
              <w:spacing w:after="0"/>
              <w:rPr>
                <w:sz w:val="20"/>
                <w:szCs w:val="20"/>
                <w:color w:val="auto"/>
              </w:rPr>
            </w:pPr>
            <w:r>
              <w:rPr>
                <w:rFonts w:ascii="Arial" w:cs="Arial" w:eastAsia="Arial" w:hAnsi="Arial"/>
                <w:sz w:val="14"/>
                <w:szCs w:val="14"/>
                <w:b w:val="1"/>
                <w:bCs w:val="1"/>
                <w:color w:val="auto"/>
              </w:rPr>
              <w:t>Probable</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3,577</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Non-Producing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4260" w:type="dxa"/>
            <w:vAlign w:val="bottom"/>
          </w:tcPr>
          <w:p>
            <w:pPr>
              <w:ind w:left="80"/>
              <w:spacing w:after="0"/>
              <w:rPr>
                <w:sz w:val="20"/>
                <w:szCs w:val="20"/>
                <w:color w:val="auto"/>
              </w:rPr>
            </w:pPr>
            <w:r>
              <w:rPr>
                <w:rFonts w:ascii="Arial" w:cs="Arial" w:eastAsia="Arial" w:hAnsi="Arial"/>
                <w:sz w:val="14"/>
                <w:szCs w:val="14"/>
                <w:color w:val="auto"/>
              </w:rPr>
              <w:t>Undeveloped</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Arial" w:cs="Arial" w:eastAsia="Arial" w:hAnsi="Arial"/>
                <w:sz w:val="14"/>
                <w:szCs w:val="14"/>
                <w:b w:val="1"/>
                <w:bCs w:val="1"/>
                <w:color w:val="auto"/>
              </w:rPr>
              <w:t>Total Probable</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4,385</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883</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r>
        <w:trPr>
          <w:trHeight w:val="513"/>
        </w:trPr>
        <w:tc>
          <w:tcPr>
            <w:tcW w:w="4260" w:type="dxa"/>
            <w:vAlign w:val="bottom"/>
          </w:tcPr>
          <w:p>
            <w:pPr>
              <w:spacing w:after="0"/>
              <w:rPr>
                <w:sz w:val="20"/>
                <w:szCs w:val="20"/>
                <w:color w:val="auto"/>
              </w:rPr>
            </w:pPr>
            <w:r>
              <w:rPr>
                <w:rFonts w:ascii="Arial" w:cs="Arial" w:eastAsia="Arial" w:hAnsi="Arial"/>
                <w:sz w:val="14"/>
                <w:szCs w:val="14"/>
                <w:b w:val="1"/>
                <w:bCs w:val="1"/>
                <w:color w:val="auto"/>
              </w:rPr>
              <w:t>Possible</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2,373</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0"/>
        </w:trPr>
        <w:tc>
          <w:tcPr>
            <w:tcW w:w="4260" w:type="dxa"/>
            <w:vAlign w:val="bottom"/>
          </w:tcPr>
          <w:p>
            <w:pPr>
              <w:ind w:left="80"/>
              <w:spacing w:after="0"/>
              <w:rPr>
                <w:sz w:val="20"/>
                <w:szCs w:val="20"/>
                <w:color w:val="auto"/>
              </w:rPr>
            </w:pPr>
            <w:r>
              <w:rPr>
                <w:rFonts w:ascii="Arial" w:cs="Arial" w:eastAsia="Arial" w:hAnsi="Arial"/>
                <w:sz w:val="14"/>
                <w:szCs w:val="14"/>
                <w:color w:val="auto"/>
              </w:rPr>
              <w:t>Developed Non-Producing</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76"/>
        </w:trPr>
        <w:tc>
          <w:tcPr>
            <w:tcW w:w="4260" w:type="dxa"/>
            <w:vAlign w:val="bottom"/>
          </w:tcPr>
          <w:p>
            <w:pPr>
              <w:ind w:left="80"/>
              <w:spacing w:after="0"/>
              <w:rPr>
                <w:sz w:val="20"/>
                <w:szCs w:val="20"/>
                <w:color w:val="auto"/>
              </w:rPr>
            </w:pPr>
            <w:r>
              <w:rPr>
                <w:rFonts w:ascii="Arial" w:cs="Arial" w:eastAsia="Arial" w:hAnsi="Arial"/>
                <w:sz w:val="14"/>
                <w:szCs w:val="14"/>
                <w:color w:val="auto"/>
              </w:rPr>
              <w:t>Undeveloped</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44"/>
        </w:trPr>
        <w:tc>
          <w:tcPr>
            <w:tcW w:w="4260" w:type="dxa"/>
            <w:vAlign w:val="bottom"/>
          </w:tcPr>
          <w:p>
            <w:pPr>
              <w:spacing w:after="0"/>
              <w:rPr>
                <w:sz w:val="20"/>
                <w:szCs w:val="20"/>
                <w:color w:val="auto"/>
              </w:rPr>
            </w:pPr>
            <w:r>
              <w:rPr>
                <w:rFonts w:ascii="Arial" w:cs="Arial" w:eastAsia="Arial" w:hAnsi="Arial"/>
                <w:sz w:val="14"/>
                <w:szCs w:val="14"/>
                <w:b w:val="1"/>
                <w:bCs w:val="1"/>
                <w:color w:val="auto"/>
              </w:rPr>
              <w:t>Total Possible</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2,677</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539</w:t>
            </w:r>
          </w:p>
        </w:tc>
        <w:tc>
          <w:tcPr>
            <w:tcW w:w="24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Note: Probable and possible reserves have not been risk adjusted to make them comparable to proved reserves.</w:t>
      </w:r>
    </w:p>
    <w:p>
      <w:pPr>
        <w:sectPr>
          <w:pgSz w:w="11900" w:h="16838" w:orient="portrait"/>
          <w:cols w:equalWidth="0" w:num="1">
            <w:col w:w="11420"/>
          </w:cols>
          <w:pgMar w:left="240" w:top="503" w:right="239" w:bottom="1440" w:gutter="0" w:footer="0" w:header="0"/>
        </w:sectPr>
      </w:pPr>
    </w:p>
    <w:bookmarkStart w:id="93" w:name="page94"/>
    <w:bookmarkEnd w:id="93"/>
    <w:tbl>
      <w:tblPr>
        <w:tblLayout w:type="fixed"/>
        <w:tblInd w:w="11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323" w:lineRule="exact"/>
        <w:rPr>
          <w:sz w:val="20"/>
          <w:szCs w:val="20"/>
          <w:color w:val="auto"/>
        </w:rPr>
      </w:pPr>
    </w:p>
    <w:p>
      <w:pPr>
        <w:ind w:firstLine="648"/>
        <w:spacing w:after="0" w:line="405" w:lineRule="auto"/>
        <w:rPr>
          <w:sz w:val="20"/>
          <w:szCs w:val="20"/>
          <w:color w:val="auto"/>
        </w:rPr>
      </w:pPr>
      <w:r>
        <w:rPr>
          <w:rFonts w:ascii="Arial" w:cs="Arial" w:eastAsia="Arial" w:hAnsi="Arial"/>
          <w:sz w:val="19"/>
          <w:szCs w:val="19"/>
          <w:color w:val="auto"/>
        </w:rPr>
        <w:t>The estimated future revenue to be derived from the production and sale of the estimated net proved, probable, and possible reserves, as of June 30, 2017, of the properties evaluated is summarized as follows, expressed in thousands of dollars (M$):</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4"/>
                <w:szCs w:val="14"/>
                <w:b w:val="1"/>
                <w:bCs w:val="1"/>
                <w:color w:val="auto"/>
                <w:w w:val="88"/>
              </w:rPr>
              <w:t>Proved</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8"/>
        </w:trPr>
        <w:tc>
          <w:tcPr>
            <w:tcW w:w="2900" w:type="dxa"/>
            <w:vAlign w:val="bottom"/>
          </w:tcPr>
          <w:p>
            <w:pPr>
              <w:spacing w:after="0"/>
              <w:rPr>
                <w:sz w:val="22"/>
                <w:szCs w:val="22"/>
                <w:color w:val="auto"/>
              </w:rPr>
            </w:pPr>
          </w:p>
        </w:tc>
        <w:tc>
          <w:tcPr>
            <w:tcW w:w="1880" w:type="dxa"/>
            <w:vAlign w:val="bottom"/>
            <w:gridSpan w:val="2"/>
          </w:tcPr>
          <w:p>
            <w:pPr>
              <w:jc w:val="center"/>
              <w:ind w:right="148"/>
              <w:spacing w:after="0"/>
              <w:rPr>
                <w:sz w:val="20"/>
                <w:szCs w:val="20"/>
                <w:color w:val="auto"/>
              </w:rPr>
            </w:pPr>
            <w:r>
              <w:rPr>
                <w:rFonts w:ascii="Arial" w:cs="Arial" w:eastAsia="Arial" w:hAnsi="Arial"/>
                <w:sz w:val="14"/>
                <w:szCs w:val="14"/>
                <w:color w:val="auto"/>
                <w:w w:val="92"/>
              </w:rPr>
              <w:t>Developed</w:t>
            </w:r>
          </w:p>
        </w:tc>
        <w:tc>
          <w:tcPr>
            <w:tcW w:w="1340" w:type="dxa"/>
            <w:vAlign w:val="bottom"/>
          </w:tcPr>
          <w:p>
            <w:pPr>
              <w:jc w:val="center"/>
              <w:ind w:left="130"/>
              <w:spacing w:after="0"/>
              <w:rPr>
                <w:sz w:val="20"/>
                <w:szCs w:val="20"/>
                <w:color w:val="auto"/>
              </w:rPr>
            </w:pPr>
            <w:r>
              <w:rPr>
                <w:rFonts w:ascii="Arial" w:cs="Arial" w:eastAsia="Arial" w:hAnsi="Arial"/>
                <w:sz w:val="14"/>
                <w:szCs w:val="14"/>
                <w:color w:val="auto"/>
                <w:w w:val="92"/>
              </w:rPr>
              <w:t>Developed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Total</w:t>
            </w:r>
          </w:p>
        </w:tc>
      </w:tr>
      <w:tr>
        <w:trPr>
          <w:trHeight w:val="270"/>
        </w:trPr>
        <w:tc>
          <w:tcPr>
            <w:tcW w:w="2900" w:type="dxa"/>
            <w:vAlign w:val="bottom"/>
          </w:tcPr>
          <w:p>
            <w:pPr>
              <w:spacing w:after="0"/>
              <w:rPr>
                <w:sz w:val="23"/>
                <w:szCs w:val="23"/>
                <w:color w:val="auto"/>
              </w:rPr>
            </w:pPr>
          </w:p>
        </w:tc>
        <w:tc>
          <w:tcPr>
            <w:tcW w:w="1880" w:type="dxa"/>
            <w:vAlign w:val="bottom"/>
            <w:gridSpan w:val="2"/>
          </w:tcPr>
          <w:p>
            <w:pPr>
              <w:jc w:val="center"/>
              <w:ind w:right="148"/>
              <w:spacing w:after="0"/>
              <w:rPr>
                <w:sz w:val="20"/>
                <w:szCs w:val="20"/>
                <w:color w:val="auto"/>
              </w:rPr>
            </w:pPr>
            <w:r>
              <w:rPr>
                <w:rFonts w:ascii="Arial" w:cs="Arial" w:eastAsia="Arial" w:hAnsi="Arial"/>
                <w:sz w:val="14"/>
                <w:szCs w:val="14"/>
                <w:color w:val="auto"/>
                <w:w w:val="91"/>
              </w:rPr>
              <w:t>Producing</w:t>
            </w:r>
          </w:p>
        </w:tc>
        <w:tc>
          <w:tcPr>
            <w:tcW w:w="1340" w:type="dxa"/>
            <w:vAlign w:val="bottom"/>
          </w:tcPr>
          <w:p>
            <w:pPr>
              <w:jc w:val="center"/>
              <w:ind w:left="130"/>
              <w:spacing w:after="0"/>
              <w:rPr>
                <w:sz w:val="20"/>
                <w:szCs w:val="20"/>
                <w:color w:val="auto"/>
              </w:rPr>
            </w:pPr>
            <w:r>
              <w:rPr>
                <w:rFonts w:ascii="Arial" w:cs="Arial" w:eastAsia="Arial" w:hAnsi="Arial"/>
                <w:sz w:val="14"/>
                <w:szCs w:val="14"/>
                <w:color w:val="auto"/>
                <w:w w:val="96"/>
              </w:rPr>
              <w:t>Non-Producing</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color w:val="auto"/>
              </w:rPr>
              <w:t>Undeveloped</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Proved</w:t>
            </w:r>
          </w:p>
        </w:tc>
      </w:tr>
      <w:tr>
        <w:trPr>
          <w:trHeight w:val="276"/>
        </w:trPr>
        <w:tc>
          <w:tcPr>
            <w:tcW w:w="2900" w:type="dxa"/>
            <w:vAlign w:val="bottom"/>
          </w:tcPr>
          <w:p>
            <w:pPr>
              <w:spacing w:after="0"/>
              <w:rPr>
                <w:sz w:val="23"/>
                <w:szCs w:val="23"/>
                <w:color w:val="auto"/>
              </w:rPr>
            </w:pPr>
          </w:p>
        </w:tc>
        <w:tc>
          <w:tcPr>
            <w:tcW w:w="1020" w:type="dxa"/>
            <w:vAlign w:val="bottom"/>
            <w:tcBorders>
              <w:bottom w:val="single" w:sz="8" w:color="auto"/>
            </w:tcBorders>
          </w:tcPr>
          <w:p>
            <w:pPr>
              <w:jc w:val="center"/>
              <w:ind w:left="571"/>
              <w:spacing w:after="0"/>
              <w:rPr>
                <w:sz w:val="20"/>
                <w:szCs w:val="20"/>
                <w:color w:val="auto"/>
              </w:rPr>
            </w:pPr>
            <w:r>
              <w:rPr>
                <w:rFonts w:ascii="Arial" w:cs="Arial" w:eastAsia="Arial" w:hAnsi="Arial"/>
                <w:sz w:val="13"/>
                <w:szCs w:val="13"/>
                <w:color w:val="auto"/>
                <w:w w:val="97"/>
              </w:rPr>
              <w:t>(M$)</w:t>
            </w:r>
          </w:p>
        </w:tc>
        <w:tc>
          <w:tcPr>
            <w:tcW w:w="8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3"/>
                <w:szCs w:val="13"/>
                <w:color w:val="auto"/>
                <w:w w:val="97"/>
              </w:rPr>
              <w:t>(M$)</w:t>
            </w:r>
          </w:p>
        </w:tc>
        <w:tc>
          <w:tcPr>
            <w:tcW w:w="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color w:val="auto"/>
              </w:rPr>
              <w:t>(M$)</w:t>
            </w:r>
          </w:p>
        </w:tc>
        <w:tc>
          <w:tcPr>
            <w:tcW w:w="200" w:type="dxa"/>
            <w:vAlign w:val="bottom"/>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(M$)</w:t>
            </w:r>
          </w:p>
        </w:tc>
      </w:tr>
      <w:tr>
        <w:trPr>
          <w:trHeight w:val="258"/>
        </w:trPr>
        <w:tc>
          <w:tcPr>
            <w:tcW w:w="3920" w:type="dxa"/>
            <w:vAlign w:val="bottom"/>
            <w:gridSpan w:val="2"/>
          </w:tcPr>
          <w:p>
            <w:pPr>
              <w:spacing w:after="0"/>
              <w:rPr>
                <w:sz w:val="20"/>
                <w:szCs w:val="20"/>
                <w:color w:val="auto"/>
              </w:rPr>
            </w:pPr>
            <w:r>
              <w:rPr>
                <w:rFonts w:ascii="Arial" w:cs="Arial" w:eastAsia="Arial" w:hAnsi="Arial"/>
                <w:sz w:val="14"/>
                <w:szCs w:val="14"/>
                <w:color w:val="auto"/>
              </w:rPr>
              <w:t>Future Gross Revenue</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335,997</w:t>
            </w:r>
          </w:p>
        </w:tc>
        <w:tc>
          <w:tcPr>
            <w:tcW w:w="1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2"/>
                <w:szCs w:val="22"/>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89,098</w:t>
            </w:r>
          </w:p>
        </w:tc>
        <w:tc>
          <w:tcPr>
            <w:tcW w:w="200" w:type="dxa"/>
            <w:vAlign w:val="bottom"/>
          </w:tcPr>
          <w:p>
            <w:pPr>
              <w:spacing w:after="0"/>
              <w:rPr>
                <w:sz w:val="22"/>
                <w:szCs w:val="22"/>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425,095</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Production Taxes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187</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237</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Ad Valorem Taxes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1,378</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365</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1,743</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173,551</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37,585</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211,136</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Capital Costs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2,580</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14,155</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16,735</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Abandonment Costs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5,286</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611</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5,897</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Future Net Revenue</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153,015</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36,332</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189,347</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Present Worth at 10 Percent</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101,696</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9,199</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110,895</w:t>
            </w:r>
          </w:p>
        </w:tc>
      </w:tr>
    </w:tbl>
    <w:p>
      <w:pPr>
        <w:spacing w:after="0" w:line="35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4"/>
                <w:szCs w:val="14"/>
                <w:b w:val="1"/>
                <w:bCs w:val="1"/>
                <w:color w:val="auto"/>
                <w:w w:val="90"/>
              </w:rPr>
              <w:t>Probable</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8"/>
        </w:trPr>
        <w:tc>
          <w:tcPr>
            <w:tcW w:w="2900" w:type="dxa"/>
            <w:vAlign w:val="bottom"/>
          </w:tcPr>
          <w:p>
            <w:pPr>
              <w:spacing w:after="0"/>
              <w:rPr>
                <w:sz w:val="22"/>
                <w:szCs w:val="22"/>
                <w:color w:val="auto"/>
              </w:rPr>
            </w:pPr>
          </w:p>
        </w:tc>
        <w:tc>
          <w:tcPr>
            <w:tcW w:w="1880" w:type="dxa"/>
            <w:vAlign w:val="bottom"/>
            <w:gridSpan w:val="2"/>
          </w:tcPr>
          <w:p>
            <w:pPr>
              <w:jc w:val="center"/>
              <w:ind w:right="148"/>
              <w:spacing w:after="0"/>
              <w:rPr>
                <w:sz w:val="20"/>
                <w:szCs w:val="20"/>
                <w:color w:val="auto"/>
              </w:rPr>
            </w:pPr>
            <w:r>
              <w:rPr>
                <w:rFonts w:ascii="Arial" w:cs="Arial" w:eastAsia="Arial" w:hAnsi="Arial"/>
                <w:sz w:val="14"/>
                <w:szCs w:val="14"/>
                <w:color w:val="auto"/>
                <w:w w:val="92"/>
              </w:rPr>
              <w:t>Developed</w:t>
            </w:r>
          </w:p>
        </w:tc>
        <w:tc>
          <w:tcPr>
            <w:tcW w:w="1340" w:type="dxa"/>
            <w:vAlign w:val="bottom"/>
          </w:tcPr>
          <w:p>
            <w:pPr>
              <w:jc w:val="center"/>
              <w:ind w:left="130"/>
              <w:spacing w:after="0"/>
              <w:rPr>
                <w:sz w:val="20"/>
                <w:szCs w:val="20"/>
                <w:color w:val="auto"/>
              </w:rPr>
            </w:pPr>
            <w:r>
              <w:rPr>
                <w:rFonts w:ascii="Arial" w:cs="Arial" w:eastAsia="Arial" w:hAnsi="Arial"/>
                <w:sz w:val="14"/>
                <w:szCs w:val="14"/>
                <w:color w:val="auto"/>
                <w:w w:val="92"/>
              </w:rPr>
              <w:t>Developed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Total</w:t>
            </w:r>
          </w:p>
        </w:tc>
      </w:tr>
      <w:tr>
        <w:trPr>
          <w:trHeight w:val="270"/>
        </w:trPr>
        <w:tc>
          <w:tcPr>
            <w:tcW w:w="2900" w:type="dxa"/>
            <w:vAlign w:val="bottom"/>
          </w:tcPr>
          <w:p>
            <w:pPr>
              <w:spacing w:after="0"/>
              <w:rPr>
                <w:sz w:val="23"/>
                <w:szCs w:val="23"/>
                <w:color w:val="auto"/>
              </w:rPr>
            </w:pPr>
          </w:p>
        </w:tc>
        <w:tc>
          <w:tcPr>
            <w:tcW w:w="1880" w:type="dxa"/>
            <w:vAlign w:val="bottom"/>
            <w:gridSpan w:val="2"/>
          </w:tcPr>
          <w:p>
            <w:pPr>
              <w:jc w:val="center"/>
              <w:ind w:right="148"/>
              <w:spacing w:after="0"/>
              <w:rPr>
                <w:sz w:val="20"/>
                <w:szCs w:val="20"/>
                <w:color w:val="auto"/>
              </w:rPr>
            </w:pPr>
            <w:r>
              <w:rPr>
                <w:rFonts w:ascii="Arial" w:cs="Arial" w:eastAsia="Arial" w:hAnsi="Arial"/>
                <w:sz w:val="14"/>
                <w:szCs w:val="14"/>
                <w:color w:val="auto"/>
                <w:w w:val="91"/>
              </w:rPr>
              <w:t>Producing</w:t>
            </w:r>
          </w:p>
        </w:tc>
        <w:tc>
          <w:tcPr>
            <w:tcW w:w="1340" w:type="dxa"/>
            <w:vAlign w:val="bottom"/>
          </w:tcPr>
          <w:p>
            <w:pPr>
              <w:jc w:val="center"/>
              <w:ind w:left="130"/>
              <w:spacing w:after="0"/>
              <w:rPr>
                <w:sz w:val="20"/>
                <w:szCs w:val="20"/>
                <w:color w:val="auto"/>
              </w:rPr>
            </w:pPr>
            <w:r>
              <w:rPr>
                <w:rFonts w:ascii="Arial" w:cs="Arial" w:eastAsia="Arial" w:hAnsi="Arial"/>
                <w:sz w:val="14"/>
                <w:szCs w:val="14"/>
                <w:color w:val="auto"/>
                <w:w w:val="96"/>
              </w:rPr>
              <w:t>Non-Producing</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color w:val="auto"/>
              </w:rPr>
              <w:t>Undeveloped</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Probable</w:t>
            </w:r>
          </w:p>
        </w:tc>
      </w:tr>
      <w:tr>
        <w:trPr>
          <w:trHeight w:val="276"/>
        </w:trPr>
        <w:tc>
          <w:tcPr>
            <w:tcW w:w="2900" w:type="dxa"/>
            <w:vAlign w:val="bottom"/>
          </w:tcPr>
          <w:p>
            <w:pPr>
              <w:spacing w:after="0"/>
              <w:rPr>
                <w:sz w:val="23"/>
                <w:szCs w:val="23"/>
                <w:color w:val="auto"/>
              </w:rPr>
            </w:pPr>
          </w:p>
        </w:tc>
        <w:tc>
          <w:tcPr>
            <w:tcW w:w="1020" w:type="dxa"/>
            <w:vAlign w:val="bottom"/>
            <w:tcBorders>
              <w:bottom w:val="single" w:sz="8" w:color="auto"/>
            </w:tcBorders>
          </w:tcPr>
          <w:p>
            <w:pPr>
              <w:jc w:val="center"/>
              <w:ind w:left="571"/>
              <w:spacing w:after="0"/>
              <w:rPr>
                <w:sz w:val="20"/>
                <w:szCs w:val="20"/>
                <w:color w:val="auto"/>
              </w:rPr>
            </w:pPr>
            <w:r>
              <w:rPr>
                <w:rFonts w:ascii="Arial" w:cs="Arial" w:eastAsia="Arial" w:hAnsi="Arial"/>
                <w:sz w:val="13"/>
                <w:szCs w:val="13"/>
                <w:color w:val="auto"/>
                <w:w w:val="97"/>
              </w:rPr>
              <w:t>(M$)</w:t>
            </w:r>
          </w:p>
        </w:tc>
        <w:tc>
          <w:tcPr>
            <w:tcW w:w="8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3"/>
                <w:szCs w:val="13"/>
                <w:color w:val="auto"/>
                <w:w w:val="97"/>
              </w:rPr>
              <w:t>(M$)</w:t>
            </w:r>
          </w:p>
        </w:tc>
        <w:tc>
          <w:tcPr>
            <w:tcW w:w="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color w:val="auto"/>
              </w:rPr>
              <w:t>(M$)</w:t>
            </w:r>
          </w:p>
        </w:tc>
        <w:tc>
          <w:tcPr>
            <w:tcW w:w="200" w:type="dxa"/>
            <w:vAlign w:val="bottom"/>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(M$)</w:t>
            </w:r>
          </w:p>
        </w:tc>
      </w:tr>
      <w:tr>
        <w:trPr>
          <w:trHeight w:val="258"/>
        </w:trPr>
        <w:tc>
          <w:tcPr>
            <w:tcW w:w="3920" w:type="dxa"/>
            <w:vAlign w:val="bottom"/>
            <w:gridSpan w:val="2"/>
          </w:tcPr>
          <w:p>
            <w:pPr>
              <w:spacing w:after="0"/>
              <w:rPr>
                <w:sz w:val="20"/>
                <w:szCs w:val="20"/>
                <w:color w:val="auto"/>
              </w:rPr>
            </w:pPr>
            <w:r>
              <w:rPr>
                <w:rFonts w:ascii="Arial" w:cs="Arial" w:eastAsia="Arial" w:hAnsi="Arial"/>
                <w:sz w:val="14"/>
                <w:szCs w:val="14"/>
                <w:color w:val="auto"/>
              </w:rPr>
              <w:t>Future Gross Revenue</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181,643</w:t>
            </w:r>
          </w:p>
        </w:tc>
        <w:tc>
          <w:tcPr>
            <w:tcW w:w="1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2"/>
                <w:szCs w:val="22"/>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40,996</w:t>
            </w:r>
          </w:p>
        </w:tc>
        <w:tc>
          <w:tcPr>
            <w:tcW w:w="200" w:type="dxa"/>
            <w:vAlign w:val="bottom"/>
          </w:tcPr>
          <w:p>
            <w:pPr>
              <w:spacing w:after="0"/>
              <w:rPr>
                <w:sz w:val="22"/>
                <w:szCs w:val="22"/>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222,639</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Production Taxes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101</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124</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Ad Valorem Taxes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745</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913</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55,670</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14,118</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69,788</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Capital Costs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0</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Abandonment Costs</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0</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Future Net Revenue</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125,127</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26,687</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151,814</w:t>
            </w:r>
          </w:p>
        </w:tc>
      </w:tr>
      <w:tr>
        <w:trPr>
          <w:trHeight w:val="270"/>
        </w:trPr>
        <w:tc>
          <w:tcPr>
            <w:tcW w:w="3920" w:type="dxa"/>
            <w:vAlign w:val="bottom"/>
            <w:gridSpan w:val="2"/>
          </w:tcPr>
          <w:p>
            <w:pPr>
              <w:spacing w:after="0"/>
              <w:rPr>
                <w:sz w:val="20"/>
                <w:szCs w:val="20"/>
                <w:color w:val="auto"/>
              </w:rPr>
            </w:pPr>
            <w:r>
              <w:rPr>
                <w:rFonts w:ascii="Arial" w:cs="Arial" w:eastAsia="Arial" w:hAnsi="Arial"/>
                <w:sz w:val="14"/>
                <w:szCs w:val="14"/>
                <w:color w:val="auto"/>
              </w:rPr>
              <w:t>Present Worth at 10 Percent</w:t>
            </w: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47,760</w:t>
            </w:r>
          </w:p>
        </w:tc>
        <w:tc>
          <w:tcPr>
            <w:tcW w:w="13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5,547</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53,307</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left="849"/>
              <w:spacing w:after="0"/>
              <w:rPr>
                <w:sz w:val="20"/>
                <w:szCs w:val="20"/>
                <w:color w:val="auto"/>
              </w:rPr>
            </w:pPr>
            <w:r>
              <w:rPr>
                <w:rFonts w:ascii="Arial" w:cs="Arial" w:eastAsia="Arial" w:hAnsi="Arial"/>
                <w:sz w:val="14"/>
                <w:szCs w:val="14"/>
                <w:b w:val="1"/>
                <w:bCs w:val="1"/>
                <w:color w:val="auto"/>
                <w:w w:val="86"/>
              </w:rPr>
              <w:t>Possible</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8"/>
        </w:trPr>
        <w:tc>
          <w:tcPr>
            <w:tcW w:w="2900" w:type="dxa"/>
            <w:vAlign w:val="bottom"/>
          </w:tcPr>
          <w:p>
            <w:pPr>
              <w:spacing w:after="0"/>
              <w:rPr>
                <w:sz w:val="22"/>
                <w:szCs w:val="22"/>
                <w:color w:val="auto"/>
              </w:rPr>
            </w:pPr>
          </w:p>
        </w:tc>
        <w:tc>
          <w:tcPr>
            <w:tcW w:w="1160" w:type="dxa"/>
            <w:vAlign w:val="bottom"/>
          </w:tcPr>
          <w:p>
            <w:pPr>
              <w:jc w:val="center"/>
              <w:ind w:left="430"/>
              <w:spacing w:after="0"/>
              <w:rPr>
                <w:sz w:val="20"/>
                <w:szCs w:val="20"/>
                <w:color w:val="auto"/>
              </w:rPr>
            </w:pPr>
            <w:r>
              <w:rPr>
                <w:rFonts w:ascii="Arial" w:cs="Arial" w:eastAsia="Arial" w:hAnsi="Arial"/>
                <w:sz w:val="14"/>
                <w:szCs w:val="14"/>
                <w:color w:val="auto"/>
                <w:w w:val="92"/>
              </w:rPr>
              <w:t>Developed</w:t>
            </w:r>
          </w:p>
        </w:tc>
        <w:tc>
          <w:tcPr>
            <w:tcW w:w="2060" w:type="dxa"/>
            <w:vAlign w:val="bottom"/>
          </w:tcPr>
          <w:p>
            <w:pPr>
              <w:jc w:val="center"/>
              <w:ind w:left="849"/>
              <w:spacing w:after="0"/>
              <w:rPr>
                <w:sz w:val="20"/>
                <w:szCs w:val="20"/>
                <w:color w:val="auto"/>
              </w:rPr>
            </w:pPr>
            <w:r>
              <w:rPr>
                <w:rFonts w:ascii="Arial" w:cs="Arial" w:eastAsia="Arial" w:hAnsi="Arial"/>
                <w:sz w:val="14"/>
                <w:szCs w:val="14"/>
                <w:color w:val="auto"/>
                <w:w w:val="92"/>
              </w:rPr>
              <w:t>Developed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Total</w:t>
            </w:r>
          </w:p>
        </w:tc>
      </w:tr>
      <w:tr>
        <w:trPr>
          <w:trHeight w:val="270"/>
        </w:trPr>
        <w:tc>
          <w:tcPr>
            <w:tcW w:w="2900" w:type="dxa"/>
            <w:vAlign w:val="bottom"/>
          </w:tcPr>
          <w:p>
            <w:pPr>
              <w:spacing w:after="0"/>
              <w:rPr>
                <w:sz w:val="23"/>
                <w:szCs w:val="23"/>
                <w:color w:val="auto"/>
              </w:rPr>
            </w:pPr>
          </w:p>
        </w:tc>
        <w:tc>
          <w:tcPr>
            <w:tcW w:w="1160" w:type="dxa"/>
            <w:vAlign w:val="bottom"/>
          </w:tcPr>
          <w:p>
            <w:pPr>
              <w:jc w:val="center"/>
              <w:ind w:left="430"/>
              <w:spacing w:after="0"/>
              <w:rPr>
                <w:sz w:val="20"/>
                <w:szCs w:val="20"/>
                <w:color w:val="auto"/>
              </w:rPr>
            </w:pPr>
            <w:r>
              <w:rPr>
                <w:rFonts w:ascii="Arial" w:cs="Arial" w:eastAsia="Arial" w:hAnsi="Arial"/>
                <w:sz w:val="14"/>
                <w:szCs w:val="14"/>
                <w:color w:val="auto"/>
                <w:w w:val="91"/>
              </w:rPr>
              <w:t>Producing</w:t>
            </w:r>
          </w:p>
        </w:tc>
        <w:tc>
          <w:tcPr>
            <w:tcW w:w="2060" w:type="dxa"/>
            <w:vAlign w:val="bottom"/>
          </w:tcPr>
          <w:p>
            <w:pPr>
              <w:jc w:val="center"/>
              <w:ind w:left="849"/>
              <w:spacing w:after="0"/>
              <w:rPr>
                <w:sz w:val="20"/>
                <w:szCs w:val="20"/>
                <w:color w:val="auto"/>
              </w:rPr>
            </w:pPr>
            <w:r>
              <w:rPr>
                <w:rFonts w:ascii="Arial" w:cs="Arial" w:eastAsia="Arial" w:hAnsi="Arial"/>
                <w:sz w:val="14"/>
                <w:szCs w:val="14"/>
                <w:color w:val="auto"/>
                <w:w w:val="96"/>
              </w:rPr>
              <w:t>Non-Producing</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Undeveloped</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Possible</w:t>
            </w:r>
          </w:p>
        </w:tc>
      </w:tr>
      <w:tr>
        <w:trPr>
          <w:trHeight w:val="276"/>
        </w:trPr>
        <w:tc>
          <w:tcPr>
            <w:tcW w:w="2900" w:type="dxa"/>
            <w:vAlign w:val="bottom"/>
          </w:tcPr>
          <w:p>
            <w:pPr>
              <w:spacing w:after="0"/>
              <w:rPr>
                <w:sz w:val="23"/>
                <w:szCs w:val="23"/>
                <w:color w:val="auto"/>
              </w:rPr>
            </w:pPr>
          </w:p>
        </w:tc>
        <w:tc>
          <w:tcPr>
            <w:tcW w:w="1160" w:type="dxa"/>
            <w:vAlign w:val="bottom"/>
          </w:tcPr>
          <w:p>
            <w:pPr>
              <w:jc w:val="center"/>
              <w:ind w:left="430"/>
              <w:spacing w:after="0"/>
              <w:rPr>
                <w:sz w:val="20"/>
                <w:szCs w:val="20"/>
                <w:color w:val="auto"/>
              </w:rPr>
            </w:pPr>
            <w:r>
              <w:rPr>
                <w:rFonts w:ascii="Arial" w:cs="Arial" w:eastAsia="Arial" w:hAnsi="Arial"/>
                <w:sz w:val="13"/>
                <w:szCs w:val="13"/>
                <w:color w:val="auto"/>
                <w:w w:val="97"/>
              </w:rPr>
              <w:t>(M$)</w:t>
            </w:r>
          </w:p>
        </w:tc>
        <w:tc>
          <w:tcPr>
            <w:tcW w:w="2060" w:type="dxa"/>
            <w:vAlign w:val="bottom"/>
          </w:tcPr>
          <w:p>
            <w:pPr>
              <w:jc w:val="center"/>
              <w:ind w:left="849"/>
              <w:spacing w:after="0"/>
              <w:rPr>
                <w:sz w:val="20"/>
                <w:szCs w:val="20"/>
                <w:color w:val="auto"/>
              </w:rPr>
            </w:pPr>
            <w:r>
              <w:rPr>
                <w:rFonts w:ascii="Arial" w:cs="Arial" w:eastAsia="Arial" w:hAnsi="Arial"/>
                <w:sz w:val="13"/>
                <w:szCs w:val="13"/>
                <w:color w:val="auto"/>
                <w:w w:val="97"/>
              </w:rPr>
              <w:t>(M$)</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(M$)</w:t>
            </w:r>
          </w:p>
        </w:tc>
        <w:tc>
          <w:tcPr>
            <w:tcW w:w="1440" w:type="dxa"/>
            <w:vAlign w:val="bottom"/>
          </w:tcPr>
          <w:p>
            <w:pPr>
              <w:jc w:val="center"/>
              <w:spacing w:after="0"/>
              <w:rPr>
                <w:sz w:val="20"/>
                <w:szCs w:val="20"/>
                <w:color w:val="auto"/>
              </w:rPr>
            </w:pPr>
            <w:r>
              <w:rPr>
                <w:rFonts w:ascii="Arial" w:cs="Arial" w:eastAsia="Arial" w:hAnsi="Arial"/>
                <w:sz w:val="13"/>
                <w:szCs w:val="13"/>
                <w:color w:val="auto"/>
                <w:w w:val="89"/>
              </w:rPr>
              <w:t>(M$)</w:t>
            </w:r>
          </w:p>
        </w:tc>
      </w:tr>
      <w:tr>
        <w:trPr>
          <w:trHeight w:val="258"/>
        </w:trPr>
        <w:tc>
          <w:tcPr>
            <w:tcW w:w="2900" w:type="dxa"/>
            <w:vAlign w:val="bottom"/>
          </w:tcPr>
          <w:p>
            <w:pPr>
              <w:spacing w:after="0"/>
              <w:rPr>
                <w:sz w:val="20"/>
                <w:szCs w:val="20"/>
                <w:color w:val="auto"/>
              </w:rPr>
            </w:pPr>
            <w:r>
              <w:rPr>
                <w:rFonts w:ascii="Arial" w:cs="Arial" w:eastAsia="Arial" w:hAnsi="Arial"/>
                <w:sz w:val="14"/>
                <w:szCs w:val="14"/>
                <w:color w:val="auto"/>
              </w:rPr>
              <w:t>Future Gross Revenue</w:t>
            </w:r>
          </w:p>
        </w:tc>
        <w:tc>
          <w:tcPr>
            <w:tcW w:w="3220" w:type="dxa"/>
            <w:vAlign w:val="bottom"/>
            <w:tcBorders>
              <w:top w:val="single" w:sz="8" w:color="auto"/>
            </w:tcBorders>
            <w:gridSpan w:val="2"/>
          </w:tcPr>
          <w:p>
            <w:pPr>
              <w:jc w:val="right"/>
              <w:ind w:right="1589"/>
              <w:spacing w:after="0"/>
              <w:rPr>
                <w:sz w:val="20"/>
                <w:szCs w:val="20"/>
                <w:color w:val="auto"/>
              </w:rPr>
            </w:pPr>
            <w:r>
              <w:rPr>
                <w:rFonts w:ascii="Arial" w:cs="Arial" w:eastAsia="Arial" w:hAnsi="Arial"/>
                <w:sz w:val="14"/>
                <w:szCs w:val="14"/>
                <w:color w:val="auto"/>
              </w:rPr>
              <w:t>120,511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2"/>
                <w:szCs w:val="22"/>
                <w:color w:val="auto"/>
              </w:rPr>
            </w:pPr>
          </w:p>
        </w:tc>
        <w:tc>
          <w:tcPr>
            <w:tcW w:w="15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15,413</w:t>
            </w:r>
          </w:p>
        </w:tc>
        <w:tc>
          <w:tcPr>
            <w:tcW w:w="200" w:type="dxa"/>
            <w:vAlign w:val="bottom"/>
          </w:tcPr>
          <w:p>
            <w:pPr>
              <w:spacing w:after="0"/>
              <w:rPr>
                <w:sz w:val="22"/>
                <w:szCs w:val="22"/>
                <w:color w:val="auto"/>
              </w:rPr>
            </w:pPr>
          </w:p>
        </w:tc>
        <w:tc>
          <w:tcPr>
            <w:tcW w:w="1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135,924</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Production Taxes</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rPr>
              <w:t>67</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76</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Ad Valorem Taxes</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rPr>
              <w:t>494</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557</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Operating Expenses</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w w:val="88"/>
              </w:rPr>
              <w:t>23,675</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5,047</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28,722</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Capital Costs</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rPr>
              <w:t>0</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0</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Abandonment Costs</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rPr>
              <w:t>0</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0</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Future Net Revenue</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w w:val="88"/>
              </w:rPr>
              <w:t>96,275</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10,294</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106,569</w:t>
            </w:r>
          </w:p>
        </w:tc>
      </w:tr>
      <w:tr>
        <w:trPr>
          <w:trHeight w:val="270"/>
        </w:trPr>
        <w:tc>
          <w:tcPr>
            <w:tcW w:w="2900" w:type="dxa"/>
            <w:vAlign w:val="bottom"/>
          </w:tcPr>
          <w:p>
            <w:pPr>
              <w:spacing w:after="0"/>
              <w:rPr>
                <w:sz w:val="20"/>
                <w:szCs w:val="20"/>
                <w:color w:val="auto"/>
              </w:rPr>
            </w:pPr>
            <w:r>
              <w:rPr>
                <w:rFonts w:ascii="Arial" w:cs="Arial" w:eastAsia="Arial" w:hAnsi="Arial"/>
                <w:sz w:val="14"/>
                <w:szCs w:val="14"/>
                <w:color w:val="auto"/>
              </w:rPr>
              <w:t>Present Worth at 10 Percent</w:t>
            </w:r>
          </w:p>
        </w:tc>
        <w:tc>
          <w:tcPr>
            <w:tcW w:w="1160" w:type="dxa"/>
            <w:vAlign w:val="bottom"/>
          </w:tcPr>
          <w:p>
            <w:pPr>
              <w:spacing w:after="0"/>
              <w:rPr>
                <w:sz w:val="23"/>
                <w:szCs w:val="23"/>
                <w:color w:val="auto"/>
              </w:rPr>
            </w:pPr>
          </w:p>
        </w:tc>
        <w:tc>
          <w:tcPr>
            <w:tcW w:w="2060" w:type="dxa"/>
            <w:vAlign w:val="bottom"/>
          </w:tcPr>
          <w:p>
            <w:pPr>
              <w:jc w:val="right"/>
              <w:ind w:right="1589"/>
              <w:spacing w:after="0"/>
              <w:rPr>
                <w:sz w:val="20"/>
                <w:szCs w:val="20"/>
                <w:color w:val="auto"/>
              </w:rPr>
            </w:pPr>
            <w:r>
              <w:rPr>
                <w:rFonts w:ascii="Arial" w:cs="Arial" w:eastAsia="Arial" w:hAnsi="Arial"/>
                <w:sz w:val="14"/>
                <w:szCs w:val="14"/>
                <w:color w:val="auto"/>
                <w:w w:val="88"/>
              </w:rPr>
              <w:t>25,896</w:t>
            </w:r>
          </w:p>
        </w:tc>
        <w:tc>
          <w:tcPr>
            <w:tcW w:w="2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3"/>
                <w:szCs w:val="23"/>
                <w:color w:val="auto"/>
              </w:rPr>
            </w:pPr>
          </w:p>
        </w:tc>
        <w:tc>
          <w:tcPr>
            <w:tcW w:w="1540" w:type="dxa"/>
            <w:vAlign w:val="bottom"/>
          </w:tcPr>
          <w:p>
            <w:pPr>
              <w:jc w:val="right"/>
              <w:ind w:right="9"/>
              <w:spacing w:after="0"/>
              <w:rPr>
                <w:sz w:val="20"/>
                <w:szCs w:val="20"/>
                <w:color w:val="auto"/>
              </w:rPr>
            </w:pPr>
            <w:r>
              <w:rPr>
                <w:rFonts w:ascii="Arial" w:cs="Arial" w:eastAsia="Arial" w:hAnsi="Arial"/>
                <w:sz w:val="14"/>
                <w:szCs w:val="14"/>
                <w:color w:val="auto"/>
              </w:rPr>
              <w:t>1,166</w:t>
            </w:r>
          </w:p>
        </w:tc>
        <w:tc>
          <w:tcPr>
            <w:tcW w:w="200" w:type="dxa"/>
            <w:vAlign w:val="bottom"/>
          </w:tcPr>
          <w:p>
            <w:pPr>
              <w:spacing w:after="0"/>
              <w:rPr>
                <w:sz w:val="23"/>
                <w:szCs w:val="23"/>
                <w:color w:val="auto"/>
              </w:rPr>
            </w:pP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27,062</w:t>
            </w:r>
          </w:p>
        </w:tc>
      </w:tr>
    </w:tbl>
    <w:p>
      <w:pPr>
        <w:spacing w:after="0" w:line="29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Notes:</w:t>
      </w:r>
    </w:p>
    <w:p>
      <w:pPr>
        <w:spacing w:after="0" w:line="3" w:lineRule="exact"/>
        <w:rPr>
          <w:sz w:val="20"/>
          <w:szCs w:val="20"/>
          <w:color w:val="auto"/>
        </w:rPr>
      </w:pPr>
    </w:p>
    <w:p>
      <w:pPr>
        <w:ind w:left="1000" w:hanging="168"/>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4"/>
          <w:szCs w:val="14"/>
          <w:color w:val="auto"/>
        </w:rPr>
        <w:t>Future income tax expenses were not taken into account in the preparation of these estimates.</w:t>
      </w:r>
    </w:p>
    <w:p>
      <w:pPr>
        <w:spacing w:after="0" w:line="63" w:lineRule="exact"/>
        <w:rPr>
          <w:rFonts w:ascii="Arial" w:cs="Arial" w:eastAsia="Arial" w:hAnsi="Arial"/>
          <w:sz w:val="18"/>
          <w:szCs w:val="18"/>
          <w:color w:val="auto"/>
        </w:rPr>
      </w:pPr>
    </w:p>
    <w:p>
      <w:pPr>
        <w:ind w:left="1000" w:hanging="182"/>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4"/>
          <w:szCs w:val="14"/>
          <w:color w:val="auto"/>
        </w:rPr>
        <w:t>Values for probable and possible reserves have not been risk adjusted to make them comparable to values for proved reserves.</w:t>
      </w:r>
    </w:p>
    <w:p>
      <w:pPr>
        <w:sectPr>
          <w:pgSz w:w="11900" w:h="16838" w:orient="portrait"/>
          <w:cols w:equalWidth="0" w:num="1">
            <w:col w:w="11420"/>
          </w:cols>
          <w:pgMar w:left="240" w:top="503" w:right="239" w:bottom="1129" w:gutter="0" w:footer="0" w:header="0"/>
        </w:sectPr>
      </w:pPr>
    </w:p>
    <w:p>
      <w:pPr>
        <w:spacing w:after="0" w:line="319"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0"/>
          <w:szCs w:val="20"/>
          <w:color w:val="auto"/>
        </w:rPr>
        <w:t>While the oil and gas industry may be subject to regulatory changes from time to time that could affect an industry participant’s ability to recover its oil, condensate, NGL, and gas reserves, we are not aware of any such governmental actions which would restrict the recovery of the June 30, 2017, estimated reserves.</w:t>
      </w:r>
    </w:p>
    <w:p>
      <w:pPr>
        <w:sectPr>
          <w:pgSz w:w="11900" w:h="16838" w:orient="portrait"/>
          <w:cols w:equalWidth="0" w:num="1">
            <w:col w:w="11420"/>
          </w:cols>
          <w:pgMar w:left="240" w:top="503" w:right="239" w:bottom="1129" w:gutter="0" w:footer="0" w:header="0"/>
          <w:type w:val="continuous"/>
        </w:sectPr>
      </w:pPr>
    </w:p>
    <w:bookmarkStart w:id="94" w:name="page95"/>
    <w:bookmarkEnd w:id="94"/>
    <w:tbl>
      <w:tblPr>
        <w:tblLayout w:type="fixed"/>
        <w:tblInd w:w="11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DeGolyer and MacNaughton</w:t>
            </w:r>
          </w:p>
        </w:tc>
        <w:tc>
          <w:tcPr>
            <w:tcW w:w="39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398" w:lineRule="auto"/>
        <w:rPr>
          <w:sz w:val="20"/>
          <w:szCs w:val="20"/>
          <w:color w:val="auto"/>
        </w:rPr>
      </w:pPr>
      <w:r>
        <w:rPr>
          <w:rFonts w:ascii="Arial" w:cs="Arial" w:eastAsia="Arial" w:hAnsi="Arial"/>
          <w:sz w:val="18"/>
          <w:szCs w:val="18"/>
          <w:color w:val="auto"/>
        </w:rPr>
        <w:t>In our opinion, the information relating to estimated proved, probable, and possible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Extractive Industries - Oil and Gas (Topic 932): Oil and Gas Reserve Estimation and Disclosures (January 2010) of the Financial Accounting Standards Board and Rules 4-10(a) (1)-(32) of Regulation S-X and Rules 302(b), 1201, 1202(a) (1), (2), (3), (4), (5), (8), and 1203(a) of Regulation S-K of the Securities and Exchange Commission;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w:t>
      </w:r>
    </w:p>
    <w:p>
      <w:pPr>
        <w:spacing w:after="0" w:line="266" w:lineRule="exact"/>
        <w:rPr>
          <w:sz w:val="20"/>
          <w:szCs w:val="20"/>
          <w:color w:val="auto"/>
        </w:rPr>
      </w:pPr>
    </w:p>
    <w:p>
      <w:pPr>
        <w:jc w:val="both"/>
        <w:ind w:firstLine="648"/>
        <w:spacing w:after="0" w:line="352" w:lineRule="auto"/>
        <w:rPr>
          <w:sz w:val="20"/>
          <w:szCs w:val="20"/>
          <w:color w:val="auto"/>
        </w:rPr>
      </w:pPr>
      <w:r>
        <w:rPr>
          <w:rFonts w:ascii="Arial" w:cs="Arial" w:eastAsia="Arial" w:hAnsi="Arial"/>
          <w:sz w:val="20"/>
          <w:szCs w:val="20"/>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pacing w:after="0" w:line="1"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20"/>
          <w:szCs w:val="20"/>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letter report has been prepared at the request of Evolution. DeGolyer and MacNaughton has used all assumptions, data, procedures, and methods that it considers necessary and appropriate to prepare this report.</w:t>
      </w:r>
    </w:p>
    <w:p>
      <w:pPr>
        <w:spacing w:after="0" w:line="16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00"/>
        <w:spacing w:after="0"/>
        <w:rPr>
          <w:sz w:val="20"/>
          <w:szCs w:val="20"/>
          <w:color w:val="auto"/>
        </w:rPr>
      </w:pPr>
      <w:r>
        <w:rPr>
          <w:rFonts w:ascii="Arial" w:cs="Arial" w:eastAsia="Arial" w:hAnsi="Arial"/>
          <w:sz w:val="18"/>
          <w:szCs w:val="18"/>
          <w:u w:val="single" w:color="auto"/>
          <w:color w:val="auto"/>
        </w:rPr>
        <w:t>/s/ DeGolyer and MacNaughton</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DeGOLYER and MacNAUGHTON</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Texas Registered Engineering Firm F-716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00"/>
        <w:spacing w:after="0"/>
        <w:rPr>
          <w:sz w:val="20"/>
          <w:szCs w:val="20"/>
          <w:color w:val="auto"/>
        </w:rPr>
      </w:pPr>
      <w:r>
        <w:rPr>
          <w:rFonts w:ascii="Arial" w:cs="Arial" w:eastAsia="Arial" w:hAnsi="Arial"/>
          <w:sz w:val="18"/>
          <w:szCs w:val="18"/>
          <w:u w:val="single" w:color="auto"/>
          <w:color w:val="auto"/>
        </w:rPr>
        <w:t>/s/ Dennis W. Thompson, PE</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Dennis W. Thompson, PE</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DeGolyer and MacNaughton</w:t>
      </w:r>
    </w:p>
    <w:p>
      <w:pPr>
        <w:sectPr>
          <w:pgSz w:w="11900" w:h="16838" w:orient="portrait"/>
          <w:cols w:equalWidth="0" w:num="1">
            <w:col w:w="11420"/>
          </w:cols>
          <w:pgMar w:left="240" w:top="503" w:right="239" w:bottom="1440" w:gutter="0" w:footer="0" w:header="0"/>
        </w:sectPr>
      </w:pPr>
    </w:p>
    <w:bookmarkStart w:id="95" w:name="page96"/>
    <w:bookmarkEnd w:id="95"/>
    <w:p>
      <w:pPr>
        <w:ind w:left="1300"/>
        <w:spacing w:after="0"/>
        <w:rPr>
          <w:sz w:val="20"/>
          <w:szCs w:val="20"/>
          <w:color w:val="auto"/>
        </w:rPr>
      </w:pPr>
      <w:r>
        <w:rPr>
          <w:rFonts w:ascii="Arial" w:cs="Arial" w:eastAsia="Arial" w:hAnsi="Arial"/>
          <w:sz w:val="16"/>
          <w:szCs w:val="16"/>
          <w:color w:val="auto"/>
        </w:rPr>
        <w:t>DeGolyer and MacNaughton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CERTIFICATE of QUALIFICATION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I, Dennis W. Thompson, Petroleum Engineer with DeGolyer and MacNaughton, 5001 Spring Valley Road, Suite 800 East, Dallas, Texas, 75244 U.S.A., hereby certify:</w:t>
      </w:r>
    </w:p>
    <w:p>
      <w:pPr>
        <w:spacing w:after="0" w:line="177" w:lineRule="exact"/>
        <w:rPr>
          <w:sz w:val="20"/>
          <w:szCs w:val="20"/>
          <w:color w:val="auto"/>
        </w:rPr>
      </w:pPr>
    </w:p>
    <w:p>
      <w:pPr>
        <w:jc w:val="both"/>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That I am a Senior Vice President with DeGolyer and MacNaughton, which company did prepare the letter report addressed to Evolution Petroleum Corporation dated August 31, 2017, and that I, as Senior Vice President, was responsible for the preparation of this letter report.</w:t>
      </w:r>
    </w:p>
    <w:p>
      <w:pPr>
        <w:spacing w:after="0" w:line="199"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That </w:t>
      </w:r>
      <w:r>
        <w:rPr>
          <w:rFonts w:ascii="Arial" w:cs="Arial" w:eastAsia="Arial" w:hAnsi="Arial"/>
          <w:sz w:val="20"/>
          <w:szCs w:val="20"/>
          <w:color w:val="313131"/>
        </w:rPr>
        <w:t>I attended Eastern New Mexico University, and that I graduated with a Bachelor of Science degree in Geology in the year 1973</w:t>
      </w:r>
      <w:r>
        <w:rPr>
          <w:rFonts w:ascii="Arial" w:cs="Arial" w:eastAsia="Arial" w:hAnsi="Arial"/>
          <w:sz w:val="20"/>
          <w:szCs w:val="20"/>
          <w:color w:val="4B4B4B"/>
        </w:rPr>
        <w:t>;</w:t>
      </w:r>
      <w:r>
        <w:rPr>
          <w:rFonts w:ascii="Arial" w:cs="Arial" w:eastAsia="Arial" w:hAnsi="Arial"/>
          <w:sz w:val="20"/>
          <w:szCs w:val="20"/>
          <w:color w:val="auto"/>
        </w:rPr>
        <w:t xml:space="preserve"> </w:t>
      </w:r>
      <w:r>
        <w:rPr>
          <w:rFonts w:ascii="Arial" w:cs="Arial" w:eastAsia="Arial" w:hAnsi="Arial"/>
          <w:sz w:val="20"/>
          <w:szCs w:val="20"/>
          <w:color w:val="313131"/>
        </w:rPr>
        <w:t xml:space="preserve">that I earned a Master of Science degree in Petroleum Engineering from the University of Texas at Austin in 1975; that I am a Registered Professional Engineer </w:t>
      </w:r>
      <w:r>
        <w:rPr>
          <w:rFonts w:ascii="Arial" w:cs="Arial" w:eastAsia="Arial" w:hAnsi="Arial"/>
          <w:sz w:val="20"/>
          <w:szCs w:val="20"/>
          <w:color w:val="4B4B4B"/>
        </w:rPr>
        <w:t>i</w:t>
      </w:r>
      <w:r>
        <w:rPr>
          <w:rFonts w:ascii="Arial" w:cs="Arial" w:eastAsia="Arial" w:hAnsi="Arial"/>
          <w:sz w:val="20"/>
          <w:szCs w:val="20"/>
          <w:color w:val="313131"/>
        </w:rPr>
        <w:t>n the State of Texas</w:t>
      </w:r>
      <w:r>
        <w:rPr>
          <w:rFonts w:ascii="Arial" w:cs="Arial" w:eastAsia="Arial" w:hAnsi="Arial"/>
          <w:sz w:val="20"/>
          <w:szCs w:val="20"/>
          <w:color w:val="4B4B4B"/>
        </w:rPr>
        <w:t>;</w:t>
      </w:r>
      <w:r>
        <w:rPr>
          <w:rFonts w:ascii="Arial" w:cs="Arial" w:eastAsia="Arial" w:hAnsi="Arial"/>
          <w:sz w:val="20"/>
          <w:szCs w:val="20"/>
          <w:color w:val="313131"/>
        </w:rPr>
        <w:t xml:space="preserve"> that I am a member of the Society of Petroleum Eng</w:t>
      </w:r>
      <w:r>
        <w:rPr>
          <w:rFonts w:ascii="Arial" w:cs="Arial" w:eastAsia="Arial" w:hAnsi="Arial"/>
          <w:sz w:val="20"/>
          <w:szCs w:val="20"/>
          <w:color w:val="4B4B4B"/>
        </w:rPr>
        <w:t>i</w:t>
      </w:r>
      <w:r>
        <w:rPr>
          <w:rFonts w:ascii="Arial" w:cs="Arial" w:eastAsia="Arial" w:hAnsi="Arial"/>
          <w:sz w:val="20"/>
          <w:szCs w:val="20"/>
          <w:color w:val="313131"/>
        </w:rPr>
        <w:t>neer</w:t>
      </w:r>
      <w:r>
        <w:rPr>
          <w:rFonts w:ascii="Arial" w:cs="Arial" w:eastAsia="Arial" w:hAnsi="Arial"/>
          <w:sz w:val="20"/>
          <w:szCs w:val="20"/>
          <w:color w:val="4B4B4B"/>
        </w:rPr>
        <w:t>s</w:t>
      </w:r>
      <w:r>
        <w:rPr>
          <w:rFonts w:ascii="Arial" w:cs="Arial" w:eastAsia="Arial" w:hAnsi="Arial"/>
          <w:sz w:val="20"/>
          <w:szCs w:val="20"/>
          <w:color w:val="313131"/>
        </w:rPr>
        <w:t xml:space="preserve"> and the Societ</w:t>
      </w:r>
      <w:r>
        <w:rPr>
          <w:rFonts w:ascii="Arial" w:cs="Arial" w:eastAsia="Arial" w:hAnsi="Arial"/>
          <w:sz w:val="20"/>
          <w:szCs w:val="20"/>
          <w:color w:val="4B4B4B"/>
        </w:rPr>
        <w:t>y</w:t>
      </w:r>
      <w:r>
        <w:rPr>
          <w:rFonts w:ascii="Arial" w:cs="Arial" w:eastAsia="Arial" w:hAnsi="Arial"/>
          <w:sz w:val="20"/>
          <w:szCs w:val="20"/>
          <w:color w:val="313131"/>
        </w:rPr>
        <w:t xml:space="preserve"> of Petroleum Evaluation Engineers</w:t>
      </w:r>
      <w:r>
        <w:rPr>
          <w:rFonts w:ascii="Arial" w:cs="Arial" w:eastAsia="Arial" w:hAnsi="Arial"/>
          <w:sz w:val="20"/>
          <w:szCs w:val="20"/>
          <w:color w:val="4B4B4B"/>
        </w:rPr>
        <w:t>;</w:t>
      </w:r>
      <w:r>
        <w:rPr>
          <w:rFonts w:ascii="Arial" w:cs="Arial" w:eastAsia="Arial" w:hAnsi="Arial"/>
          <w:sz w:val="20"/>
          <w:szCs w:val="20"/>
          <w:color w:val="313131"/>
        </w:rPr>
        <w:t xml:space="preserve"> and that I have </w:t>
      </w:r>
      <w:r>
        <w:rPr>
          <w:rFonts w:ascii="Arial" w:cs="Arial" w:eastAsia="Arial" w:hAnsi="Arial"/>
          <w:sz w:val="20"/>
          <w:szCs w:val="20"/>
          <w:color w:val="4B4B4B"/>
        </w:rPr>
        <w:t>i</w:t>
      </w:r>
      <w:r>
        <w:rPr>
          <w:rFonts w:ascii="Arial" w:cs="Arial" w:eastAsia="Arial" w:hAnsi="Arial"/>
          <w:sz w:val="20"/>
          <w:szCs w:val="20"/>
          <w:color w:val="313131"/>
        </w:rPr>
        <w:t>n e</w:t>
      </w:r>
      <w:r>
        <w:rPr>
          <w:rFonts w:ascii="Arial" w:cs="Arial" w:eastAsia="Arial" w:hAnsi="Arial"/>
          <w:sz w:val="20"/>
          <w:szCs w:val="20"/>
          <w:color w:val="4B4B4B"/>
        </w:rPr>
        <w:t>xc</w:t>
      </w:r>
      <w:r>
        <w:rPr>
          <w:rFonts w:ascii="Arial" w:cs="Arial" w:eastAsia="Arial" w:hAnsi="Arial"/>
          <w:sz w:val="20"/>
          <w:szCs w:val="20"/>
          <w:color w:val="313131"/>
        </w:rPr>
        <w:t>e</w:t>
      </w:r>
      <w:r>
        <w:rPr>
          <w:rFonts w:ascii="Arial" w:cs="Arial" w:eastAsia="Arial" w:hAnsi="Arial"/>
          <w:sz w:val="20"/>
          <w:szCs w:val="20"/>
          <w:color w:val="4B4B4B"/>
        </w:rPr>
        <w:t>ss</w:t>
      </w:r>
      <w:r>
        <w:rPr>
          <w:rFonts w:ascii="Arial" w:cs="Arial" w:eastAsia="Arial" w:hAnsi="Arial"/>
          <w:sz w:val="20"/>
          <w:szCs w:val="20"/>
          <w:color w:val="313131"/>
        </w:rPr>
        <w:t xml:space="preserve"> of 38 years of experience in oil and gas reservoir studies and reserves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Dennis W. Thompson, PE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Dennis W. Thompson, PE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DeGolyer and MacNaughton</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decimal"/>
      <w:start w:val="1"/>
    </w:lvl>
    <w:lvl w:ilvl="1">
      <w:lvlJc w:val="left"/>
      <w:lvlText w:val="%2)"/>
      <w:numFmt w:val="lowerLetter"/>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Roman"/>
      <w:start w:val="1"/>
    </w:lvl>
  </w:abstractNum>
  <w:abstractNum w:abstractNumId="42">
    <w:nsid w:val="32FFF902"/>
    <w:multiLevelType w:val="hybridMultilevel"/>
    <w:lvl w:ilvl="0">
      <w:lvlJc w:val="left"/>
      <w:lvlText w:val="(%1)"/>
      <w:numFmt w:val="upperLetter"/>
      <w:start w:val="1"/>
    </w:lvl>
  </w:abstractNum>
  <w:abstractNum w:abstractNumId="43">
    <w:nsid w:val="684A481A"/>
    <w:multiLevelType w:val="hybridMultilevel"/>
    <w:lvl w:ilvl="0">
      <w:lvlJc w:val="left"/>
      <w:lvlText w:val="(%1)"/>
      <w:numFmt w:val="lowerRoman"/>
      <w:start w:val="2"/>
    </w:lvl>
  </w:abstractNum>
  <w:abstractNum w:abstractNumId="44">
    <w:nsid w:val="579478FE"/>
    <w:multiLevelType w:val="hybridMultilevel"/>
    <w:lvl w:ilvl="0">
      <w:lvlJc w:val="left"/>
      <w:lvlText w:val="(%1)"/>
      <w:numFmt w:val="upperLetter"/>
      <w:start w:val="1"/>
    </w:lvl>
  </w:abstractNum>
  <w:abstractNum w:abstractNumId="45">
    <w:nsid w:val="749ABB43"/>
    <w:multiLevelType w:val="hybridMultilevel"/>
    <w:lvl w:ilvl="0">
      <w:lvlJc w:val="left"/>
      <w:lvlText w:val="(%1)"/>
      <w:numFmt w:val="lowerRoman"/>
      <w:start w:val="5"/>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Roman"/>
      <w:start w:val="1"/>
    </w:lvl>
  </w:abstractNum>
  <w:abstractNum w:abstractNumId="48">
    <w:nsid w:val="79A1DEAA"/>
    <w:multiLevelType w:val="hybridMultilevel"/>
    <w:lvl w:ilvl="0">
      <w:lvlJc w:val="left"/>
      <w:lvlText w:val="(%1)"/>
      <w:numFmt w:val="lowerRoman"/>
      <w:start w:val="3"/>
    </w:lvl>
  </w:abstractNum>
  <w:abstractNum w:abstractNumId="49">
    <w:nsid w:val="75C6C33A"/>
    <w:multiLevelType w:val="hybridMultilevel"/>
    <w:lvl w:ilvl="0">
      <w:lvlJc w:val="left"/>
      <w:lvlText w:val="(%1)"/>
      <w:numFmt w:val="lowerRoman"/>
      <w:start w:val="1"/>
    </w:lvl>
  </w:abstractNum>
  <w:abstractNum w:abstractNumId="50">
    <w:nsid w:val="12E685FB"/>
    <w:multiLevelType w:val="hybridMultilevel"/>
    <w:lvl w:ilvl="0">
      <w:lvlJc w:val="left"/>
      <w:lvlText w:val="(%1)"/>
      <w:numFmt w:val="lowerRoman"/>
      <w:start w:val="1"/>
    </w:lvl>
  </w:abstractNum>
  <w:abstractNum w:abstractNumId="51">
    <w:nsid w:val="70C6A529"/>
    <w:multiLevelType w:val="hybridMultilevel"/>
    <w:lvl w:ilvl="0">
      <w:lvlJc w:val="left"/>
      <w:lvlText w:val="%1"/>
      <w:numFmt w:val="decimal"/>
      <w:start w:val="1"/>
    </w:lvl>
    <w:lvl w:ilvl="1">
      <w:lvlJc w:val="left"/>
      <w:lvlText w:val="%2."/>
      <w:numFmt w:val="decimal"/>
      <w:start w:val="1"/>
    </w:lvl>
  </w:abstractNum>
  <w:abstractNum w:abstractNumId="52">
    <w:nsid w:val="520EEDD1"/>
    <w:multiLevelType w:val="hybridMultilevel"/>
    <w:lvl w:ilvl="0">
      <w:lvlJc w:val="left"/>
      <w:lvlText w:val="%1."/>
      <w:numFmt w:val="decimal"/>
      <w:start w:val="2"/>
    </w:lvl>
    <w:lvl w:ilvl="1">
      <w:lvlJc w:val="left"/>
      <w:lvlText w:val="%2"/>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31" Type="http://schemas.openxmlformats.org/officeDocument/2006/relationships/image" Target="media/image20.png"/><Relationship Id="rId34" Type="http://schemas.openxmlformats.org/officeDocument/2006/relationships/image" Target="media/image21.png"/><Relationship Id="rId37" Type="http://schemas.openxmlformats.org/officeDocument/2006/relationships/image" Target="media/image22.png"/><Relationship Id="rId40" Type="http://schemas.openxmlformats.org/officeDocument/2006/relationships/image" Target="media/image23.png"/><Relationship Id="rId43" Type="http://schemas.openxmlformats.org/officeDocument/2006/relationships/image" Target="media/image24.png"/><Relationship Id="rId46" Type="http://schemas.openxmlformats.org/officeDocument/2006/relationships/image" Target="media/image25.png"/><Relationship Id="rId49" Type="http://schemas.openxmlformats.org/officeDocument/2006/relationships/image" Target="media/image26.png"/><Relationship Id="rId52" Type="http://schemas.openxmlformats.org/officeDocument/2006/relationships/image" Target="media/image27.png"/><Relationship Id="rId55" Type="http://schemas.openxmlformats.org/officeDocument/2006/relationships/image" Target="media/image28.png"/><Relationship Id="rId58"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26" Type="http://schemas.openxmlformats.org/officeDocument/2006/relationships/hyperlink" Target="http://www.sec.gov/Archives/edgar/data/1006655/000102670002000024/ex31.txt" TargetMode="External"/><Relationship Id="rId27" Type="http://schemas.openxmlformats.org/officeDocument/2006/relationships/hyperlink" Target="http://www.sec.gov/Archives/edgar/data/1006655/000102670002000024/ex32.txt" TargetMode="External"/><Relationship Id="rId29" Type="http://schemas.openxmlformats.org/officeDocument/2006/relationships/hyperlink" Target="http://www.sec.gov/Archives/edgar/data/1006655/000114420405032063/v027219_ex3-3.htm" TargetMode="External"/><Relationship Id="rId30" Type="http://schemas.openxmlformats.org/officeDocument/2006/relationships/hyperlink" Target="http://www.sec.gov/Archives/edgar/data/1006655/000104746911006108/a2204648zex-3_1.htm" TargetMode="External"/><Relationship Id="rId32" Type="http://schemas.openxmlformats.org/officeDocument/2006/relationships/hyperlink" Target="http://www.sec.gov/Archives/edgar/data/1006655/000102670002000024/ex33.txt" TargetMode="External"/><Relationship Id="rId33" Type="http://schemas.openxmlformats.org/officeDocument/2006/relationships/hyperlink" Target="http://www.sec.gov/Archives/edgar/data/1006655/000100665504000002/decreal10k22.htm" TargetMode="External"/><Relationship Id="rId35" Type="http://schemas.openxmlformats.org/officeDocument/2006/relationships/hyperlink" Target="http://www.sec.gov/Archives/edgar/data/1006655/000104746913007064/a2215678zex-4_7.htm" TargetMode="External"/><Relationship Id="rId36" Type="http://schemas.openxmlformats.org/officeDocument/2006/relationships/hyperlink" Target="http://www.sec.gov/Archives/edgar/data/1006655/000110465911037169/a11-16075_1ex3d5.htm" TargetMode="External"/><Relationship Id="rId38" Type="http://schemas.openxmlformats.org/officeDocument/2006/relationships/hyperlink" Target="http://www.sec.gov/Archives/edgar/data/1006655/000095012904005780/v01049def14c.htm#005" TargetMode="External"/><Relationship Id="rId39" Type="http://schemas.openxmlformats.org/officeDocument/2006/relationships/hyperlink" Target="http://www.sec.gov/Archives/edgar/data/1006655/000110465907077662/a07-27333_1def14a.htm" TargetMode="External"/><Relationship Id="rId41" Type="http://schemas.openxmlformats.org/officeDocument/2006/relationships/hyperlink" Target="http://www.sec.gov/Archives/edgar/data/1006655/000104746911008789/a2206018zdef14a.htm" TargetMode="External"/><Relationship Id="rId42" Type="http://schemas.openxmlformats.org/officeDocument/2006/relationships/hyperlink" Target="http://www.sec.gov/Archives/edgar/data/1006655/000114420405010951/v16031_ex10-2.txt" TargetMode="External"/><Relationship Id="rId44" Type="http://schemas.openxmlformats.org/officeDocument/2006/relationships/hyperlink" Target="http://www.sec.gov/Archives/edgar/data/1006655/000110465909033088/a09-13599_1ex99dd3.htm" TargetMode="External"/><Relationship Id="rId45" Type="http://schemas.openxmlformats.org/officeDocument/2006/relationships/hyperlink" Target="http://www.sec.gov/Archives/edgar/data/1006655/000100665514000034/exh41formofcontingentperfo.htm" TargetMode="External"/><Relationship Id="rId47" Type="http://schemas.openxmlformats.org/officeDocument/2006/relationships/hyperlink" Target="http://www.sec.gov/Archives/edgar/data/1006655/000100665517000004/exhibit1012016equityincent.htm" TargetMode="External"/><Relationship Id="rId48" Type="http://schemas.openxmlformats.org/officeDocument/2006/relationships/hyperlink" Target="http://www.sec.gov/Archives/edgar/data/1006655/000110465912072751/a12-25758_1ex99d1.htm" TargetMode="External"/><Relationship Id="rId50" Type="http://schemas.openxmlformats.org/officeDocument/2006/relationships/hyperlink" Target="http://www.sec.gov/Archives/edgar/data/1006655/000114420406025038/v045483_ex10-1.htm" TargetMode="External"/><Relationship Id="rId51" Type="http://schemas.openxmlformats.org/officeDocument/2006/relationships/hyperlink" Target="http://www.sec.gov/Archives/edgar/data/1006655/000114420406025038/v045483_ex10-2.htm" TargetMode="External"/><Relationship Id="rId53" Type="http://schemas.openxmlformats.org/officeDocument/2006/relationships/hyperlink" Target="http://www.sec.gov/Archives/edgar/data/1006655/000114420406025038/v045483_ex10-3.htm" TargetMode="External"/><Relationship Id="rId54" Type="http://schemas.openxmlformats.org/officeDocument/2006/relationships/hyperlink" Target="http://www.sec.gov/Archives/edgar/data/1006655/000114420406025038/v045483_ex10-4.htm" TargetMode="External"/><Relationship Id="rId56" Type="http://schemas.openxmlformats.org/officeDocument/2006/relationships/hyperlink" Target="http://www.sec.gov/Archives/edgar/data/1006655/000100665516000132/dnrsettlementexh107.htm" TargetMode="External"/><Relationship Id="rId57" Type="http://schemas.openxmlformats.org/officeDocument/2006/relationships/hyperlink" Target="http://www.sec.gov/Archives/edgar/data/1006655/000114420406039551/v053291_ex10-1.txt" TargetMode="External"/><Relationship Id="rId59" Type="http://schemas.openxmlformats.org/officeDocument/2006/relationships/hyperlink" Target="http://www.sec.gov/Archives/edgar/data/1006655/000100665516000094/midfirstevolutioncreditagr.htm" TargetMode="External"/><Relationship Id="rId60" Type="http://schemas.openxmlformats.org/officeDocument/2006/relationships/hyperlink" Target="http://www.sec.gov/Archives/edgar/data/1006655/000114420406018439/v042008_ex1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2020-01-18T09:05:14Z</dcterms:created>
  <dcterms:modified xsi:type="dcterms:W3CDTF">2020-01-18T09:05:14Z</dcterms:modified>
</cp:coreProperties>
</file>