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2022</w:t>
      </w:r>
    </w:p>
    <w:p>
      <w:pPr>
        <w:ind w:left="380" w:hanging="305"/>
        <w:spacing w:after="0" w:line="182" w:lineRule="auto"/>
        <w:tabs>
          <w:tab w:leader="none" w:pos="3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85" w:lineRule="exact"/>
        <w:rPr>
          <w:sz w:val="24"/>
          <w:szCs w:val="24"/>
          <w:color w:val="auto"/>
        </w:rPr>
      </w:pPr>
    </w:p>
    <w:p>
      <w:pPr>
        <w:ind w:left="3980"/>
        <w:spacing w:after="0"/>
        <w:tabs>
          <w:tab w:leader="none" w:pos="61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001-32942</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EVOLUTION PETROLEUM CORPORATION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ind w:left="2260"/>
              <w:spacing w:after="0"/>
              <w:rPr>
                <w:sz w:val="20"/>
                <w:szCs w:val="20"/>
                <w:color w:val="auto"/>
              </w:rPr>
            </w:pPr>
            <w:r>
              <w:rPr>
                <w:rFonts w:ascii="Arial" w:cs="Arial" w:eastAsia="Arial" w:hAnsi="Arial"/>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b w:val="1"/>
                <w:bCs w:val="1"/>
                <w:color w:val="auto"/>
                <w:w w:val="91"/>
              </w:rPr>
              <w:t>41-1781991</w:t>
            </w:r>
          </w:p>
        </w:tc>
      </w:tr>
      <w:tr>
        <w:trPr>
          <w:trHeight w:val="203"/>
        </w:trPr>
        <w:tc>
          <w:tcPr>
            <w:tcW w:w="3520" w:type="dxa"/>
            <w:vAlign w:val="bottom"/>
            <w:gridSpan w:val="2"/>
          </w:tcPr>
          <w:p>
            <w:pPr>
              <w:ind w:left="1560"/>
              <w:spacing w:after="0"/>
              <w:rPr>
                <w:sz w:val="20"/>
                <w:szCs w:val="20"/>
                <w:color w:val="auto"/>
              </w:rPr>
            </w:pPr>
            <w:r>
              <w:rPr>
                <w:rFonts w:ascii="Arial" w:cs="Arial" w:eastAsia="Arial" w:hAnsi="Arial"/>
                <w:sz w:val="16"/>
                <w:szCs w:val="16"/>
                <w:color w:val="auto"/>
                <w:w w:val="96"/>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Arial" w:cs="Arial" w:eastAsia="Arial" w:hAnsi="Arial"/>
                <w:sz w:val="16"/>
                <w:szCs w:val="16"/>
                <w:color w:val="auto"/>
                <w:w w:val="94"/>
              </w:rPr>
              <w:t>(IRS Employer</w:t>
            </w:r>
          </w:p>
        </w:tc>
      </w:tr>
      <w:tr>
        <w:trPr>
          <w:trHeight w:val="206"/>
        </w:trPr>
        <w:tc>
          <w:tcPr>
            <w:tcW w:w="3520" w:type="dxa"/>
            <w:vAlign w:val="bottom"/>
            <w:gridSpan w:val="2"/>
          </w:tcPr>
          <w:p>
            <w:pPr>
              <w:ind w:left="1540"/>
              <w:spacing w:after="0"/>
              <w:rPr>
                <w:sz w:val="20"/>
                <w:szCs w:val="20"/>
                <w:color w:val="auto"/>
              </w:rPr>
            </w:pPr>
            <w:r>
              <w:rPr>
                <w:rFonts w:ascii="Arial" w:cs="Arial" w:eastAsia="Arial" w:hAnsi="Arial"/>
                <w:sz w:val="16"/>
                <w:szCs w:val="16"/>
                <w:color w:val="auto"/>
                <w:w w:val="94"/>
              </w:rPr>
              <w:t>incorporation or organization)</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64"/>
              <w:spacing w:after="0"/>
              <w:rPr>
                <w:sz w:val="20"/>
                <w:szCs w:val="20"/>
                <w:color w:val="auto"/>
              </w:rPr>
            </w:pPr>
            <w:r>
              <w:rPr>
                <w:rFonts w:ascii="Arial" w:cs="Arial" w:eastAsia="Arial" w:hAnsi="Arial"/>
                <w:sz w:val="16"/>
                <w:szCs w:val="16"/>
                <w:color w:val="auto"/>
                <w:w w:val="96"/>
              </w:rPr>
              <w:t>Identification No.)</w:t>
            </w:r>
          </w:p>
        </w:tc>
      </w:tr>
      <w:tr>
        <w:trPr>
          <w:trHeight w:val="194"/>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1155 Dairy Ashford Road, Suite 425, Houston, Texas 77079</w:t>
            </w:r>
          </w:p>
        </w:tc>
        <w:tc>
          <w:tcPr>
            <w:tcW w:w="3300" w:type="dxa"/>
            <w:vAlign w:val="bottom"/>
          </w:tcPr>
          <w:p>
            <w:pPr>
              <w:spacing w:after="0"/>
              <w:rPr>
                <w:sz w:val="16"/>
                <w:szCs w:val="16"/>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(Address of principal executive offices and zip code)</w:t>
            </w:r>
          </w:p>
        </w:tc>
        <w:tc>
          <w:tcPr>
            <w:tcW w:w="3300" w:type="dxa"/>
            <w:vAlign w:val="bottom"/>
          </w:tcPr>
          <w:p>
            <w:pPr>
              <w:spacing w:after="0"/>
              <w:rPr>
                <w:sz w:val="13"/>
                <w:szCs w:val="13"/>
                <w:color w:val="auto"/>
              </w:rPr>
            </w:pPr>
          </w:p>
        </w:tc>
      </w:tr>
      <w:tr>
        <w:trPr>
          <w:trHeight w:val="177"/>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3"/>
                <w:szCs w:val="13"/>
                <w:b w:val="1"/>
                <w:bCs w:val="1"/>
                <w:color w:val="auto"/>
                <w:w w:val="87"/>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0"/>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(Registrant’s telephone number, including area code)</w:t>
            </w:r>
          </w:p>
        </w:tc>
        <w:tc>
          <w:tcPr>
            <w:tcW w:w="3300" w:type="dxa"/>
            <w:vAlign w:val="bottom"/>
          </w:tcPr>
          <w:p>
            <w:pPr>
              <w:spacing w:after="0"/>
              <w:rPr>
                <w:sz w:val="13"/>
                <w:szCs w:val="13"/>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0"/>
        </w:trPr>
        <w:tc>
          <w:tcPr>
            <w:tcW w:w="3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Title of Each Class</w:t>
            </w:r>
          </w:p>
        </w:tc>
        <w:tc>
          <w:tcPr>
            <w:tcW w:w="3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5"/>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Common Stock, $0.001 par value</w:t>
            </w:r>
          </w:p>
        </w:tc>
        <w:tc>
          <w:tcPr>
            <w:tcW w:w="3400" w:type="dxa"/>
            <w:vAlign w:val="bottom"/>
            <w:gridSpan w:val="2"/>
          </w:tcPr>
          <w:p>
            <w:pPr>
              <w:jc w:val="center"/>
              <w:ind w:right="260"/>
              <w:spacing w:after="0"/>
              <w:rPr>
                <w:sz w:val="20"/>
                <w:szCs w:val="20"/>
                <w:color w:val="auto"/>
              </w:rPr>
            </w:pPr>
            <w:r>
              <w:rPr>
                <w:rFonts w:ascii="Arial" w:cs="Arial" w:eastAsia="Arial" w:hAnsi="Arial"/>
                <w:sz w:val="13"/>
                <w:szCs w:val="13"/>
                <w:color w:val="auto"/>
                <w:w w:val="92"/>
              </w:rPr>
              <w:t>EPM</w:t>
            </w:r>
          </w:p>
        </w:tc>
        <w:tc>
          <w:tcPr>
            <w:tcW w:w="3300" w:type="dxa"/>
            <w:vAlign w:val="bottom"/>
          </w:tcPr>
          <w:p>
            <w:pPr>
              <w:jc w:val="center"/>
              <w:spacing w:after="0"/>
              <w:rPr>
                <w:sz w:val="20"/>
                <w:szCs w:val="20"/>
                <w:color w:val="auto"/>
              </w:rPr>
            </w:pPr>
            <w:r>
              <w:rPr>
                <w:rFonts w:ascii="Arial" w:cs="Arial" w:eastAsia="Arial" w:hAnsi="Arial"/>
                <w:sz w:val="13"/>
                <w:szCs w:val="13"/>
                <w:color w:val="auto"/>
                <w:w w:val="89"/>
              </w:rPr>
              <w:t>NYSE American</w:t>
            </w:r>
          </w:p>
        </w:tc>
      </w:tr>
    </w:tbl>
    <w:p>
      <w:pPr>
        <w:spacing w:after="0" w:line="83" w:lineRule="exact"/>
        <w:rPr>
          <w:sz w:val="24"/>
          <w:szCs w:val="24"/>
          <w:color w:val="auto"/>
        </w:rPr>
      </w:pPr>
    </w:p>
    <w:p>
      <w:pPr>
        <w:ind w:right="320"/>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ind w:right="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2" w:lineRule="exact"/>
        <w:rPr>
          <w:sz w:val="24"/>
          <w:szCs w:val="24"/>
          <w:color w:val="auto"/>
        </w:rPr>
      </w:pPr>
    </w:p>
    <w:p>
      <w:pPr>
        <w:ind w:right="1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5" w:right="839" w:bottom="1440" w:gutter="0" w:footer="0" w:header="0"/>
          <w:type w:val="continuous"/>
        </w:sectPr>
      </w:pPr>
    </w:p>
    <w:p>
      <w:pPr>
        <w:spacing w:after="0" w:line="26" w:lineRule="exact"/>
        <w:rPr>
          <w:sz w:val="24"/>
          <w:szCs w:val="24"/>
          <w:color w:val="auto"/>
        </w:rPr>
      </w:pPr>
    </w:p>
    <w:p>
      <w:pPr>
        <w:ind w:left="7860"/>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9220" w:space="660"/>
            <w:col w:w="340"/>
          </w:cols>
          <w:pgMar w:left="840" w:top="665" w:right="839" w:bottom="1440" w:gutter="0" w:footer="0" w:header="0"/>
          <w:type w:val="continuous"/>
        </w:sectPr>
      </w:pPr>
    </w:p>
    <w:p>
      <w:pPr>
        <w:spacing w:after="0" w:line="117" w:lineRule="exact"/>
        <w:rPr>
          <w:sz w:val="24"/>
          <w:szCs w:val="24"/>
          <w:color w:val="auto"/>
        </w:rPr>
      </w:pPr>
    </w:p>
    <w:p>
      <w:pPr>
        <w:ind w:right="3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right="3640"/>
        <w:spacing w:after="0" w:line="194"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At November 4, 2022, 33,716,461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233045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0"/>
          <w:szCs w:val="20"/>
          <w:b w:val="1"/>
          <w:bCs w:val="1"/>
          <w:u w:val="single" w:color="auto"/>
          <w:color w:val="0000EE"/>
        </w:rPr>
        <w:t>Forward-Looking Statements</w:t>
      </w:r>
    </w:p>
    <w:p>
      <w:pPr>
        <w:spacing w:after="0" w:line="21"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2</w:t>
      </w:r>
    </w:p>
    <w:p>
      <w:pPr>
        <w:ind w:left="140"/>
        <w:spacing w:after="0"/>
        <w:rPr>
          <w:sz w:val="20"/>
          <w:szCs w:val="20"/>
          <w:color w:val="auto"/>
        </w:rPr>
      </w:pPr>
      <w:r>
        <w:rPr>
          <w:rFonts w:ascii="Arial" w:cs="Arial" w:eastAsia="Arial" w:hAnsi="Arial"/>
          <w:sz w:val="20"/>
          <w:szCs w:val="20"/>
          <w:b w:val="1"/>
          <w:bCs w:val="1"/>
          <w:u w:val="single" w:color="auto"/>
          <w:color w:val="0000EE"/>
        </w:rPr>
        <w:t>PART I</w:t>
      </w:r>
      <w:r>
        <w:rPr>
          <w:rFonts w:ascii="Arial" w:cs="Arial" w:eastAsia="Arial" w:hAnsi="Arial"/>
          <w:sz w:val="20"/>
          <w:szCs w:val="20"/>
          <w:b w:val="1"/>
          <w:bCs w:val="1"/>
          <w:color w:val="000000"/>
        </w:rPr>
        <w:t>.</w:t>
      </w:r>
    </w:p>
    <w:p>
      <w:pPr>
        <w:ind w:left="140"/>
        <w:spacing w:after="0"/>
        <w:rPr>
          <w:sz w:val="20"/>
          <w:szCs w:val="20"/>
          <w:color w:val="auto"/>
        </w:rPr>
      </w:pPr>
      <w:r>
        <w:rPr>
          <w:rFonts w:ascii="Arial" w:cs="Arial" w:eastAsia="Arial" w:hAnsi="Arial"/>
          <w:sz w:val="20"/>
          <w:szCs w:val="20"/>
          <w:b w:val="1"/>
          <w:bCs w:val="1"/>
          <w:u w:val="single" w:color="auto"/>
          <w:color w:val="0000EE"/>
        </w:rPr>
        <w:t>FINANCIAL INFORMATION</w:t>
      </w:r>
    </w:p>
    <w:p>
      <w:pPr>
        <w:jc w:val="right"/>
        <w:ind w:right="159"/>
        <w:spacing w:after="0"/>
        <w:rPr>
          <w:sz w:val="20"/>
          <w:szCs w:val="20"/>
          <w:color w:val="auto"/>
        </w:rPr>
      </w:pPr>
      <w:r>
        <w:rPr>
          <w:rFonts w:ascii="Arial" w:cs="Arial" w:eastAsia="Arial" w:hAnsi="Arial"/>
          <w:sz w:val="20"/>
          <w:szCs w:val="20"/>
          <w:color w:val="auto"/>
        </w:rPr>
        <w:t>4</w:t>
      </w:r>
    </w:p>
    <w:p>
      <w:pPr>
        <w:ind w:left="140"/>
        <w:spacing w:after="0"/>
        <w:rPr>
          <w:sz w:val="20"/>
          <w:szCs w:val="20"/>
          <w:color w:val="auto"/>
        </w:rPr>
      </w:pPr>
      <w:r>
        <w:rPr>
          <w:rFonts w:ascii="Arial" w:cs="Arial" w:eastAsia="Arial" w:hAnsi="Arial"/>
          <w:sz w:val="20"/>
          <w:szCs w:val="20"/>
          <w:u w:val="single" w:color="auto"/>
          <w:color w:val="0000EE"/>
        </w:rPr>
        <w:t>Item 1.</w:t>
      </w:r>
    </w:p>
    <w:p>
      <w:pPr>
        <w:ind w:left="140"/>
        <w:spacing w:after="0"/>
        <w:rPr>
          <w:sz w:val="20"/>
          <w:szCs w:val="20"/>
          <w:color w:val="auto"/>
        </w:rPr>
      </w:pPr>
      <w:r>
        <w:rPr>
          <w:rFonts w:ascii="Arial" w:cs="Arial" w:eastAsia="Arial" w:hAnsi="Arial"/>
          <w:sz w:val="20"/>
          <w:szCs w:val="20"/>
          <w:u w:val="single" w:color="auto"/>
          <w:color w:val="0000EE"/>
        </w:rPr>
        <w:t>Condensed Consolidated Financial Statements (Unaudited)</w:t>
      </w:r>
    </w:p>
    <w:p>
      <w:pPr>
        <w:jc w:val="right"/>
        <w:ind w:right="159"/>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9"/>
          <w:szCs w:val="19"/>
          <w:u w:val="single" w:color="auto"/>
          <w:color w:val="0000EE"/>
        </w:rPr>
        <w:t>Condensed Consolidated Balance Sheets (Unaudited) as of September 30, 2022 and June 30, 2022</w:t>
      </w:r>
    </w:p>
    <w:p>
      <w:pPr>
        <w:spacing w:after="0" w:line="27"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ind w:left="140" w:right="479"/>
        <w:spacing w:after="0" w:line="247" w:lineRule="auto"/>
        <w:rPr>
          <w:sz w:val="20"/>
          <w:szCs w:val="20"/>
          <w:color w:val="auto"/>
        </w:rPr>
      </w:pPr>
      <w:r>
        <w:rPr>
          <w:rFonts w:ascii="Arial" w:cs="Arial" w:eastAsia="Arial" w:hAnsi="Arial"/>
          <w:sz w:val="20"/>
          <w:szCs w:val="20"/>
          <w:u w:val="single" w:color="auto"/>
          <w:color w:val="0000EE"/>
        </w:rPr>
        <w:t>Condensed Consolidated Statements of Operations (Unaudited) for the three months ended September 30, 2022 and 2021</w:t>
      </w:r>
    </w:p>
    <w:p>
      <w:pPr>
        <w:spacing w:after="0" w:line="2"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ind w:left="140" w:right="419"/>
        <w:spacing w:after="0" w:line="247" w:lineRule="auto"/>
        <w:rPr>
          <w:sz w:val="20"/>
          <w:szCs w:val="20"/>
          <w:color w:val="auto"/>
        </w:rPr>
      </w:pPr>
      <w:r>
        <w:rPr>
          <w:rFonts w:ascii="Arial" w:cs="Arial" w:eastAsia="Arial" w:hAnsi="Arial"/>
          <w:sz w:val="20"/>
          <w:szCs w:val="20"/>
          <w:u w:val="single" w:color="auto"/>
          <w:color w:val="0000EE"/>
        </w:rPr>
        <w:t>Condensed Consolidated Statements of Cash Flows (Unaudited) for the three months ended September 30, 2022 and 2021</w:t>
      </w:r>
    </w:p>
    <w:p>
      <w:pPr>
        <w:spacing w:after="0" w:line="2"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ind w:left="140" w:right="939"/>
        <w:spacing w:after="0" w:line="247" w:lineRule="auto"/>
        <w:rPr>
          <w:sz w:val="20"/>
          <w:szCs w:val="20"/>
          <w:color w:val="auto"/>
        </w:rPr>
      </w:pPr>
      <w:r>
        <w:rPr>
          <w:rFonts w:ascii="Arial" w:cs="Arial" w:eastAsia="Arial" w:hAnsi="Arial"/>
          <w:sz w:val="20"/>
          <w:szCs w:val="20"/>
          <w:u w:val="single" w:color="auto"/>
          <w:color w:val="0000EE"/>
        </w:rPr>
        <w:t>Condensed Consolidated Statements of Changes in Stockholders’ Equity for the three months ended September 30, 2022 and 2021</w:t>
      </w:r>
    </w:p>
    <w:p>
      <w:pPr>
        <w:spacing w:after="0" w:line="2"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0000EE"/>
        </w:rPr>
        <w:t>Notes to Unaudited Condensed Consolidated Financial Statements</w:t>
      </w:r>
    </w:p>
    <w:p>
      <w:pPr>
        <w:spacing w:after="0" w:line="15" w:lineRule="exact"/>
        <w:rPr>
          <w:sz w:val="20"/>
          <w:szCs w:val="20"/>
          <w:color w:val="auto"/>
        </w:rPr>
      </w:pPr>
    </w:p>
    <w:p>
      <w:pPr>
        <w:jc w:val="right"/>
        <w:ind w:right="159"/>
        <w:spacing w:after="0"/>
        <w:rPr>
          <w:sz w:val="20"/>
          <w:szCs w:val="20"/>
          <w:color w:val="auto"/>
        </w:rPr>
      </w:pPr>
      <w:r>
        <w:rPr>
          <w:rFonts w:ascii="Arial" w:cs="Arial" w:eastAsia="Arial" w:hAnsi="Arial"/>
          <w:sz w:val="20"/>
          <w:szCs w:val="20"/>
          <w:color w:val="auto"/>
        </w:rPr>
        <w:t>8</w:t>
      </w:r>
    </w:p>
    <w:p>
      <w:pPr>
        <w:ind w:left="140"/>
        <w:spacing w:after="0"/>
        <w:rPr>
          <w:sz w:val="20"/>
          <w:szCs w:val="20"/>
          <w:color w:val="auto"/>
        </w:rPr>
      </w:pPr>
      <w:r>
        <w:rPr>
          <w:rFonts w:ascii="Arial" w:cs="Arial" w:eastAsia="Arial" w:hAnsi="Arial"/>
          <w:sz w:val="20"/>
          <w:szCs w:val="20"/>
          <w:u w:val="single" w:color="auto"/>
          <w:color w:val="0000EE"/>
        </w:rPr>
        <w:t>Item 2.</w:t>
      </w:r>
    </w:p>
    <w:p>
      <w:pPr>
        <w:ind w:left="140"/>
        <w:spacing w:after="0"/>
        <w:rPr>
          <w:sz w:val="20"/>
          <w:szCs w:val="20"/>
          <w:color w:val="auto"/>
        </w:rPr>
      </w:pPr>
      <w:r>
        <w:rPr>
          <w:rFonts w:ascii="Arial" w:cs="Arial" w:eastAsia="Arial" w:hAnsi="Arial"/>
          <w:sz w:val="20"/>
          <w:szCs w:val="20"/>
          <w:u w:val="single" w:color="auto"/>
          <w:color w:val="0000EE"/>
        </w:rPr>
        <w:t>Management’s Discussion and Analysis of Financial Condition and Results of Operations</w:t>
      </w:r>
    </w:p>
    <w:p>
      <w:pPr>
        <w:jc w:val="right"/>
        <w:ind w:right="159"/>
        <w:spacing w:after="0"/>
        <w:rPr>
          <w:sz w:val="20"/>
          <w:szCs w:val="20"/>
          <w:color w:val="auto"/>
        </w:rPr>
      </w:pPr>
      <w:r>
        <w:rPr>
          <w:rFonts w:ascii="Arial" w:cs="Arial" w:eastAsia="Arial" w:hAnsi="Arial"/>
          <w:sz w:val="20"/>
          <w:szCs w:val="20"/>
          <w:color w:val="auto"/>
        </w:rPr>
        <w:t>25</w:t>
      </w:r>
    </w:p>
    <w:p>
      <w:pPr>
        <w:ind w:left="140"/>
        <w:spacing w:after="0"/>
        <w:rPr>
          <w:sz w:val="20"/>
          <w:szCs w:val="20"/>
          <w:color w:val="auto"/>
        </w:rPr>
      </w:pPr>
      <w:r>
        <w:rPr>
          <w:rFonts w:ascii="Arial" w:cs="Arial" w:eastAsia="Arial" w:hAnsi="Arial"/>
          <w:sz w:val="20"/>
          <w:szCs w:val="20"/>
          <w:u w:val="single" w:color="auto"/>
          <w:color w:val="0000EE"/>
        </w:rPr>
        <w:t>Item 3.</w:t>
      </w:r>
    </w:p>
    <w:p>
      <w:pPr>
        <w:ind w:left="140"/>
        <w:spacing w:after="0"/>
        <w:rPr>
          <w:sz w:val="20"/>
          <w:szCs w:val="20"/>
          <w:color w:val="auto"/>
        </w:rPr>
      </w:pPr>
      <w:r>
        <w:rPr>
          <w:rFonts w:ascii="Arial" w:cs="Arial" w:eastAsia="Arial" w:hAnsi="Arial"/>
          <w:sz w:val="20"/>
          <w:szCs w:val="20"/>
          <w:u w:val="single" w:color="auto"/>
          <w:color w:val="0000EE"/>
        </w:rPr>
        <w:t>Quantitative and Qualitative Disclosures about Market Risk</w:t>
      </w:r>
    </w:p>
    <w:p>
      <w:pPr>
        <w:jc w:val="right"/>
        <w:ind w:right="159"/>
        <w:spacing w:after="0"/>
        <w:rPr>
          <w:sz w:val="20"/>
          <w:szCs w:val="20"/>
          <w:color w:val="auto"/>
        </w:rPr>
      </w:pPr>
      <w:r>
        <w:rPr>
          <w:rFonts w:ascii="Arial" w:cs="Arial" w:eastAsia="Arial" w:hAnsi="Arial"/>
          <w:sz w:val="20"/>
          <w:szCs w:val="20"/>
          <w:color w:val="auto"/>
        </w:rPr>
        <w:t>33</w:t>
      </w:r>
    </w:p>
    <w:p>
      <w:pPr>
        <w:ind w:left="140"/>
        <w:spacing w:after="0"/>
        <w:rPr>
          <w:sz w:val="20"/>
          <w:szCs w:val="20"/>
          <w:color w:val="auto"/>
        </w:rPr>
      </w:pPr>
      <w:r>
        <w:rPr>
          <w:rFonts w:ascii="Arial" w:cs="Arial" w:eastAsia="Arial" w:hAnsi="Arial"/>
          <w:sz w:val="20"/>
          <w:szCs w:val="20"/>
          <w:u w:val="single" w:color="auto"/>
          <w:color w:val="0000EE"/>
        </w:rPr>
        <w:t>Item 4.</w:t>
      </w:r>
    </w:p>
    <w:p>
      <w:pPr>
        <w:ind w:left="140"/>
        <w:spacing w:after="0"/>
        <w:rPr>
          <w:sz w:val="20"/>
          <w:szCs w:val="20"/>
          <w:color w:val="auto"/>
        </w:rPr>
      </w:pPr>
      <w:r>
        <w:rPr>
          <w:rFonts w:ascii="Arial" w:cs="Arial" w:eastAsia="Arial" w:hAnsi="Arial"/>
          <w:sz w:val="20"/>
          <w:szCs w:val="20"/>
          <w:u w:val="single" w:color="auto"/>
          <w:color w:val="0000EE"/>
        </w:rPr>
        <w:t>Controls and Procedures</w:t>
      </w:r>
    </w:p>
    <w:p>
      <w:pPr>
        <w:jc w:val="right"/>
        <w:ind w:right="159"/>
        <w:spacing w:after="0"/>
        <w:rPr>
          <w:sz w:val="20"/>
          <w:szCs w:val="20"/>
          <w:color w:val="auto"/>
        </w:rPr>
      </w:pPr>
      <w:r>
        <w:rPr>
          <w:rFonts w:ascii="Arial" w:cs="Arial" w:eastAsia="Arial" w:hAnsi="Arial"/>
          <w:sz w:val="20"/>
          <w:szCs w:val="20"/>
          <w:color w:val="auto"/>
        </w:rPr>
        <w:t>33</w:t>
      </w:r>
    </w:p>
    <w:p>
      <w:pPr>
        <w:ind w:left="140"/>
        <w:spacing w:after="0"/>
        <w:rPr>
          <w:sz w:val="20"/>
          <w:szCs w:val="20"/>
          <w:color w:val="auto"/>
        </w:rPr>
      </w:pPr>
      <w:r>
        <w:rPr>
          <w:rFonts w:ascii="Arial" w:cs="Arial" w:eastAsia="Arial" w:hAnsi="Arial"/>
          <w:sz w:val="20"/>
          <w:szCs w:val="20"/>
          <w:b w:val="1"/>
          <w:bCs w:val="1"/>
          <w:u w:val="single" w:color="auto"/>
          <w:color w:val="0000EE"/>
        </w:rPr>
        <w:t>PART II. OTHER INFORMATION</w:t>
      </w:r>
    </w:p>
    <w:p>
      <w:pPr>
        <w:jc w:val="right"/>
        <w:ind w:right="159"/>
        <w:spacing w:after="0"/>
        <w:rPr>
          <w:sz w:val="20"/>
          <w:szCs w:val="20"/>
          <w:color w:val="auto"/>
        </w:rPr>
      </w:pPr>
      <w:r>
        <w:rPr>
          <w:rFonts w:ascii="Arial" w:cs="Arial" w:eastAsia="Arial" w:hAnsi="Arial"/>
          <w:sz w:val="20"/>
          <w:szCs w:val="20"/>
          <w:color w:val="auto"/>
        </w:rPr>
        <w:t>34</w:t>
      </w:r>
    </w:p>
    <w:p>
      <w:pPr>
        <w:ind w:left="140"/>
        <w:spacing w:after="0"/>
        <w:rPr>
          <w:sz w:val="20"/>
          <w:szCs w:val="20"/>
          <w:color w:val="auto"/>
        </w:rPr>
      </w:pPr>
      <w:r>
        <w:rPr>
          <w:rFonts w:ascii="Arial" w:cs="Arial" w:eastAsia="Arial" w:hAnsi="Arial"/>
          <w:sz w:val="20"/>
          <w:szCs w:val="20"/>
          <w:u w:val="single" w:color="auto"/>
          <w:color w:val="0000EE"/>
        </w:rPr>
        <w:t>Item 1.</w:t>
      </w:r>
    </w:p>
    <w:p>
      <w:pPr>
        <w:ind w:left="140"/>
        <w:spacing w:after="0"/>
        <w:rPr>
          <w:sz w:val="20"/>
          <w:szCs w:val="20"/>
          <w:color w:val="auto"/>
        </w:rPr>
      </w:pPr>
      <w:r>
        <w:rPr>
          <w:rFonts w:ascii="Arial" w:cs="Arial" w:eastAsia="Arial" w:hAnsi="Arial"/>
          <w:sz w:val="20"/>
          <w:szCs w:val="20"/>
          <w:u w:val="single" w:color="auto"/>
          <w:color w:val="0000EE"/>
        </w:rPr>
        <w:t>Legal Proceedings</w:t>
      </w:r>
    </w:p>
    <w:p>
      <w:pPr>
        <w:jc w:val="right"/>
        <w:ind w:right="159"/>
        <w:spacing w:after="0"/>
        <w:rPr>
          <w:sz w:val="20"/>
          <w:szCs w:val="20"/>
          <w:color w:val="auto"/>
        </w:rPr>
      </w:pPr>
      <w:r>
        <w:rPr>
          <w:rFonts w:ascii="Arial" w:cs="Arial" w:eastAsia="Arial" w:hAnsi="Arial"/>
          <w:sz w:val="20"/>
          <w:szCs w:val="20"/>
          <w:color w:val="auto"/>
        </w:rPr>
        <w:t>34</w:t>
      </w:r>
    </w:p>
    <w:p>
      <w:pPr>
        <w:ind w:left="140"/>
        <w:spacing w:after="0"/>
        <w:rPr>
          <w:sz w:val="20"/>
          <w:szCs w:val="20"/>
          <w:color w:val="auto"/>
        </w:rPr>
      </w:pPr>
      <w:r>
        <w:rPr>
          <w:rFonts w:ascii="Arial" w:cs="Arial" w:eastAsia="Arial" w:hAnsi="Arial"/>
          <w:sz w:val="20"/>
          <w:szCs w:val="20"/>
          <w:u w:val="single" w:color="auto"/>
          <w:color w:val="0000EE"/>
        </w:rPr>
        <w:t>Item 1A.</w:t>
      </w:r>
    </w:p>
    <w:p>
      <w:pPr>
        <w:ind w:left="140"/>
        <w:spacing w:after="0"/>
        <w:rPr>
          <w:sz w:val="20"/>
          <w:szCs w:val="20"/>
          <w:color w:val="auto"/>
        </w:rPr>
      </w:pPr>
      <w:r>
        <w:rPr>
          <w:rFonts w:ascii="Arial" w:cs="Arial" w:eastAsia="Arial" w:hAnsi="Arial"/>
          <w:sz w:val="20"/>
          <w:szCs w:val="20"/>
          <w:u w:val="single" w:color="auto"/>
          <w:color w:val="0000EE"/>
        </w:rPr>
        <w:t>Risk Factors</w:t>
      </w:r>
    </w:p>
    <w:p>
      <w:pPr>
        <w:jc w:val="right"/>
        <w:ind w:right="159"/>
        <w:spacing w:after="0"/>
        <w:rPr>
          <w:sz w:val="20"/>
          <w:szCs w:val="20"/>
          <w:color w:val="auto"/>
        </w:rPr>
      </w:pPr>
      <w:r>
        <w:rPr>
          <w:rFonts w:ascii="Arial" w:cs="Arial" w:eastAsia="Arial" w:hAnsi="Arial"/>
          <w:sz w:val="20"/>
          <w:szCs w:val="20"/>
          <w:color w:val="auto"/>
        </w:rPr>
        <w:t>34</w:t>
      </w:r>
    </w:p>
    <w:p>
      <w:pPr>
        <w:ind w:left="140"/>
        <w:spacing w:after="0"/>
        <w:rPr>
          <w:sz w:val="20"/>
          <w:szCs w:val="20"/>
          <w:color w:val="auto"/>
        </w:rPr>
      </w:pPr>
      <w:r>
        <w:rPr>
          <w:rFonts w:ascii="Arial" w:cs="Arial" w:eastAsia="Arial" w:hAnsi="Arial"/>
          <w:sz w:val="20"/>
          <w:szCs w:val="20"/>
          <w:u w:val="single" w:color="auto"/>
          <w:color w:val="0000EE"/>
        </w:rPr>
        <w:t>Item 2.</w:t>
      </w:r>
    </w:p>
    <w:p>
      <w:pPr>
        <w:ind w:left="140"/>
        <w:spacing w:after="0"/>
        <w:rPr>
          <w:sz w:val="20"/>
          <w:szCs w:val="20"/>
          <w:color w:val="auto"/>
        </w:rPr>
      </w:pPr>
      <w:r>
        <w:rPr>
          <w:rFonts w:ascii="Arial" w:cs="Arial" w:eastAsia="Arial" w:hAnsi="Arial"/>
          <w:sz w:val="20"/>
          <w:szCs w:val="20"/>
          <w:u w:val="single" w:color="auto"/>
          <w:color w:val="0000EE"/>
        </w:rPr>
        <w:t>Unregistered Sales of Equity Securities and Use of Proceeds</w:t>
      </w:r>
    </w:p>
    <w:p>
      <w:pPr>
        <w:jc w:val="right"/>
        <w:ind w:right="159"/>
        <w:spacing w:after="0"/>
        <w:rPr>
          <w:sz w:val="20"/>
          <w:szCs w:val="20"/>
          <w:color w:val="auto"/>
        </w:rPr>
      </w:pPr>
      <w:r>
        <w:rPr>
          <w:rFonts w:ascii="Arial" w:cs="Arial" w:eastAsia="Arial" w:hAnsi="Arial"/>
          <w:sz w:val="20"/>
          <w:szCs w:val="20"/>
          <w:color w:val="auto"/>
        </w:rPr>
        <w:t>34</w:t>
      </w:r>
    </w:p>
    <w:p>
      <w:pPr>
        <w:ind w:left="140"/>
        <w:spacing w:after="0"/>
        <w:rPr>
          <w:sz w:val="20"/>
          <w:szCs w:val="20"/>
          <w:color w:val="auto"/>
        </w:rPr>
      </w:pPr>
      <w:r>
        <w:rPr>
          <w:rFonts w:ascii="Arial" w:cs="Arial" w:eastAsia="Arial" w:hAnsi="Arial"/>
          <w:sz w:val="20"/>
          <w:szCs w:val="20"/>
          <w:u w:val="single" w:color="auto"/>
          <w:color w:val="0000EE"/>
        </w:rPr>
        <w:t>Item 3.</w:t>
      </w:r>
    </w:p>
    <w:p>
      <w:pPr>
        <w:ind w:left="140"/>
        <w:spacing w:after="0"/>
        <w:rPr>
          <w:sz w:val="20"/>
          <w:szCs w:val="20"/>
          <w:color w:val="auto"/>
        </w:rPr>
      </w:pPr>
      <w:r>
        <w:rPr>
          <w:rFonts w:ascii="Arial" w:cs="Arial" w:eastAsia="Arial" w:hAnsi="Arial"/>
          <w:sz w:val="20"/>
          <w:szCs w:val="20"/>
          <w:u w:val="single" w:color="auto"/>
          <w:color w:val="0000EE"/>
        </w:rPr>
        <w:t>Defaults Upon Senior Securities</w:t>
      </w:r>
    </w:p>
    <w:p>
      <w:pPr>
        <w:jc w:val="right"/>
        <w:ind w:right="159"/>
        <w:spacing w:after="0"/>
        <w:rPr>
          <w:sz w:val="20"/>
          <w:szCs w:val="20"/>
          <w:color w:val="auto"/>
        </w:rPr>
      </w:pPr>
      <w:r>
        <w:rPr>
          <w:rFonts w:ascii="Arial" w:cs="Arial" w:eastAsia="Arial" w:hAnsi="Arial"/>
          <w:sz w:val="20"/>
          <w:szCs w:val="20"/>
          <w:color w:val="auto"/>
        </w:rPr>
        <w:t>35</w:t>
      </w:r>
    </w:p>
    <w:p>
      <w:pPr>
        <w:ind w:left="140"/>
        <w:spacing w:after="0"/>
        <w:rPr>
          <w:sz w:val="20"/>
          <w:szCs w:val="20"/>
          <w:color w:val="auto"/>
        </w:rPr>
      </w:pPr>
      <w:r>
        <w:rPr>
          <w:rFonts w:ascii="Arial" w:cs="Arial" w:eastAsia="Arial" w:hAnsi="Arial"/>
          <w:sz w:val="20"/>
          <w:szCs w:val="20"/>
          <w:u w:val="single" w:color="auto"/>
          <w:color w:val="0000EE"/>
        </w:rPr>
        <w:t>Item 4.</w:t>
      </w:r>
    </w:p>
    <w:p>
      <w:pPr>
        <w:ind w:left="140"/>
        <w:spacing w:after="0"/>
        <w:rPr>
          <w:sz w:val="20"/>
          <w:szCs w:val="20"/>
          <w:color w:val="auto"/>
        </w:rPr>
      </w:pPr>
      <w:r>
        <w:rPr>
          <w:rFonts w:ascii="Arial" w:cs="Arial" w:eastAsia="Arial" w:hAnsi="Arial"/>
          <w:sz w:val="20"/>
          <w:szCs w:val="20"/>
          <w:u w:val="single" w:color="auto"/>
          <w:color w:val="0000EE"/>
        </w:rPr>
        <w:t>Mine Safety Disclosures</w:t>
      </w:r>
    </w:p>
    <w:p>
      <w:pPr>
        <w:jc w:val="right"/>
        <w:ind w:right="159"/>
        <w:spacing w:after="0"/>
        <w:rPr>
          <w:sz w:val="20"/>
          <w:szCs w:val="20"/>
          <w:color w:val="auto"/>
        </w:rPr>
      </w:pPr>
      <w:r>
        <w:rPr>
          <w:rFonts w:ascii="Arial" w:cs="Arial" w:eastAsia="Arial" w:hAnsi="Arial"/>
          <w:sz w:val="20"/>
          <w:szCs w:val="20"/>
          <w:color w:val="auto"/>
        </w:rPr>
        <w:t>35</w:t>
      </w:r>
    </w:p>
    <w:p>
      <w:pPr>
        <w:ind w:left="140"/>
        <w:spacing w:after="0"/>
        <w:rPr>
          <w:sz w:val="20"/>
          <w:szCs w:val="20"/>
          <w:color w:val="auto"/>
        </w:rPr>
      </w:pPr>
      <w:r>
        <w:rPr>
          <w:rFonts w:ascii="Arial" w:cs="Arial" w:eastAsia="Arial" w:hAnsi="Arial"/>
          <w:sz w:val="20"/>
          <w:szCs w:val="20"/>
          <w:u w:val="single" w:color="auto"/>
          <w:color w:val="0000EE"/>
        </w:rPr>
        <w:t>Item 5.</w:t>
      </w:r>
    </w:p>
    <w:p>
      <w:pPr>
        <w:ind w:left="140"/>
        <w:spacing w:after="0"/>
        <w:rPr>
          <w:sz w:val="20"/>
          <w:szCs w:val="20"/>
          <w:color w:val="auto"/>
        </w:rPr>
      </w:pPr>
      <w:r>
        <w:rPr>
          <w:rFonts w:ascii="Arial" w:cs="Arial" w:eastAsia="Arial" w:hAnsi="Arial"/>
          <w:sz w:val="20"/>
          <w:szCs w:val="20"/>
          <w:u w:val="single" w:color="auto"/>
          <w:color w:val="0000EE"/>
        </w:rPr>
        <w:t>Other Information</w:t>
      </w:r>
    </w:p>
    <w:p>
      <w:pPr>
        <w:jc w:val="right"/>
        <w:ind w:right="159"/>
        <w:spacing w:after="0"/>
        <w:rPr>
          <w:sz w:val="20"/>
          <w:szCs w:val="20"/>
          <w:color w:val="auto"/>
        </w:rPr>
      </w:pPr>
      <w:r>
        <w:rPr>
          <w:rFonts w:ascii="Arial" w:cs="Arial" w:eastAsia="Arial" w:hAnsi="Arial"/>
          <w:sz w:val="20"/>
          <w:szCs w:val="20"/>
          <w:color w:val="auto"/>
        </w:rPr>
        <w:t>35</w:t>
      </w:r>
    </w:p>
    <w:p>
      <w:pPr>
        <w:ind w:left="140"/>
        <w:spacing w:after="0"/>
        <w:rPr>
          <w:sz w:val="20"/>
          <w:szCs w:val="20"/>
          <w:color w:val="auto"/>
        </w:rPr>
      </w:pPr>
      <w:r>
        <w:rPr>
          <w:rFonts w:ascii="Arial" w:cs="Arial" w:eastAsia="Arial" w:hAnsi="Arial"/>
          <w:sz w:val="20"/>
          <w:szCs w:val="20"/>
          <w:u w:val="single" w:color="auto"/>
          <w:color w:val="0000EE"/>
        </w:rPr>
        <w:t>Item 6.</w:t>
      </w:r>
    </w:p>
    <w:p>
      <w:pPr>
        <w:ind w:left="140"/>
        <w:spacing w:after="0"/>
        <w:rPr>
          <w:sz w:val="20"/>
          <w:szCs w:val="20"/>
          <w:color w:val="auto"/>
        </w:rPr>
      </w:pPr>
      <w:r>
        <w:rPr>
          <w:rFonts w:ascii="Arial" w:cs="Arial" w:eastAsia="Arial" w:hAnsi="Arial"/>
          <w:sz w:val="20"/>
          <w:szCs w:val="20"/>
          <w:u w:val="single" w:color="auto"/>
          <w:color w:val="0000EE"/>
        </w:rPr>
        <w:t>Exhibits</w:t>
      </w:r>
    </w:p>
    <w:p>
      <w:pPr>
        <w:jc w:val="right"/>
        <w:ind w:right="159"/>
        <w:spacing w:after="0"/>
        <w:rPr>
          <w:sz w:val="20"/>
          <w:szCs w:val="20"/>
          <w:color w:val="auto"/>
        </w:rPr>
      </w:pPr>
      <w:r>
        <w:rPr>
          <w:rFonts w:ascii="Arial" w:cs="Arial" w:eastAsia="Arial" w:hAnsi="Arial"/>
          <w:sz w:val="20"/>
          <w:szCs w:val="20"/>
          <w:color w:val="auto"/>
        </w:rPr>
        <w:t>36</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0"/>
          <w:szCs w:val="20"/>
          <w:u w:val="single" w:color="auto"/>
          <w:color w:val="0000EE"/>
        </w:rPr>
        <w:t>Signatures</w:t>
      </w:r>
    </w:p>
    <w:p>
      <w:pPr>
        <w:sectPr>
          <w:pgSz w:w="11900" w:h="16838" w:orient="portrait"/>
          <w:cols w:equalWidth="0" w:num="1">
            <w:col w:w="9019"/>
          </w:cols>
          <w:pgMar w:left="1440" w:top="517" w:right="1440" w:bottom="0" w:gutter="0" w:footer="0" w:header="0"/>
        </w:sectPr>
      </w:pPr>
    </w:p>
    <w:p>
      <w:pPr>
        <w:spacing w:after="0" w:line="16"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517" w:right="1440" w:bottom="0" w:gutter="0" w:footer="0" w:header="0"/>
          <w:type w:val="continuous"/>
        </w:sectPr>
      </w:pPr>
    </w:p>
    <w:bookmarkStart w:id="2" w:name="page3"/>
    <w:bookmarkEnd w:id="2"/>
    <w:p>
      <w:pPr>
        <w:ind w:left="60" w:right="539" w:firstLine="324"/>
        <w:spacing w:after="0" w:line="277" w:lineRule="auto"/>
        <w:rPr>
          <w:sz w:val="20"/>
          <w:szCs w:val="20"/>
          <w:color w:val="auto"/>
        </w:rPr>
      </w:pPr>
      <w:r>
        <w:rPr>
          <w:rFonts w:ascii="Arial" w:cs="Arial" w:eastAsia="Arial" w:hAnsi="Arial"/>
          <w:sz w:val="18"/>
          <w:szCs w:val="18"/>
          <w:i w:val="1"/>
          <w:iCs w:val="1"/>
          <w:color w:val="auto"/>
        </w:rPr>
        <w:t>We use the terms, “EPM,</w:t>
      </w:r>
      <w:r>
        <w:rPr>
          <w:rFonts w:ascii="Arial" w:cs="Arial" w:eastAsia="Arial" w:hAnsi="Arial"/>
          <w:sz w:val="18"/>
          <w:szCs w:val="18"/>
          <w:color w:val="auto"/>
        </w:rPr>
        <w:t>”</w:t>
      </w:r>
      <w:r>
        <w:rPr>
          <w:rFonts w:ascii="Arial" w:cs="Arial" w:eastAsia="Arial" w:hAnsi="Arial"/>
          <w:sz w:val="18"/>
          <w:szCs w:val="18"/>
          <w:i w:val="1"/>
          <w:iCs w:val="1"/>
          <w:color w:val="auto"/>
        </w:rPr>
        <w:t xml:space="preserv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that relate to our anticipated future activities, plans, strategies, objectives or expectations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include, but are not limited to, the following statements regarding:</w:t>
      </w:r>
    </w:p>
    <w:p>
      <w:pPr>
        <w:spacing w:after="0" w:line="181" w:lineRule="exact"/>
        <w:rPr>
          <w:sz w:val="20"/>
          <w:szCs w:val="20"/>
          <w:color w:val="auto"/>
        </w:rPr>
      </w:pPr>
    </w:p>
    <w:p>
      <w:pPr>
        <w:ind w:left="1040" w:right="319" w:hanging="315"/>
        <w:spacing w:after="0" w:line="258"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plans, strategies and objectives, including anticipated development activity and capital spending;</w:t>
      </w:r>
    </w:p>
    <w:p>
      <w:pPr>
        <w:spacing w:after="0" w:line="1" w:lineRule="exact"/>
        <w:rPr>
          <w:rFonts w:ascii="Arial" w:cs="Arial" w:eastAsia="Arial" w:hAnsi="Arial"/>
          <w:sz w:val="18"/>
          <w:szCs w:val="18"/>
          <w:color w:val="auto"/>
        </w:rPr>
      </w:pPr>
    </w:p>
    <w:p>
      <w:pPr>
        <w:ind w:left="1040" w:right="7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of our multi-basin portfolio, including operational and commodity flexibility;</w:t>
      </w:r>
    </w:p>
    <w:p>
      <w:pPr>
        <w:spacing w:after="0" w:line="9" w:lineRule="exact"/>
        <w:rPr>
          <w:rFonts w:ascii="Arial" w:cs="Arial" w:eastAsia="Arial" w:hAnsi="Arial"/>
          <w:sz w:val="18"/>
          <w:szCs w:val="18"/>
          <w:color w:val="auto"/>
        </w:rPr>
      </w:pPr>
    </w:p>
    <w:p>
      <w:pPr>
        <w:ind w:left="1040" w:right="2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cash flow and the application of excess cash flows to reduce long-term debt and to pay dividends and repurchase shares pursuant to our share repurchase program;</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NGLs production and commodity mix, GHG emissions and ESG performance;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oil, natural gas and NGL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drilling and completions activity;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oil, natural gas and NGL reserves and recoverable quantities;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interest expense;</w:t>
      </w:r>
    </w:p>
    <w:p>
      <w:pPr>
        <w:spacing w:after="0" w:line="9" w:lineRule="exact"/>
        <w:rPr>
          <w:rFonts w:ascii="Arial" w:cs="Arial" w:eastAsia="Arial" w:hAnsi="Arial"/>
          <w:sz w:val="18"/>
          <w:szCs w:val="18"/>
          <w:color w:val="auto"/>
        </w:rPr>
      </w:pPr>
    </w:p>
    <w:p>
      <w:pPr>
        <w:ind w:left="1040" w:right="33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credit facilities and other sources of liquidity to meet financial obligations throughout commodity price cycles;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debt and financial ratios, finance growth and comply with financial covenants;</w:t>
      </w:r>
    </w:p>
    <w:p>
      <w:pPr>
        <w:spacing w:after="0" w:line="9" w:lineRule="exact"/>
        <w:rPr>
          <w:rFonts w:ascii="Arial" w:cs="Arial" w:eastAsia="Arial" w:hAnsi="Arial"/>
          <w:sz w:val="18"/>
          <w:szCs w:val="18"/>
          <w:color w:val="auto"/>
        </w:rPr>
      </w:pPr>
    </w:p>
    <w:p>
      <w:pPr>
        <w:ind w:left="1040" w:right="1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Arial" w:cs="Arial" w:eastAsia="Arial" w:hAnsi="Arial"/>
          <w:sz w:val="18"/>
          <w:szCs w:val="18"/>
          <w:color w:val="auto"/>
        </w:rPr>
      </w:pPr>
    </w:p>
    <w:p>
      <w:pPr>
        <w:ind w:left="1040" w:right="2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federal, state, provincial and local, rules and regulations; anticipated compliance with current or proposed environmental legislation, including the costs thereof; adequacy of provisions for abandonment and site reclamation costs;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operational and financial flexibility, discipline and ability to respond to evolving market conditions;</w:t>
      </w:r>
    </w:p>
    <w:p>
      <w:pPr>
        <w:spacing w:after="0" w:line="20" w:lineRule="exact"/>
        <w:rPr>
          <w:rFonts w:ascii="Arial" w:cs="Arial" w:eastAsia="Arial" w:hAnsi="Arial"/>
          <w:sz w:val="17"/>
          <w:szCs w:val="17"/>
          <w:color w:val="auto"/>
        </w:rPr>
      </w:pPr>
    </w:p>
    <w:p>
      <w:pPr>
        <w:ind w:left="1040" w:right="21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provision for taxes and legal claims;</w:t>
      </w:r>
    </w:p>
    <w:p>
      <w:pPr>
        <w:spacing w:after="0" w:line="9" w:lineRule="exact"/>
        <w:rPr>
          <w:rFonts w:ascii="Arial" w:cs="Arial" w:eastAsia="Arial" w:hAnsi="Arial"/>
          <w:sz w:val="18"/>
          <w:szCs w:val="18"/>
          <w:color w:val="auto"/>
        </w:rPr>
      </w:pPr>
    </w:p>
    <w:p>
      <w:pPr>
        <w:ind w:left="1040" w:right="11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cost inflation and expected cost structures, including expected operating, transportation, processing and labor expenses;</w:t>
      </w:r>
    </w:p>
    <w:p>
      <w:pPr>
        <w:ind w:left="1040" w:right="3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competitiveness of us against our peers, including with respect to capital, materials, people, assets and production;</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natural gas and NGL inventories and global demand for oil, natural gas and NGL;</w:t>
      </w:r>
    </w:p>
    <w:p>
      <w:pPr>
        <w:spacing w:after="0" w:line="9" w:lineRule="exact"/>
        <w:rPr>
          <w:rFonts w:ascii="Arial" w:cs="Arial" w:eastAsia="Arial" w:hAnsi="Arial"/>
          <w:sz w:val="18"/>
          <w:szCs w:val="18"/>
          <w:color w:val="auto"/>
        </w:rPr>
      </w:pPr>
    </w:p>
    <w:p>
      <w:pPr>
        <w:ind w:left="1040" w:right="25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staffing levels;</w:t>
      </w:r>
    </w:p>
    <w:p>
      <w:pPr>
        <w:spacing w:after="0" w:line="9" w:lineRule="exact"/>
        <w:rPr>
          <w:rFonts w:ascii="Arial" w:cs="Arial" w:eastAsia="Arial" w:hAnsi="Arial"/>
          <w:sz w:val="18"/>
          <w:szCs w:val="18"/>
          <w:color w:val="auto"/>
        </w:rPr>
      </w:pPr>
    </w:p>
    <w:p>
      <w:pPr>
        <w:ind w:left="1040" w:right="99" w:hanging="315"/>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impact of accounting and tax pronouncements, rule changes and standards.</w:t>
      </w:r>
    </w:p>
    <w:p>
      <w:pPr>
        <w:spacing w:after="0" w:line="211"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Readers are cautioned against unduly relying on forward-looking statements which, by their nature, involve numerous assumptions and are subject to both known and unknown risks and uncertainties (many of which are beyond our control) that may cause such statements not to occur, or actual results to differ materially and/or adversely from those expressed or implied, which include, but are not limited to, the following assumptions: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commodity prices and basis differentials;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credit facilities and shelf prospectuses;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contained in our corporate guidance;</w:t>
      </w:r>
    </w:p>
    <w:p>
      <w:pPr>
        <w:spacing w:after="0" w:line="9" w:lineRule="exact"/>
        <w:rPr>
          <w:rFonts w:ascii="Arial" w:cs="Arial" w:eastAsia="Arial" w:hAnsi="Arial"/>
          <w:sz w:val="18"/>
          <w:szCs w:val="18"/>
          <w:color w:val="auto"/>
        </w:rPr>
      </w:pPr>
    </w:p>
    <w:p>
      <w:pPr>
        <w:ind w:left="1040" w:right="61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adequate gathering, transportation, processing and storage facilities;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assumed tax, royalty and regulatory regimes;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assumptions contained herein.</w:t>
      </w:r>
    </w:p>
    <w:p>
      <w:pPr>
        <w:spacing w:after="0" w:line="211"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8"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under the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section of our previously filed Annual Report on Form 10-K for the fiscal year ended June 30, 2022,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disclosures contained herein, therein, and as also may be described from time to time in our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1" w:lineRule="exact"/>
        <w:rPr>
          <w:sz w:val="20"/>
          <w:szCs w:val="20"/>
          <w:color w:val="auto"/>
        </w:rPr>
      </w:pPr>
    </w:p>
    <w:p>
      <w:pPr>
        <w:ind w:left="60" w:right="479" w:firstLine="324"/>
        <w:spacing w:after="0" w:line="286" w:lineRule="auto"/>
        <w:rPr>
          <w:sz w:val="20"/>
          <w:szCs w:val="20"/>
          <w:color w:val="auto"/>
        </w:rPr>
      </w:pPr>
      <w:r>
        <w:rPr>
          <w:rFonts w:ascii="Arial" w:cs="Arial" w:eastAsia="Arial" w:hAnsi="Arial"/>
          <w:sz w:val="17"/>
          <w:szCs w:val="17"/>
          <w:color w:val="auto"/>
        </w:rPr>
        <w:t>Forward-looking statements speak only as of the date they are made, and we do not undertake to update these statements other than as required by law. Readers are advised, however, to review any further disclosures we make on related subjects in our periodic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1" w:lineRule="auto"/>
        <w:rPr>
          <w:sz w:val="20"/>
          <w:szCs w:val="20"/>
          <w:color w:val="auto"/>
        </w:rPr>
      </w:pPr>
      <w:r>
        <w:rPr>
          <w:rFonts w:ascii="Arial" w:cs="Arial" w:eastAsia="Arial" w:hAnsi="Arial"/>
          <w:sz w:val="18"/>
          <w:szCs w:val="18"/>
          <w:b w:val="1"/>
          <w:bCs w:val="1"/>
          <w:color w:val="auto"/>
        </w:rPr>
        <w:t>EVOLUTION PETROLEUM CORPORATION CONDENSED CONSOLIDATED BALANCE SHEETS (Unaudited) (In thousands, except share and per share amounts)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June 30, 2022</w:t>
            </w:r>
          </w:p>
        </w:tc>
      </w:tr>
      <w:tr>
        <w:trPr>
          <w:trHeight w:val="199"/>
        </w:trPr>
        <w:tc>
          <w:tcPr>
            <w:tcW w:w="5800" w:type="dxa"/>
            <w:vAlign w:val="bottom"/>
            <w:tcBorders>
              <w:top w:val="single" w:sz="8" w:color="CCEEFF"/>
            </w:tcBorders>
            <w:shd w:val="clear" w:color="auto" w:fill="CCEEFF"/>
          </w:tcPr>
          <w:p>
            <w:pPr>
              <w:ind w:left="252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8,280</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Receivables from crude oil, natural gas, and natural gas liquids revenues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24,043</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contract assets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31,844</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36,368</w:t>
            </w:r>
          </w:p>
        </w:tc>
      </w:tr>
      <w:tr>
        <w:trPr>
          <w:trHeight w:val="193"/>
        </w:trPr>
        <w:tc>
          <w:tcPr>
            <w:tcW w:w="5800" w:type="dxa"/>
            <w:vAlign w:val="bottom"/>
          </w:tcPr>
          <w:p>
            <w:pPr>
              <w:ind w:left="20"/>
              <w:spacing w:after="0"/>
              <w:rPr>
                <w:sz w:val="20"/>
                <w:szCs w:val="20"/>
                <w:color w:val="auto"/>
              </w:rPr>
            </w:pPr>
            <w:r>
              <w:rPr>
                <w:rFonts w:ascii="Arial" w:cs="Arial" w:eastAsia="Arial" w:hAnsi="Arial"/>
                <w:sz w:val="16"/>
                <w:szCs w:val="16"/>
                <w:color w:val="auto"/>
                <w:w w:val="99"/>
              </w:rPr>
              <w:t>Property and equipment, net of depletion, depreciation, accretion, and impairment</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Oil and natural gas properties, net—full-cost method of accounting, of</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which none were excluded from amortization</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108,199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110,508</w:t>
            </w:r>
          </w:p>
        </w:tc>
      </w:t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36"/>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141,202</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148,047</w:t>
            </w:r>
          </w:p>
        </w:tc>
      </w:tr>
      <w:tr>
        <w:trPr>
          <w:trHeight w:val="183"/>
        </w:trPr>
        <w:tc>
          <w:tcPr>
            <w:tcW w:w="5800" w:type="dxa"/>
            <w:vAlign w:val="bottom"/>
            <w:shd w:val="clear" w:color="auto" w:fill="CCEEFF"/>
          </w:tcPr>
          <w:p>
            <w:pPr>
              <w:ind w:left="15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15,133</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Accrued liabilities and other</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11,893</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Derivative contract liabilities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3"/>
        </w:trPr>
        <w:tc>
          <w:tcPr>
            <w:tcW w:w="5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State and federal taxes payable</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196"/>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30,285</w:t>
            </w: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Long term liabilities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Senior secured credit facility</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21,250</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7,099</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 retirement obligations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196"/>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72,533</w:t>
            </w:r>
          </w:p>
        </w:tc>
      </w:tr>
      <w:tr>
        <w:trPr>
          <w:trHeight w:val="19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 par value $0.001; 100,000,000 shares authorized: issued and</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outstanding 33,546,236 and 33,470,710 shares as of September 30, 2022</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June 30, 2022, respectively</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3"/>
        </w:trPr>
        <w:tc>
          <w:tcPr>
            <w:tcW w:w="58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42,629</w:t>
            </w:r>
          </w:p>
        </w:tc>
      </w:tr>
      <w:tr>
        <w:trPr>
          <w:trHeight w:val="203"/>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39,533</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32,852</w:t>
            </w:r>
          </w:p>
        </w:tc>
      </w:tr>
      <w:tr>
        <w:trPr>
          <w:trHeight w:val="196"/>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82,377</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75,514</w:t>
            </w:r>
          </w:p>
        </w:tc>
      </w:tr>
      <w:tr>
        <w:trPr>
          <w:trHeight w:val="196"/>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141,202</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148,047</w:t>
            </w:r>
          </w:p>
        </w:tc>
      </w:tr>
      <w:tr>
        <w:trPr>
          <w:trHeight w:val="20"/>
        </w:trPr>
        <w:tc>
          <w:tcPr>
            <w:tcW w:w="5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1" w:lineRule="auto"/>
        <w:rPr>
          <w:sz w:val="20"/>
          <w:szCs w:val="20"/>
          <w:color w:val="auto"/>
        </w:rPr>
      </w:pPr>
      <w:r>
        <w:rPr>
          <w:rFonts w:ascii="Arial" w:cs="Arial" w:eastAsia="Arial" w:hAnsi="Arial"/>
          <w:sz w:val="18"/>
          <w:szCs w:val="18"/>
          <w:b w:val="1"/>
          <w:bCs w:val="1"/>
          <w:color w:val="auto"/>
        </w:rPr>
        <w:t>EVOLUTION PETROLEUM CORPORATION CONDENSED CONSOLIDATED STATEMENTS OF OPERATIONS (Unaudited) (In thousands, except per share amounts)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199"/>
        </w:trPr>
        <w:tc>
          <w:tcPr>
            <w:tcW w:w="5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Crude oil</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15,163</w:t>
            </w:r>
          </w:p>
        </w:tc>
        <w:tc>
          <w:tcPr>
            <w:tcW w:w="36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8,859</w:t>
            </w: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Natural gas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r>
      <w:tr>
        <w:trPr>
          <w:trHeight w:val="203"/>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Natural gas liquids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4,786</w:t>
            </w: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w:t>
            </w:r>
          </w:p>
        </w:tc>
      </w:tr>
      <w:tr>
        <w:trPr>
          <w:trHeight w:val="196"/>
        </w:trPr>
        <w:tc>
          <w:tcPr>
            <w:tcW w:w="5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39,797</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18,879</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operating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19,116</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w:t>
            </w: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Depletion, depreciation, and accretion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3,598</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1,528</w:t>
            </w: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3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196"/>
        </w:trPr>
        <w:tc>
          <w:tcPr>
            <w:tcW w:w="59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costs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25,186</w:t>
            </w: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12,093</w:t>
            </w: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14,611</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Other income and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 (loss) on derivative contracts</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(603)</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Interest and other income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(243)</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13,771</w:t>
            </w:r>
          </w:p>
        </w:tc>
        <w:tc>
          <w:tcPr>
            <w:tcW w:w="3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6,738</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(3,064)</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r>
      <w:tr>
        <w:trPr>
          <w:trHeight w:val="23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10,707</w:t>
            </w:r>
          </w:p>
        </w:tc>
        <w:tc>
          <w:tcPr>
            <w:tcW w:w="36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5,218</w:t>
            </w:r>
          </w:p>
        </w:tc>
      </w:tr>
      <w:tr>
        <w:trPr>
          <w:trHeight w:val="183"/>
        </w:trPr>
        <w:tc>
          <w:tcPr>
            <w:tcW w:w="59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Earnings (loss) per common share: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92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0.32</w:t>
            </w:r>
          </w:p>
        </w:tc>
        <w:tc>
          <w:tcPr>
            <w:tcW w:w="36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3"/>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33,134</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w:t>
            </w:r>
          </w:p>
        </w:tc>
      </w:tr>
      <w:tr>
        <w:trPr>
          <w:trHeight w:val="206"/>
        </w:trPr>
        <w:tc>
          <w:tcPr>
            <w:tcW w:w="59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33,319</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33,126</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240"/>
        <w:spacing w:after="0" w:line="442" w:lineRule="auto"/>
        <w:rPr>
          <w:sz w:val="20"/>
          <w:szCs w:val="20"/>
          <w:color w:val="auto"/>
        </w:rPr>
      </w:pPr>
      <w:r>
        <w:rPr>
          <w:rFonts w:ascii="Arial" w:cs="Arial" w:eastAsia="Arial" w:hAnsi="Arial"/>
          <w:sz w:val="18"/>
          <w:szCs w:val="18"/>
          <w:b w:val="1"/>
          <w:bCs w:val="1"/>
          <w:color w:val="auto"/>
        </w:rPr>
        <w:t>EVOLUTION PETROLEUM CORPORATION CONDENSED CONSOLIDATED STATEMENTS OF CASH FLOWS (Unaudited) (In thousands)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r>
      <w:tr>
        <w:trPr>
          <w:trHeight w:val="199"/>
        </w:trPr>
        <w:tc>
          <w:tcPr>
            <w:tcW w:w="65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10,707</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5,218</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Depletion, depreciation, and accretion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1,528</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7"/>
                <w:szCs w:val="17"/>
                <w:color w:val="auto"/>
              </w:rPr>
            </w:pPr>
          </w:p>
        </w:tc>
      </w:tr>
      <w:tr>
        <w:trPr>
          <w:trHeight w:val="202"/>
        </w:trPr>
        <w:tc>
          <w:tcPr>
            <w:tcW w:w="6560" w:type="dxa"/>
            <w:vAlign w:val="bottom"/>
          </w:tcPr>
          <w:p>
            <w:pPr>
              <w:ind w:left="340"/>
              <w:spacing w:after="0"/>
              <w:rPr>
                <w:sz w:val="20"/>
                <w:szCs w:val="20"/>
                <w:color w:val="auto"/>
              </w:rPr>
            </w:pPr>
            <w:r>
              <w:rPr>
                <w:rFonts w:ascii="Arial" w:cs="Arial" w:eastAsia="Arial" w:hAnsi="Arial"/>
                <w:sz w:val="16"/>
                <w:szCs w:val="16"/>
                <w:color w:val="auto"/>
              </w:rPr>
              <w:t>Settlement of asset retirement obligations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Unrealized (gain) loss on derivative contracts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(1,119)</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settlements on derivative contracts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(7,617)</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Accounts payable and accrued expenses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(5,173)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4,640</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State and federal income taxes payable</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20" w:type="dxa"/>
            <w:vAlign w:val="bottom"/>
          </w:tcPr>
          <w:p>
            <w:pPr>
              <w:spacing w:after="0"/>
              <w:rPr>
                <w:sz w:val="17"/>
                <w:szCs w:val="17"/>
                <w:color w:val="auto"/>
              </w:rPr>
            </w:pPr>
          </w:p>
        </w:tc>
      </w:tr>
      <w:tr>
        <w:trPr>
          <w:trHeight w:val="196"/>
        </w:trPr>
        <w:tc>
          <w:tcPr>
            <w:tcW w:w="6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5,592</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Acquisition of oil and natural gas properties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 for oil and natural gas properties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(1,848)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20" w:type="dxa"/>
            <w:vAlign w:val="bottom"/>
          </w:tcPr>
          <w:p>
            <w:pPr>
              <w:spacing w:after="0"/>
              <w:rPr>
                <w:sz w:val="17"/>
                <w:szCs w:val="17"/>
                <w:color w:val="auto"/>
              </w:rPr>
            </w:pPr>
          </w:p>
        </w:tc>
      </w:tr>
      <w:tr>
        <w:trPr>
          <w:trHeight w:val="196"/>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0" w:type="dxa"/>
            <w:vAlign w:val="bottom"/>
          </w:tcPr>
          <w:p>
            <w:pPr>
              <w:spacing w:after="0"/>
              <w:rPr>
                <w:sz w:val="17"/>
                <w:szCs w:val="17"/>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Common stock dividends paid</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(4,026)</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(2,522)</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repurchases, including stock surrendered for tax withholding</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6560" w:type="dxa"/>
            <w:vAlign w:val="bottom"/>
          </w:tcPr>
          <w:p>
            <w:pPr>
              <w:ind w:left="340"/>
              <w:spacing w:after="0"/>
              <w:rPr>
                <w:sz w:val="20"/>
                <w:szCs w:val="20"/>
                <w:color w:val="auto"/>
              </w:rPr>
            </w:pPr>
            <w:r>
              <w:rPr>
                <w:rFonts w:ascii="Arial" w:cs="Arial" w:eastAsia="Arial" w:hAnsi="Arial"/>
                <w:sz w:val="16"/>
                <w:szCs w:val="16"/>
                <w:color w:val="auto"/>
              </w:rPr>
              <w:t>Repayments of credit facility</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(9,000)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6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20" w:type="dxa"/>
            <w:vAlign w:val="bottom"/>
          </w:tcPr>
          <w:p>
            <w:pPr>
              <w:spacing w:after="0"/>
              <w:rPr>
                <w:sz w:val="17"/>
                <w:szCs w:val="17"/>
                <w:color w:val="auto"/>
              </w:rPr>
            </w:pPr>
          </w:p>
        </w:tc>
      </w:tr>
      <w:tr>
        <w:trPr>
          <w:trHeight w:val="196"/>
        </w:trPr>
        <w:tc>
          <w:tcPr>
            <w:tcW w:w="6560" w:type="dxa"/>
            <w:vAlign w:val="bottom"/>
          </w:tcPr>
          <w:p>
            <w:pPr>
              <w:ind w:left="4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2,678</w:t>
            </w: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year</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20" w:type="dxa"/>
            <w:vAlign w:val="bottom"/>
          </w:tcPr>
          <w:p>
            <w:pPr>
              <w:spacing w:after="0"/>
              <w:rPr>
                <w:sz w:val="17"/>
                <w:szCs w:val="17"/>
                <w:color w:val="auto"/>
              </w:rPr>
            </w:pPr>
          </w:p>
        </w:tc>
      </w:tr>
      <w:tr>
        <w:trPr>
          <w:trHeight w:val="236"/>
        </w:trPr>
        <w:tc>
          <w:tcPr>
            <w:tcW w:w="65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Cash and cash equivalents, end of year</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7,955</w:t>
            </w:r>
          </w:p>
        </w:tc>
        <w:tc>
          <w:tcPr>
            <w:tcW w:w="20" w:type="dxa"/>
            <w:vAlign w:val="bottom"/>
          </w:tcPr>
          <w:p>
            <w:pPr>
              <w:spacing w:after="0"/>
              <w:rPr>
                <w:sz w:val="20"/>
                <w:szCs w:val="20"/>
                <w:color w:val="auto"/>
              </w:rPr>
            </w:pPr>
          </w:p>
        </w:tc>
      </w:tr>
      <w:tr>
        <w:trPr>
          <w:trHeight w:val="183"/>
        </w:trPr>
        <w:tc>
          <w:tcPr>
            <w:tcW w:w="6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6560" w:type="dxa"/>
            <w:vAlign w:val="bottom"/>
          </w:tcPr>
          <w:p>
            <w:pPr>
              <w:ind w:left="340"/>
              <w:spacing w:after="0"/>
              <w:rPr>
                <w:sz w:val="20"/>
                <w:szCs w:val="20"/>
                <w:color w:val="auto"/>
              </w:rPr>
            </w:pPr>
            <w:r>
              <w:rPr>
                <w:rFonts w:ascii="Arial" w:cs="Arial" w:eastAsia="Arial" w:hAnsi="Arial"/>
                <w:sz w:val="16"/>
                <w:szCs w:val="16"/>
                <w:color w:val="auto"/>
              </w:rPr>
              <w:t>Increase (decrease) in accrued expenditures for oil and natural gas properties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(872)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4"/>
                <w:szCs w:val="14"/>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7"/>
              </w:rPr>
              <w:t>Par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2"/>
                <w:szCs w:val="12"/>
                <w:color w:val="auto"/>
              </w:rPr>
            </w:pPr>
          </w:p>
        </w:tc>
        <w:tc>
          <w:tcPr>
            <w:tcW w:w="8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312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For the Three Months Ended</w:t>
            </w: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2022</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Balances at June 30, 2022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33,471</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42,629</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32,852</w:t>
            </w:r>
          </w:p>
        </w:tc>
        <w:tc>
          <w:tcPr>
            <w:tcW w:w="1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75,514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tcPr>
          <w:p>
            <w:pPr>
              <w:ind w:left="20"/>
              <w:spacing w:after="0" w:line="130" w:lineRule="exact"/>
              <w:rPr>
                <w:sz w:val="20"/>
                <w:szCs w:val="20"/>
                <w:color w:val="auto"/>
              </w:rPr>
            </w:pPr>
            <w:r>
              <w:rPr>
                <w:rFonts w:ascii="Arial" w:cs="Arial" w:eastAsia="Arial" w:hAnsi="Arial"/>
                <w:sz w:val="14"/>
                <w:szCs w:val="14"/>
                <w:color w:val="auto"/>
              </w:rPr>
              <w:t>Common stock repurchases, including stock</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20"/>
              <w:spacing w:after="0"/>
              <w:rPr>
                <w:sz w:val="20"/>
                <w:szCs w:val="20"/>
                <w:color w:val="auto"/>
              </w:rPr>
            </w:pPr>
            <w:r>
              <w:rPr>
                <w:rFonts w:ascii="Arial" w:cs="Arial" w:eastAsia="Arial" w:hAnsi="Arial"/>
                <w:sz w:val="14"/>
                <w:szCs w:val="14"/>
                <w:color w:val="auto"/>
              </w:rPr>
              <w:t>surrendered for tax withholding</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10,707</w:t>
            </w: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(4,026)</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(4,026)</w:t>
            </w:r>
          </w:p>
        </w:tc>
        <w:tc>
          <w:tcPr>
            <w:tcW w:w="0" w:type="dxa"/>
            <w:vAlign w:val="bottom"/>
          </w:tcPr>
          <w:p>
            <w:pPr>
              <w:spacing w:after="0"/>
              <w:rPr>
                <w:sz w:val="1"/>
                <w:szCs w:val="1"/>
                <w:color w:val="auto"/>
              </w:rPr>
            </w:pPr>
          </w:p>
        </w:tc>
      </w:tr>
      <w:tr>
        <w:trPr>
          <w:trHeight w:val="142"/>
        </w:trPr>
        <w:tc>
          <w:tcPr>
            <w:tcW w:w="31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Balances at September 30,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33,546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82,377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12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For the Three Months Ended</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Balances at June 30, 2021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33,515</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42,541</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12,020</w:t>
            </w:r>
          </w:p>
        </w:tc>
        <w:tc>
          <w:tcPr>
            <w:tcW w:w="1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54,595</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Forfeitures of restricted stock</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stock repurchases, including stock</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surrendered for tax withholding</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Retirements of treasury stock</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(2,522)</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(2,522)</w:t>
            </w:r>
          </w:p>
        </w:tc>
        <w:tc>
          <w:tcPr>
            <w:tcW w:w="0" w:type="dxa"/>
            <w:vAlign w:val="bottom"/>
          </w:tcPr>
          <w:p>
            <w:pPr>
              <w:spacing w:after="0"/>
              <w:rPr>
                <w:sz w:val="1"/>
                <w:szCs w:val="1"/>
                <w:color w:val="auto"/>
              </w:rPr>
            </w:pPr>
          </w:p>
        </w:tc>
      </w:tr>
      <w:tr>
        <w:trPr>
          <w:trHeight w:val="142"/>
        </w:trPr>
        <w:tc>
          <w:tcPr>
            <w:tcW w:w="3120" w:type="dxa"/>
            <w:vAlign w:val="bottom"/>
          </w:tcPr>
          <w:p>
            <w:pPr>
              <w:ind w:left="20"/>
              <w:spacing w:after="0" w:line="142" w:lineRule="exact"/>
              <w:rPr>
                <w:sz w:val="20"/>
                <w:szCs w:val="20"/>
                <w:color w:val="auto"/>
              </w:rPr>
            </w:pPr>
            <w:r>
              <w:rPr>
                <w:rFonts w:ascii="Arial" w:cs="Arial" w:eastAsia="Arial" w:hAnsi="Arial"/>
                <w:sz w:val="14"/>
                <w:szCs w:val="14"/>
                <w:color w:val="auto"/>
              </w:rPr>
              <w:t>Balances at September 30, 2021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33,632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42,737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57,487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Financial Statement Presentation</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b w:val="1"/>
          <w:bCs w:val="1"/>
          <w:i w:val="1"/>
          <w:iCs w:val="1"/>
          <w:color w:val="auto"/>
        </w:rPr>
        <w:t xml:space="preserve">Nature of Operations. </w:t>
      </w:r>
      <w:r>
        <w:rPr>
          <w:rFonts w:ascii="Arial" w:cs="Arial" w:eastAsia="Arial" w:hAnsi="Arial"/>
          <w:sz w:val="18"/>
          <w:szCs w:val="18"/>
          <w:color w:val="auto"/>
        </w:rPr>
        <w:t>Evolution Petroleum Corporation is an independent energy company focused on maximizing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production enhancement, and other exploitation efforts on its oil and natural gas properties.</w:t>
      </w:r>
    </w:p>
    <w:p>
      <w:pPr>
        <w:spacing w:after="0" w:line="188" w:lineRule="exact"/>
        <w:rPr>
          <w:sz w:val="20"/>
          <w:szCs w:val="20"/>
          <w:color w:val="auto"/>
        </w:rPr>
      </w:pPr>
    </w:p>
    <w:p>
      <w:pPr>
        <w:ind w:left="60" w:right="79"/>
        <w:spacing w:after="0" w:line="276" w:lineRule="auto"/>
        <w:rPr>
          <w:sz w:val="20"/>
          <w:szCs w:val="20"/>
          <w:color w:val="auto"/>
        </w:rPr>
      </w:pPr>
      <w:r>
        <w:rPr>
          <w:rFonts w:ascii="Arial" w:cs="Arial" w:eastAsia="Arial" w:hAnsi="Arial"/>
          <w:sz w:val="16"/>
          <w:szCs w:val="16"/>
          <w:color w:val="auto"/>
        </w:rPr>
        <w:t xml:space="preserve">The Company’s producing properties consist of non-operated interests in </w:t>
      </w:r>
      <w:r>
        <w:rPr>
          <w:rFonts w:ascii="Arial" w:cs="Arial" w:eastAsia="Arial" w:hAnsi="Arial"/>
          <w:sz w:val="16"/>
          <w:szCs w:val="16"/>
          <w:color w:val="333333"/>
        </w:rPr>
        <w:t>the following areas: the Jonah</w:t>
      </w:r>
      <w:r>
        <w:rPr>
          <w:rFonts w:ascii="Arial" w:cs="Arial" w:eastAsia="Arial" w:hAnsi="Arial"/>
          <w:sz w:val="16"/>
          <w:szCs w:val="16"/>
          <w:color w:val="auto"/>
        </w:rPr>
        <w:t xml:space="preserve"> Field in Sublette County, Wyoming, a natural gas and natural gas liquids producing field; the Williston Basin in North Dakota, a producing oil and natural gas property; the Barnett Shale located in North Texas, a natural gas and natural gas liquids producing property; the Hamilton Dome Field located in Hot Springs County, Wyoming, a secondary oil recovery field utilizing water injection wells to pressurize the reservoir; the Delhi Holt-Bryant Unit in the Delhi Field in Northeast Louisiana, a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enhanced oil recovery (“EOR”) project; as well as small overriding royalty interests in four onshore Texas wells.</w:t>
      </w:r>
    </w:p>
    <w:p>
      <w:pPr>
        <w:spacing w:after="0" w:line="163"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b w:val="1"/>
          <w:bCs w:val="1"/>
          <w:i w:val="1"/>
          <w:iCs w:val="1"/>
          <w:color w:val="auto"/>
        </w:rPr>
        <w:t xml:space="preserve">Interim Financial Statements.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2022 Annual Report on Form 10-K for the fiscal year ended June 30, 2022, as filed with the SEC on September 14, 2022.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72"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b w:val="1"/>
          <w:bCs w:val="1"/>
          <w:i w:val="1"/>
          <w:iCs w:val="1"/>
          <w:color w:val="auto"/>
        </w:rPr>
        <w:t xml:space="preserve">Principles of Consolidation and Reporting. </w:t>
      </w:r>
      <w:r>
        <w:rPr>
          <w:rFonts w:ascii="Arial" w:cs="Arial" w:eastAsia="Arial" w:hAnsi="Arial"/>
          <w:sz w:val="17"/>
          <w:szCs w:val="17"/>
          <w:color w:val="auto"/>
        </w:rPr>
        <w:t>The unaudited condensed consolidated financial statements include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accounts of Evolution Petroleum Corporation and its wholly-owned subsidiaries (the “Company”). All significant intercompany transactions have been eliminated in consolidation. The unaudited condensed consolidated financial statements for the previous year may include certain reclassifications to conform to the current presentation. To conform with the current year presentation, </w:t>
      </w:r>
      <w:r>
        <w:rPr>
          <w:rFonts w:ascii="Arial" w:cs="Arial" w:eastAsia="Arial" w:hAnsi="Arial"/>
          <w:sz w:val="17"/>
          <w:szCs w:val="17"/>
          <w:i w:val="1"/>
          <w:iCs w:val="1"/>
          <w:color w:val="auto"/>
        </w:rPr>
        <w:t>“Other receivables”</w:t>
      </w:r>
      <w:r>
        <w:rPr>
          <w:rFonts w:ascii="Arial" w:cs="Arial" w:eastAsia="Arial" w:hAnsi="Arial"/>
          <w:sz w:val="17"/>
          <w:szCs w:val="17"/>
          <w:color w:val="auto"/>
        </w:rPr>
        <w:t xml:space="preserve"> disclosed in Footnote 13, </w:t>
      </w:r>
      <w:r>
        <w:rPr>
          <w:rFonts w:ascii="Arial" w:cs="Arial" w:eastAsia="Arial" w:hAnsi="Arial"/>
          <w:sz w:val="17"/>
          <w:szCs w:val="17"/>
          <w:i w:val="1"/>
          <w:iCs w:val="1"/>
          <w:color w:val="auto"/>
        </w:rPr>
        <w:t>“Additional Financial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is included with</w:t>
      </w:r>
      <w:r>
        <w:rPr>
          <w:rFonts w:ascii="Arial" w:cs="Arial" w:eastAsia="Arial" w:hAnsi="Arial"/>
          <w:sz w:val="17"/>
          <w:szCs w:val="17"/>
          <w:i w:val="1"/>
          <w:iCs w:val="1"/>
          <w:color w:val="auto"/>
        </w:rPr>
        <w:t xml:space="preserve"> “Prepaids expenses and other current assets” </w:t>
      </w:r>
      <w:r>
        <w:rPr>
          <w:rFonts w:ascii="Arial" w:cs="Arial" w:eastAsia="Arial" w:hAnsi="Arial"/>
          <w:sz w:val="17"/>
          <w:szCs w:val="17"/>
          <w:color w:val="auto"/>
        </w:rPr>
        <w:t>instead of</w:t>
      </w:r>
      <w:r>
        <w:rPr>
          <w:rFonts w:ascii="Arial" w:cs="Arial" w:eastAsia="Arial" w:hAnsi="Arial"/>
          <w:sz w:val="17"/>
          <w:szCs w:val="17"/>
          <w:i w:val="1"/>
          <w:iCs w:val="1"/>
          <w:color w:val="auto"/>
        </w:rPr>
        <w:t xml:space="preserve"> “Receivables from crude oil, natural gas, and natural gas liquids sales” </w:t>
      </w:r>
      <w:r>
        <w:rPr>
          <w:rFonts w:ascii="Arial" w:cs="Arial" w:eastAsia="Arial" w:hAnsi="Arial"/>
          <w:sz w:val="17"/>
          <w:szCs w:val="17"/>
          <w:color w:val="auto"/>
        </w:rPr>
        <w:t>at June 30, 2022 on the unaudited condensed consolidated balance sheets. This</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 has no impact on previously reported net income or stockholders’ equity.</w:t>
      </w:r>
    </w:p>
    <w:p>
      <w:pPr>
        <w:spacing w:after="0" w:line="17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Risk and Uncertainties. </w:t>
      </w:r>
      <w:r>
        <w:rPr>
          <w:rFonts w:ascii="Arial" w:cs="Arial" w:eastAsia="Arial" w:hAnsi="Arial"/>
          <w:sz w:val="18"/>
          <w:szCs w:val="18"/>
          <w:color w:val="auto"/>
        </w:rPr>
        <w:t>The Company’s oil and natural gas interests are operated by third-party operators and involve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third-party working interest owners. As a result, the Company has limited ability to influence the operation or future development of such properties. However, the Company is proactive with its third-party operators to review spending and present alternative plans.</w:t>
      </w:r>
    </w:p>
    <w:p>
      <w:pPr>
        <w:spacing w:after="0" w:line="187"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the Company’s unaudited condensed consolidated financial statements in conformity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w:t>
      </w:r>
    </w:p>
    <w:p>
      <w:pPr>
        <w:spacing w:after="0" w:line="1" w:lineRule="exact"/>
        <w:rPr>
          <w:sz w:val="20"/>
          <w:szCs w:val="20"/>
          <w:color w:val="auto"/>
        </w:rPr>
      </w:pPr>
    </w:p>
    <w:p>
      <w:pPr>
        <w:ind w:left="60" w:right="199" w:hanging="10"/>
        <w:spacing w:after="0" w:line="287" w:lineRule="auto"/>
        <w:tabs>
          <w:tab w:leader="none" w:pos="3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natural gas liquids (“NGL”) revenues and expenses. The Company analyzes estimates and judgements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Actual results may differ from the estimates and assumptions used in the preparation of the Company’s unaudited condensed consolidated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Correction of Immaterial Error</w:t>
      </w:r>
    </w:p>
    <w:p>
      <w:pPr>
        <w:spacing w:after="0" w:line="225" w:lineRule="exact"/>
        <w:rPr>
          <w:sz w:val="20"/>
          <w:szCs w:val="20"/>
          <w:color w:val="auto"/>
        </w:rPr>
      </w:pPr>
    </w:p>
    <w:p>
      <w:pPr>
        <w:ind w:left="60" w:right="199"/>
        <w:spacing w:after="0" w:line="288" w:lineRule="auto"/>
        <w:rPr>
          <w:sz w:val="20"/>
          <w:szCs w:val="20"/>
          <w:color w:val="auto"/>
        </w:rPr>
      </w:pPr>
      <w:r>
        <w:rPr>
          <w:rFonts w:ascii="Arial" w:cs="Arial" w:eastAsia="Arial" w:hAnsi="Arial"/>
          <w:sz w:val="16"/>
          <w:szCs w:val="16"/>
          <w:color w:val="auto"/>
        </w:rPr>
        <w:t xml:space="preserve">During the year ended June 30, 2022, the Company identified an issue related to its historical process of calculating the Company’s earnings (loss) per common share (“EPS”). The Company grants restricted stock awards which entitle the recipient to all of the rights of a shareholder of the Company including non-forfeitable rights to receive all dividends or other distributions paid with respect to such shares. Unvested restricted stock is forfeitable until earned and therefore not considered outstanding for basic EPS. Because restricted stock awards have the non-forfeitable right to share in dividends and earnings with common shareholders prior to vesting, the Company must apply the two-class method of allocating distributed and undistributed earnings to unvested restricted stock and outstanding common shares. Historically, it was identified by management that the Company had not been applying the two-class method of calculating basic and diluted EPS in accordance with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(“ASC 260”). Rather, the Company was considering all restricted stock grants as outstanding at the time of issuance in the calculation of EPS.</w:t>
      </w:r>
    </w:p>
    <w:p>
      <w:pPr>
        <w:spacing w:after="0" w:line="168"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 xml:space="preserve">At March 31, 2022, the Company determined that its unvested restricted stock awards were participating securities which contain non-forfeitable rights to dividends. As a result, the Company was required to adjust </w:t>
      </w:r>
      <w:r>
        <w:rPr>
          <w:rFonts w:ascii="Arial" w:cs="Arial" w:eastAsia="Arial" w:hAnsi="Arial"/>
          <w:sz w:val="16"/>
          <w:szCs w:val="16"/>
          <w:i w:val="1"/>
          <w:iCs w:val="1"/>
          <w:color w:val="auto"/>
        </w:rPr>
        <w:t>“Net income (loss) attributable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common stockholders” </w:t>
      </w:r>
      <w:r>
        <w:rPr>
          <w:rFonts w:ascii="Arial" w:cs="Arial" w:eastAsia="Arial" w:hAnsi="Arial"/>
          <w:sz w:val="16"/>
          <w:szCs w:val="16"/>
          <w:color w:val="auto"/>
        </w:rPr>
        <w:t>on the unaudited condensed consolidated statements of operations to allocate dividends paid to</w:t>
      </w:r>
      <w:r>
        <w:rPr>
          <w:rFonts w:ascii="Arial" w:cs="Arial" w:eastAsia="Arial" w:hAnsi="Arial"/>
          <w:sz w:val="16"/>
          <w:szCs w:val="16"/>
          <w:i w:val="1"/>
          <w:iCs w:val="1"/>
          <w:color w:val="auto"/>
        </w:rPr>
        <w:t xml:space="preserve"> </w:t>
      </w:r>
      <w:r>
        <w:rPr>
          <w:rFonts w:ascii="Arial" w:cs="Arial" w:eastAsia="Arial" w:hAnsi="Arial"/>
          <w:sz w:val="16"/>
          <w:szCs w:val="16"/>
          <w:color w:val="auto"/>
        </w:rPr>
        <w:t>unvested shares as well as undistributed earnings. In addition, the Company determined that its basic and diluted weighted average shares outstanding were not adjusted correctly to reflect these participating securities.</w:t>
      </w:r>
    </w:p>
    <w:p>
      <w:pPr>
        <w:spacing w:after="0" w:line="161"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 xml:space="preserve">The Company concluded the adjustments were immaterial to its 2022 interim financial statements in accordance with the guidance in SEC Staff Accounting Bulletin (“SAB”)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and SAB No. 108, </w:t>
      </w:r>
      <w:r>
        <w:rPr>
          <w:rFonts w:ascii="Arial" w:cs="Arial" w:eastAsia="Arial" w:hAnsi="Arial"/>
          <w:sz w:val="18"/>
          <w:szCs w:val="18"/>
          <w:i w:val="1"/>
          <w:iCs w:val="1"/>
          <w:color w:val="auto"/>
        </w:rPr>
        <w:t>Considering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Prior Year Misstatements when Quantifying Misstatements in the Current Year Financial Statements. </w:t>
      </w:r>
      <w:r>
        <w:rPr>
          <w:rFonts w:ascii="Arial" w:cs="Arial" w:eastAsia="Arial" w:hAnsi="Arial"/>
          <w:sz w:val="18"/>
          <w:szCs w:val="18"/>
          <w:color w:val="auto"/>
        </w:rPr>
        <w:t>The correction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a decrease of $0.01 per basic and diluted share for the three months ended September 30, 2021. See Note 12, “</w:t>
      </w:r>
      <w:r>
        <w:rPr>
          <w:rFonts w:ascii="Arial" w:cs="Arial" w:eastAsia="Arial" w:hAnsi="Arial"/>
          <w:sz w:val="18"/>
          <w:szCs w:val="18"/>
          <w:i w:val="1"/>
          <w:iCs w:val="1"/>
          <w:color w:val="auto"/>
        </w:rPr>
        <w:t>Earnings (Loss) per Common Share</w:t>
      </w:r>
      <w:r>
        <w:rPr>
          <w:rFonts w:ascii="Arial" w:cs="Arial" w:eastAsia="Arial" w:hAnsi="Arial"/>
          <w:sz w:val="18"/>
          <w:szCs w:val="18"/>
          <w:color w:val="auto"/>
        </w:rPr>
        <w:t>” for more details.</w:t>
      </w:r>
    </w:p>
    <w:p>
      <w:pPr>
        <w:spacing w:after="0" w:line="188"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color w:val="auto"/>
        </w:rPr>
        <w:t>The Company noted the following adjustments to its EPS presentation for the three months ended September 30, 2021 (in thousands, except per share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Three Months Ended</w:t>
            </w:r>
          </w:p>
        </w:tc>
      </w:tr>
      <w:tr>
        <w:trPr>
          <w:trHeight w:val="199"/>
        </w:trPr>
        <w:tc>
          <w:tcPr>
            <w:tcW w:w="6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September 30, 2021</w:t>
            </w:r>
          </w:p>
        </w:tc>
      </w:tr>
      <w:tr>
        <w:trPr>
          <w:trHeight w:val="19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5,218</w:t>
            </w:r>
          </w:p>
        </w:tc>
      </w:tr>
      <w:tr>
        <w:trPr>
          <w:trHeight w:val="203"/>
        </w:trPr>
        <w:tc>
          <w:tcPr>
            <w:tcW w:w="6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33,534</w:t>
            </w:r>
          </w:p>
        </w:tc>
      </w:tr>
      <w:tr>
        <w:trPr>
          <w:trHeight w:val="19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Weighted average number of common shares and dilutive potential common shares used in diluted</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33,534</w:t>
            </w:r>
          </w:p>
        </w:tc>
      </w:tr>
      <w:tr>
        <w:trPr>
          <w:trHeight w:val="203"/>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common share — Basic</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03"/>
        </w:trPr>
        <w:tc>
          <w:tcPr>
            <w:tcW w:w="6920" w:type="dxa"/>
            <w:vAlign w:val="bottom"/>
          </w:tcPr>
          <w:p>
            <w:pPr>
              <w:ind w:left="20"/>
              <w:spacing w:after="0"/>
              <w:rPr>
                <w:sz w:val="20"/>
                <w:szCs w:val="20"/>
                <w:color w:val="auto"/>
              </w:rPr>
            </w:pPr>
            <w:r>
              <w:rPr>
                <w:rFonts w:ascii="Arial" w:cs="Arial" w:eastAsia="Arial" w:hAnsi="Arial"/>
                <w:sz w:val="16"/>
                <w:szCs w:val="16"/>
                <w:color w:val="auto"/>
              </w:rPr>
              <w:t>Net earnings (loss) per common share —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3"/>
        </w:trPr>
        <w:tc>
          <w:tcPr>
            <w:tcW w:w="6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Arial" w:cs="Arial" w:eastAsia="Arial" w:hAnsi="Arial"/>
                <w:sz w:val="16"/>
                <w:szCs w:val="16"/>
                <w:color w:val="auto"/>
              </w:rPr>
              <w:t>Revised:</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w:t>
            </w:r>
          </w:p>
        </w:tc>
      </w:tr>
      <w:tr>
        <w:trPr>
          <w:trHeight w:val="203"/>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w:t>
            </w:r>
          </w:p>
        </w:tc>
      </w:tr>
      <w:tr>
        <w:trPr>
          <w:trHeight w:val="193"/>
        </w:trPr>
        <w:tc>
          <w:tcPr>
            <w:tcW w:w="6920" w:type="dxa"/>
            <w:vAlign w:val="bottom"/>
          </w:tcPr>
          <w:p>
            <w:pPr>
              <w:ind w:left="20"/>
              <w:spacing w:after="0"/>
              <w:rPr>
                <w:sz w:val="20"/>
                <w:szCs w:val="20"/>
                <w:color w:val="auto"/>
              </w:rPr>
            </w:pPr>
            <w:r>
              <w:rPr>
                <w:rFonts w:ascii="Arial" w:cs="Arial" w:eastAsia="Arial" w:hAnsi="Arial"/>
                <w:sz w:val="16"/>
                <w:szCs w:val="16"/>
                <w:color w:val="auto"/>
                <w:w w:val="98"/>
              </w:rPr>
              <w:t>Weighted average number of common shares and dilutive potential common shares used in diluted</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9"/>
        </w:trPr>
        <w:tc>
          <w:tcPr>
            <w:tcW w:w="692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33,126</w:t>
            </w:r>
          </w:p>
        </w:tc>
      </w:tr>
      <w:tr>
        <w:trPr>
          <w:trHeight w:val="206"/>
        </w:trPr>
        <w:tc>
          <w:tcPr>
            <w:tcW w:w="6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Arial" w:cs="Arial" w:eastAsia="Arial" w:hAnsi="Arial"/>
                <w:sz w:val="16"/>
                <w:szCs w:val="16"/>
                <w:color w:val="auto"/>
              </w:rPr>
              <w:t>Net earnings (loss) per common share — Basic</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 per common share — Diluted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Arial" w:cs="Arial" w:eastAsia="Arial" w:hAnsi="Arial"/>
          <w:sz w:val="16"/>
          <w:szCs w:val="16"/>
          <w:i w:val="1"/>
          <w:iCs w:val="1"/>
          <w:color w:val="auto"/>
        </w:rPr>
        <w:t>Financial Instruments - Credit Losses (Topic 326), Derivatives and Hedging (Topic 815),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ASU 2016-13 is effective for annual periods, including interim periods within those annual periods,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2022. The Company is currently evaluating the impact of ASU 2016-13 but does not expect that it will have a material effect on the Company’s financial position, results of operations, cash flows or disclosures.</w:t>
      </w:r>
    </w:p>
    <w:p>
      <w:pPr>
        <w:spacing w:after="0" w:line="166"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 xml:space="preserve">The Company’s revenues are primarily generated from its crude oil, natural gas and NGL production from </w:t>
      </w:r>
      <w:r>
        <w:rPr>
          <w:rFonts w:ascii="Arial" w:cs="Arial" w:eastAsia="Arial" w:hAnsi="Arial"/>
          <w:sz w:val="18"/>
          <w:szCs w:val="18"/>
          <w:color w:val="333333"/>
        </w:rPr>
        <w:t>the Jonah</w:t>
      </w:r>
      <w:r>
        <w:rPr>
          <w:rFonts w:ascii="Arial" w:cs="Arial" w:eastAsia="Arial" w:hAnsi="Arial"/>
          <w:sz w:val="18"/>
          <w:szCs w:val="18"/>
          <w:color w:val="auto"/>
        </w:rPr>
        <w:t xml:space="preserve"> Field in Sublette County, Wyoming, the Williston Basin properties in North Dakota, the Barnett Shale properties located in North Texas, the Hamilton Dome Field in Wyoming, and the Delhi Field in Northeast Louisiana. Additionally, an overriding royalty interest retained in a past divestiture of Texas properties provides de minimis revenue. The following table disaggregates the Company’s revenues by major product for the three months ended September 30, 2022 and 2021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60" w:type="dxa"/>
            <w:vAlign w:val="bottom"/>
            <w:gridSpan w:val="3"/>
          </w:tcPr>
          <w:p>
            <w:pPr>
              <w:jc w:val="right"/>
              <w:ind w:right="124"/>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tcBorders>
              <w:bottom w:val="single" w:sz="8" w:color="auto"/>
            </w:tcBorders>
          </w:tcPr>
          <w:p>
            <w:pPr>
              <w:spacing w:after="0"/>
              <w:rPr>
                <w:sz w:val="18"/>
                <w:szCs w:val="18"/>
                <w:color w:val="auto"/>
              </w:rPr>
            </w:pPr>
          </w:p>
        </w:tc>
      </w:tr>
      <w:tr>
        <w:trPr>
          <w:trHeight w:val="199"/>
        </w:trPr>
        <w:tc>
          <w:tcPr>
            <w:tcW w:w="4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19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4220" w:type="dxa"/>
            <w:vAlign w:val="bottom"/>
          </w:tcPr>
          <w:p>
            <w:pPr>
              <w:ind w:left="120"/>
              <w:spacing w:after="0"/>
              <w:rPr>
                <w:sz w:val="20"/>
                <w:szCs w:val="20"/>
                <w:color w:val="auto"/>
              </w:rPr>
            </w:pPr>
            <w:r>
              <w:rPr>
                <w:rFonts w:ascii="Arial" w:cs="Arial" w:eastAsia="Arial" w:hAnsi="Arial"/>
                <w:sz w:val="16"/>
                <w:szCs w:val="16"/>
                <w:color w:val="auto"/>
              </w:rPr>
              <w:t>Crude oil</w:t>
            </w:r>
          </w:p>
        </w:tc>
        <w:tc>
          <w:tcPr>
            <w:tcW w:w="1420" w:type="dxa"/>
            <w:vAlign w:val="bottom"/>
          </w:tcPr>
          <w:p>
            <w:pPr>
              <w:jc w:val="right"/>
              <w:ind w:right="126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15,163</w:t>
            </w:r>
          </w:p>
        </w:tc>
        <w:tc>
          <w:tcPr>
            <w:tcW w:w="460" w:type="dxa"/>
            <w:vAlign w:val="bottom"/>
          </w:tcPr>
          <w:p>
            <w:pPr>
              <w:spacing w:after="0"/>
              <w:rPr>
                <w:sz w:val="17"/>
                <w:szCs w:val="17"/>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8,859</w:t>
            </w:r>
          </w:p>
        </w:tc>
      </w:tr>
      <w:tr>
        <w:trPr>
          <w:trHeight w:val="203"/>
        </w:trPr>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Natural gas</w:t>
            </w: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r>
      <w:tr>
        <w:trPr>
          <w:trHeight w:val="203"/>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Natural gas liquids</w:t>
            </w:r>
          </w:p>
        </w:tc>
        <w:tc>
          <w:tcPr>
            <w:tcW w:w="1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4,786</w:t>
            </w:r>
          </w:p>
        </w:tc>
        <w:tc>
          <w:tcPr>
            <w:tcW w:w="4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w:t>
            </w:r>
          </w:p>
        </w:tc>
      </w:tr>
      <w:tr>
        <w:trPr>
          <w:trHeight w:val="196"/>
        </w:trPr>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1420" w:type="dxa"/>
            <w:vAlign w:val="bottom"/>
            <w:tcBorders>
              <w:bottom w:val="single" w:sz="8" w:color="auto"/>
            </w:tcBorders>
            <w:shd w:val="clear" w:color="auto" w:fill="CCEEFF"/>
          </w:tcPr>
          <w:p>
            <w:pPr>
              <w:jc w:val="right"/>
              <w:ind w:right="126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39,797</w:t>
            </w:r>
          </w:p>
        </w:tc>
        <w:tc>
          <w:tcPr>
            <w:tcW w:w="4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18,879</w:t>
            </w:r>
          </w:p>
        </w:tc>
      </w:tr>
      <w:tr>
        <w:trPr>
          <w:trHeight w:val="20"/>
        </w:trPr>
        <w:tc>
          <w:tcPr>
            <w:tcW w:w="4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In the Jonah Field, the Company has elected to take its natural gas and NGL working interest production in-kind and markets separately to different purchasers for its natural gas and to Enterprise Products Partners L.P. (“Enterprise”) for its NGLs.</w:t>
      </w:r>
    </w:p>
    <w:p>
      <w:pPr>
        <w:spacing w:after="0" w:line="18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one to two months after delivery.</w:t>
      </w:r>
    </w:p>
    <w:p>
      <w:pPr>
        <w:spacing w:after="0" w:line="164"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 xml:space="preserve">Judgments made in applying the guidance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78"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The Company’s contractual performance obligations arise upon the production of hydrocarbons from wells in which the Company has an ownership interest. The performance obligations are considered satisfied at a point in time upon control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transferring to a customer at a specified delivery point. Consideration is allocated to completed performance obligations at the end of an accounting period.</w:t>
      </w:r>
    </w:p>
    <w:p>
      <w:pPr>
        <w:spacing w:after="0" w:line="170"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 xml:space="preserve">Revenue is recorded in the month when contractual performance obligations are satisfied. However, settlement statements from the purchasers of hydrocarbons and the related cash consideration are received by field operators before distributing the Company’s share one to two months after production has occurred,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as the basis for these estimates. Because the contractual performance obligations have been satisfied and an unconditional right to consideration exists as of the balance sheet date, the Company recognized amounts due from contracts with field operators as </w:t>
      </w:r>
      <w:r>
        <w:rPr>
          <w:rFonts w:ascii="Arial" w:cs="Arial" w:eastAsia="Arial" w:hAnsi="Arial"/>
          <w:sz w:val="16"/>
          <w:szCs w:val="16"/>
          <w:i w:val="1"/>
          <w:iCs w:val="1"/>
          <w:color w:val="auto"/>
        </w:rPr>
        <w:t xml:space="preserve">“Receivables from crude oil, natural gas, and natural gas liquids sales” </w:t>
      </w:r>
      <w:r>
        <w:rPr>
          <w:rFonts w:ascii="Arial" w:cs="Arial" w:eastAsia="Arial" w:hAnsi="Arial"/>
          <w:sz w:val="16"/>
          <w:szCs w:val="16"/>
          <w:color w:val="auto"/>
        </w:rPr>
        <w:t>on the unaudited condensed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Differences between estimates and actual amounts received for product sales are recorded in the month that payment is received from the purchaser as remitted to the Company by field operators.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1, 2022, the Company closed the acquisition of non-operated interests in the Jonah Field in Sublette County,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Wyoming from Exaro Energy III, LLC (the “Jonah Field Acquisition”). After taking into account customary closing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adjustments and an effective date of February 1, 2022, total cash consideration for the Jonah Field Acquisition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$26.4 million. The Company accounted for this transaction as an asset acquisition and allocated all of the purchase price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(including $0.2 million of transaction costs) to proved oil and natural gas properties. Approximately, $1.6 million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consideration transferred related to deposits transferred to the Company at closing, the largest related to a $1.2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deposit with Enterprise for a gas gathering contract which was recorded to “</w:t>
      </w:r>
      <w:r>
        <w:rPr>
          <w:rFonts w:ascii="Arial" w:cs="Arial" w:eastAsia="Arial" w:hAnsi="Arial"/>
          <w:sz w:val="16"/>
          <w:szCs w:val="16"/>
          <w:i w:val="1"/>
          <w:iCs w:val="1"/>
          <w:color w:val="auto"/>
        </w:rPr>
        <w:t>Other assets, net</w:t>
      </w:r>
      <w:r>
        <w:rPr>
          <w:rFonts w:ascii="Arial" w:cs="Arial" w:eastAsia="Arial" w:hAnsi="Arial"/>
          <w:sz w:val="16"/>
          <w:szCs w:val="16"/>
          <w:color w:val="auto"/>
        </w:rPr>
        <w:t>” on the unaudited condensed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consolidated balance sheets. In addition, the Company recognized $3.0 million in non-cash asset retirement obligations.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transaction was funded with cash on hand and $17.0 million in borrowings under the Company’s Senior Secured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Facility.</w:t>
      </w:r>
    </w:p>
    <w:p>
      <w:pPr>
        <w:spacing w:after="0" w:line="21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On January 14, 2022, the Company completed the acquisition of non-operated working interests in the Williston Basin in North Dakota from Foundation Energy Fund VII-A, LP and Foundation Energy Management, LLC (the “Williston Basin Acquisition”). After taking into account customary closing adjustments and an effective date of June 1, 2021, cash consideration was $25.2 million which included $0.3 million of capitalized transaction costs related to the acquisition. The Company accounted for the transaction as an asset acquisition and allocated all of the purchase price (including capitalized transaction costs) to proved oil and natural gas properties. The Company also recognized $2.4 million in non-cash asset retirement obligations. The transaction was funded with cash on hand and $16.0 million in borrowings under the Company’s Senior Secured Credit Facility.</w:t>
      </w:r>
    </w:p>
    <w:p>
      <w:pPr>
        <w:spacing w:after="0" w:line="17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In accordance with the FASB’s authoritative guidance on asset acquisitions, the Company allocated the cost of the acquisition to the assets acquired and liabilities assumed based on a relative fair value basis of the assets acquired and liabilities assumed, with no recognition of goodwill or bargain purchase gain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Property and equipment as of September 30, 2022 and June 30, 2022 consisted of the following (in thousands):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2"/>
              </w:rPr>
              <w:t>September 30, 2022</w:t>
            </w:r>
          </w:p>
        </w:tc>
        <w:tc>
          <w:tcPr>
            <w:tcW w:w="2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 2022</w:t>
            </w:r>
          </w:p>
        </w:tc>
      </w:tr>
      <w:tr>
        <w:trPr>
          <w:trHeight w:val="199"/>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Oil and natural gas properties</w:t>
            </w: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3"/>
        </w:trPr>
        <w:tc>
          <w:tcPr>
            <w:tcW w:w="5220" w:type="dxa"/>
            <w:vAlign w:val="bottom"/>
          </w:tcPr>
          <w:p>
            <w:pPr>
              <w:ind w:left="120"/>
              <w:spacing w:after="0"/>
              <w:rPr>
                <w:sz w:val="20"/>
                <w:szCs w:val="20"/>
                <w:color w:val="auto"/>
              </w:rPr>
            </w:pPr>
            <w:r>
              <w:rPr>
                <w:rFonts w:ascii="Arial" w:cs="Arial" w:eastAsia="Arial" w:hAnsi="Arial"/>
                <w:sz w:val="16"/>
                <w:szCs w:val="16"/>
                <w:color w:val="auto"/>
              </w:rPr>
              <w:t>Property costs subject to amortization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189,647</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188,634</w:t>
            </w:r>
          </w:p>
        </w:tc>
      </w:tr>
      <w:tr>
        <w:trPr>
          <w:trHeight w:val="203"/>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Accumulated depletion, depreciation, and accretion</w:t>
            </w: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(81,448)</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(78,126)</w:t>
            </w:r>
          </w:p>
        </w:tc>
      </w:tr>
      <w:tr>
        <w:trPr>
          <w:trHeight w:val="196"/>
        </w:trPr>
        <w:tc>
          <w:tcPr>
            <w:tcW w:w="5220" w:type="dxa"/>
            <w:vAlign w:val="bottom"/>
          </w:tcPr>
          <w:p>
            <w:pPr>
              <w:ind w:left="120"/>
              <w:spacing w:after="0"/>
              <w:rPr>
                <w:sz w:val="20"/>
                <w:szCs w:val="20"/>
                <w:color w:val="auto"/>
              </w:rPr>
            </w:pPr>
            <w:r>
              <w:rPr>
                <w:rFonts w:ascii="Arial" w:cs="Arial" w:eastAsia="Arial" w:hAnsi="Arial"/>
                <w:sz w:val="16"/>
                <w:szCs w:val="16"/>
                <w:color w:val="auto"/>
              </w:rPr>
              <w:t>Oil and natural gas properties,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108,199</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110,508</w:t>
            </w: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As of September 30, 2022, all oil and natural gas property costs were subject to amortization. Depletion on oil and natural gas properties was $3.3 million and $1.4 million for the three months ended September 30, 2022 and 2021, respectively.</w:t>
      </w:r>
    </w:p>
    <w:p>
      <w:pPr>
        <w:spacing w:after="0" w:line="12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the three months ended September 30, 2022 and 2021, the Company incurred development capital expenditures of $1.0 million and $0.3 million, respectively.</w:t>
      </w:r>
    </w:p>
    <w:p>
      <w:pPr>
        <w:spacing w:after="0" w:line="17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result in an impairment charge.</w:t>
      </w:r>
    </w:p>
    <w:p>
      <w:pPr>
        <w:spacing w:after="0" w:line="188"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At September 30, 2022, the ceiling test value of the Company’s reserves was calculated based on the first-day-of-the-month average for the 12-months ended September 30, 2022 of the West Texas Intermediate (“WTI”) crude oil spot price of $92.16 per barrel and Henry Hub natural gas spot price of $6.17 per MMBtu, adjusted by market differentials by field. The net price per barrel of NGLs was $47.49, which was based on historical differentials to WTI as NGLs do not have any single comparable reference index price. Using these prices, the Company’s net book value of oil and natural gas properties as of September 30, 2022 did not exceed the current ceiling. There was no impairment on oil and natural gas properties for the three months ended September 30, 2022.</w:t>
      </w:r>
    </w:p>
    <w:p>
      <w:pPr>
        <w:spacing w:after="0" w:line="17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At September 30, 2021, the ceiling test value of the Company’s reserves was calculated based on the first-day-of the month average for the 12-months ended September 30, 2021 of the WTI crude oil spot price of $57.64 per barrel and Henry Hub natural gas spot price of $2.97 per MMBtu, adjusted by market differentials by field. The net price per barrel of NGLs was $23.04, which was based on historical prices received as NGLs do not have any single comparable reference index price. Using these prices, the Company’s net book value of oil and natural gas properties at September 30, 2021 did not exceed the current ceiling. There was no impairment on oil and natural gas properties for the three months ended September 30,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Senior Secured Credit Facility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April 11, 2016, the Company entered into a three-year, senior secured reserve-based credit facility, as amended,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“Senior Secured Credit Facility”) with MidFirst Bank in an amount up to $50.0 million with a current borrowing base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$50.0 million. On November 2, 2020, the Company entered into the Fifth Amendment to the Senior Secured Credit Facility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extending the maturity to April 9, 2024. The borrowing base will be redetermined semiannually, with the lenders and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each having the right to one interim unscheduled redetermination between any two consecutive semi-annual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redeterminations. The borrowing base takes into account the estimated value of the Company’s oil and natural gas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properties, proved reserves, total indebtedness, and other relevant factors consistent with customary oil and natural gas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lending criteria. The Senior Secured Credit Facility carries a commitment fee of 0.25% per annum on the undrawn portion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the borrowing base. Any borrowings under the Senior Secured Credit Facility will bear interest, at the Company’s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option, at either London Interbank Offered Rate ("LIBOR") plus 2.75%, subject to a minimum LIBOR of 0.25%, or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Prime Rate, as defined under the Senior Secured Credit Facility, plus 1.00%.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93" w:lineRule="auto"/>
        <w:rPr>
          <w:sz w:val="20"/>
          <w:szCs w:val="20"/>
          <w:color w:val="auto"/>
        </w:rPr>
      </w:pPr>
      <w:r>
        <w:rPr>
          <w:rFonts w:ascii="Arial" w:cs="Arial" w:eastAsia="Arial" w:hAnsi="Arial"/>
          <w:sz w:val="16"/>
          <w:szCs w:val="16"/>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64" w:lineRule="exact"/>
        <w:rPr>
          <w:sz w:val="20"/>
          <w:szCs w:val="20"/>
          <w:color w:val="auto"/>
        </w:rPr>
      </w:pPr>
    </w:p>
    <w:p>
      <w:pPr>
        <w:ind w:left="60" w:right="199"/>
        <w:spacing w:after="0" w:line="269" w:lineRule="auto"/>
        <w:rPr>
          <w:sz w:val="20"/>
          <w:szCs w:val="20"/>
          <w:color w:val="auto"/>
        </w:rPr>
      </w:pPr>
      <w:r>
        <w:rPr>
          <w:rFonts w:ascii="Arial" w:cs="Arial" w:eastAsia="Arial" w:hAnsi="Arial"/>
          <w:sz w:val="17"/>
          <w:szCs w:val="17"/>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September 30, 2022, the Company had $12.3 million borrowings outstanding under its Senior Secured Credit Facility, resulting in $37.8 million of available borrowing capacity. For the three months ended September 30, 2022 and 2021, the weighted average interest on borrowings under the Senior Secured Credit Facility was 4.89% and 3.00% based on LIBOR, respectively. As of September 30, 2022, the Company was in compliance with the financial covenants under the Senior Secured Credit Facility.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October 1, 2022, the Company was notified by MidFirst Bank that the borrowing base remained at $50.0 million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Margined Collateral Value, as defined in the Ninth Amendment to the Senior Secured Credit Facility, was set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$130.0 million. The Company is required to enter into hedges on a rolling 12-month basis when the borrowings exceed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25% of the Margined Collateral Value. Based on the current amount outstanding, the utilization percentage under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required hedging covenant is below the minimum utilization threshold of 25% and as a result the Company is not required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enter into additional hedges at this time, although the Company may elect to do so at its discretion.</w:t>
      </w:r>
    </w:p>
    <w:p>
      <w:pPr>
        <w:spacing w:after="0" w:line="211" w:lineRule="exact"/>
        <w:rPr>
          <w:sz w:val="20"/>
          <w:szCs w:val="20"/>
          <w:color w:val="auto"/>
        </w:rPr>
      </w:pPr>
    </w:p>
    <w:p>
      <w:pPr>
        <w:ind w:left="60" w:right="159"/>
        <w:spacing w:after="0" w:line="293" w:lineRule="auto"/>
        <w:rPr>
          <w:sz w:val="20"/>
          <w:szCs w:val="20"/>
          <w:color w:val="auto"/>
        </w:rPr>
      </w:pPr>
      <w:r>
        <w:rPr>
          <w:rFonts w:ascii="Arial" w:cs="Arial" w:eastAsia="Arial" w:hAnsi="Arial"/>
          <w:sz w:val="16"/>
          <w:szCs w:val="16"/>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spacing w:after="0" w:line="16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Ninth Amendment, as discussed above.</w:t>
      </w:r>
    </w:p>
    <w:p>
      <w:pPr>
        <w:spacing w:after="0" w:line="15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the Company entered into the Seventh Amendment to the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7"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On January 5, 2021, and effective as of December 28, 2020, the Company entered into the Sixth Amendment to the Senior Secured Credit Facility which replaced the debt service coverage ratio (as defined therein) maintenance covenant with a new covenant requiring current ratio (as defined therein) of not less than 1.00 to 1.00.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Company files a consolidated federal income tax return in the United States and various combined and separate filings in several state and local jurisdictions.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2019 through June 30, 2021 for federal tax purposes and for the fiscal years ended June 30, 2018 through June 30, 2021 for state tax purposes. To the extent the Company utilizes net operating losses (“NOLs”) generated in earlier years, such earlier years may also be subject to audit.</w:t>
      </w:r>
    </w:p>
    <w:p>
      <w:pPr>
        <w:spacing w:after="0" w:line="165"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For the three months ended September 30, 2022 the Company recognized income tax expense of $3.1 million and had an effective tax rate of 22.2% compared to an income tax expense of $1.5 million and an effective tax rate of 22.6% for the three months ended September 30, 2021.</w:t>
      </w:r>
    </w:p>
    <w:p>
      <w:pPr>
        <w:spacing w:after="0" w:line="184" w:lineRule="exact"/>
        <w:rPr>
          <w:sz w:val="20"/>
          <w:szCs w:val="20"/>
          <w:color w:val="auto"/>
        </w:rPr>
      </w:pPr>
    </w:p>
    <w:p>
      <w:pPr>
        <w:ind w:left="60" w:right="439"/>
        <w:spacing w:after="0" w:line="286" w:lineRule="auto"/>
        <w:rPr>
          <w:sz w:val="20"/>
          <w:szCs w:val="20"/>
          <w:color w:val="auto"/>
        </w:rPr>
      </w:pPr>
      <w:r>
        <w:rPr>
          <w:rFonts w:ascii="Arial" w:cs="Arial" w:eastAsia="Arial" w:hAnsi="Arial"/>
          <w:sz w:val="17"/>
          <w:szCs w:val="17"/>
          <w:color w:val="auto"/>
        </w:rPr>
        <w:t>The Company’s effective tax rate will typically differ from the statutory federal rate as a result of state income taxes, primarily in the states of Louisiana, North Dakota, and Texas, due to percentage depletion in excess of basis, and other permanent differences. For both periods, the respective statutory federal tax rate was 21%.</w:t>
      </w:r>
    </w:p>
    <w:p>
      <w:pPr>
        <w:spacing w:after="0" w:line="165"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Derivatives</w:t>
      </w:r>
    </w:p>
    <w:p>
      <w:pPr>
        <w:spacing w:after="0" w:line="229"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 xml:space="preserve">The Company is exposed to certain risks relating to its ongoing business operations, including commodity price risk and interest rate risk. In accordance with the Company’s policy and the requirements under the Senior Secured Credit Facility (as discussed in Note 5, </w:t>
      </w:r>
      <w:r>
        <w:rPr>
          <w:rFonts w:ascii="Arial" w:cs="Arial" w:eastAsia="Arial" w:hAnsi="Arial"/>
          <w:sz w:val="16"/>
          <w:szCs w:val="16"/>
          <w:i w:val="1"/>
          <w:iCs w:val="1"/>
          <w:color w:val="auto"/>
        </w:rPr>
        <w:t>“Senior Secured Credit Facility”</w:t>
      </w:r>
      <w:r>
        <w:rPr>
          <w:rFonts w:ascii="Arial" w:cs="Arial" w:eastAsia="Arial" w:hAnsi="Arial"/>
          <w:sz w:val="16"/>
          <w:szCs w:val="16"/>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policies and objectives may change significantly as its operational profile changes or as required under the Senior Secured Credit Facility. The Company does not enter into derivative contracts for speculative trading purposes.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It is the Company’s policy to enter into derivative contracts only with counterparties that are creditworthy financial 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commodity hedging institutions deemed by management as competent and competitive market makers.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the Company did not post collateral under any of its derivative contracts as they are secured under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Senior Secured Credit Facility.</w:t>
      </w:r>
    </w:p>
    <w:p>
      <w:pPr>
        <w:spacing w:after="0" w:line="211"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Arial" w:cs="Arial" w:eastAsia="Arial" w:hAnsi="Arial"/>
          <w:sz w:val="17"/>
          <w:szCs w:val="17"/>
          <w:i w:val="1"/>
          <w:iCs w:val="1"/>
          <w:color w:val="auto"/>
        </w:rPr>
        <w:t>Net gain (loss) on derivative contracts</w:t>
      </w:r>
      <w:r>
        <w:rPr>
          <w:rFonts w:ascii="Arial" w:cs="Arial" w:eastAsia="Arial" w:hAnsi="Arial"/>
          <w:sz w:val="17"/>
          <w:szCs w:val="17"/>
          <w:color w:val="auto"/>
        </w:rPr>
        <w:t>” on the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 xml:space="preserve">All derivative contracts are recorded at fair market value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and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and included in the unaudited condensed consolidated balance sheets as assets or liabilities. The </w:t>
      </w:r>
      <w:r>
        <w:rPr>
          <w:rFonts w:ascii="Arial" w:cs="Arial" w:eastAsia="Arial" w:hAnsi="Arial"/>
          <w:sz w:val="17"/>
          <w:szCs w:val="17"/>
          <w:i w:val="1"/>
          <w:iCs w:val="1"/>
          <w:color w:val="auto"/>
        </w:rPr>
        <w:t>“Derivative contract assets”</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 contract liabilities”</w:t>
      </w:r>
      <w:r>
        <w:rPr>
          <w:rFonts w:ascii="Arial" w:cs="Arial" w:eastAsia="Arial" w:hAnsi="Arial"/>
          <w:sz w:val="17"/>
          <w:szCs w:val="17"/>
          <w:color w:val="auto"/>
        </w:rPr>
        <w:t xml:space="preserve"> represent the difference between the market commodity prices and the hedged prices for the remaining volumes of production hedges as of September 30, 2022 (the “mark-to-market valuation”). The following table summarizes the location and fair value amounts of all derivative contracts in the unaudited condensed consolidated balance sheets as of September 30, 2022 and June 30,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4"/>
                <w:szCs w:val="14"/>
                <w:color w:val="auto"/>
              </w:rPr>
            </w:pPr>
          </w:p>
        </w:tc>
        <w:tc>
          <w:tcPr>
            <w:tcW w:w="176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3"/>
              </w:rPr>
              <w:t>Derivative Contract Assets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14"/>
                <w:szCs w:val="14"/>
                <w:color w:val="auto"/>
              </w:rPr>
            </w:pPr>
          </w:p>
        </w:tc>
        <w:tc>
          <w:tcPr>
            <w:tcW w:w="214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w w:val="97"/>
              </w:rPr>
              <w:t>Derivative Contract Liabilities</w:t>
            </w:r>
          </w:p>
        </w:tc>
        <w:tc>
          <w:tcPr>
            <w:tcW w:w="0" w:type="dxa"/>
            <w:vAlign w:val="bottom"/>
          </w:tcPr>
          <w:p>
            <w:pPr>
              <w:spacing w:after="0"/>
              <w:rPr>
                <w:sz w:val="1"/>
                <w:szCs w:val="1"/>
                <w:color w:val="auto"/>
              </w:rPr>
            </w:pPr>
          </w:p>
        </w:tc>
      </w:tr>
      <w:tr>
        <w:trPr>
          <w:trHeight w:val="171"/>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hedging contracts</w:t>
            </w:r>
          </w:p>
        </w:tc>
        <w:tc>
          <w:tcPr>
            <w:tcW w:w="112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under ASC 815</w:t>
            </w:r>
          </w:p>
        </w:tc>
        <w:tc>
          <w:tcPr>
            <w:tcW w:w="11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location</w:t>
            </w:r>
          </w:p>
        </w:tc>
        <w:tc>
          <w:tcPr>
            <w:tcW w:w="1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2022</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June 30, 2022</w:t>
            </w:r>
          </w:p>
        </w:tc>
        <w:tc>
          <w:tcPr>
            <w:tcW w:w="16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location</w:t>
            </w: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2022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30, 2022</w:t>
            </w:r>
          </w:p>
        </w:tc>
        <w:tc>
          <w:tcPr>
            <w:tcW w:w="0" w:type="dxa"/>
            <w:vAlign w:val="bottom"/>
          </w:tcPr>
          <w:p>
            <w:pPr>
              <w:spacing w:after="0"/>
              <w:rPr>
                <w:sz w:val="1"/>
                <w:szCs w:val="1"/>
                <w:color w:val="auto"/>
              </w:rPr>
            </w:pPr>
          </w:p>
        </w:tc>
      </w:tr>
      <w:tr>
        <w:trPr>
          <w:trHeight w:val="123"/>
        </w:trPr>
        <w:tc>
          <w:tcPr>
            <w:tcW w:w="19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Current</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liabilities -</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assets -</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derivative</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contract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728"/>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170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30"/>
        </w:trPr>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spacing w:after="0" w:line="130" w:lineRule="exact"/>
              <w:rPr>
                <w:sz w:val="20"/>
                <w:szCs w:val="20"/>
                <w:color w:val="auto"/>
              </w:rPr>
            </w:pPr>
            <w:r>
              <w:rPr>
                <w:rFonts w:ascii="Arial" w:cs="Arial" w:eastAsia="Arial" w:hAnsi="Arial"/>
                <w:sz w:val="14"/>
                <w:szCs w:val="14"/>
                <w:color w:val="auto"/>
              </w:rPr>
              <w:t>Long term</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liabilities -</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 -</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derivative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derivative</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color w:val="auto"/>
              </w:rPr>
              <w:t>contract</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contract assets</w:t>
            </w:r>
          </w:p>
        </w:tc>
        <w:tc>
          <w:tcPr>
            <w:tcW w:w="180" w:type="dxa"/>
            <w:vAlign w:val="bottom"/>
          </w:tcPr>
          <w:p>
            <w:pPr>
              <w:spacing w:after="0"/>
              <w:rPr>
                <w:sz w:val="14"/>
                <w:szCs w:val="14"/>
                <w:color w:val="auto"/>
              </w:rPr>
            </w:pPr>
          </w:p>
        </w:tc>
        <w:tc>
          <w:tcPr>
            <w:tcW w:w="1200" w:type="dxa"/>
            <w:vAlign w:val="bottom"/>
            <w:gridSpan w:val="2"/>
          </w:tcPr>
          <w:p>
            <w:pPr>
              <w:jc w:val="center"/>
              <w:ind w:left="56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120" w:type="dxa"/>
            <w:vAlign w:val="bottom"/>
            <w:tcBorders>
              <w:top w:val="single" w:sz="8" w:color="CCEEFF"/>
            </w:tcBorders>
            <w:gridSpan w:val="2"/>
            <w:shd w:val="clear" w:color="auto" w:fill="CCEEFF"/>
          </w:tcPr>
          <w:p>
            <w:pPr>
              <w:ind w:left="20"/>
              <w:spacing w:after="0" w:line="110" w:lineRule="exact"/>
              <w:rPr>
                <w:sz w:val="20"/>
                <w:szCs w:val="20"/>
                <w:color w:val="auto"/>
              </w:rPr>
            </w:pPr>
            <w:r>
              <w:rPr>
                <w:rFonts w:ascii="Arial" w:cs="Arial" w:eastAsia="Arial" w:hAnsi="Arial"/>
                <w:sz w:val="12"/>
                <w:szCs w:val="12"/>
                <w:color w:val="auto"/>
              </w:rPr>
              <w:t>Total derivatives not designated</w:t>
            </w:r>
          </w:p>
        </w:tc>
        <w:tc>
          <w:tcPr>
            <w:tcW w:w="9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as hedging contracts under ASC</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728"/>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170</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54"/>
        </w:trPr>
        <w:tc>
          <w:tcPr>
            <w:tcW w:w="198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815</w:t>
            </w:r>
          </w:p>
        </w:tc>
        <w:tc>
          <w:tcPr>
            <w:tcW w:w="1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 xml:space="preserve">The following table summarizes the location and amounts of the Company’s realized and unrealized gains and losses on derivative contracts in the Company’s unaudited condensed consolidated statements of operations (in thousands). </w:t>
      </w:r>
      <w:r>
        <w:rPr>
          <w:rFonts w:ascii="Arial" w:cs="Arial" w:eastAsia="Arial" w:hAnsi="Arial"/>
          <w:sz w:val="18"/>
          <w:szCs w:val="18"/>
          <w:i w:val="1"/>
          <w:iCs w:val="1"/>
          <w:color w:val="auto"/>
        </w:rPr>
        <w:t>"Realized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gain (loss) on derivative contracts" </w:t>
      </w:r>
      <w:r>
        <w:rPr>
          <w:rFonts w:ascii="Arial" w:cs="Arial" w:eastAsia="Arial" w:hAnsi="Arial"/>
          <w:sz w:val="18"/>
          <w:szCs w:val="18"/>
          <w:color w:val="auto"/>
        </w:rPr>
        <w:t>represents all receipts (payments) on derivative contracts settled during the period.</w:t>
      </w:r>
      <w:r>
        <w:rPr>
          <w:rFonts w:ascii="Arial" w:cs="Arial" w:eastAsia="Arial" w:hAnsi="Arial"/>
          <w:sz w:val="18"/>
          <w:szCs w:val="18"/>
          <w:i w:val="1"/>
          <w:iCs w:val="1"/>
          <w:color w:val="auto"/>
        </w:rPr>
        <w:t xml:space="preserve"> "Unrealized gain (loss) on derivative contracts" </w:t>
      </w:r>
      <w:r>
        <w:rPr>
          <w:rFonts w:ascii="Arial" w:cs="Arial" w:eastAsia="Arial" w:hAnsi="Arial"/>
          <w:sz w:val="18"/>
          <w:szCs w:val="18"/>
          <w:color w:val="auto"/>
        </w:rPr>
        <w:t>represents the net change in the mark-to-market valuation of the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not designated</w:t>
            </w: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Location of gain (loss)</w:t>
            </w:r>
          </w:p>
        </w:tc>
        <w:tc>
          <w:tcPr>
            <w:tcW w:w="280" w:type="dxa"/>
            <w:vAlign w:val="bottom"/>
          </w:tcPr>
          <w:p>
            <w:pPr>
              <w:spacing w:after="0"/>
              <w:rPr>
                <w:sz w:val="14"/>
                <w:szCs w:val="14"/>
                <w:color w:val="auto"/>
              </w:rPr>
            </w:pPr>
          </w:p>
        </w:tc>
        <w:tc>
          <w:tcPr>
            <w:tcW w:w="22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hedging contracts</w:t>
            </w: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recognized in income on</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r>
      <w:tr>
        <w:trPr>
          <w:trHeight w:val="142"/>
        </w:trPr>
        <w:tc>
          <w:tcPr>
            <w:tcW w:w="3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under ASC 815</w:t>
            </w:r>
          </w:p>
        </w:tc>
        <w:tc>
          <w:tcPr>
            <w:tcW w:w="2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derivative contracts</w:t>
            </w:r>
          </w:p>
        </w:tc>
        <w:tc>
          <w:tcPr>
            <w:tcW w:w="280" w:type="dxa"/>
            <w:vAlign w:val="bottom"/>
          </w:tcPr>
          <w:p>
            <w:pPr>
              <w:spacing w:after="0"/>
              <w:rPr>
                <w:sz w:val="12"/>
                <w:szCs w:val="12"/>
                <w:color w:val="auto"/>
              </w:rPr>
            </w:pPr>
          </w:p>
        </w:tc>
        <w:tc>
          <w:tcPr>
            <w:tcW w:w="92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37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Commodity contracts:</w:t>
            </w:r>
          </w:p>
        </w:tc>
        <w:tc>
          <w:tcPr>
            <w:tcW w:w="18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30"/>
        </w:trPr>
        <w:tc>
          <w:tcPr>
            <w:tcW w:w="3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 income and expenses - net gain</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Realized gain (loss) on derivative contracts</w:t>
            </w:r>
          </w:p>
        </w:tc>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derivative contracts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(1,722)</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130"/>
        </w:trPr>
        <w:tc>
          <w:tcPr>
            <w:tcW w:w="3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gridSpan w:val="2"/>
          </w:tcPr>
          <w:p>
            <w:pPr>
              <w:spacing w:after="0" w:line="130" w:lineRule="exact"/>
              <w:rPr>
                <w:sz w:val="20"/>
                <w:szCs w:val="20"/>
                <w:color w:val="auto"/>
              </w:rPr>
            </w:pPr>
            <w:r>
              <w:rPr>
                <w:rFonts w:ascii="Arial" w:cs="Arial" w:eastAsia="Arial" w:hAnsi="Arial"/>
                <w:sz w:val="14"/>
                <w:szCs w:val="14"/>
                <w:color w:val="auto"/>
              </w:rPr>
              <w:t>Other income and expenses - net gain</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Unrealized gain (loss) on derivative contracts</w:t>
            </w:r>
          </w:p>
        </w:tc>
        <w:tc>
          <w:tcPr>
            <w:tcW w:w="2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(loss) on derivative contracts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r>
      <w:tr>
        <w:trPr>
          <w:trHeight w:val="142"/>
        </w:trPr>
        <w:tc>
          <w:tcPr>
            <w:tcW w:w="39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22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(603)</w:t>
            </w: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the Company had the following open crude oil and natural gas derivative contracts: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Volumes in</w:t>
            </w:r>
          </w:p>
        </w:tc>
        <w:tc>
          <w:tcPr>
            <w:tcW w:w="1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 Average</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Instrument</w:t>
            </w: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Commodity</w:t>
            </w: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Floor Price per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Ceiling Price per</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MMBTU/BBL</w:t>
            </w:r>
          </w:p>
        </w:tc>
        <w:tc>
          <w:tcPr>
            <w:tcW w:w="12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MMBTU/BBL</w:t>
            </w:r>
          </w:p>
        </w:tc>
        <w:tc>
          <w:tcPr>
            <w:tcW w:w="10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rPr>
              <w:t>MMBTU/BBL</w:t>
            </w:r>
          </w:p>
        </w:tc>
        <w:tc>
          <w:tcPr>
            <w:tcW w:w="0" w:type="dxa"/>
            <w:vAlign w:val="bottom"/>
          </w:tcPr>
          <w:p>
            <w:pPr>
              <w:spacing w:after="0"/>
              <w:rPr>
                <w:sz w:val="1"/>
                <w:szCs w:val="1"/>
                <w:color w:val="auto"/>
              </w:rPr>
            </w:pPr>
          </w:p>
        </w:tc>
      </w:tr>
      <w:tr>
        <w:trPr>
          <w:trHeight w:val="142"/>
        </w:trPr>
        <w:tc>
          <w:tcPr>
            <w:tcW w:w="23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October 2022</w:t>
            </w: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Collar</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Natural Gas</w:t>
            </w:r>
          </w:p>
        </w:tc>
        <w:tc>
          <w:tcPr>
            <w:tcW w:w="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117,523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9"/>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October 2022</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Natural Gas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78,928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2"/>
              </w:rPr>
              <w:t>November 2022 - February 2023</w:t>
            </w:r>
          </w:p>
        </w:tc>
        <w:tc>
          <w:tcPr>
            <w:tcW w:w="11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2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Natural Gas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443,750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November 2022 - March 2023</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Natural Gas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374,072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October 2022 - February 2023</w:t>
            </w:r>
          </w:p>
        </w:tc>
        <w:tc>
          <w:tcPr>
            <w:tcW w:w="116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8"/>
              </w:rPr>
              <w:t>Collar</w:t>
            </w:r>
          </w:p>
        </w:tc>
        <w:tc>
          <w:tcPr>
            <w:tcW w:w="12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8"/>
              </w:rPr>
              <w:t>Crude Oil</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76,425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6" w:lineRule="auto"/>
        <w:rPr>
          <w:sz w:val="20"/>
          <w:szCs w:val="20"/>
          <w:color w:val="auto"/>
        </w:rPr>
      </w:pPr>
      <w:r>
        <w:rPr>
          <w:rFonts w:ascii="Arial" w:cs="Arial" w:eastAsia="Arial" w:hAnsi="Arial"/>
          <w:sz w:val="17"/>
          <w:szCs w:val="17"/>
          <w:color w:val="auto"/>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September 30, 2022 and June 30, 2022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Offsetting of Derivative Assets and Liabilities</w:t>
            </w:r>
          </w:p>
        </w:tc>
        <w:tc>
          <w:tcPr>
            <w:tcW w:w="300" w:type="dxa"/>
            <w:vAlign w:val="bottom"/>
          </w:tcPr>
          <w:p>
            <w:pPr>
              <w:spacing w:after="0"/>
              <w:rPr>
                <w:sz w:val="14"/>
                <w:szCs w:val="14"/>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Derivative Contracts Assets</w:t>
            </w:r>
          </w:p>
        </w:tc>
        <w:tc>
          <w:tcPr>
            <w:tcW w:w="24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Derivative Contracts Liabilities</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4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2022</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6"/>
              </w:rPr>
              <w:t>June 30, 2022</w:t>
            </w:r>
          </w:p>
        </w:tc>
        <w:tc>
          <w:tcPr>
            <w:tcW w:w="2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September 30, 2022</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8"/>
              </w:rPr>
              <w:t>June 30,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980" w:type="dxa"/>
            <w:vAlign w:val="bottom"/>
            <w:tcBorders>
              <w:top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color w:val="auto"/>
              </w:rPr>
              <w:t>Gross amounts presented in the Consolidated</w:t>
            </w:r>
          </w:p>
        </w:tc>
        <w:tc>
          <w:tcPr>
            <w:tcW w:w="2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Sheet</w:t>
            </w:r>
          </w:p>
        </w:tc>
        <w:tc>
          <w:tcPr>
            <w:tcW w:w="300" w:type="dxa"/>
            <w:vAlign w:val="bottom"/>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Amounts not offset in the Consolidated Balance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Sheet</w:t>
            </w:r>
          </w:p>
        </w:tc>
        <w:tc>
          <w:tcPr>
            <w:tcW w:w="3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(170)</w:t>
            </w:r>
          </w:p>
        </w:tc>
        <w:tc>
          <w:tcPr>
            <w:tcW w:w="2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amount</w:t>
            </w:r>
          </w:p>
        </w:tc>
        <w:tc>
          <w:tcPr>
            <w:tcW w:w="30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Fair Value Measurement</w:t>
      </w:r>
    </w:p>
    <w:p>
      <w:pPr>
        <w:spacing w:after="0" w:line="229"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three levels are defined as follows:</w:t>
      </w:r>
    </w:p>
    <w:p>
      <w:pPr>
        <w:spacing w:after="0" w:line="117" w:lineRule="exact"/>
        <w:rPr>
          <w:sz w:val="20"/>
          <w:szCs w:val="20"/>
          <w:color w:val="auto"/>
        </w:rPr>
      </w:pPr>
    </w:p>
    <w:p>
      <w:pPr>
        <w:ind w:left="700" w:right="679"/>
        <w:spacing w:after="0" w:line="277" w:lineRule="auto"/>
        <w:rPr>
          <w:sz w:val="20"/>
          <w:szCs w:val="20"/>
          <w:color w:val="auto"/>
        </w:rPr>
      </w:pPr>
      <w:r>
        <w:rPr>
          <w:rFonts w:ascii="Arial" w:cs="Arial" w:eastAsia="Arial" w:hAnsi="Arial"/>
          <w:sz w:val="18"/>
          <w:szCs w:val="18"/>
          <w:color w:val="auto"/>
        </w:rPr>
        <w:t>Level 1—Observable inputs such as quoted prices in active markets at the measurement date for identical, unrestricted assets or liabilities.</w:t>
      </w:r>
    </w:p>
    <w:p>
      <w:pPr>
        <w:spacing w:after="0" w:line="62" w:lineRule="exact"/>
        <w:rPr>
          <w:sz w:val="20"/>
          <w:szCs w:val="20"/>
          <w:color w:val="auto"/>
        </w:rPr>
      </w:pPr>
    </w:p>
    <w:p>
      <w:pPr>
        <w:ind w:left="700" w:right="379"/>
        <w:spacing w:after="0" w:line="263" w:lineRule="auto"/>
        <w:rPr>
          <w:sz w:val="20"/>
          <w:szCs w:val="20"/>
          <w:color w:val="auto"/>
        </w:rPr>
      </w:pPr>
      <w:r>
        <w:rPr>
          <w:rFonts w:ascii="Arial" w:cs="Arial" w:eastAsia="Arial" w:hAnsi="Arial"/>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76" w:lineRule="exact"/>
        <w:rPr>
          <w:sz w:val="20"/>
          <w:szCs w:val="20"/>
          <w:color w:val="auto"/>
        </w:rPr>
      </w:pPr>
    </w:p>
    <w:p>
      <w:pPr>
        <w:ind w:left="700" w:right="139"/>
        <w:spacing w:after="0" w:line="277" w:lineRule="auto"/>
        <w:rPr>
          <w:sz w:val="20"/>
          <w:szCs w:val="20"/>
          <w:color w:val="auto"/>
        </w:rPr>
      </w:pPr>
      <w:r>
        <w:rPr>
          <w:rFonts w:ascii="Arial" w:cs="Arial" w:eastAsia="Arial" w:hAnsi="Arial"/>
          <w:sz w:val="18"/>
          <w:szCs w:val="18"/>
          <w:color w:val="auto"/>
        </w:rPr>
        <w:t>Level 3—Unobservable inputs for which there are little or no market data and which the Company makes its own assumptions about how market participants would price the assets and liabilities.</w:t>
      </w:r>
    </w:p>
    <w:p>
      <w:pPr>
        <w:spacing w:after="0" w:line="62"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i w:val="1"/>
          <w:iCs w:val="1"/>
          <w:color w:val="auto"/>
        </w:rPr>
        <w:t xml:space="preserve">Fair Value of Derivative Instruments. </w:t>
      </w:r>
      <w:r>
        <w:rPr>
          <w:rFonts w:ascii="Arial" w:cs="Arial" w:eastAsia="Arial" w:hAnsi="Arial"/>
          <w:sz w:val="16"/>
          <w:szCs w:val="16"/>
          <w:color w:val="auto"/>
        </w:rPr>
        <w:t>The Company’s determination of fair value incorporates not only the credit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280" w:type="dxa"/>
            <w:vAlign w:val="bottom"/>
          </w:tcPr>
          <w:p>
            <w:pPr>
              <w:ind w:left="140"/>
              <w:spacing w:after="0"/>
              <w:rPr>
                <w:sz w:val="20"/>
                <w:szCs w:val="20"/>
                <w:color w:val="auto"/>
              </w:rPr>
            </w:pPr>
            <w:r>
              <w:rPr>
                <w:rFonts w:ascii="Arial" w:cs="Arial" w:eastAsia="Arial" w:hAnsi="Arial"/>
                <w:sz w:val="16"/>
                <w:szCs w:val="16"/>
                <w:color w:val="auto"/>
              </w:rPr>
              <w:t>Derivative contract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3"/>
        </w:trPr>
        <w:tc>
          <w:tcPr>
            <w:tcW w:w="3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280" w:type="dxa"/>
            <w:vAlign w:val="bottom"/>
          </w:tcPr>
          <w:p>
            <w:pPr>
              <w:ind w:left="140"/>
              <w:spacing w:after="0"/>
              <w:rPr>
                <w:sz w:val="20"/>
                <w:szCs w:val="20"/>
                <w:color w:val="auto"/>
              </w:rPr>
            </w:pPr>
            <w:r>
              <w:rPr>
                <w:rFonts w:ascii="Arial" w:cs="Arial" w:eastAsia="Arial" w:hAnsi="Arial"/>
                <w:sz w:val="16"/>
                <w:szCs w:val="16"/>
                <w:color w:val="auto"/>
              </w:rPr>
              <w:t>Derivative contract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183"/>
        </w:trPr>
        <w:tc>
          <w:tcPr>
            <w:tcW w:w="3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contract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 xml:space="preserve">Derivative contracts listed above as Level 2 include costless put/call collars that are carried at fair value. The Company records the net change in fair value of these positions in </w:t>
      </w:r>
      <w:r>
        <w:rPr>
          <w:rFonts w:ascii="Arial" w:cs="Arial" w:eastAsia="Arial" w:hAnsi="Arial"/>
          <w:sz w:val="16"/>
          <w:szCs w:val="16"/>
          <w:i w:val="1"/>
          <w:iCs w:val="1"/>
          <w:color w:val="auto"/>
        </w:rPr>
        <w:t>“Net gain (loss) on derivative contracts”</w:t>
      </w:r>
      <w:r>
        <w:rPr>
          <w:rFonts w:ascii="Arial" w:cs="Arial" w:eastAsia="Arial" w:hAnsi="Arial"/>
          <w:sz w:val="16"/>
          <w:szCs w:val="16"/>
          <w:color w:val="auto"/>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Arial" w:cs="Arial" w:eastAsia="Arial" w:hAnsi="Arial"/>
          <w:sz w:val="16"/>
          <w:szCs w:val="16"/>
          <w:i w:val="1"/>
          <w:iCs w:val="1"/>
          <w:color w:val="auto"/>
        </w:rPr>
        <w:t>“Derivatives</w:t>
      </w:r>
      <w:r>
        <w:rPr>
          <w:rFonts w:ascii="Arial" w:cs="Arial" w:eastAsia="Arial" w:hAnsi="Arial"/>
          <w:sz w:val="16"/>
          <w:szCs w:val="16"/>
          <w:color w:val="auto"/>
        </w:rPr>
        <w:t>,” for additional discussion of derivatives.</w:t>
      </w:r>
    </w:p>
    <w:p>
      <w:pPr>
        <w:spacing w:after="0" w:line="164"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anticipate such nonperformance.</w:t>
      </w:r>
    </w:p>
    <w:p>
      <w:pPr>
        <w:spacing w:after="0" w:line="165" w:lineRule="exact"/>
        <w:rPr>
          <w:sz w:val="20"/>
          <w:szCs w:val="20"/>
          <w:color w:val="auto"/>
        </w:rPr>
      </w:pPr>
    </w:p>
    <w:p>
      <w:pPr>
        <w:ind w:left="60" w:right="299"/>
        <w:spacing w:after="0" w:line="254" w:lineRule="auto"/>
        <w:rPr>
          <w:sz w:val="20"/>
          <w:szCs w:val="20"/>
          <w:color w:val="auto"/>
        </w:rPr>
      </w:pPr>
      <w:r>
        <w:rPr>
          <w:rFonts w:ascii="Arial" w:cs="Arial" w:eastAsia="Arial" w:hAnsi="Arial"/>
          <w:sz w:val="18"/>
          <w:szCs w:val="18"/>
          <w:i w:val="1"/>
          <w:iCs w:val="1"/>
          <w:color w:val="auto"/>
        </w:rPr>
        <w:t xml:space="preserve">Other Fair Value Measurements. </w:t>
      </w:r>
      <w:r>
        <w:rPr>
          <w:rFonts w:ascii="Arial" w:cs="Arial" w:eastAsia="Arial" w:hAnsi="Arial"/>
          <w:sz w:val="18"/>
          <w:szCs w:val="18"/>
          <w:color w:val="auto"/>
        </w:rPr>
        <w:t>The following disclosure of the estimated fair value of financial instruments is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requirements of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9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 xml:space="preserve">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for a reconciliation of the beginning and ending balances of the liability for the Company’s ARO.</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Asset Retirement Obligations</w:t>
      </w:r>
    </w:p>
    <w:p>
      <w:pPr>
        <w:spacing w:after="0" w:line="22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Arial" w:cs="Arial" w:eastAsia="Arial" w:hAnsi="Arial"/>
          <w:sz w:val="18"/>
          <w:szCs w:val="18"/>
          <w:i w:val="1"/>
          <w:iCs w:val="1"/>
          <w:color w:val="auto"/>
        </w:rPr>
        <w:t>“Oil and natural gas properties, net”</w:t>
      </w:r>
      <w:r>
        <w:rPr>
          <w:rFonts w:ascii="Arial" w:cs="Arial" w:eastAsia="Arial" w:hAnsi="Arial"/>
          <w:sz w:val="18"/>
          <w:szCs w:val="18"/>
          <w:color w:val="auto"/>
        </w:rPr>
        <w:t xml:space="preserve"> during the period in which the obligation is incurred. The Company records the accretion of its ARO liabilities in </w:t>
      </w:r>
      <w:r>
        <w:rPr>
          <w:rFonts w:ascii="Arial" w:cs="Arial" w:eastAsia="Arial" w:hAnsi="Arial"/>
          <w:sz w:val="18"/>
          <w:szCs w:val="18"/>
          <w:i w:val="1"/>
          <w:iCs w:val="1"/>
          <w:color w:val="auto"/>
        </w:rPr>
        <w:t>“Depletion, depreciation and accretion”</w:t>
      </w:r>
      <w:r>
        <w:rPr>
          <w:rFonts w:ascii="Arial" w:cs="Arial" w:eastAsia="Arial" w:hAnsi="Arial"/>
          <w:sz w:val="18"/>
          <w:szCs w:val="18"/>
          <w:color w:val="auto"/>
        </w:rPr>
        <w:t xml:space="preserve"> expense in the unaudited condensed consolidated statements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is a reconciliation of the activity related to the Company’s ARO liability (inclusive of the current portion)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September 30, 2022</w:t>
            </w: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 — beginning of period</w:t>
            </w: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r>
      <w:tr>
        <w:trPr>
          <w:trHeight w:val="20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of discount</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19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 — end of period</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w:t>
            </w:r>
          </w:p>
        </w:tc>
      </w:tr>
      <w:tr>
        <w:trPr>
          <w:trHeight w:val="20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asset retirement obligations</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portion of asset retirement obligations</w:t>
            </w: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14,175</w:t>
            </w:r>
          </w:p>
        </w:tc>
      </w:tr>
      <w:tr>
        <w:trPr>
          <w:trHeight w:val="20"/>
        </w:trPr>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estimable.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the Company had 33,546,236 shares of common stock outstanding.</w:t>
      </w:r>
    </w:p>
    <w:p>
      <w:pPr>
        <w:spacing w:after="0" w:line="225"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The Company began paying quarterly cash dividends on common stock in December 2013. As of September 30, 2022, the Company has cumulatively paid over $90.3 million in cash dividends. The Company paid dividends of $4.0 million and $2.5 million to its common stockholders during the three months ended September 30, 2022 and 2021, respectively. The following table reflects the dividends paid per share within the respective three-month period:</w:t>
      </w:r>
    </w:p>
    <w:p>
      <w:pPr>
        <w:spacing w:after="0" w:line="18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Fiscal Year</w:t>
      </w:r>
    </w:p>
    <w:p>
      <w:pPr>
        <w:spacing w:after="0" w:line="32" w:lineRule="exact"/>
        <w:rPr>
          <w:sz w:val="20"/>
          <w:szCs w:val="20"/>
          <w:color w:val="auto"/>
        </w:rPr>
      </w:pPr>
    </w:p>
    <w:p>
      <w:pPr>
        <w:ind w:left="5780"/>
        <w:spacing w:after="0"/>
        <w:tabs>
          <w:tab w:leader="none" w:pos="79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-116205</wp:posOffset>
            </wp:positionV>
            <wp:extent cx="2451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0"/>
        <w:spacing w:after="0"/>
        <w:tabs>
          <w:tab w:leader="none" w:pos="5060" w:val="left"/>
          <w:tab w:leader="none" w:pos="6340" w:val="left"/>
          <w:tab w:leader="none" w:pos="7220" w:val="left"/>
          <w:tab w:leader="none" w:pos="8500" w:val="left"/>
        </w:tabs>
        <w:rPr>
          <w:sz w:val="20"/>
          <w:szCs w:val="20"/>
          <w:color w:val="auto"/>
        </w:rPr>
      </w:pPr>
      <w:r>
        <w:rPr>
          <w:rFonts w:ascii="Arial" w:cs="Arial" w:eastAsia="Arial" w:hAnsi="Arial"/>
          <w:sz w:val="16"/>
          <w:szCs w:val="16"/>
          <w:color w:val="auto"/>
        </w:rPr>
        <w:t>First quarter ended September 30,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0.120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0.075</w:t>
      </w:r>
    </w:p>
    <w:p>
      <w:pPr>
        <w:spacing w:after="0" w:line="200" w:lineRule="exact"/>
        <w:rPr>
          <w:sz w:val="20"/>
          <w:szCs w:val="20"/>
          <w:color w:val="auto"/>
        </w:rPr>
      </w:pPr>
    </w:p>
    <w:p>
      <w:pPr>
        <w:spacing w:after="0" w:line="24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On September 8, 2022, the Board of Directors approved a share repurchase program, under which the Company is authorized to repurchase up to $25 million of its common stock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No shares were repurchased through this plan during the three months ended September 30, 2022.</w:t>
      </w:r>
    </w:p>
    <w:p>
      <w:pPr>
        <w:spacing w:after="0" w:line="168"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During the three months ended September 30, 2022 and 2021, the Company acquired treasury stock from holders of newly vested stock-based awards to fund the recipients’ payroll tax withholding obligations. The treasury shares were subsequently cancelled. Such shares were valued at fair market value on the date of vesting. The following table shows all treasury stock purchases in the last two fiscal years: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3"/>
          </w:tcPr>
          <w:p>
            <w:pPr>
              <w:jc w:val="right"/>
              <w:ind w:right="64"/>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r>
      <w:tr>
        <w:trPr>
          <w:trHeight w:val="187"/>
        </w:trPr>
        <w:tc>
          <w:tcPr>
            <w:tcW w:w="50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6"/>
                <w:szCs w:val="16"/>
                <w:color w:val="auto"/>
              </w:rPr>
            </w:pPr>
          </w:p>
        </w:tc>
      </w:tr>
      <w:tr>
        <w:trPr>
          <w:trHeight w:val="183"/>
        </w:trPr>
        <w:tc>
          <w:tcPr>
            <w:tcW w:w="50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r>
      <w:tr>
        <w:trPr>
          <w:trHeight w:val="19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treasury shares acquired</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0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Average cost per share</w:t>
            </w: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4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r>
      <w:tr>
        <w:trPr>
          <w:trHeight w:val="19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treasury shares acquired</w:t>
            </w: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26,407</w:t>
            </w:r>
          </w:p>
        </w:tc>
        <w:tc>
          <w:tcPr>
            <w:tcW w:w="4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0"/>
        </w:trPr>
        <w:tc>
          <w:tcPr>
            <w:tcW w:w="5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Expected Tax Treatment of Dividends</w:t>
      </w:r>
    </w:p>
    <w:p>
      <w:pPr>
        <w:spacing w:after="0" w:line="225"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For the fiscal year ended June 30, 2022, all common stock dividends for that fiscal year were treated for tax purposes as qualified dividend income to the recipients. Based on its current projections for the fiscal year ended June 30, 2023, the Company expects all common stock dividends for such period to be treated as qualified dividend income to the recipients. Such projections are based on the Company’s reasonable expectations as of September 30, 2022 and are subject to change based on the Company’s final tax calculations at the end of the fiscal year.</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Incentive Plan</w:t>
      </w:r>
    </w:p>
    <w:p>
      <w:pPr>
        <w:spacing w:after="0" w:line="225"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 Evolution Petroleum Corporation 2016 Equity Incentive Plan (“2016 Plan”), approved at the December 2016 annual meeting of stockholders, authorizes the issuance of 1.1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On December 9, 2020, an amendment to the 2016 Plan was approved by its stockholders which increased the number of shares available for issuance by 2.5 million shares to a maximum of 3.6 million shares. As of September 30, 2022 and June 30, 2022, approximately 1.7 million shares and 1.8 million shares, respectively, remained available for grant under the 2016 Plan.</w:t>
      </w:r>
    </w:p>
    <w:p>
      <w:pPr>
        <w:spacing w:after="0" w:line="168"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The Company estimates the fair value of stock-based compensation awards on the grant date to provide the basis for future compensation expense. For the three months ended September 30, 2022, and 2021, the Company recognized $0.2 million for both periods, related to stock-based compensation expense recorded as a component of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w:t>
      </w:r>
      <w:r>
        <w:rPr>
          <w:rFonts w:ascii="Arial" w:cs="Arial" w:eastAsia="Arial" w:hAnsi="Arial"/>
          <w:sz w:val="17"/>
          <w:szCs w:val="17"/>
          <w:color w:val="auto"/>
        </w:rPr>
        <w:t>” on the unaudited condensed consolidated statements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Time-Vested Restricted Stock Awards</w:t>
      </w:r>
    </w:p>
    <w:p>
      <w:pPr>
        <w:spacing w:after="0" w:line="225"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Performance-Based Restricted Stock Awards and Performance-Based Contingent Stock Units</w:t>
      </w:r>
    </w:p>
    <w:p>
      <w:pPr>
        <w:spacing w:after="0" w:line="225"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Performance-based restricted stock awards and performance-based contingent stock units contain market-based vesting conditions based on the price of the Company’s common stock, the intrinsic value indexed solely to its common stock and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which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compensation expense is only reversed for the awards with market-based vesting conditions if the requisite service period is not rendered by the holder resulting in forfeiture of the award.</w:t>
      </w:r>
    </w:p>
    <w:p>
      <w:pPr>
        <w:spacing w:after="0" w:line="17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8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During the three months ended September 30, 2022, the Company granted a total of 0.1 million equity awards primarily to employees under its long-term incentive program together with awards to a director that included 0.03 million time-vested restricted stock awards, 0.04 million performance-based restricted stock awards, and 0.02 million performance-based contingent stock units.</w:t>
      </w:r>
    </w:p>
    <w:p>
      <w:pPr>
        <w:spacing w:after="0" w:line="187"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During the three months ended September 30, 2021, the Company granted a total of 0.2 million equity awards to employees under its long-term incentive program that included 0.1 million time-vested restricted stock primarily and 0.1 million performance-based restricted stock awards.</w:t>
      </w:r>
    </w:p>
    <w:p>
      <w:pPr>
        <w:spacing w:after="0" w:line="184" w:lineRule="exact"/>
        <w:rPr>
          <w:sz w:val="20"/>
          <w:szCs w:val="20"/>
          <w:color w:val="auto"/>
        </w:rPr>
      </w:pPr>
    </w:p>
    <w:p>
      <w:pPr>
        <w:ind w:left="60" w:right="319"/>
        <w:spacing w:after="0" w:line="258" w:lineRule="auto"/>
        <w:rPr>
          <w:sz w:val="20"/>
          <w:szCs w:val="20"/>
          <w:color w:val="auto"/>
        </w:rPr>
      </w:pPr>
      <w:r>
        <w:rPr>
          <w:rFonts w:ascii="Arial" w:cs="Arial" w:eastAsia="Arial" w:hAnsi="Arial"/>
          <w:sz w:val="18"/>
          <w:szCs w:val="18"/>
          <w:color w:val="auto"/>
        </w:rPr>
        <w:t>For performance-based awards granted during the months ended September 30, 2022 and 2021, the assumptions used in the Monte Carlo simulation valuations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9"/>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7"/>
                <w:szCs w:val="17"/>
                <w:color w:val="auto"/>
              </w:rPr>
            </w:pPr>
          </w:p>
        </w:tc>
      </w:tr>
      <w:tr>
        <w:trPr>
          <w:trHeight w:val="19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performance-based awards granted</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40" w:type="dxa"/>
            <w:vAlign w:val="bottom"/>
            <w:shd w:val="clear" w:color="auto" w:fill="CCEEFF"/>
          </w:tcPr>
          <w:p>
            <w:pPr>
              <w:spacing w:after="0"/>
              <w:rPr>
                <w:sz w:val="17"/>
                <w:szCs w:val="17"/>
                <w:color w:val="auto"/>
              </w:rPr>
            </w:pP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Unvested restricted stock awards as of September 30, 2022 consisted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Restricted</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Grant-Date</w:t>
            </w:r>
          </w:p>
        </w:tc>
      </w:tr>
      <w:tr>
        <w:trPr>
          <w:trHeight w:val="213"/>
        </w:trPr>
        <w:tc>
          <w:tcPr>
            <w:tcW w:w="6160" w:type="dxa"/>
            <w:vAlign w:val="bottom"/>
            <w:gridSpan w:val="2"/>
          </w:tcPr>
          <w:p>
            <w:pPr>
              <w:ind w:left="2540"/>
              <w:spacing w:after="0"/>
              <w:rPr>
                <w:sz w:val="20"/>
                <w:szCs w:val="20"/>
                <w:color w:val="auto"/>
              </w:rPr>
            </w:pPr>
            <w:r>
              <w:rPr>
                <w:rFonts w:ascii="Arial" w:cs="Arial" w:eastAsia="Arial" w:hAnsi="Arial"/>
                <w:sz w:val="16"/>
                <w:szCs w:val="16"/>
                <w:b w:val="1"/>
                <w:bCs w:val="1"/>
                <w:color w:val="auto"/>
              </w:rPr>
              <w:t>Award Type</w:t>
            </w: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199"/>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Time-vested awards</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259,351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03"/>
        </w:trPr>
        <w:tc>
          <w:tcPr>
            <w:tcW w:w="6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Performance-based awards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144,503</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196"/>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Unvested at September 30, 2022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403,854</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5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restricted stock transactions for the three months ended September 30, 2022:</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Unamortized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5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45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Restricted</w:t>
            </w: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Grant-Date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r>
      <w:tr>
        <w:trPr>
          <w:trHeight w:val="213"/>
        </w:trPr>
        <w:tc>
          <w:tcPr>
            <w:tcW w:w="45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(In thousands)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Period (Years)</w:t>
            </w: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341,211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Time-vested shares granted</w:t>
            </w:r>
          </w:p>
        </w:tc>
        <w:tc>
          <w:tcPr>
            <w:tcW w:w="840" w:type="dxa"/>
            <w:vAlign w:val="bottom"/>
          </w:tcPr>
          <w:p>
            <w:pPr>
              <w:jc w:val="right"/>
              <w:spacing w:after="0"/>
              <w:rPr>
                <w:sz w:val="20"/>
                <w:szCs w:val="20"/>
                <w:color w:val="auto"/>
              </w:rPr>
            </w:pPr>
            <w:r>
              <w:rPr>
                <w:rFonts w:ascii="Arial" w:cs="Arial" w:eastAsia="Arial" w:hAnsi="Arial"/>
                <w:sz w:val="16"/>
                <w:szCs w:val="16"/>
                <w:color w:val="auto"/>
              </w:rPr>
              <w:t>34,950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Performance-based shares 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Vested</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(16,688)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6"/>
                <w:szCs w:val="16"/>
                <w:color w:val="auto"/>
              </w:rPr>
              <w:t>Unvested at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403,854</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1,485</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Unvested contingent restricted stock units table below consists solely of performance-based awards for the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4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Unamortized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42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Restricted</w:t>
            </w:r>
          </w:p>
        </w:tc>
        <w:tc>
          <w:tcPr>
            <w:tcW w:w="16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Grant-Date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Expense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3"/>
        </w:trPr>
        <w:tc>
          <w:tcPr>
            <w:tcW w:w="42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Stock Units</w:t>
            </w: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Fair Value</w:t>
            </w: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Period (Years)</w:t>
            </w:r>
          </w:p>
        </w:tc>
      </w:tr>
      <w:tr>
        <w:trPr>
          <w:trHeight w:val="19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3"/>
        </w:trPr>
        <w:tc>
          <w:tcPr>
            <w:tcW w:w="4240" w:type="dxa"/>
            <w:vAlign w:val="bottom"/>
          </w:tcPr>
          <w:p>
            <w:pPr>
              <w:ind w:left="120"/>
              <w:spacing w:after="0"/>
              <w:rPr>
                <w:sz w:val="20"/>
                <w:szCs w:val="20"/>
                <w:color w:val="auto"/>
              </w:rPr>
            </w:pPr>
            <w:r>
              <w:rPr>
                <w:rFonts w:ascii="Arial" w:cs="Arial" w:eastAsia="Arial" w:hAnsi="Arial"/>
                <w:sz w:val="16"/>
                <w:szCs w:val="16"/>
                <w:color w:val="auto"/>
              </w:rPr>
              <w:t>Performance-based awards granted</w:t>
            </w:r>
          </w:p>
        </w:tc>
        <w:tc>
          <w:tcPr>
            <w:tcW w:w="820" w:type="dxa"/>
            <w:vAlign w:val="bottom"/>
          </w:tcPr>
          <w:p>
            <w:pPr>
              <w:jc w:val="right"/>
              <w:spacing w:after="0"/>
              <w:rPr>
                <w:sz w:val="20"/>
                <w:szCs w:val="20"/>
                <w:color w:val="auto"/>
              </w:rPr>
            </w:pPr>
            <w:r>
              <w:rPr>
                <w:rFonts w:ascii="Arial" w:cs="Arial" w:eastAsia="Arial" w:hAnsi="Arial"/>
                <w:sz w:val="16"/>
                <w:szCs w:val="16"/>
                <w:color w:val="auto"/>
              </w:rPr>
              <w:t>22,193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24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Expired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color w:val="auto"/>
              </w:rPr>
              <w:t>Unvested at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72,255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4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(Loss) per Common Share</w:t>
      </w:r>
    </w:p>
    <w:p>
      <w:pPr>
        <w:spacing w:after="0" w:line="229"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reflecting the application of the two-class method (in thousands, except per share amounts):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Numerator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10,707</w:t>
            </w:r>
          </w:p>
        </w:tc>
        <w:tc>
          <w:tcPr>
            <w:tcW w:w="20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5,218</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Undistributed earnings allocated to unvested restricted stock</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for earnings per share calculation</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10,596</w:t>
            </w:r>
          </w:p>
        </w:tc>
        <w:tc>
          <w:tcPr>
            <w:tcW w:w="2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183"/>
        </w:trPr>
        <w:tc>
          <w:tcPr>
            <w:tcW w:w="6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i w:val="1"/>
                <w:iCs w:val="1"/>
                <w:color w:val="auto"/>
              </w:rPr>
              <w:t>Denominator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common shares outstanding — Basic</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w:t>
            </w: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Unvested restricted stock awards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Unvested contingent restricted stock units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7"/>
              </w:rPr>
              <w:t>Weighted average number of common shares and dilutive potential common shares used in</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33,319</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33,126</w:t>
            </w:r>
          </w:p>
        </w:tc>
        <w:tc>
          <w:tcPr>
            <w:tcW w:w="0" w:type="dxa"/>
            <w:vAlign w:val="bottom"/>
          </w:tcPr>
          <w:p>
            <w:pPr>
              <w:spacing w:after="0"/>
              <w:rPr>
                <w:sz w:val="1"/>
                <w:szCs w:val="1"/>
                <w:color w:val="auto"/>
              </w:rPr>
            </w:pPr>
          </w:p>
        </w:tc>
      </w:tr>
      <w:tr>
        <w:trPr>
          <w:trHeight w:val="19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per common share — Basic</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Arial" w:cs="Arial" w:eastAsia="Arial" w:hAnsi="Arial"/>
                <w:sz w:val="16"/>
                <w:szCs w:val="16"/>
                <w:color w:val="auto"/>
              </w:rPr>
              <w:t>Net earnings (loss) per common share — Diluted</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15"/>
                <w:szCs w:val="15"/>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Unvested restricted stock awards (both time-vested and performance-based), totaling approximately 8,000 for the three months ended September 30, 2022, were not included in the computation of diluted earnings per common share because the effect would have been anti-dilutive.</w:t>
      </w:r>
    </w:p>
    <w:p>
      <w:pPr>
        <w:spacing w:after="0" w:line="184"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Unvested restricted stock awards (time-vested), totaling approximately 26,000 for the three months ended September 30, 2021 were not included in the computation of diluted earnings per common share because the effect would have been anti-dilutive.</w:t>
      </w:r>
    </w:p>
    <w:p>
      <w:pPr>
        <w:spacing w:after="0" w:line="184"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Additional Financial Statement Information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amounts on the unaudited condensed consolidated balance sheets are comprised of the following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22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586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Receivable for settlement proceeds from acquisitions</w:t>
            </w:r>
            <w:r>
              <w:rPr>
                <w:rFonts w:ascii="Arial" w:cs="Arial" w:eastAsia="Arial" w:hAnsi="Arial"/>
                <w:sz w:val="23"/>
                <w:szCs w:val="23"/>
                <w:i w:val="1"/>
                <w:iCs w:val="1"/>
                <w:color w:val="auto"/>
                <w:vertAlign w:val="superscript"/>
              </w:rPr>
              <w:t>(1)</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658</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2,263</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Prepaid insurance</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federal and state income taxes</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Prepaid subscription and licenses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Carryback of EOR tax credit</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03"/>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Prepaid other</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prepaid expenses and other current assets</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 net:</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Deposit</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1,150</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 of use asset under operating lease</w:t>
            </w: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6"/>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other assets, net</w:t>
            </w:r>
          </w:p>
        </w:tc>
        <w:tc>
          <w:tcPr>
            <w:tcW w:w="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r>
      <w:tr>
        <w:trPr>
          <w:trHeight w:val="183"/>
        </w:trPr>
        <w:tc>
          <w:tcPr>
            <w:tcW w:w="22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b w:val="1"/>
                <w:bCs w:val="1"/>
                <w:color w:val="auto"/>
              </w:rPr>
              <w:t>Accrued liabilities and other:</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payables</w:t>
            </w: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w:t>
            </w:r>
          </w:p>
        </w:tc>
      </w:tr>
      <w:tr>
        <w:trPr>
          <w:trHeight w:val="202"/>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incentive and other compensation</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royalties payable</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severance</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franchise taxes</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Accrued ad valorem taxes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settlements on derivative contracts</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03"/>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liability</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 retirement obligations due within one year</w:t>
            </w: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Accrued - other</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196"/>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accrued liabilities and other</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11,893</w:t>
            </w: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r>
    </w:tbl>
    <w:p>
      <w:pPr>
        <w:spacing w:after="0" w:line="67" w:lineRule="exact"/>
        <w:rPr>
          <w:sz w:val="20"/>
          <w:szCs w:val="20"/>
          <w:color w:val="auto"/>
        </w:rPr>
      </w:pPr>
    </w:p>
    <w:p>
      <w:pPr>
        <w:ind w:left="380" w:right="99" w:hanging="330"/>
        <w:spacing w:after="0" w:line="249" w:lineRule="auto"/>
        <w:tabs>
          <w:tab w:leader="none" w:pos="380" w:val="left"/>
        </w:tabs>
        <w:numPr>
          <w:ilvl w:val="0"/>
          <w:numId w:val="6"/>
        </w:numPr>
        <w:rPr>
          <w:rFonts w:ascii="Arial" w:cs="Arial" w:eastAsia="Arial" w:hAnsi="Arial"/>
          <w:sz w:val="24"/>
          <w:szCs w:val="24"/>
          <w:i w:val="1"/>
          <w:iCs w:val="1"/>
          <w:color w:val="auto"/>
          <w:vertAlign w:val="superscript"/>
        </w:rPr>
      </w:pPr>
      <w:r>
        <w:rPr>
          <w:rFonts w:ascii="Arial" w:cs="Arial" w:eastAsia="Arial" w:hAnsi="Arial"/>
          <w:sz w:val="16"/>
          <w:szCs w:val="16"/>
          <w:color w:val="auto"/>
        </w:rPr>
        <w:t xml:space="preserve">Receivables as of June 30, 2022 related to customary purchase adjustments of $1.6 million and $0.7 million related to the Jonah Field Acquisition and Williston Basin Acquisition, respectively. As of September 30, 2022, the receivable of $1.6 million related to the Jonah Field Acquisition was received. See Note 3,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a further discussion.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Leases</w:t>
      </w:r>
    </w:p>
    <w:p>
      <w:pPr>
        <w:spacing w:after="0" w:line="229" w:lineRule="exact"/>
        <w:rPr>
          <w:sz w:val="20"/>
          <w:szCs w:val="20"/>
          <w:color w:val="auto"/>
        </w:rPr>
      </w:pPr>
    </w:p>
    <w:p>
      <w:pPr>
        <w:ind w:left="60" w:right="219"/>
        <w:spacing w:after="0" w:line="288" w:lineRule="auto"/>
        <w:rPr>
          <w:sz w:val="20"/>
          <w:szCs w:val="20"/>
          <w:color w:val="auto"/>
        </w:rPr>
      </w:pPr>
      <w:r>
        <w:rPr>
          <w:rFonts w:ascii="Arial" w:cs="Arial" w:eastAsia="Arial" w:hAnsi="Arial"/>
          <w:sz w:val="16"/>
          <w:szCs w:val="16"/>
          <w:color w:val="auto"/>
        </w:rPr>
        <w:t xml:space="preserve">Operating leases are reflected as an operating lease right of use (“ROU”) asset included in </w:t>
      </w:r>
      <w:r>
        <w:rPr>
          <w:rFonts w:ascii="Arial" w:cs="Arial" w:eastAsia="Arial" w:hAnsi="Arial"/>
          <w:sz w:val="16"/>
          <w:szCs w:val="16"/>
          <w:i w:val="1"/>
          <w:iCs w:val="1"/>
          <w:color w:val="auto"/>
        </w:rPr>
        <w:t>“Other assets, net”</w:t>
      </w:r>
      <w:r>
        <w:rPr>
          <w:rFonts w:ascii="Arial" w:cs="Arial" w:eastAsia="Arial" w:hAnsi="Arial"/>
          <w:sz w:val="16"/>
          <w:szCs w:val="16"/>
          <w:color w:val="auto"/>
        </w:rPr>
        <w:t xml:space="preserve">, and as a ROU liability in </w:t>
      </w:r>
      <w:r>
        <w:rPr>
          <w:rFonts w:ascii="Arial" w:cs="Arial" w:eastAsia="Arial" w:hAnsi="Arial"/>
          <w:sz w:val="16"/>
          <w:szCs w:val="16"/>
          <w:i w:val="1"/>
          <w:iCs w:val="1"/>
          <w:color w:val="auto"/>
        </w:rPr>
        <w:t>“Accrued liabilities and other”</w:t>
      </w:r>
      <w:r>
        <w:rPr>
          <w:rFonts w:ascii="Arial" w:cs="Arial" w:eastAsia="Arial" w:hAnsi="Arial"/>
          <w:sz w:val="16"/>
          <w:szCs w:val="16"/>
          <w:color w:val="auto"/>
        </w:rPr>
        <w:t xml:space="preserve"> and </w:t>
      </w:r>
      <w:r>
        <w:rPr>
          <w:rFonts w:ascii="Arial" w:cs="Arial" w:eastAsia="Arial" w:hAnsi="Arial"/>
          <w:sz w:val="16"/>
          <w:szCs w:val="16"/>
          <w:i w:val="1"/>
          <w:iCs w:val="1"/>
          <w:color w:val="auto"/>
        </w:rPr>
        <w:t>“Operating lease liability”</w:t>
      </w:r>
      <w:r>
        <w:rPr>
          <w:rFonts w:ascii="Arial" w:cs="Arial" w:eastAsia="Arial" w:hAnsi="Arial"/>
          <w:sz w:val="16"/>
          <w:szCs w:val="16"/>
          <w:color w:val="auto"/>
        </w:rPr>
        <w:t xml:space="preserve"> on the Company’s unaudited condensed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in the unaudited condensed consolidated statements of operations. Certain leases have payment terms that vary</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usage of the underlying assets. Variable lease payments are not included in ROU assets and lease liabilities. For all operating leases, lease and non-lease components are accounted for as a single lease component.</w:t>
      </w:r>
    </w:p>
    <w:p>
      <w:pPr>
        <w:spacing w:after="0" w:line="168"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As a non-operator and having adequate liquidity, the Company has generally not entered into lease transactions. The Company’s only operating lease is for corporate office space in Houston, Texas, effective May 1, 2019 and which expires November 30, 2022. The Company has no leases that meet the criteria for classification as a finance lease or a short-term lease.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 xml:space="preserve">The Company makes certain assumptions and judgments when evaluating a contract that meets the definition of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As the Company’s operating lease did not provide an implicit rate, an incremental borrowing rate was calculated using the prime-rate-based borrowing rate under the Company’s Senior Secured Credit Facility, as discussed below, as the term facility was based on a similar lease term and is appropriately risk-adjusted. The lease term was determined by considering any option available to extend or to early terminate the lease which the Company believed was reasonably certain to be exercised.</w:t>
      </w:r>
    </w:p>
    <w:p>
      <w:pPr>
        <w:spacing w:after="0" w:line="192" w:lineRule="exact"/>
        <w:rPr>
          <w:sz w:val="20"/>
          <w:szCs w:val="20"/>
          <w:color w:val="auto"/>
        </w:rPr>
      </w:pPr>
    </w:p>
    <w:p>
      <w:pPr>
        <w:ind w:left="60" w:right="859"/>
        <w:spacing w:after="0" w:line="258" w:lineRule="auto"/>
        <w:rPr>
          <w:sz w:val="20"/>
          <w:szCs w:val="20"/>
          <w:color w:val="auto"/>
        </w:rPr>
      </w:pPr>
      <w:r>
        <w:rPr>
          <w:rFonts w:ascii="Arial" w:cs="Arial" w:eastAsia="Arial" w:hAnsi="Arial"/>
          <w:sz w:val="18"/>
          <w:szCs w:val="18"/>
          <w:color w:val="auto"/>
        </w:rPr>
        <w:t>The table below summarized the Company’s leases for the three months ended September 30, 2022 and 2021 (in thousands, except years and discount rate):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500" w:type="dxa"/>
            <w:vAlign w:val="bottom"/>
          </w:tcPr>
          <w:p>
            <w:pPr>
              <w:spacing w:after="0"/>
              <w:rPr>
                <w:sz w:val="18"/>
                <w:szCs w:val="18"/>
                <w:color w:val="auto"/>
              </w:rPr>
            </w:pPr>
          </w:p>
        </w:tc>
        <w:tc>
          <w:tcPr>
            <w:tcW w:w="3400" w:type="dxa"/>
            <w:vAlign w:val="bottom"/>
            <w:tcBorders>
              <w:bottom w:val="single" w:sz="8" w:color="auto"/>
            </w:tcBorders>
            <w:gridSpan w:val="6"/>
          </w:tcPr>
          <w:p>
            <w:pPr>
              <w:jc w:val="right"/>
              <w:ind w:right="379"/>
              <w:spacing w:after="0"/>
              <w:rPr>
                <w:sz w:val="20"/>
                <w:szCs w:val="20"/>
                <w:color w:val="auto"/>
              </w:rPr>
            </w:pPr>
            <w:r>
              <w:rPr>
                <w:rFonts w:ascii="Arial" w:cs="Arial" w:eastAsia="Arial" w:hAnsi="Arial"/>
                <w:sz w:val="16"/>
                <w:szCs w:val="16"/>
                <w:b w:val="1"/>
                <w:bCs w:val="1"/>
                <w:color w:val="auto"/>
              </w:rPr>
              <w:t>Three Months Ended September 30,</w:t>
            </w:r>
          </w:p>
        </w:tc>
      </w:tr>
      <w:tr>
        <w:trPr>
          <w:trHeight w:val="199"/>
        </w:trPr>
        <w:tc>
          <w:tcPr>
            <w:tcW w:w="55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500" w:type="dxa"/>
            <w:vAlign w:val="bottom"/>
          </w:tcPr>
          <w:p>
            <w:pPr>
              <w:ind w:left="120"/>
              <w:spacing w:after="0"/>
              <w:rPr>
                <w:sz w:val="20"/>
                <w:szCs w:val="20"/>
                <w:color w:val="auto"/>
              </w:rPr>
            </w:pPr>
            <w:r>
              <w:rPr>
                <w:rFonts w:ascii="Arial" w:cs="Arial" w:eastAsia="Arial" w:hAnsi="Arial"/>
                <w:sz w:val="16"/>
                <w:szCs w:val="16"/>
                <w:color w:val="auto"/>
              </w:rPr>
              <w:t>Operating lease costs</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7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13</w:t>
            </w:r>
          </w:p>
        </w:tc>
      </w:tr>
      <w:tr>
        <w:trPr>
          <w:trHeight w:val="203"/>
        </w:trPr>
        <w:tc>
          <w:tcPr>
            <w:tcW w:w="5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Statements of Cash Flow:</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500" w:type="dxa"/>
            <w:vAlign w:val="bottom"/>
          </w:tcPr>
          <w:p>
            <w:pPr>
              <w:ind w:left="220"/>
              <w:spacing w:after="0" w:line="202" w:lineRule="exact"/>
              <w:rPr>
                <w:sz w:val="20"/>
                <w:szCs w:val="20"/>
                <w:color w:val="auto"/>
              </w:rPr>
            </w:pPr>
            <w:r>
              <w:rPr>
                <w:rFonts w:ascii="Arial" w:cs="Arial" w:eastAsia="Arial" w:hAnsi="Arial"/>
                <w:sz w:val="16"/>
                <w:szCs w:val="16"/>
                <w:color w:val="auto"/>
              </w:rPr>
              <w:t>Operating cash flows from operating leases</w:t>
            </w:r>
            <w:r>
              <w:rPr>
                <w:rFonts w:ascii="Arial" w:cs="Arial" w:eastAsia="Arial" w:hAnsi="Arial"/>
                <w:sz w:val="23"/>
                <w:szCs w:val="23"/>
                <w:i w:val="1"/>
                <w:iCs w:val="1"/>
                <w:color w:val="auto"/>
                <w:vertAlign w:val="superscript"/>
              </w:rPr>
              <w:t>(1)</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21</w:t>
            </w:r>
          </w:p>
        </w:tc>
        <w:tc>
          <w:tcPr>
            <w:tcW w:w="7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15</w:t>
            </w:r>
          </w:p>
        </w:tc>
      </w:tr>
      <w:tr>
        <w:trPr>
          <w:trHeight w:val="203"/>
        </w:trPr>
        <w:tc>
          <w:tcPr>
            <w:tcW w:w="5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Other:</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5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remaining lease term in years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w:t>
            </w:r>
          </w:p>
        </w:tc>
      </w:tr>
      <w:tr>
        <w:trPr>
          <w:trHeight w:val="206"/>
        </w:trPr>
        <w:tc>
          <w:tcPr>
            <w:tcW w:w="5500" w:type="dxa"/>
            <w:vAlign w:val="bottom"/>
          </w:tcPr>
          <w:p>
            <w:pPr>
              <w:ind w:left="120"/>
              <w:spacing w:after="0"/>
              <w:rPr>
                <w:sz w:val="20"/>
                <w:szCs w:val="20"/>
                <w:color w:val="auto"/>
              </w:rPr>
            </w:pPr>
            <w:r>
              <w:rPr>
                <w:rFonts w:ascii="Arial" w:cs="Arial" w:eastAsia="Arial" w:hAnsi="Arial"/>
                <w:sz w:val="16"/>
                <w:szCs w:val="16"/>
                <w:color w:val="auto"/>
              </w:rPr>
              <w:t>Weighted average discount rate</w:t>
            </w: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5.15 %</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ROU assets and lease liabilities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2022</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Sheets:</w:t>
            </w:r>
          </w:p>
        </w:tc>
        <w:tc>
          <w:tcPr>
            <w:tcW w:w="6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03"/>
        </w:trPr>
        <w:tc>
          <w:tcPr>
            <w:tcW w:w="5620" w:type="dxa"/>
            <w:vAlign w:val="bottom"/>
            <w:gridSpan w:val="2"/>
          </w:tcPr>
          <w:p>
            <w:pPr>
              <w:ind w:left="120"/>
              <w:spacing w:after="0"/>
              <w:rPr>
                <w:sz w:val="20"/>
                <w:szCs w:val="20"/>
                <w:color w:val="auto"/>
              </w:rPr>
            </w:pPr>
            <w:r>
              <w:rPr>
                <w:rFonts w:ascii="Arial" w:cs="Arial" w:eastAsia="Arial" w:hAnsi="Arial"/>
                <w:sz w:val="16"/>
                <w:szCs w:val="16"/>
                <w:color w:val="auto"/>
              </w:rPr>
              <w:t>Operating lease ROU asset (included in other assets)</w:t>
            </w: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56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Accrued liabilities and other - current</w:t>
            </w:r>
            <w:r>
              <w:rPr>
                <w:rFonts w:ascii="Arial" w:cs="Arial" w:eastAsia="Arial" w:hAnsi="Arial"/>
                <w:sz w:val="23"/>
                <w:szCs w:val="23"/>
                <w:i w:val="1"/>
                <w:iCs w:val="1"/>
                <w:color w:val="auto"/>
                <w:vertAlign w:val="superscript"/>
              </w:rPr>
              <w:t>(1)</w:t>
            </w:r>
          </w:p>
        </w:tc>
        <w:tc>
          <w:tcPr>
            <w:tcW w:w="6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15"/>
        </w:trPr>
        <w:tc>
          <w:tcPr>
            <w:tcW w:w="224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67" w:lineRule="exact"/>
        <w:rPr>
          <w:sz w:val="20"/>
          <w:szCs w:val="20"/>
          <w:color w:val="auto"/>
        </w:rPr>
      </w:pPr>
    </w:p>
    <w:p>
      <w:pPr>
        <w:ind w:left="380" w:right="819" w:hanging="330"/>
        <w:spacing w:after="0" w:line="207" w:lineRule="auto"/>
        <w:tabs>
          <w:tab w:leader="none" w:pos="380" w:val="left"/>
        </w:tabs>
        <w:numPr>
          <w:ilvl w:val="0"/>
          <w:numId w:val="7"/>
        </w:numPr>
        <w:rPr>
          <w:rFonts w:ascii="Arial" w:cs="Arial" w:eastAsia="Arial" w:hAnsi="Arial"/>
          <w:sz w:val="27"/>
          <w:szCs w:val="27"/>
          <w:i w:val="1"/>
          <w:iCs w:val="1"/>
          <w:color w:val="auto"/>
          <w:vertAlign w:val="superscript"/>
        </w:rPr>
      </w:pPr>
      <w:r>
        <w:rPr>
          <w:rFonts w:ascii="Arial" w:cs="Arial" w:eastAsia="Arial" w:hAnsi="Arial"/>
          <w:sz w:val="18"/>
          <w:szCs w:val="18"/>
          <w:color w:val="auto"/>
        </w:rPr>
        <w:t>A portion of the cash paid for operating leases during the three months ended September 30, 2022 includes a prepayment for the subsequent quarter.</w:t>
      </w:r>
    </w:p>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As of September 30, 2022, the future minimum lease payments associated with the Company’s non-cancellable operating lease for office space are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2022</w:t>
            </w:r>
          </w:p>
        </w:tc>
      </w:tr>
      <w:tr>
        <w:trPr>
          <w:trHeight w:val="199"/>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Remaining in 2023</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Total operating lease payments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discount to present value</w:t>
            </w: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operating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Non current operating lease liabilities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Subsequent Events</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225"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On October 1, 2022, the Company was notified by MidFirst Bank that the borrowing base remained at $50.0 million and the Margined Collateral Value, as defined in the Ninth Amendment to the Senior Secured Credit Facility, was set as $130.0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25"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On October 27, 2022, the Company announced that the Board of Directors selected Kelly W. Loyd as President and Chief Executive Officer (“CEO”). Mr. Loyd had been serving as Interim CEO since June 2022 and has served as a</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member of the Board of Directors since 2008. Upon commencing employment, Mr. Loyd will no longer receive compensation for his services as a member of the Board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Declaration</w:t>
      </w:r>
    </w:p>
    <w:p>
      <w:pPr>
        <w:spacing w:after="0" w:line="225"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color w:val="auto"/>
        </w:rPr>
        <w:t>On November 7, 2022, the Company declared a quarterly cash dividend of $0.120 per share of common stock to shareholders of record on December 15, 2022 and payable on December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Executive Overview</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Results of Operations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0000EE"/>
        </w:rPr>
        <w:t>Critical Accounting Policies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Commonly Used Terms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“Current quarter” refers to the three months ended September 30, 2022, our first quarter of fiscal year 2023.</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“Year-ago quarter” refers to the three months ended September 30, 2021, our first quarter of fiscal year 2022.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8"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 xml:space="preserve">Our oil and natural gas properties consist of non-operated </w:t>
      </w:r>
      <w:r>
        <w:rPr>
          <w:rFonts w:ascii="Arial" w:cs="Arial" w:eastAsia="Arial" w:hAnsi="Arial"/>
          <w:sz w:val="18"/>
          <w:szCs w:val="18"/>
          <w:color w:val="333333"/>
        </w:rPr>
        <w:t>interests in the following areas: the Jonah</w:t>
      </w:r>
      <w:r>
        <w:rPr>
          <w:rFonts w:ascii="Arial" w:cs="Arial" w:eastAsia="Arial" w:hAnsi="Arial"/>
          <w:sz w:val="18"/>
          <w:szCs w:val="18"/>
          <w:color w:val="auto"/>
        </w:rPr>
        <w:t xml:space="preserve"> 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spacing w:after="0" w:line="18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Our interests in the Jonah Field, a natural gas and natural gas liquids producing property in Sublette County, Wyoming, consist of approximately 20% average net working interest with an associated 15% average net revenue interest in 595 producing wells and 950 net acres. The properties are operated by Jonah Energy (“Jonah”), an established operator in the geographic region.</w:t>
      </w:r>
    </w:p>
    <w:p>
      <w:pPr>
        <w:spacing w:after="0" w:line="187"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interests in the Williston Basin, a producing oil and natural gas property, consist of approximately 39% average net working interest with an associated 33% average net revenue interest in 73 producing wells located on approximately 45,000 net acres (approximately 90% held by production) across Billings, Golden Valley, and McKenzie Counties in North Dakota. The properties are primarily operated by Foundation Energy Management (“Foundation”), an established operator in the geographic region.</w:t>
      </w:r>
    </w:p>
    <w:p>
      <w:pPr>
        <w:spacing w:after="0" w:line="188"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Our interests in the Barnett Shale, a natural gas and natural gas liquids producing property, consist of approximately 17% average net working interest with an associated 14% average net revenue interest (inclusive of small overriding royalty interests). The approximately 21,000 net acres are held by production across nine North Texas counties. The properties are primarily operated by Diversified Energy Company with approximately 10% of wells operated by seven other operators.</w:t>
      </w:r>
    </w:p>
    <w:p>
      <w:pPr>
        <w:spacing w:after="0" w:line="157"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Our interests in the Hamilton Dome Field, a secondary oil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who owns the vast majority of the remaining working interest in the Hamilton Dome Field. The Hamilton Dome Field is located in the southwest region of the Big Horn Basin in northwest Wyoming.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right="139"/>
        <w:spacing w:after="0" w:line="276" w:lineRule="auto"/>
        <w:rPr>
          <w:sz w:val="20"/>
          <w:szCs w:val="20"/>
          <w:color w:val="auto"/>
        </w:rPr>
      </w:pPr>
      <w:r>
        <w:rPr>
          <w:rFonts w:ascii="Arial" w:cs="Arial" w:eastAsia="Arial" w:hAnsi="Arial"/>
          <w:sz w:val="17"/>
          <w:szCs w:val="17"/>
          <w:color w:val="auto"/>
        </w:rPr>
        <w:t>Our interests in the Delhi Field, a CO</w:t>
      </w:r>
      <w:r>
        <w:rPr>
          <w:rFonts w:ascii="Arial" w:cs="Arial" w:eastAsia="Arial" w:hAnsi="Arial"/>
          <w:sz w:val="25"/>
          <w:szCs w:val="25"/>
          <w:color w:val="auto"/>
          <w:vertAlign w:val="subscript"/>
        </w:rPr>
        <w:t>2</w:t>
      </w:r>
      <w:r>
        <w:rPr>
          <w:rFonts w:ascii="Arial" w:cs="Arial" w:eastAsia="Arial" w:hAnsi="Arial"/>
          <w:sz w:val="17"/>
          <w:szCs w:val="17"/>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Appointment of Chief Executive Officer</w:t>
      </w:r>
    </w:p>
    <w:p>
      <w:pPr>
        <w:spacing w:after="0" w:line="279"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On October 27, 2022, we announced that the Board of Directors selected Kelly W. Loyd as President and Chief Executive Officer (“CEO”). Mr. Loyd had been serving as Interim CEO since June 2022 and has served as a member of the Board of Directors since 2008. We have entered into an offer letter with Mr. Loyd setting forth his compensation as CEO. Upon commencing employment, Mr. Loyd will no longer receive compensation for his services as a member of the Board of Directors.</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On September 8, 2022, the Board of Directors approved a share repurchase program, under which we are authorized to repurchase up to $25 million of our common stock through December 31, 2024. We intend to fund repurchases from available working capital and cash provided by operating activities. As we continue to focus on our goal of maximizing total shareholder return, the Board of Directors and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shares,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Highlights for our First Quarter 2023 and Operations Update</w:t>
      </w:r>
    </w:p>
    <w:p>
      <w:pPr>
        <w:spacing w:after="0" w:line="229"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Generated revenue of $39.8 million and net income of $10.7 million.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averaged 7,598 net BOEPD.</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Returned to shareholders $4.0 million in cash dividends. We have paid out to shareholders more than $90.3 million in cash dividends since inception of the dividend program in December 2013.</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Funded all operations, development capital expenditures, and dividends out of operating cash flow.</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a strong financial position with low leverage.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the COVID-19 Pandemic and Geopolitical factors</w:t>
      </w:r>
    </w:p>
    <w:p>
      <w:pPr>
        <w:spacing w:after="0" w:line="229"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The global economy has been deeply impacted by the effects of the novel coronavirus (“COVID-19”) pandemic and related efforts to mitigate the spread of the disease. These events led to crude oil prices falling to historic lows during the second quarter of 2020 and remaining depressed through much of 2020.</w:t>
      </w:r>
    </w:p>
    <w:p>
      <w:pPr>
        <w:spacing w:after="0" w:line="184"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In 2021, the demand for oil and natural gas began to recover primarily as a result of the roll-out of the COVID-19 vaccine and lessening of pandemic related government restrictions on individuals and businesses. In addition, the recent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special military operation of Russia into Ukraine and the subsequent sanctions imposed on Russia and other actions have created significant market uncertainties, including uncertainties around potential supply disruptions for oil and natural gas, which has further enhanced volatility in global commodity prices in the first half of 2022. Given the dynamic nature of these events, we cannot reasonably estimate the period of time that these market conditions will persist.</w:t>
      </w:r>
    </w:p>
    <w:p>
      <w:pPr>
        <w:spacing w:after="0" w:line="157" w:lineRule="exact"/>
        <w:rPr>
          <w:sz w:val="20"/>
          <w:szCs w:val="20"/>
          <w:color w:val="auto"/>
        </w:rPr>
      </w:pPr>
    </w:p>
    <w:p>
      <w:pPr>
        <w:jc w:val="both"/>
        <w:ind w:left="60" w:right="359"/>
        <w:spacing w:after="0" w:line="279" w:lineRule="auto"/>
        <w:rPr>
          <w:sz w:val="20"/>
          <w:szCs w:val="20"/>
          <w:color w:val="auto"/>
        </w:rPr>
      </w:pPr>
      <w:r>
        <w:rPr>
          <w:rFonts w:ascii="Arial" w:cs="Arial" w:eastAsia="Arial" w:hAnsi="Arial"/>
          <w:sz w:val="17"/>
          <w:szCs w:val="17"/>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As of September 30, 2022, we had $10.7 million in cash and cash equivalents compared to $8.3 million at June 30, 2022. Our primary sources of liquidity and capital resources during the current quarter were cash provided by operations. Our primary uses of liquidity and capital resources for the quarter ended September 30, 2022 were cash dividend payments to our common stockholders, repayments on our Senior Secured Credit Facility, and capital expenditures within existing field properties. As of September 30, 2022, working capital was $6.5 million, an increase of $0.4 million from working capital of $6.1 million as of June 30, 2022.</w:t>
      </w:r>
    </w:p>
    <w:p>
      <w:pPr>
        <w:spacing w:after="0" w:line="19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$12.3 million drawn as of September 30, 2022. Since the end of the quarter, we have paid down an additional $7.5 million under the Senior Secured Credit Facility and as of November 7, 2022, we have $4.8 million outstanding. The Senior Secured Credit Facility is secured by substantially all of our reserves associated with our oil and natural gas properties and matures on April 9, 2024.</w:t>
      </w:r>
    </w:p>
    <w:p>
      <w:pPr>
        <w:spacing w:after="0" w:line="178"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Borrowings bear interest, at our option, at either the London Interbank Offered Rate (“LIBOR”) plus 2.75% or the Prime Rate, as defined under the Senior Secured Credit Facility, plus 1.0%. For the three months ended September 30, 2022, the weighted average interest on our current borrowings was 4.89% based on LIBOR.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and events of default. As of September 30, 2022, we were in compliance with all covenants under the Senior Secured Credit Facility.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October 1, 2022, the Company was notified by MidFirst Bank that the borrowing base remained at $50.0 million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Margined Collateral Value, as defined in the Ninth Amendment to the Senior Secured Credit Facility, was set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$130.0 million. We are required to enter into hedges on a rolling 12-month basis when the borrowings under the Senior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Secured Credit Facility exceed 25% of the Margined Collateral Value. Based on the current amount outstanding,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utilization percentage under the required hedging covenant is below the minimum utilization threshold of 25% and as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 we are not required to enter into additional hedges at this time, although we may elect to do so at our discretion. 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each redetermination, our Margined Collateral Value takes into account the estimated value of our oil and natural gas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properties, proved developed reserves, total indebtedness, and other relevant factors consistent with customary oil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natural gas lending criteria.</w:t>
      </w:r>
    </w:p>
    <w:p>
      <w:pPr>
        <w:spacing w:after="0" w:line="211"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amended above, to the extent it exceeds the borrowing base then in effect. This amendment also required us to enter into hedges for the next 12-month period ending February 2023, covering 25% of expected oil and natural gas production over that period.</w:t>
      </w:r>
    </w:p>
    <w:p>
      <w:pPr>
        <w:spacing w:after="0" w:line="178"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On November 9, 2021, we entered into the Eighth Amendment to the Senior Secured Credit Facility. This amendment, among other things, increased the borrowing base to $50.0 million and added a hedging covenant whereby we must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hedge a certain amount of our future production on a rolling 12-month basis when 25% or more of the borrowing base is utilized. The hedging covenant was amended in the Ninth Amendment, as discussed above.</w:t>
      </w:r>
    </w:p>
    <w:p>
      <w:pPr>
        <w:spacing w:after="0" w:line="14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5, 2021, we entered into the Seventh Amendment of our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87" w:lineRule="exact"/>
        <w:rPr>
          <w:sz w:val="20"/>
          <w:szCs w:val="20"/>
          <w:color w:val="auto"/>
        </w:rPr>
      </w:pPr>
    </w:p>
    <w:p>
      <w:pPr>
        <w:jc w:val="both"/>
        <w:ind w:left="60" w:right="299"/>
        <w:spacing w:after="0" w:line="279" w:lineRule="auto"/>
        <w:rPr>
          <w:sz w:val="20"/>
          <w:szCs w:val="20"/>
          <w:color w:val="auto"/>
        </w:rPr>
      </w:pPr>
      <w:r>
        <w:rPr>
          <w:rFonts w:ascii="Arial" w:cs="Arial" w:eastAsia="Arial" w:hAnsi="Arial"/>
          <w:sz w:val="17"/>
          <w:szCs w:val="17"/>
          <w:color w:val="auto"/>
        </w:rPr>
        <w:t>We have historically funded operations through cash from operations and working capital. The primary source of cash is the sale of produced crude oil, natural gas, and NGLs. A portion of these cash flows is used to fund capital expenditures and pay cash dividends to shareholders. We expect to manage near-future development activities for our properties with cash flows from operating activities and existing working capital.</w:t>
      </w:r>
    </w:p>
    <w:p>
      <w:pPr>
        <w:spacing w:after="0" w:line="171"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are pursuing new growth opportunities through acquisitions and other transactions. In addition to cash on hand, we have access to the undrawn portion of the borrowing base available under our Senior Secured Credit Facility. We also have an effective shelf registration statement with the Securities and Exchange Commission (“SEC”) under which we may issue up to $500.0 million of new debt or equity securities.</w:t>
      </w:r>
    </w:p>
    <w:p>
      <w:pPr>
        <w:spacing w:after="0" w:line="187"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The Board of Directors instituted a cash dividend on common stock in December 2013. We have since paid 36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During the industry downturn primarily due to COVID-19, effective in the quarter ended June 30, 2020, the Board of Directors adjusted the quarterly dividend rate from $0.10 per share to $0.025 per share. The reduction in the dividend rate at that time allowed us to conserve cash for additional financial flexibility while continuing to reward shareholders with a yield of approximately 3% at the then current stock price levels. In light of our improving financial performance and industry outlook, the Board of Directors has since increased the dividend rate, with the most recent increase occurring on September 12, 2022, when the Board of Directors declared a dividend of $0.12 per share that was paid on September 30, 2022. On November 7, 2022, the Board of Directors declared a quarterly cash dividend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$0.120 per share of common stock to shareholders of record on December 15, 2022 and payable on December 30, 2022.</w:t>
      </w:r>
    </w:p>
    <w:p>
      <w:pPr>
        <w:spacing w:after="0" w:line="234"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color w:val="auto"/>
        </w:rPr>
        <w:t>On September 8, 2022, our Board of Directors approved a share repurchase program, under which we are authorized to repurchase up to $25 million of our common stock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the current quarter, we incurred $1.0 million on development capital expenditures and less than $0.1 million in the Barnett Shale for plugging and abandoning costs.</w:t>
      </w:r>
    </w:p>
    <w:p>
      <w:pPr>
        <w:spacing w:after="0" w:line="170"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Based on discussions with our operators, we expect capital workover projects to continue in all the fields. Overall, for fiscal year 2023, we expect budgeted capital expenditures to be in the range of $6.5 million to $9.5 million, which excludes any potential acquisitions. Our expected capital expenditures for fiscal year 2023 include participating in the drilling of two sidetrack locations targeting the Birdbear formation on our Williston Properties. Our fiscal year 2023 budget does not include any capital expenditures for drilling in the Pronghorn and Three Forks locations on our Williston Properties at this time. Also, at Delhi Field, we anticipate capital costs for a NGL plant heat exchanger project which is currently underway.</w:t>
      </w:r>
    </w:p>
    <w:p>
      <w:pPr>
        <w:spacing w:after="0" w:line="164"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Funding for our anticipated capital expenditures over the near-term is expected to be met from cash flows from operations and current working capital, as well as from borrowings under our Senior Secured Credit Facility as needed for future acquisitions or development of proved undeveloped reserves at our Pronghorn and Three Forks locations.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Full Cost Pool Ceiling Test</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As of September 30, 2022, our capitalized costs of oil and natural gas properties were below the full cost valuation ceiling; however, we could experience an impairment if commodity price levels were to substantially decline. Lower commodity prices would reduce the excess, or cushion, of our valuation ceiling over our capitalized costs and may adversely impact our ceiling tests in future quarters. We cannot give assurance that a write-down of capitalized oil and natural gas properties will not be required in the future. 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September 30, 2022 were $92.16 per barrel of oil, $6.17 per MMBtu of natural gas and $47.49 per barrel of NGLs. At September 30, 2022, a 10% decrease in commodity prices used to determine our proved reserves would not have resulted in an impairment of our oil and natural gas properties.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Cash Flow Activities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w w:val="94"/>
              </w:rPr>
              <w:t>Three Months Ended September 30,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r>
      <w:tr>
        <w:trPr>
          <w:trHeight w:val="19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17,365</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5,592</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11,773</w:t>
            </w:r>
          </w:p>
        </w:tc>
        <w:tc>
          <w:tcPr>
            <w:tcW w:w="20" w:type="dxa"/>
            <w:vAlign w:val="bottom"/>
          </w:tcPr>
          <w:p>
            <w:pPr>
              <w:spacing w:after="0"/>
              <w:rPr>
                <w:sz w:val="17"/>
                <w:szCs w:val="17"/>
                <w:color w:val="auto"/>
              </w:rPr>
            </w:pPr>
          </w:p>
        </w:tc>
      </w:tr>
      <w:tr>
        <w:trPr>
          <w:trHeight w:val="202"/>
        </w:trPr>
        <w:tc>
          <w:tcPr>
            <w:tcW w:w="438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14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(1,879)</w:t>
            </w:r>
          </w:p>
        </w:tc>
        <w:tc>
          <w:tcPr>
            <w:tcW w:w="3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(1,489)</w:t>
            </w:r>
          </w:p>
        </w:tc>
        <w:tc>
          <w:tcPr>
            <w:tcW w:w="20" w:type="dxa"/>
            <w:vAlign w:val="bottom"/>
          </w:tcPr>
          <w:p>
            <w:pPr>
              <w:spacing w:after="0"/>
              <w:rPr>
                <w:sz w:val="17"/>
                <w:szCs w:val="17"/>
                <w:color w:val="auto"/>
              </w:rPr>
            </w:pPr>
          </w:p>
        </w:tc>
      </w:tr>
      <w:tr>
        <w:trPr>
          <w:trHeight w:val="20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(13,052)</w:t>
            </w: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(2,524)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20" w:type="dxa"/>
            <w:vAlign w:val="bottom"/>
          </w:tcPr>
          <w:p>
            <w:pPr>
              <w:spacing w:after="0"/>
              <w:rPr>
                <w:sz w:val="17"/>
                <w:szCs w:val="17"/>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0" w:type="dxa"/>
            <w:vAlign w:val="bottom"/>
            <w:tcBorders>
              <w:bottom w:val="single" w:sz="8" w:color="auto"/>
            </w:tcBorders>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Cash provided by operating activities for the current quarter increased $11.8 million from the year-ago quarter primarily due to an increase in revenues. Total revenues increased $20.9 million as compared to the year-ago quarter driven by an increase in our average realized price per BOE and an increase in our average daily production primarily due to the acquisition of non-operated working interests in the Williston Basin and Jonah Field in January 2022 and April 2022, respectively.</w:t>
      </w:r>
    </w:p>
    <w:p>
      <w:pPr>
        <w:spacing w:after="0" w:line="188"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Cash used in investing activities for the current quarter increased $1.5 million from the year-ago quarter primarily due to the increase in development capital expenditures and the acquisition of non-operated working interests in the Williston Basin and Jonah Field mentioned above.</w:t>
      </w:r>
    </w:p>
    <w:p>
      <w:pPr>
        <w:spacing w:after="0" w:line="184"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Net cash flows used in financing activities for the current quarter increased $10.5 million from the year-ago quarter primarily due to repayment of $9.0 million of borrowings outstanding under our Senior Secured Credit Facility during the current quarter. Additionally, during the current quarter, we paid $4.0 million in dividends to our common stockholders compared to $2.5 million paid in the year-ago quarter.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2022 and 2021</w:t>
      </w:r>
    </w:p>
    <w:p>
      <w:pPr>
        <w:spacing w:after="0" w:line="121" w:lineRule="exact"/>
        <w:rPr>
          <w:sz w:val="20"/>
          <w:szCs w:val="20"/>
          <w:color w:val="auto"/>
        </w:rPr>
      </w:pPr>
    </w:p>
    <w:p>
      <w:pPr>
        <w:ind w:left="60" w:right="599"/>
        <w:spacing w:after="0" w:line="342" w:lineRule="auto"/>
        <w:rPr>
          <w:sz w:val="20"/>
          <w:szCs w:val="20"/>
          <w:color w:val="auto"/>
        </w:rPr>
      </w:pPr>
      <w:r>
        <w:rPr>
          <w:rFonts w:ascii="Arial" w:cs="Arial" w:eastAsia="Arial" w:hAnsi="Arial"/>
          <w:sz w:val="16"/>
          <w:szCs w:val="16"/>
          <w:color w:val="auto"/>
        </w:rPr>
        <w:t>We reported net income of $10.7 million and $5.2 million for the three months ended September 30, 2022 and 2021, respectively. The following table summarizes the comparison of financial information for the periods presented:</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September 30,</w:t>
      </w:r>
    </w:p>
    <w:tbl>
      <w:tblPr>
        <w:tblLayout w:type="fixed"/>
        <w:tblInd w:w="40" w:type="dxa"/>
        <w:tblCellMar>
          <w:top w:w="0" w:type="dxa"/>
          <w:left w:w="0" w:type="dxa"/>
          <w:bottom w:w="0" w:type="dxa"/>
          <w:right w:w="0" w:type="dxa"/>
        </w:tblCellMar>
      </w:tblPr>
      <w:tr>
        <w:trPr>
          <w:trHeight w:val="221"/>
        </w:trPr>
        <w:tc>
          <w:tcPr>
            <w:tcW w:w="4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10,707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5,218</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5,489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105.2</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71.2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19,848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14,390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263.6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39,797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18,879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20,918</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110.8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2,036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165.9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110.7</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133.0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Depreciation of other property and equipment</w:t>
            </w:r>
          </w:p>
        </w:tc>
        <w:tc>
          <w:tcPr>
            <w:tcW w:w="2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173.3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Net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(603)</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376.5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(3,064)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101.6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Crude oil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Natural gas (MMCF)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liquids (MBBL)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2"/>
                <w:szCs w:val="12"/>
                <w:color w:val="auto"/>
              </w:rPr>
              <w:t>Equivalent (MBOE)</w:t>
            </w:r>
            <w:r>
              <w:rPr>
                <w:rFonts w:ascii="Arial" w:cs="Arial" w:eastAsia="Arial" w:hAnsi="Arial"/>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Average daily production (BOEPD)</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b w:val="1"/>
                <w:bCs w:val="1"/>
                <w:color w:val="auto"/>
              </w:rPr>
              <w:t>Average price per unit</w:t>
            </w:r>
            <w:r>
              <w:rPr>
                <w:rFonts w:ascii="Arial" w:cs="Arial" w:eastAsia="Arial" w:hAnsi="Arial"/>
                <w:sz w:val="17"/>
                <w:szCs w:val="17"/>
                <w:i w:val="1"/>
                <w:iCs w:val="1"/>
                <w:color w:val="auto"/>
                <w:vertAlign w:val="superscript"/>
              </w:rPr>
              <w:t>(2)</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Crude oil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36.5</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115.1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NGL (BBL)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2"/>
                <w:szCs w:val="12"/>
                <w:color w:val="auto"/>
              </w:rPr>
              <w:t>Equivalent (BOE)</w:t>
            </w:r>
            <w:r>
              <w:rPr>
                <w:rFonts w:ascii="Arial" w:cs="Arial" w:eastAsia="Arial" w:hAnsi="Arial"/>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21.84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cost per unit: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costs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104.8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Depletion of full cost proved oil and gas properties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79.2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1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 %</w:t>
            </w:r>
          </w:p>
        </w:tc>
      </w:tr>
      <w:tr>
        <w:trPr>
          <w:trHeight w:val="135"/>
        </w:trPr>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89" w:lineRule="exact"/>
        <w:rPr>
          <w:sz w:val="20"/>
          <w:szCs w:val="20"/>
          <w:color w:val="auto"/>
        </w:rPr>
      </w:pPr>
    </w:p>
    <w:p>
      <w:pPr>
        <w:ind w:left="380" w:right="159" w:hanging="330"/>
        <w:spacing w:after="0" w:line="227" w:lineRule="auto"/>
        <w:tabs>
          <w:tab w:leader="none" w:pos="38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Crude oil, natural gas and NGL revenues were $39.8 million and $18.9 million for the three months ended September 30, 2022 and 2021, respectively. The increase in revenue is primarily due to a 29.9% increase in average daily equivalent production from the year-ago quarter of 5,848 BOEPD to 7,598 BOEPD for the current quarter due to the acquisition of non-operated working interests in the Williston Basin and Jonah Field in January 2022 and April 2022, respectively, which increased current quarter production by approximately 2,453 BOEPD. This increase was offset by a decrease of 27.2% in NGL production primarily due to ethane rejection at the Barnett Shale properties. Our average realized commodity prices (excluding the impact of derivative contracts) increased approximately $21.84 per BOE, or 62.2%, over the year-ago quarter. Oil and natural gas prices are inherently volatile and began to stabilize in 2021 and continued into 2022. Our average realized oil and natural gas prices were higher primarily due to the recovery of WTI and Henry Hub pricing in 2022, as the demand for oil and natural gas which has recovered primarily as a result of the roll-out of the COVID-19 vaccines, lessening of pandemic related government restrictions on individuals and businesses, and sanctions affecting Russian oil and natural gas supplies.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 Operating Costs</w:t>
      </w:r>
    </w:p>
    <w:p>
      <w:pPr>
        <w:spacing w:after="0" w:line="225"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Ad valorem and production taxes were $3.3 million and $1.2 million for the three months ended September 30, 2022 and 2021, respectively. On a per unit basis, ad valorem and production taxes were $4.67 per BOE and $2.28 per BOE for the three months ended September 30, 2022 and 2021, respectively. The increase in ad valorem and production taxes is primarily due to increases in oil and natural gas prices and increased production volumes described above as production taxes are based on sales at the wellhead.</w:t>
      </w:r>
    </w:p>
    <w:p>
      <w:pPr>
        <w:spacing w:after="0" w:line="92" w:lineRule="exact"/>
        <w:rPr>
          <w:sz w:val="20"/>
          <w:szCs w:val="20"/>
          <w:color w:val="auto"/>
        </w:rPr>
      </w:pPr>
    </w:p>
    <w:p>
      <w:pPr>
        <w:ind w:left="60" w:right="199"/>
        <w:spacing w:after="0" w:line="278" w:lineRule="auto"/>
        <w:rPr>
          <w:sz w:val="20"/>
          <w:szCs w:val="20"/>
          <w:color w:val="auto"/>
        </w:rPr>
      </w:pPr>
      <w:r>
        <w:rPr>
          <w:rFonts w:ascii="Arial" w:cs="Arial" w:eastAsia="Arial" w:hAnsi="Arial"/>
          <w:sz w:val="16"/>
          <w:szCs w:val="16"/>
          <w:color w:val="auto"/>
        </w:rPr>
        <w:t>The following table summarizes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and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for the three months ended September 30, 2022 and 2021.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costs are for the Delhi Field. Under our contract with the Delhi Field operator,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is priced at 1% of the realized oil price in the field per MCF, plus sales taxes and transportation costs as per contract terms.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920" w:type="dxa"/>
            <w:vAlign w:val="bottom"/>
            <w:gridSpan w:val="4"/>
          </w:tcPr>
          <w:p>
            <w:pPr>
              <w:jc w:val="center"/>
              <w:ind w:left="261"/>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3"/>
        </w:trPr>
        <w:tc>
          <w:tcPr>
            <w:tcW w:w="4320" w:type="dxa"/>
            <w:vAlign w:val="bottom"/>
          </w:tcPr>
          <w:p>
            <w:pPr>
              <w:spacing w:after="0"/>
              <w:rPr>
                <w:sz w:val="18"/>
                <w:szCs w:val="18"/>
                <w:color w:val="auto"/>
              </w:rPr>
            </w:pPr>
          </w:p>
        </w:tc>
        <w:tc>
          <w:tcPr>
            <w:tcW w:w="1920" w:type="dxa"/>
            <w:vAlign w:val="bottom"/>
            <w:tcBorders>
              <w:bottom w:val="single" w:sz="8" w:color="auto"/>
            </w:tcBorders>
            <w:gridSpan w:val="4"/>
          </w:tcPr>
          <w:p>
            <w:pPr>
              <w:jc w:val="center"/>
              <w:ind w:left="221"/>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9"/>
        </w:trPr>
        <w:tc>
          <w:tcPr>
            <w:tcW w:w="4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Variance %</w:t>
            </w:r>
          </w:p>
        </w:tc>
      </w:tr>
      <w:tr>
        <w:trPr>
          <w:trHeight w:val="169"/>
        </w:trPr>
        <w:tc>
          <w:tcPr>
            <w:tcW w:w="43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CO</w:t>
            </w:r>
            <w:r>
              <w:rPr>
                <w:rFonts w:ascii="Arial" w:cs="Arial" w:eastAsia="Arial" w:hAnsi="Arial"/>
                <w:sz w:val="19"/>
                <w:szCs w:val="19"/>
                <w:color w:val="auto"/>
                <w:vertAlign w:val="subscript"/>
              </w:rPr>
              <w:t>2</w:t>
            </w:r>
            <w:r>
              <w:rPr>
                <w:rFonts w:ascii="Arial" w:cs="Arial" w:eastAsia="Arial" w:hAnsi="Arial"/>
                <w:sz w:val="13"/>
                <w:szCs w:val="13"/>
                <w:color w:val="auto"/>
              </w:rPr>
              <w:t xml:space="preserve"> costs per MCF</w:t>
            </w:r>
          </w:p>
        </w:tc>
        <w:tc>
          <w:tcPr>
            <w:tcW w:w="70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1.11</w:t>
            </w: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0.85</w:t>
            </w: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2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30.6 %</w:t>
            </w:r>
          </w:p>
        </w:tc>
      </w:tr>
      <w:tr>
        <w:trPr>
          <w:trHeight w:val="281"/>
        </w:trPr>
        <w:tc>
          <w:tcPr>
            <w:tcW w:w="4320" w:type="dxa"/>
            <w:vAlign w:val="bottom"/>
          </w:tcPr>
          <w:p>
            <w:pPr>
              <w:ind w:left="20"/>
              <w:spacing w:after="0"/>
              <w:rPr>
                <w:sz w:val="20"/>
                <w:szCs w:val="20"/>
                <w:color w:val="auto"/>
              </w:rPr>
            </w:pPr>
            <w:r>
              <w:rPr>
                <w:rFonts w:ascii="Arial" w:cs="Arial" w:eastAsia="Arial" w:hAnsi="Arial"/>
                <w:sz w:val="14"/>
                <w:szCs w:val="14"/>
                <w:color w:val="auto"/>
              </w:rPr>
              <w:t>CO</w:t>
            </w:r>
            <w:r>
              <w:rPr>
                <w:rFonts w:ascii="Arial" w:cs="Arial" w:eastAsia="Arial" w:hAnsi="Arial"/>
                <w:sz w:val="21"/>
                <w:szCs w:val="21"/>
                <w:color w:val="auto"/>
                <w:vertAlign w:val="subscript"/>
              </w:rPr>
              <w:t>2</w:t>
            </w:r>
            <w:r>
              <w:rPr>
                <w:rFonts w:ascii="Arial" w:cs="Arial" w:eastAsia="Arial" w:hAnsi="Arial"/>
                <w:sz w:val="14"/>
                <w:szCs w:val="14"/>
                <w:color w:val="auto"/>
              </w:rPr>
              <w:t xml:space="preserve"> volumes (MMCF per day, gross)</w:t>
            </w:r>
          </w:p>
        </w:tc>
        <w:tc>
          <w:tcPr>
            <w:tcW w:w="7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90.0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49.2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40.8</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82.9 %</w:t>
            </w:r>
          </w:p>
        </w:tc>
      </w:tr>
    </w:tbl>
    <w:p>
      <w:pPr>
        <w:spacing w:after="0" w:line="14" w:lineRule="exact"/>
        <w:rPr>
          <w:sz w:val="20"/>
          <w:szCs w:val="20"/>
          <w:color w:val="auto"/>
        </w:rPr>
      </w:pPr>
    </w:p>
    <w:p>
      <w:pPr>
        <w:ind w:left="60" w:right="279"/>
        <w:spacing w:after="0" w:line="235" w:lineRule="auto"/>
        <w:rPr>
          <w:sz w:val="20"/>
          <w:szCs w:val="20"/>
          <w:color w:val="auto"/>
        </w:rPr>
      </w:pPr>
      <w:r>
        <w:rPr>
          <w:rFonts w:ascii="Arial" w:cs="Arial" w:eastAsia="Arial" w:hAnsi="Arial"/>
          <w:sz w:val="16"/>
          <w:szCs w:val="16"/>
          <w:color w:val="auto"/>
        </w:rPr>
        <w:t>The $1.3 million increase in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for the current quarter was primarily due to an 82.9% increase in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volumes combined with a 30.6% increase in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per MCF, which was driven by a 36.5% increase in our average realized oil price.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purchases were temporarily suspended throughout the year-ago quarter due to a detected pressure loss in the pipeline that supplies newly purchased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to the Delhi field. Additionally,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 nominations increased from the year-ago quarter to compensate for reduced reservoir pressure.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purchases provide approximately 20% of the injected volumes in the field and the field’s recycle facilities provide the other 80%. We do not have any ownership in the pipeline which is owned and operated by Denbury. On a per unit basis, CO</w:t>
      </w:r>
      <w:r>
        <w:rPr>
          <w:rFonts w:ascii="Arial" w:cs="Arial" w:eastAsia="Arial" w:hAnsi="Arial"/>
          <w:sz w:val="23"/>
          <w:szCs w:val="23"/>
          <w:color w:val="auto"/>
          <w:vertAlign w:val="subscript"/>
        </w:rPr>
        <w:t>2</w:t>
      </w:r>
      <w:r>
        <w:rPr>
          <w:rFonts w:ascii="Arial" w:cs="Arial" w:eastAsia="Arial" w:hAnsi="Arial"/>
          <w:sz w:val="16"/>
          <w:szCs w:val="16"/>
          <w:color w:val="auto"/>
        </w:rPr>
        <w:t xml:space="preserve"> costs were $3.15 per BOE and $1.70 per BOE for the three months ended September 30, 2022 and 2021, respectively.</w:t>
      </w:r>
    </w:p>
    <w:p>
      <w:pPr>
        <w:spacing w:after="0" w:line="20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Compared to the year-ago quarter, other lease operating costs increased 110.7% in the current quarter primarily due to the acquisition of non-operating working interest in the Williston Basin and Jonah Field in January 2022 and April 2022, respectively. Other lease operating costs per BOE for our Jonah Field and Williston Basin properties were approximately $10.09 per BOE and $26.87 per BOE, respectively, for the three months ended September 30, 2022. Other lease operating costs for the Barnett Shale properties were $22.33 per BOE for the three months ended September 30, 2022, an increase of approximately $12.46 per BOE from the year-ago quarter, due to higher gathering, transportation and other expenses as a result of higher commodity prices.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Depletion of Full Cost Proved Oil and Natural Gas Properties</w:t>
      </w:r>
    </w:p>
    <w:p>
      <w:pPr>
        <w:spacing w:after="0" w:line="225"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Depletion expense increased $1.9 million or 133.0% from the year-ago quarter of $1.4 million to $3.3 million for the current quarter primarily due to an increase in production. On a per unit basis, depletion expense was $4.75 per BOE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$2.65 per BOE for the three months ended September 30, 2022 and 2021, respectively. The depletable base of our unit of production calculation increased due to our acquisitions in fiscal year 2022 and increases in our future development costs associated with our proved undeveloped reserve additions at fiscal year-end 2022. These increases were partially offset by an increase in proved reserve volumes.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color w:val="auto"/>
        </w:rPr>
        <w:t>General and administrative expenses for the current quarter increased $0.5 million, or 30.0%, to $2.3 million compared to $1.7 million for the year-ago quarter. The increase is primarily due to approximately $0.2 million for salary and employee benefits due to additional personnel and $0.4 million for consulting fees and business development activities.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Gain (Loss) on Derivative Contracts</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acquisitions during fiscal year 2022, we were required by the terms of our Senior Secured Credit Facility to hedge a portion of our production. The increase in commodity prices since entering into the hedges resulted in a realized loss on hedges for the current quarter and an unrealized loss due to the mark-to-market value of remaining hedges. Certain of our hedges begin to expire in October 2022 with our final hedges expiring March 2023. As of September 30, 2022, we had less than $0.1 million derivative asset all of which was classified as current, and a $0.9 million derivative liability, all of which was classified as current.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September 30,</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(1,722)</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Unrealized gain (loss) on derivative contracts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(603)</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88.80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66.11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22.69</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 effect of natural gas derivative contracts per Mcf</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(0.59)</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Natural gas price per Mcf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99.2</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Interest expense increased $0.2 million compared to the year-ago quarter primarily due to increased borrowings outstanding on our Senior Secured Credit Facility used for acquiring our Williston Basin and Jonah Field properties in fiscal year 2022.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For the three months ended September 30, 2022, we recognized income tax expense of $3.1 million on net income before income taxes of $13.8 million compared to income tax expense of $1.5 million on net income before income taxes of $6.7 million for the three months ended September 30,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w:t>
      </w:r>
    </w:p>
    <w:p>
      <w:pPr>
        <w:spacing w:after="0" w:line="17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2022 and 2021, we did not post collateral. We account for our derivative activities under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establishes accounting and reporting that every derivative instrument be recorded on the balance sheet as either an asset or liability measured at fair value. See Note 7,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to our unaudited condensed consolidated financial statements for more details.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LIBOR plus 2.75%, subject to a minimum LIBOR of 0.25%, or the Prime Rate, as defined under the Senior Secured Credit Facility, plus 1.00%. LIBOR rates are sensitive to the period of contract and market volatility, as well as changes in forward interest rate yields. Under our current policies, we do not use interest rate derivative instruments to manage exposure to interest rate changes.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119"/>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and that such information is accumulated and communicated to our management, including our Principal Executive Officer and Principal Financial Officer, as appropriate, to allow for timely decisions regarding required disclosure.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September 30, 2022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pacing w:after="0" w:line="16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during the quarter ended September 30, 2022, we have determined that there have been no changes in our internal control over financial reporting that have materially affected, or are reasonably likely to materially affect, our internal controls over financial reporting.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unaudited condensed consolidated financial statements in Item 1. </w:t>
      </w:r>
      <w:r>
        <w:rPr>
          <w:rFonts w:ascii="Arial" w:cs="Arial" w:eastAsia="Arial" w:hAnsi="Arial"/>
          <w:sz w:val="18"/>
          <w:szCs w:val="18"/>
          <w:i w:val="1"/>
          <w:iCs w:val="1"/>
          <w:color w:val="auto"/>
        </w:rPr>
        <w:t xml:space="preserve">Condensed Consolidated Financial Statements (Unaudited) </w:t>
      </w:r>
      <w:r>
        <w:rPr>
          <w:rFonts w:ascii="Arial" w:cs="Arial" w:eastAsia="Arial" w:hAnsi="Arial"/>
          <w:sz w:val="18"/>
          <w:szCs w:val="18"/>
          <w:color w:val="auto"/>
        </w:rPr>
        <w:t>for a description of any legal proceedings,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Annual Report on Form 10-K for the year ended June 30, 2022 includes a detailed description of our risk factors.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equity securities during the three months ended September 30, 2022.</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(c) Total number</w:t>
            </w:r>
          </w:p>
        </w:tc>
        <w:tc>
          <w:tcPr>
            <w:tcW w:w="216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w w:val="94"/>
              </w:rPr>
              <w:t>(d) Maximum dollar value</w:t>
            </w:r>
          </w:p>
        </w:tc>
      </w:tr>
      <w:tr>
        <w:trPr>
          <w:trHeight w:val="203"/>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(a) Total number</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87"/>
              </w:rPr>
              <w:t>of shares</w:t>
            </w:r>
          </w:p>
        </w:tc>
        <w:tc>
          <w:tcPr>
            <w:tcW w:w="80" w:type="dxa"/>
            <w:vAlign w:val="bottom"/>
          </w:tcPr>
          <w:p>
            <w:pPr>
              <w:spacing w:after="0"/>
              <w:rPr>
                <w:sz w:val="17"/>
                <w:szCs w:val="17"/>
                <w:color w:val="auto"/>
              </w:rPr>
            </w:pPr>
          </w:p>
        </w:tc>
        <w:tc>
          <w:tcPr>
            <w:tcW w:w="20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of shares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purchased as part</w:t>
            </w:r>
          </w:p>
        </w:tc>
        <w:tc>
          <w:tcPr>
            <w:tcW w:w="80" w:type="dxa"/>
            <w:vAlign w:val="bottom"/>
          </w:tcPr>
          <w:p>
            <w:pPr>
              <w:spacing w:after="0"/>
              <w:rPr>
                <w:sz w:val="17"/>
                <w:szCs w:val="17"/>
                <w:color w:val="auto"/>
              </w:rPr>
            </w:pPr>
          </w:p>
        </w:tc>
        <w:tc>
          <w:tcPr>
            <w:tcW w:w="208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89"/>
              </w:rPr>
              <w:t>purchased under the</w:t>
            </w:r>
          </w:p>
        </w:tc>
      </w:tr>
      <w:tr>
        <w:trPr>
          <w:trHeight w:val="189"/>
        </w:trPr>
        <w:tc>
          <w:tcPr>
            <w:tcW w:w="1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purchased and</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(b) Average price</w:t>
            </w:r>
          </w:p>
        </w:tc>
        <w:tc>
          <w:tcPr>
            <w:tcW w:w="1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9"/>
              </w:rPr>
              <w:t>of public announced</w:t>
            </w:r>
          </w:p>
        </w:tc>
        <w:tc>
          <w:tcPr>
            <w:tcW w:w="80" w:type="dxa"/>
            <w:vAlign w:val="bottom"/>
          </w:tcPr>
          <w:p>
            <w:pPr>
              <w:spacing w:after="0"/>
              <w:rPr>
                <w:sz w:val="16"/>
                <w:szCs w:val="16"/>
                <w:color w:val="auto"/>
              </w:rPr>
            </w:pPr>
          </w:p>
        </w:tc>
        <w:tc>
          <w:tcPr>
            <w:tcW w:w="20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1"/>
              </w:rPr>
              <w:t>plans or programs</w:t>
            </w: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200" w:type="dxa"/>
            <w:vAlign w:val="bottom"/>
          </w:tcPr>
          <w:p>
            <w:pPr>
              <w:spacing w:after="0"/>
              <w:rPr>
                <w:sz w:val="20"/>
                <w:szCs w:val="20"/>
                <w:color w:val="auto"/>
              </w:rPr>
            </w:pPr>
          </w:p>
        </w:tc>
        <w:tc>
          <w:tcPr>
            <w:tcW w:w="1240" w:type="dxa"/>
            <w:vAlign w:val="bottom"/>
            <w:gridSpan w:val="2"/>
          </w:tcPr>
          <w:p>
            <w:pPr>
              <w:jc w:val="center"/>
              <w:ind w:right="400"/>
              <w:spacing w:after="0" w:line="230" w:lineRule="exact"/>
              <w:rPr>
                <w:sz w:val="20"/>
                <w:szCs w:val="20"/>
                <w:color w:val="auto"/>
              </w:rPr>
            </w:pPr>
            <w:r>
              <w:rPr>
                <w:rFonts w:ascii="Arial" w:cs="Arial" w:eastAsia="Arial" w:hAnsi="Arial"/>
                <w:sz w:val="16"/>
                <w:szCs w:val="16"/>
                <w:b w:val="1"/>
                <w:bCs w:val="1"/>
                <w:color w:val="auto"/>
                <w:w w:val="85"/>
              </w:rPr>
              <w:t xml:space="preserve">received </w:t>
            </w:r>
            <w:r>
              <w:rPr>
                <w:rFonts w:ascii="Arial" w:cs="Arial" w:eastAsia="Arial" w:hAnsi="Arial"/>
                <w:sz w:val="24"/>
                <w:szCs w:val="24"/>
                <w:b w:val="1"/>
                <w:bCs w:val="1"/>
                <w:color w:val="auto"/>
                <w:w w:val="85"/>
                <w:vertAlign w:val="superscript"/>
              </w:rPr>
              <w:t>(1)</w:t>
            </w:r>
          </w:p>
        </w:tc>
        <w:tc>
          <w:tcPr>
            <w:tcW w:w="1440" w:type="dxa"/>
            <w:vAlign w:val="bottom"/>
            <w:gridSpan w:val="3"/>
          </w:tcPr>
          <w:p>
            <w:pPr>
              <w:ind w:left="20"/>
              <w:spacing w:after="0" w:line="230" w:lineRule="exact"/>
              <w:rPr>
                <w:sz w:val="20"/>
                <w:szCs w:val="20"/>
                <w:color w:val="auto"/>
              </w:rPr>
            </w:pPr>
            <w:r>
              <w:rPr>
                <w:rFonts w:ascii="Arial" w:cs="Arial" w:eastAsia="Arial" w:hAnsi="Arial"/>
                <w:sz w:val="16"/>
                <w:szCs w:val="16"/>
                <w:b w:val="1"/>
                <w:bCs w:val="1"/>
                <w:color w:val="auto"/>
              </w:rPr>
              <w:t xml:space="preserve">paid per share </w:t>
            </w:r>
            <w:r>
              <w:rPr>
                <w:rFonts w:ascii="Arial" w:cs="Arial" w:eastAsia="Arial" w:hAnsi="Arial"/>
                <w:sz w:val="24"/>
                <w:szCs w:val="24"/>
                <w:b w:val="1"/>
                <w:bCs w:val="1"/>
                <w:color w:val="auto"/>
                <w:vertAlign w:val="superscript"/>
              </w:rPr>
              <w:t>(1)</w:t>
            </w:r>
          </w:p>
        </w:tc>
        <w:tc>
          <w:tcPr>
            <w:tcW w:w="1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1"/>
              </w:rPr>
              <w:t>plans or programs</w:t>
            </w:r>
          </w:p>
        </w:tc>
        <w:tc>
          <w:tcPr>
            <w:tcW w:w="80" w:type="dxa"/>
            <w:vAlign w:val="bottom"/>
          </w:tcPr>
          <w:p>
            <w:pPr>
              <w:spacing w:after="0"/>
              <w:rPr>
                <w:sz w:val="20"/>
                <w:szCs w:val="20"/>
                <w:color w:val="auto"/>
              </w:rPr>
            </w:pPr>
          </w:p>
        </w:tc>
        <w:tc>
          <w:tcPr>
            <w:tcW w:w="208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r>
      <w:tr>
        <w:trPr>
          <w:trHeight w:val="196"/>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July 2022</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jc w:val="right"/>
              <w:ind w:right="19"/>
              <w:spacing w:after="0" w:line="134" w:lineRule="exact"/>
              <w:rPr>
                <w:sz w:val="20"/>
                <w:szCs w:val="20"/>
                <w:color w:val="auto"/>
              </w:rPr>
            </w:pPr>
            <w:r>
              <w:rPr>
                <w:rFonts w:ascii="Arial" w:cs="Arial" w:eastAsia="Arial" w:hAnsi="Arial"/>
                <w:sz w:val="12"/>
                <w:szCs w:val="12"/>
                <w:color w:val="auto"/>
                <w:w w:val="81"/>
              </w:rPr>
              <w:t>(2)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80" w:type="dxa"/>
            <w:vAlign w:val="bottom"/>
            <w:tcBorders>
              <w:top w:val="single" w:sz="8" w:color="CCEEFF"/>
            </w:tcBorders>
            <w:shd w:val="clear" w:color="auto" w:fill="CCEEFF"/>
          </w:tcPr>
          <w:p>
            <w:pPr>
              <w:jc w:val="right"/>
              <w:ind w:right="59"/>
              <w:spacing w:after="0" w:line="134" w:lineRule="exact"/>
              <w:rPr>
                <w:sz w:val="20"/>
                <w:szCs w:val="20"/>
                <w:color w:val="auto"/>
              </w:rPr>
            </w:pPr>
            <w:r>
              <w:rPr>
                <w:rFonts w:ascii="Arial" w:cs="Arial" w:eastAsia="Arial" w:hAnsi="Arial"/>
                <w:sz w:val="12"/>
                <w:szCs w:val="12"/>
                <w:color w:val="auto"/>
                <w:w w:val="95"/>
              </w:rPr>
              <w:t>(2)</w:t>
            </w:r>
          </w:p>
        </w:tc>
      </w:tr>
      <w:tr>
        <w:trPr>
          <w:trHeight w:val="20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August 2022</w:t>
            </w:r>
          </w:p>
        </w:tc>
        <w:tc>
          <w:tcPr>
            <w:tcW w:w="2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19"/>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(2)</w:t>
            </w:r>
          </w:p>
        </w:tc>
        <w:tc>
          <w:tcPr>
            <w:tcW w:w="80" w:type="dxa"/>
            <w:vAlign w:val="bottom"/>
          </w:tcPr>
          <w:p>
            <w:pPr>
              <w:spacing w:after="0"/>
              <w:rPr>
                <w:sz w:val="17"/>
                <w:szCs w:val="17"/>
                <w:color w:val="auto"/>
              </w:rPr>
            </w:pPr>
          </w:p>
        </w:tc>
        <w:tc>
          <w:tcPr>
            <w:tcW w:w="2080" w:type="dxa"/>
            <w:vAlign w:val="bottom"/>
            <w:gridSpan w:val="2"/>
          </w:tcPr>
          <w:p>
            <w:pPr>
              <w:jc w:val="right"/>
              <w:ind w:right="59"/>
              <w:spacing w:after="0" w:line="202" w:lineRule="exact"/>
              <w:rPr>
                <w:sz w:val="20"/>
                <w:szCs w:val="20"/>
                <w:color w:val="auto"/>
              </w:rPr>
            </w:pPr>
            <w:r>
              <w:rPr>
                <w:rFonts w:ascii="Arial" w:cs="Arial" w:eastAsia="Arial" w:hAnsi="Arial"/>
                <w:sz w:val="16"/>
                <w:szCs w:val="16"/>
                <w:color w:val="auto"/>
              </w:rPr>
              <w:t xml:space="preserve">960 </w:t>
            </w:r>
            <w:r>
              <w:rPr>
                <w:rFonts w:ascii="Arial" w:cs="Arial" w:eastAsia="Arial" w:hAnsi="Arial"/>
                <w:sz w:val="23"/>
                <w:szCs w:val="23"/>
                <w:color w:val="auto"/>
                <w:vertAlign w:val="superscript"/>
              </w:rPr>
              <w:t>(2)</w:t>
            </w:r>
          </w:p>
        </w:tc>
      </w:tr>
      <w:tr>
        <w:trPr>
          <w:trHeight w:val="20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3,805</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(3)</w:t>
            </w:r>
          </w:p>
        </w:tc>
        <w:tc>
          <w:tcPr>
            <w:tcW w:w="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6"/>
                <w:szCs w:val="16"/>
                <w:color w:val="auto"/>
              </w:rPr>
              <w:t xml:space="preserve">25,000 </w:t>
            </w:r>
            <w:r>
              <w:rPr>
                <w:rFonts w:ascii="Arial" w:cs="Arial" w:eastAsia="Arial" w:hAnsi="Arial"/>
                <w:sz w:val="23"/>
                <w:szCs w:val="23"/>
                <w:color w:val="auto"/>
                <w:vertAlign w:val="superscript"/>
              </w:rPr>
              <w:t>(3)</w:t>
            </w:r>
          </w:p>
        </w:tc>
      </w:tr>
      <w:tr>
        <w:trPr>
          <w:trHeight w:val="135"/>
        </w:trPr>
        <w:tc>
          <w:tcPr>
            <w:tcW w:w="1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pacing w:after="0" w:line="94" w:lineRule="exact"/>
        <w:rPr>
          <w:sz w:val="20"/>
          <w:szCs w:val="20"/>
          <w:color w:val="auto"/>
        </w:rPr>
      </w:pPr>
    </w:p>
    <w:p>
      <w:pPr>
        <w:ind w:left="380" w:right="539" w:hanging="330"/>
        <w:spacing w:after="0" w:line="216" w:lineRule="auto"/>
        <w:tabs>
          <w:tab w:leader="none" w:pos="380" w:val="left"/>
        </w:tabs>
        <w:numPr>
          <w:ilvl w:val="0"/>
          <w:numId w:val="10"/>
        </w:numPr>
        <w:rPr>
          <w:rFonts w:ascii="Arial" w:cs="Arial" w:eastAsia="Arial" w:hAnsi="Arial"/>
          <w:sz w:val="26"/>
          <w:szCs w:val="26"/>
          <w:i w:val="1"/>
          <w:iCs w:val="1"/>
          <w:color w:val="auto"/>
          <w:vertAlign w:val="superscript"/>
        </w:rPr>
      </w:pPr>
      <w:r>
        <w:rPr>
          <w:rFonts w:ascii="Arial" w:cs="Arial" w:eastAsia="Arial" w:hAnsi="Arial"/>
          <w:sz w:val="17"/>
          <w:szCs w:val="17"/>
          <w:color w:val="auto"/>
        </w:rPr>
        <w:t>During the three months ended September 30, 2022, all of the shares received were surrendered by employees in exchange for the payment of tax withholding upon the vesting of restricted stock awards.</w:t>
      </w:r>
    </w:p>
    <w:p>
      <w:pPr>
        <w:spacing w:after="0" w:line="1" w:lineRule="exact"/>
        <w:rPr>
          <w:rFonts w:ascii="Arial" w:cs="Arial" w:eastAsia="Arial" w:hAnsi="Arial"/>
          <w:sz w:val="26"/>
          <w:szCs w:val="26"/>
          <w:i w:val="1"/>
          <w:iCs w:val="1"/>
          <w:color w:val="auto"/>
          <w:vertAlign w:val="superscript"/>
        </w:rPr>
      </w:pPr>
    </w:p>
    <w:p>
      <w:pPr>
        <w:ind w:left="380" w:right="299" w:hanging="330"/>
        <w:spacing w:after="0" w:line="222" w:lineRule="auto"/>
        <w:tabs>
          <w:tab w:leader="none" w:pos="380" w:val="left"/>
        </w:tabs>
        <w:numPr>
          <w:ilvl w:val="0"/>
          <w:numId w:val="10"/>
        </w:numPr>
        <w:rPr>
          <w:rFonts w:ascii="Arial" w:cs="Arial" w:eastAsia="Arial" w:hAnsi="Arial"/>
          <w:sz w:val="27"/>
          <w:szCs w:val="27"/>
          <w:i w:val="1"/>
          <w:iCs w:val="1"/>
          <w:color w:val="auto"/>
          <w:vertAlign w:val="superscript"/>
        </w:rPr>
      </w:pPr>
      <w:r>
        <w:rPr>
          <w:rFonts w:ascii="Arial" w:cs="Arial" w:eastAsia="Arial" w:hAnsi="Arial"/>
          <w:sz w:val="18"/>
          <w:szCs w:val="18"/>
          <w:color w:val="auto"/>
        </w:rPr>
        <w:t>On May 12, 2015, the Board of Directors approved a share repurchase program covering up to $5 million of the Company's common stock. This program has since concluded. Under the program's terms, shares were repurchased only on the open market and in accordance with the requirements of the SEC. Such shares were initially recorded as treasury stock, then subsequently canceled.</w:t>
      </w:r>
    </w:p>
    <w:p>
      <w:pPr>
        <w:spacing w:after="0" w:line="2" w:lineRule="exact"/>
        <w:rPr>
          <w:rFonts w:ascii="Arial" w:cs="Arial" w:eastAsia="Arial" w:hAnsi="Arial"/>
          <w:sz w:val="27"/>
          <w:szCs w:val="27"/>
          <w:i w:val="1"/>
          <w:iCs w:val="1"/>
          <w:color w:val="auto"/>
          <w:vertAlign w:val="superscript"/>
        </w:rPr>
      </w:pPr>
    </w:p>
    <w:p>
      <w:pPr>
        <w:ind w:left="380" w:right="239" w:hanging="330"/>
        <w:spacing w:after="0" w:line="253" w:lineRule="auto"/>
        <w:tabs>
          <w:tab w:leader="none" w:pos="380" w:val="left"/>
        </w:tabs>
        <w:numPr>
          <w:ilvl w:val="0"/>
          <w:numId w:val="10"/>
        </w:numPr>
        <w:rPr>
          <w:rFonts w:ascii="Arial" w:cs="Arial" w:eastAsia="Arial" w:hAnsi="Arial"/>
          <w:sz w:val="24"/>
          <w:szCs w:val="24"/>
          <w:i w:val="1"/>
          <w:iCs w:val="1"/>
          <w:color w:val="auto"/>
          <w:vertAlign w:val="superscript"/>
        </w:rPr>
      </w:pPr>
      <w:r>
        <w:rPr>
          <w:rFonts w:ascii="Arial" w:cs="Arial" w:eastAsia="Arial" w:hAnsi="Arial"/>
          <w:sz w:val="16"/>
          <w:szCs w:val="16"/>
          <w:color w:val="auto"/>
        </w:rPr>
        <w:t>On September 8, 2022, the Company’s Board of Directors approved a share repurchase program, under which the Company is authorized to repurchase up to $25 million of its common stock through December 31, 2024. The shares may be repurchased from time to time in open market transactions, through privately negotiated transactions or by other means in accordance with federal securities laws. The timing, as well as the number and value of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39"/>
        <w:spacing w:after="0" w:line="320" w:lineRule="auto"/>
        <w:rPr>
          <w:sz w:val="20"/>
          <w:szCs w:val="20"/>
          <w:color w:val="auto"/>
        </w:rPr>
      </w:pPr>
      <w:r>
        <w:rPr>
          <w:rFonts w:ascii="Arial" w:cs="Arial" w:eastAsia="Arial" w:hAnsi="Arial"/>
          <w:sz w:val="15"/>
          <w:szCs w:val="15"/>
          <w:color w:val="auto"/>
        </w:rPr>
        <w:t>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w:t>
            </w:r>
          </w:p>
        </w:tc>
        <w:tc>
          <w:tcPr>
            <w:tcW w:w="774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2"/>
                <w:shd w:val="clear" w:color="auto" w:fill="CCEEFF"/>
              </w:rPr>
            </w:pPr>
            <w:hyperlink r:id="rId51">
              <w:r>
                <w:rPr>
                  <w:rFonts w:ascii="Arial" w:cs="Arial" w:eastAsia="Arial" w:hAnsi="Arial"/>
                  <w:sz w:val="18"/>
                  <w:szCs w:val="18"/>
                  <w:color w:val="0000EE"/>
                  <w:w w:val="92"/>
                  <w:shd w:val="clear" w:color="auto" w:fill="CCEEFF"/>
                </w:rPr>
                <w:t>Articles of Incorporation (incorporated by reference to Exhibit 3.1 of our Current Report on Form 8-K filed</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248"/>
        </w:trPr>
        <w:tc>
          <w:tcPr>
            <w:tcW w:w="10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88"/>
                <w:shd w:val="clear" w:color="auto" w:fill="CCEEFF"/>
              </w:rPr>
            </w:pPr>
            <w:hyperlink r:id="rId51">
              <w:r>
                <w:rPr>
                  <w:rFonts w:ascii="Arial" w:cs="Arial" w:eastAsia="Arial" w:hAnsi="Arial"/>
                  <w:sz w:val="18"/>
                  <w:szCs w:val="18"/>
                  <w:color w:val="0000EE"/>
                  <w:w w:val="88"/>
                  <w:shd w:val="clear" w:color="auto" w:fill="CCEEFF"/>
                </w:rPr>
                <w:t>February 7, 2002</w:t>
              </w:r>
            </w:hyperlink>
          </w:p>
        </w:tc>
        <w:tc>
          <w:tcPr>
            <w:tcW w:w="2180" w:type="dxa"/>
            <w:vAlign w:val="bottom"/>
            <w:tcBorders>
              <w:bottom w:val="single" w:sz="8" w:color="CCEEFF"/>
            </w:tcBorders>
            <w:shd w:val="clear" w:color="auto" w:fill="CCEEFF"/>
          </w:tcPr>
          <w:p>
            <w:pPr>
              <w:jc w:val="right"/>
              <w:ind w:right="2041"/>
              <w:spacing w:after="0"/>
              <w:rPr>
                <w:rFonts w:ascii="Arial" w:cs="Arial" w:eastAsia="Arial" w:hAnsi="Arial"/>
                <w:sz w:val="16"/>
                <w:szCs w:val="16"/>
                <w:color w:val="auto"/>
                <w:w w:val="74"/>
                <w:shd w:val="clear" w:color="auto" w:fill="CCEEFF"/>
              </w:rPr>
            </w:pPr>
            <w:hyperlink r:id="rId51">
              <w:r>
                <w:rPr>
                  <w:rFonts w:ascii="Arial" w:cs="Arial" w:eastAsia="Arial" w:hAnsi="Arial"/>
                  <w:sz w:val="16"/>
                  <w:szCs w:val="16"/>
                  <w:color w:val="auto"/>
                  <w:w w:val="74"/>
                  <w:shd w:val="clear" w:color="auto" w:fill="CCEEFF"/>
                </w:rPr>
                <w:t>)</w:t>
              </w:r>
            </w:hyperlink>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76"/>
        </w:trPr>
        <w:tc>
          <w:tcPr>
            <w:tcW w:w="1080" w:type="dxa"/>
            <w:vAlign w:val="bottom"/>
            <w:tcBorders>
              <w:top w:val="single" w:sz="8" w:color="CCEEFF"/>
            </w:tcBorders>
          </w:tcPr>
          <w:p>
            <w:pPr>
              <w:jc w:val="right"/>
              <w:ind w:right="210"/>
              <w:spacing w:after="0" w:line="176" w:lineRule="exact"/>
              <w:rPr>
                <w:sz w:val="20"/>
                <w:szCs w:val="20"/>
                <w:color w:val="auto"/>
              </w:rPr>
            </w:pPr>
            <w:r>
              <w:rPr>
                <w:rFonts w:ascii="Arial" w:cs="Arial" w:eastAsia="Arial" w:hAnsi="Arial"/>
                <w:sz w:val="18"/>
                <w:szCs w:val="18"/>
                <w:color w:val="auto"/>
              </w:rPr>
              <w:t>3.2</w:t>
            </w:r>
          </w:p>
        </w:tc>
        <w:tc>
          <w:tcPr>
            <w:tcW w:w="7380" w:type="dxa"/>
            <w:vAlign w:val="bottom"/>
            <w:tcBorders>
              <w:top w:val="single" w:sz="8" w:color="CCEEFF"/>
              <w:bottom w:val="single" w:sz="8" w:color="0000EE"/>
            </w:tcBorders>
            <w:gridSpan w:val="9"/>
          </w:tcPr>
          <w:p>
            <w:pPr>
              <w:spacing w:after="0" w:line="17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Certificate of Amendment to Articles of Incorporation (incorporated by reference to Exhibit 3.2 of our</w:t>
              </w:r>
            </w:hyperlink>
          </w:p>
        </w:tc>
        <w:tc>
          <w:tcPr>
            <w:tcW w:w="440" w:type="dxa"/>
            <w:vAlign w:val="bottom"/>
            <w:tcBorders>
              <w:top w:val="single" w:sz="8" w:color="CCEEFF"/>
            </w:tcBorders>
            <w:gridSpan w:val="5"/>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Current Report on Form 8-K filed February 7, 2002)</w:t>
              </w:r>
            </w:hyperlink>
          </w:p>
        </w:tc>
      </w:tr>
      <w:tr>
        <w:trPr>
          <w:trHeight w:val="48"/>
        </w:trPr>
        <w:tc>
          <w:tcPr>
            <w:tcW w:w="1080" w:type="dxa"/>
            <w:vAlign w:val="bottom"/>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3.3</w:t>
            </w:r>
          </w:p>
        </w:tc>
        <w:tc>
          <w:tcPr>
            <w:tcW w:w="73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shd w:val="clear" w:color="auto" w:fill="CCEEFF"/>
              </w:rPr>
            </w:pPr>
            <w:hyperlink r:id="rId53">
              <w:r>
                <w:rPr>
                  <w:rFonts w:ascii="Arial" w:cs="Arial" w:eastAsia="Arial" w:hAnsi="Arial"/>
                  <w:sz w:val="18"/>
                  <w:szCs w:val="18"/>
                  <w:color w:val="0000EE"/>
                  <w:w w:val="92"/>
                  <w:shd w:val="clear" w:color="auto" w:fill="CCEEFF"/>
                </w:rPr>
                <w:t>Certificate of Amendment to Articles of Incorporation (incorporated by reference to Exhibit 3.3 of our</w:t>
              </w:r>
            </w:hyperlink>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15"/>
                <w:szCs w:val="15"/>
                <w:color w:val="auto"/>
              </w:rPr>
            </w:pPr>
          </w:p>
        </w:tc>
      </w:tr>
      <w:tr>
        <w:trPr>
          <w:trHeight w:val="248"/>
        </w:trPr>
        <w:tc>
          <w:tcPr>
            <w:tcW w:w="108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1"/>
                <w:shd w:val="clear" w:color="auto" w:fill="CCEEFF"/>
              </w:rPr>
            </w:pPr>
            <w:hyperlink r:id="rId53">
              <w:r>
                <w:rPr>
                  <w:rFonts w:ascii="Arial" w:cs="Arial" w:eastAsia="Arial" w:hAnsi="Arial"/>
                  <w:sz w:val="18"/>
                  <w:szCs w:val="18"/>
                  <w:color w:val="0000EE"/>
                  <w:w w:val="91"/>
                  <w:shd w:val="clear" w:color="auto" w:fill="CCEEFF"/>
                </w:rPr>
                <w:t>Registration Statement on Form SB-2/A filed October 19, 2005)</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76"/>
        </w:trPr>
        <w:tc>
          <w:tcPr>
            <w:tcW w:w="1080" w:type="dxa"/>
            <w:vAlign w:val="bottom"/>
            <w:tcBorders>
              <w:top w:val="single" w:sz="8" w:color="CCEEFF"/>
            </w:tcBorders>
          </w:tcPr>
          <w:p>
            <w:pPr>
              <w:jc w:val="right"/>
              <w:ind w:right="210"/>
              <w:spacing w:after="0" w:line="176" w:lineRule="exact"/>
              <w:rPr>
                <w:sz w:val="20"/>
                <w:szCs w:val="20"/>
                <w:color w:val="auto"/>
              </w:rPr>
            </w:pPr>
            <w:r>
              <w:rPr>
                <w:rFonts w:ascii="Arial" w:cs="Arial" w:eastAsia="Arial" w:hAnsi="Arial"/>
                <w:sz w:val="18"/>
                <w:szCs w:val="18"/>
                <w:color w:val="auto"/>
              </w:rPr>
              <w:t>3.4</w:t>
            </w:r>
          </w:p>
        </w:tc>
        <w:tc>
          <w:tcPr>
            <w:tcW w:w="7820" w:type="dxa"/>
            <w:vAlign w:val="bottom"/>
            <w:tcBorders>
              <w:top w:val="single" w:sz="8" w:color="CCEEFF"/>
            </w:tcBorders>
            <w:gridSpan w:val="14"/>
          </w:tcPr>
          <w:p>
            <w:pPr>
              <w:spacing w:after="0" w:line="176"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Certificate of Designation of Rights and Preferences for 8.5% Series A Cumulative Preferred Stock</w:t>
              </w:r>
            </w:hyperlink>
          </w:p>
        </w:tc>
      </w:tr>
      <w:tr>
        <w:trPr>
          <w:trHeight w:val="196"/>
        </w:trPr>
        <w:tc>
          <w:tcPr>
            <w:tcW w:w="1080" w:type="dxa"/>
            <w:vAlign w:val="bottom"/>
          </w:tcPr>
          <w:p>
            <w:pPr>
              <w:spacing w:after="0"/>
              <w:rPr>
                <w:sz w:val="17"/>
                <w:szCs w:val="17"/>
                <w:color w:val="auto"/>
              </w:rPr>
            </w:pPr>
          </w:p>
        </w:tc>
        <w:tc>
          <w:tcPr>
            <w:tcW w:w="714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(incorporated by reference to Exhibit 3.1 of our Current Report on Form 8-K filed June 29, 2011)</w:t>
              </w:r>
            </w:hyperlink>
          </w:p>
        </w:tc>
        <w:tc>
          <w:tcPr>
            <w:tcW w:w="680" w:type="dxa"/>
            <w:vAlign w:val="bottom"/>
            <w:gridSpan w:val="6"/>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6"/>
        </w:trPr>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3.5</w:t>
            </w:r>
          </w:p>
        </w:tc>
        <w:tc>
          <w:tcPr>
            <w:tcW w:w="75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shd w:val="clear" w:color="auto" w:fill="CCEEFF"/>
              </w:rPr>
            </w:pPr>
            <w:hyperlink r:id="rId55">
              <w:r>
                <w:rPr>
                  <w:rFonts w:ascii="Arial" w:cs="Arial" w:eastAsia="Arial" w:hAnsi="Arial"/>
                  <w:sz w:val="18"/>
                  <w:szCs w:val="18"/>
                  <w:color w:val="0000EE"/>
                  <w:w w:val="92"/>
                  <w:shd w:val="clear" w:color="auto" w:fill="CCEEFF"/>
                </w:rPr>
                <w:t>Amended Bylaws (incorporated by reference to Exhibit 2.1 of our Annual Report on Form 10-KSB filed</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r>
      <w:tr>
        <w:trPr>
          <w:trHeight w:val="248"/>
        </w:trPr>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9"/>
                <w:shd w:val="clear" w:color="auto" w:fill="CCEEFF"/>
              </w:rPr>
            </w:pPr>
            <w:hyperlink r:id="rId55">
              <w:r>
                <w:rPr>
                  <w:rFonts w:ascii="Arial" w:cs="Arial" w:eastAsia="Arial" w:hAnsi="Arial"/>
                  <w:sz w:val="18"/>
                  <w:szCs w:val="18"/>
                  <w:color w:val="0000EE"/>
                  <w:w w:val="89"/>
                  <w:shd w:val="clear" w:color="auto" w:fill="CCEEFF"/>
                </w:rPr>
                <w:t>March 31, 2004)</w:t>
              </w:r>
            </w:hyperlink>
          </w:p>
        </w:tc>
        <w:tc>
          <w:tcPr>
            <w:tcW w:w="2220" w:type="dxa"/>
            <w:vAlign w:val="bottom"/>
            <w:tcBorders>
              <w:bottom w:val="single" w:sz="8" w:color="CCEEFF"/>
            </w:tcBorders>
            <w:gridSpan w:val="2"/>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75"/>
        </w:trPr>
        <w:tc>
          <w:tcPr>
            <w:tcW w:w="1080" w:type="dxa"/>
            <w:vAlign w:val="bottom"/>
            <w:tcBorders>
              <w:top w:val="single" w:sz="8" w:color="CCEEFF"/>
            </w:tcBorders>
          </w:tcPr>
          <w:p>
            <w:pPr>
              <w:jc w:val="right"/>
              <w:ind w:right="210"/>
              <w:spacing w:after="0" w:line="176" w:lineRule="exact"/>
              <w:rPr>
                <w:sz w:val="20"/>
                <w:szCs w:val="20"/>
                <w:color w:val="auto"/>
              </w:rPr>
            </w:pPr>
            <w:r>
              <w:rPr>
                <w:rFonts w:ascii="Arial" w:cs="Arial" w:eastAsia="Arial" w:hAnsi="Arial"/>
                <w:sz w:val="18"/>
                <w:szCs w:val="18"/>
                <w:color w:val="auto"/>
              </w:rPr>
              <w:t>31.1**</w:t>
            </w:r>
          </w:p>
        </w:tc>
        <w:tc>
          <w:tcPr>
            <w:tcW w:w="7440" w:type="dxa"/>
            <w:vAlign w:val="bottom"/>
            <w:tcBorders>
              <w:top w:val="single" w:sz="8" w:color="CCEEFF"/>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92"/>
              </w:rPr>
              <w:t>Certification of Principal Executive Officer Pursuant to Rule 15D-14 of the Securities Exchange Act of</w:t>
            </w:r>
          </w:p>
        </w:tc>
        <w:tc>
          <w:tcPr>
            <w:tcW w:w="380" w:type="dxa"/>
            <w:vAlign w:val="bottom"/>
            <w:tcBorders>
              <w:top w:val="single" w:sz="8" w:color="CCEEFF"/>
            </w:tcBorders>
            <w:gridSpan w:val="4"/>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4"/>
          </w:tcPr>
          <w:p>
            <w:pPr>
              <w:spacing w:after="0" w:line="196"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r>
      <w:tr>
        <w:trPr>
          <w:trHeight w:val="48"/>
        </w:trPr>
        <w:tc>
          <w:tcPr>
            <w:tcW w:w="1080" w:type="dxa"/>
            <w:vAlign w:val="bottom"/>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108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31.2**</w:t>
            </w:r>
          </w:p>
        </w:tc>
        <w:tc>
          <w:tcPr>
            <w:tcW w:w="782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7"/>
              </w:rPr>
              <w:t>Certification of Principal Financial Officer Pursuant to Rule 15D-14 of the Securities Exchange Act of</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7380" w:type="dxa"/>
            <w:vAlign w:val="bottom"/>
            <w:tcBorders>
              <w:top w:val="single" w:sz="8" w:color="0000EE"/>
            </w:tcBorders>
            <w:gridSpan w:val="9"/>
            <w:shd w:val="clear" w:color="auto" w:fill="CCEEFF"/>
          </w:tcPr>
          <w:p>
            <w:pPr>
              <w:spacing w:after="0" w:line="196"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4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88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175"/>
        </w:trPr>
        <w:tc>
          <w:tcPr>
            <w:tcW w:w="108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32.1**</w:t>
            </w:r>
          </w:p>
        </w:tc>
        <w:tc>
          <w:tcPr>
            <w:tcW w:w="7500" w:type="dxa"/>
            <w:vAlign w:val="bottom"/>
            <w:tcBorders>
              <w:bottom w:val="single" w:sz="8" w:color="0000EE"/>
            </w:tcBorders>
            <w:gridSpan w:val="11"/>
          </w:tcPr>
          <w:p>
            <w:pPr>
              <w:spacing w:after="0" w:line="176" w:lineRule="exact"/>
              <w:rPr>
                <w:sz w:val="20"/>
                <w:szCs w:val="20"/>
                <w:color w:val="auto"/>
              </w:rPr>
            </w:pPr>
            <w:r>
              <w:rPr>
                <w:rFonts w:ascii="Arial" w:cs="Arial" w:eastAsia="Arial" w:hAnsi="Arial"/>
                <w:sz w:val="18"/>
                <w:szCs w:val="18"/>
                <w:color w:val="0000EE"/>
                <w:w w:val="91"/>
              </w:rPr>
              <w:t>Certification of Principal Executive Officer Pursuant to 18 U.S.C. Section 1350, as Adopted Pursuant to</w:t>
            </w:r>
          </w:p>
        </w:tc>
        <w:tc>
          <w:tcPr>
            <w:tcW w:w="320" w:type="dxa"/>
            <w:vAlign w:val="bottom"/>
            <w:gridSpan w:val="3"/>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4"/>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48"/>
        </w:trPr>
        <w:tc>
          <w:tcPr>
            <w:tcW w:w="1080" w:type="dxa"/>
            <w:vAlign w:val="bottom"/>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75"/>
        </w:trPr>
        <w:tc>
          <w:tcPr>
            <w:tcW w:w="1080" w:type="dxa"/>
            <w:vAlign w:val="bottom"/>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32.2**</w:t>
            </w:r>
          </w:p>
        </w:tc>
        <w:tc>
          <w:tcPr>
            <w:tcW w:w="782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w w:val="96"/>
              </w:rPr>
              <w:t>Certification of Principal Financial Officer Pursuant to 18 U.S.C. Section 1350, as Adopted Pursuant to</w:t>
            </w:r>
          </w:p>
        </w:tc>
      </w:tr>
      <w:tr>
        <w:trPr>
          <w:trHeight w:val="243"/>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42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4020" w:type="dxa"/>
            <w:vAlign w:val="bottom"/>
            <w:tcBorders>
              <w:top w:val="single" w:sz="8" w:color="0000EE"/>
              <w:bottom w:val="single" w:sz="8" w:color="CCEEFF"/>
            </w:tcBorders>
            <w:gridSpan w:val="7"/>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37"/>
        </w:trPr>
        <w:tc>
          <w:tcPr>
            <w:tcW w:w="1080" w:type="dxa"/>
            <w:vAlign w:val="bottom"/>
          </w:tcPr>
          <w:p>
            <w:pPr>
              <w:jc w:val="right"/>
              <w:ind w:right="210"/>
              <w:spacing w:after="0"/>
              <w:rPr>
                <w:sz w:val="20"/>
                <w:szCs w:val="20"/>
                <w:color w:val="auto"/>
              </w:rPr>
            </w:pPr>
            <w:r>
              <w:rPr>
                <w:rFonts w:ascii="Arial" w:cs="Arial" w:eastAsia="Arial" w:hAnsi="Arial"/>
                <w:sz w:val="18"/>
                <w:szCs w:val="18"/>
                <w:color w:val="auto"/>
              </w:rPr>
              <w:t>101.INS*</w:t>
            </w:r>
          </w:p>
        </w:tc>
        <w:tc>
          <w:tcPr>
            <w:tcW w:w="782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249"/>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4"/>
              </w:rPr>
              <w:t>101.SCH*</w:t>
            </w:r>
          </w:p>
        </w:tc>
        <w:tc>
          <w:tcPr>
            <w:tcW w:w="78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7"/>
        </w:trPr>
        <w:tc>
          <w:tcPr>
            <w:tcW w:w="1080" w:type="dxa"/>
            <w:vAlign w:val="bottom"/>
          </w:tcPr>
          <w:p>
            <w:pPr>
              <w:jc w:val="right"/>
              <w:ind w:right="210"/>
              <w:spacing w:after="0"/>
              <w:rPr>
                <w:sz w:val="20"/>
                <w:szCs w:val="20"/>
                <w:color w:val="auto"/>
              </w:rPr>
            </w:pPr>
            <w:r>
              <w:rPr>
                <w:rFonts w:ascii="Arial" w:cs="Arial" w:eastAsia="Arial" w:hAnsi="Arial"/>
                <w:sz w:val="18"/>
                <w:szCs w:val="18"/>
                <w:color w:val="auto"/>
                <w:w w:val="98"/>
              </w:rPr>
              <w:t>101.CAL*</w:t>
            </w:r>
          </w:p>
        </w:tc>
        <w:tc>
          <w:tcPr>
            <w:tcW w:w="78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9"/>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7"/>
              </w:rPr>
              <w:t>101.DEF*</w:t>
            </w:r>
          </w:p>
        </w:tc>
        <w:tc>
          <w:tcPr>
            <w:tcW w:w="78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7"/>
        </w:trPr>
        <w:tc>
          <w:tcPr>
            <w:tcW w:w="1080" w:type="dxa"/>
            <w:vAlign w:val="bottom"/>
          </w:tcPr>
          <w:p>
            <w:pPr>
              <w:jc w:val="right"/>
              <w:ind w:right="210"/>
              <w:spacing w:after="0"/>
              <w:rPr>
                <w:sz w:val="20"/>
                <w:szCs w:val="20"/>
                <w:color w:val="auto"/>
              </w:rPr>
            </w:pPr>
            <w:r>
              <w:rPr>
                <w:rFonts w:ascii="Arial" w:cs="Arial" w:eastAsia="Arial" w:hAnsi="Arial"/>
                <w:sz w:val="18"/>
                <w:szCs w:val="18"/>
                <w:color w:val="auto"/>
                <w:w w:val="99"/>
              </w:rPr>
              <w:t>101.LAB*</w:t>
            </w:r>
          </w:p>
        </w:tc>
        <w:tc>
          <w:tcPr>
            <w:tcW w:w="78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9"/>
        </w:trPr>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6"/>
              </w:rPr>
              <w:t>101.PRE*</w:t>
            </w:r>
          </w:p>
        </w:tc>
        <w:tc>
          <w:tcPr>
            <w:tcW w:w="782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8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782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85090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Evolution Petroleum Corporation</w:t>
      </w:r>
    </w:p>
    <w:p>
      <w:pPr>
        <w:spacing w:after="0" w:line="40" w:lineRule="exact"/>
        <w:rPr>
          <w:sz w:val="20"/>
          <w:szCs w:val="20"/>
          <w:color w:val="auto"/>
        </w:rPr>
      </w:pPr>
    </w:p>
    <w:p>
      <w:pPr>
        <w:ind w:left="40"/>
        <w:spacing w:after="0"/>
        <w:tabs>
          <w:tab w:leader="none" w:pos="4560" w:val="left"/>
          <w:tab w:leader="none" w:pos="612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KELLY W. LOYD</w:t>
      </w:r>
    </w:p>
    <w:p>
      <w:pPr>
        <w:spacing w:after="0" w:line="36"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-121920</wp:posOffset>
            </wp:positionV>
            <wp:extent cx="2571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7"/>
          <w:szCs w:val="17"/>
          <w:i w:val="1"/>
          <w:iCs w:val="1"/>
          <w:color w:val="auto"/>
        </w:rPr>
        <w:t>President and Chief Executive Officer and Director</w:t>
      </w:r>
    </w:p>
    <w:p>
      <w:pPr>
        <w:spacing w:after="0" w:line="200" w:lineRule="exact"/>
        <w:rPr>
          <w:sz w:val="20"/>
          <w:szCs w:val="20"/>
          <w:color w:val="auto"/>
        </w:rPr>
      </w:pPr>
    </w:p>
    <w:p>
      <w:pPr>
        <w:spacing w:after="0" w:line="238" w:lineRule="exact"/>
        <w:rPr>
          <w:sz w:val="20"/>
          <w:szCs w:val="20"/>
          <w:color w:val="auto"/>
        </w:rPr>
      </w:pPr>
    </w:p>
    <w:p>
      <w:pPr>
        <w:ind w:left="45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STASH</w:t>
      </w:r>
    </w:p>
    <w:p>
      <w:pPr>
        <w:spacing w:after="0" w:line="50"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 Kelly W. Loyd, President and Chief Executive Officer (Principal Executive Officer) and Director, of Evolution Petroleum Corporation, certify that:</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9,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W. LOYD</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3"/>
              </w:rPr>
              <w:t>President and Chief Executive Officer (Principal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Ryan Stash, Senior Vice President, Chief Financial Officer (Principal Financial Officer and Principal Accounting Officer)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Treasurer of Evolution Petroleum Corporation, certify that:</w:t>
      </w:r>
    </w:p>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Evolution Petroleum Corporation;</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9,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STASH</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w w:val="95"/>
              </w:rPr>
              <w:t>Senior Vice President, Chief Financial Officer (Principal Financial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September 30, 2022 (the “Report”) pursuant to 18 U.S.C. Section 1350, as adopted pursuant to Section 906 of the Sarbanes-Oxley Act of 2002, to his knowledge, that:</w:t>
      </w:r>
    </w:p>
    <w:p>
      <w:pPr>
        <w:spacing w:after="0" w:line="17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November 9, 2022.</w:t>
      </w: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6"/>
          <w:szCs w:val="16"/>
          <w:i w:val="1"/>
          <w:iCs w:val="1"/>
          <w:color w:val="auto"/>
        </w:rPr>
        <w:t>President and Chief Executive Officer (Principal Executive Officer)</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undersigned, Ryan Stash, Senior Vice President, Chief Financial Officer (Principal Financial Officer and Principal Accounting Officer) and Treasurer of Evolution Petroleum Corporation (the “Company”), certifies in connection with the filing with the Securities and Exchange Commission of the Company’s Quarterly Report on Form 10-Q for the quarter ended September 30, 2022 (the “Report”) pursuant to 18 U.S.C. Section 1350, as adopted pursuant to Section 906 of the Sarbanes-Oxley Act of 2002, to his knowledge, that:</w:t>
      </w:r>
    </w:p>
    <w:p>
      <w:pPr>
        <w:spacing w:after="0" w:line="18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1300" w:right="2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certification as of November 9, 2022.</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14605</wp:posOffset>
            </wp:positionV>
            <wp:extent cx="3180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7"/>
          <w:szCs w:val="17"/>
          <w:i w:val="1"/>
          <w:iCs w:val="1"/>
          <w:color w:val="auto"/>
        </w:rPr>
        <w:t>Senior Vice President, Chief Financial Officer (Principal Financial</w:t>
      </w:r>
    </w:p>
    <w:p>
      <w:pPr>
        <w:spacing w:after="0" w:line="2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Officer and Principal Accounting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1" Type="http://schemas.openxmlformats.org/officeDocument/2006/relationships/hyperlink" Target="https://www.sec.gov/Archives/edgar/data/1006655/000102670002000024/ex31.txt" TargetMode="External"/><Relationship Id="rId52" Type="http://schemas.openxmlformats.org/officeDocument/2006/relationships/hyperlink" Target="https://www.sec.gov/Archives/edgar/data/1006655/000102670002000024/ex32.txt" TargetMode="External"/><Relationship Id="rId53" Type="http://schemas.openxmlformats.org/officeDocument/2006/relationships/hyperlink" Target="https://www.sec.gov/Archives/edgar/data/1006655/000114420405032063/v027219_ex3-3.htm" TargetMode="External"/><Relationship Id="rId54" Type="http://schemas.openxmlformats.org/officeDocument/2006/relationships/hyperlink" Target="https://www.sec.gov/Archives/edgar/data/1006655/000104746911006108/a2204648zex-3_1.htm" TargetMode="External"/><Relationship Id="rId55" Type="http://schemas.openxmlformats.org/officeDocument/2006/relationships/hyperlink" Target="https://www.sec.gov/Archives/edgar/data/1006655/000100665504000002/decreal10k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2022-11-10T04:09:47Z</dcterms:created>
  <dcterms:modified xsi:type="dcterms:W3CDTF">2022-11-10T04:09:47Z</dcterms:modified>
</cp:coreProperties>
</file>