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epm-20230331x10q.htm"/>
        <w:bookmarkStart w:id="1" w:name="ksepm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F[</w:t>
      </w:r>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791f84e6_77b8_40de_8025_32bcd95f3329"/>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hfPF1fdKnkaK7avPVaP8yw_1_1"/>
      <w:bookmarkStart w:id="4" w:name="_2fa85096_77a2_4581_823b_7944b3a01cd2"/>
      <w:bookmarkStart w:id="5" w:name="Tc_hfPF1fdKnkaK7avPVaP8yw_1_1"/>
      <w:bookmarkStart w:id="6" w:name="_2fa85096_77a2_4581_823b_7944b3a01cd2"/>
      <w:bookmarkEnd w:id="5"/>
      <w:bookmarkEnd w:id="6"/>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quarterly period ended March 31, 2023</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gULZPJUgZkekIB_vNSn3vA_1_1"/>
      <w:bookmarkStart w:id="8" w:name="_af930417_011f_4f11_9677_879e1df9540b"/>
      <w:bookmarkStart w:id="9" w:name="Tc_gULZPJUgZkekIB_vNSn3vA_1_1"/>
      <w:bookmarkStart w:id="10" w:name="_af930417_011f_4f11_9677_879e1df9540b"/>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40"/>
              <w:ind w:left="0" w:right="0" w:hanging="0"/>
              <w:jc w:val="center"/>
              <w:rPr/>
            </w:pPr>
            <w:r>
              <w:rPr/>
              <w:t>☐</w:t>
            </w:r>
          </w:p>
        </w:tc>
        <w:tc>
          <w:tcPr>
            <w:tcW w:w="9421" w:type="dxa"/>
            <w:tcBorders/>
            <w:vAlign w:val="center"/>
          </w:tcPr>
          <w:p>
            <w:pPr>
              <w:pStyle w:val="TableContents"/>
              <w:bidi w:val="0"/>
              <w:spacing w:before="0" w:after="4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For the transition period from                to</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Commission File Number 001-32942</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EVOLUTION PETROLEUM CORPORATION</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drawing>
          <wp:inline distT="0" distB="0" distL="0" distR="0">
            <wp:extent cx="20701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0100" cy="533400"/>
                    </a:xfrm>
                    <a:prstGeom prst="rect">
                      <a:avLst/>
                    </a:prstGeom>
                  </pic:spPr>
                </pic:pic>
              </a:graphicData>
            </a:graphic>
          </wp:inline>
        </w:drawing>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IN5433_abEehp6PpenJA0g_2_2"/>
      <w:bookmarkStart w:id="12" w:name="Tc_WAwAqni8QkCzfOi9CAAX1g_2_0"/>
      <w:bookmarkStart w:id="13" w:name="_fd1beca5_de47_40f7_9962_f379b5f73a9f"/>
      <w:bookmarkStart w:id="14" w:name="Tc_IN5433_abEehp6PpenJA0g_2_2"/>
      <w:bookmarkStart w:id="15" w:name="Tc_WAwAqni8QkCzfOi9CAAX1g_2_0"/>
      <w:bookmarkStart w:id="16" w:name="_fd1beca5_de47_40f7_9962_f379b5f73a9f"/>
      <w:bookmarkEnd w:id="14"/>
      <w:bookmarkEnd w:id="15"/>
      <w:bookmarkEnd w:id="16"/>
    </w:p>
    <w:tbl>
      <w:tblPr>
        <w:tblW w:w="4018" w:type="dxa"/>
        <w:jc w:val="left"/>
        <w:tblInd w:w="0" w:type="dxa"/>
        <w:tblLayout w:type="fixed"/>
        <w:tblCellMar>
          <w:top w:w="0" w:type="dxa"/>
          <w:left w:w="0" w:type="dxa"/>
          <w:bottom w:w="0" w:type="dxa"/>
          <w:right w:w="0" w:type="dxa"/>
        </w:tblCellMar>
      </w:tblPr>
      <w:tblGrid>
        <w:gridCol w:w="2236"/>
        <w:gridCol w:w="326"/>
        <w:gridCol w:w="1456"/>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19860" cy="175260"/>
                      <wp:effectExtent l="0" t="0" r="0" b="0"/>
                      <wp:wrapNone/>
                      <wp:docPr id="2" name="Frame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24560" cy="175260"/>
                      <wp:effectExtent l="0" t="0" r="0" b="0"/>
                      <wp:wrapNone/>
                      <wp:docPr id="3" name="Frame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Nevada</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41-1781991</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of </w:t>
              <w:br/>
              <w:t>incorporation or organization)</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(IRS Employer </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1155 Dairy Ashford Road, Suite 425, Houston, Texas</w:t>
      </w:r>
      <w:r>
        <w:rPr>
          <w:rFonts w:ascii="Times New Roman;Times;serif" w:hAnsi="Times New Roman;Times;serif"/>
          <w:sz w:val="20"/>
        </w:rPr>
        <w:t xml:space="preserve"> </w:t>
      </w:r>
      <w:r>
        <w:rPr>
          <w:rFonts w:ascii="Times New Roman;Times;serif" w:hAnsi="Times New Roman;Times;serif"/>
          <w:b/>
          <w:sz w:val="14"/>
        </w:rPr>
        <w:t>77079</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 and zip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(713) 935-0122</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Normal"/>
        <w:bidi w:val="0"/>
        <w:spacing w:before="0" w:after="0"/>
        <w:jc w:val="left"/>
        <w:rPr>
          <w:sz w:val="4"/>
          <w:szCs w:val="4"/>
        </w:rPr>
      </w:pPr>
      <w:r>
        <w:rPr>
          <w:sz w:val="4"/>
          <w:szCs w:val="4"/>
        </w:rPr>
      </w:r>
      <w:bookmarkStart w:id="17" w:name="Tc_rg3oQu5G7EK0e7InJRBrUQ_1_4"/>
      <w:bookmarkStart w:id="18" w:name="Tc_IWxLb5JVfEObgwKjBVx58g_1_2"/>
      <w:bookmarkStart w:id="19" w:name="Tc_b6lkqn3WIkWs9QsN7i7z0w_1_0"/>
      <w:bookmarkStart w:id="20" w:name="_2ccd0b3c_0436_4571_b5e9_837a8404eef0"/>
      <w:bookmarkStart w:id="21" w:name="Tc_rg3oQu5G7EK0e7InJRBrUQ_1_4"/>
      <w:bookmarkStart w:id="22" w:name="Tc_IWxLb5JVfEObgwKjBVx58g_1_2"/>
      <w:bookmarkStart w:id="23" w:name="Tc_b6lkqn3WIkWs9QsN7i7z0w_1_0"/>
      <w:bookmarkStart w:id="24" w:name="_2ccd0b3c_0436_4571_b5e9_837a8404eef0"/>
      <w:bookmarkEnd w:id="21"/>
      <w:bookmarkEnd w:id="22"/>
      <w:bookmarkEnd w:id="23"/>
      <w:bookmarkEnd w:id="24"/>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78740" cy="1635760"/>
                      <wp:effectExtent l="0" t="0" r="0" b="0"/>
                      <wp:wrapNone/>
                      <wp:docPr id="4" name="Frame3"/>
                      <a:graphic xmlns:a="http://schemas.openxmlformats.org/drawingml/2006/main">
                        <a:graphicData uri="http://schemas.microsoft.com/office/word/2010/wordprocessingShape">
                          <wps:wsp>
                            <wps:cNvSpPr txBox="1"/>
                            <wps:spPr>
                              <a:xfrm>
                                <a:off x="0" y="0"/>
                                <a:ext cx="78740" cy="16357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28.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350520"/>
                      <wp:effectExtent l="0" t="0" r="0" b="0"/>
                      <wp:wrapNone/>
                      <wp:docPr id="5" name="Frame4"/>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1752600"/>
                      <wp:effectExtent l="0" t="0" r="0" b="0"/>
                      <wp:wrapNone/>
                      <wp:docPr id="6" name="Frame5"/>
                      <a:graphic xmlns:a="http://schemas.openxmlformats.org/drawingml/2006/main">
                        <a:graphicData uri="http://schemas.microsoft.com/office/word/2010/wordprocessingShape">
                          <wps:wsp>
                            <wps:cNvSpPr txBox="1"/>
                            <wps:spPr>
                              <a:xfrm>
                                <a:off x="0" y="0"/>
                                <a:ext cx="69215" cy="175260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350520"/>
                      <wp:effectExtent l="0" t="0" r="0" b="0"/>
                      <wp:wrapNone/>
                      <wp:docPr id="7" name="Frame6"/>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7790" cy="3037840"/>
                      <wp:effectExtent l="0" t="0" r="0" b="0"/>
                      <wp:wrapNone/>
                      <wp:docPr id="8" name="Frame7"/>
                      <a:graphic xmlns:a="http://schemas.openxmlformats.org/drawingml/2006/main">
                        <a:graphicData uri="http://schemas.microsoft.com/office/word/2010/wordprocessingShape">
                          <wps:wsp>
                            <wps:cNvSpPr txBox="1"/>
                            <wps:spPr>
                              <a:xfrm>
                                <a:off x="0" y="0"/>
                                <a:ext cx="97790" cy="30378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v:textbox>
                      <w10:wrap type="none"/>
                    </v:rect>
                  </w:pict>
                </mc:Fallback>
              </mc:AlternateContent>
            </w:r>
          </w:p>
        </w:tc>
      </w:tr>
      <w:tr>
        <w:trPr/>
        <w:tc>
          <w:tcPr>
            <w:tcW w:w="12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8740" cy="2146935"/>
                      <wp:effectExtent l="0" t="0" r="0" b="0"/>
                      <wp:wrapNone/>
                      <wp:docPr id="9" name="Frame8"/>
                      <a:graphic xmlns:a="http://schemas.openxmlformats.org/drawingml/2006/main">
                        <a:graphicData uri="http://schemas.microsoft.com/office/word/2010/wordprocessingShape">
                          <wps:wsp>
                            <wps:cNvSpPr txBox="1"/>
                            <wps:spPr>
                              <a:xfrm>
                                <a:off x="0" y="0"/>
                                <a:ext cx="78740" cy="214693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Common Stock, $0.001 par value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9.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Common Stock, $0.001 par value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175260"/>
                      <wp:effectExtent l="0" t="0" r="0" b="0"/>
                      <wp:wrapNone/>
                      <wp:docPr id="10"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0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306705"/>
                      <wp:effectExtent l="0" t="0" r="0" b="0"/>
                      <wp:wrapNone/>
                      <wp:docPr id="11" name="Frame10"/>
                      <a:graphic xmlns:a="http://schemas.openxmlformats.org/drawingml/2006/main">
                        <a:graphicData uri="http://schemas.microsoft.com/office/word/2010/wordprocessingShape">
                          <wps:wsp>
                            <wps:cNvSpPr txBox="1"/>
                            <wps:spPr>
                              <a:xfrm>
                                <a:off x="0" y="0"/>
                                <a:ext cx="69215" cy="30670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EPM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EPM</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175260"/>
                      <wp:effectExtent l="0" t="0" r="0" b="0"/>
                      <wp:wrapNone/>
                      <wp:docPr id="12"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7790" cy="920115"/>
                      <wp:effectExtent l="0" t="0" r="0" b="0"/>
                      <wp:wrapNone/>
                      <wp:docPr id="13" name="Frame12"/>
                      <a:graphic xmlns:a="http://schemas.openxmlformats.org/drawingml/2006/main">
                        <a:graphicData uri="http://schemas.microsoft.com/office/word/2010/wordprocessingShape">
                          <wps:wsp>
                            <wps:cNvSpPr txBox="1"/>
                            <wps:spPr>
                              <a:xfrm>
                                <a:off x="0" y="0"/>
                                <a:ext cx="97790" cy="92011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NYSE American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7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NYSE American</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hQw4nLlUtUOBp38NPKsCKQ_3_6"/>
      <w:bookmarkStart w:id="26" w:name="Tc_ejKTiMSNsUGiz4TYZr1LwA_2_6"/>
      <w:bookmarkStart w:id="27" w:name="Tc_F60pNkA0AEqXf-ukosRZoA_2_5"/>
      <w:bookmarkStart w:id="28" w:name="Tc_1ycYGR1SWUis2BmmvCvIYg_2_3"/>
      <w:bookmarkStart w:id="29" w:name="Tc_39Zgc6ZYD0eXxAtVgZaaKg_2_2"/>
      <w:bookmarkStart w:id="30" w:name="Tc_YHLxFEsUs0ygdm8Vev0w9A_2_1"/>
      <w:bookmarkStart w:id="31" w:name="Tc_pHNa_cHJckKiKzXL_2jAAg_2_0"/>
      <w:bookmarkStart w:id="32" w:name="_0c033832_2356_4576_94cf_d4be85956822"/>
      <w:bookmarkStart w:id="33" w:name="Tc_hQw4nLlUtUOBp38NPKsCKQ_3_6"/>
      <w:bookmarkStart w:id="34" w:name="Tc_ejKTiMSNsUGiz4TYZr1LwA_2_6"/>
      <w:bookmarkStart w:id="35" w:name="Tc_F60pNkA0AEqXf-ukosRZoA_2_5"/>
      <w:bookmarkStart w:id="36" w:name="Tc_1ycYGR1SWUis2BmmvCvIYg_2_3"/>
      <w:bookmarkStart w:id="37" w:name="Tc_39Zgc6ZYD0eXxAtVgZaaKg_2_2"/>
      <w:bookmarkStart w:id="38" w:name="Tc_YHLxFEsUs0ygdm8Vev0w9A_2_1"/>
      <w:bookmarkStart w:id="39" w:name="Tc_pHNa_cHJckKiKzXL_2jAAg_2_0"/>
      <w:bookmarkStart w:id="40" w:name="_0c033832_2356_4576_94cf_d4be85956822"/>
      <w:bookmarkEnd w:id="33"/>
      <w:bookmarkEnd w:id="34"/>
      <w:bookmarkEnd w:id="35"/>
      <w:bookmarkEnd w:id="36"/>
      <w:bookmarkEnd w:id="37"/>
      <w:bookmarkEnd w:id="38"/>
      <w:bookmarkEnd w:id="39"/>
      <w:bookmarkEnd w:id="40"/>
    </w:p>
    <w:tbl>
      <w:tblPr>
        <w:tblW w:w="6758" w:type="dxa"/>
        <w:jc w:val="left"/>
        <w:tblInd w:w="0" w:type="dxa"/>
        <w:tblLayout w:type="fixed"/>
        <w:tblCellMar>
          <w:top w:w="0" w:type="dxa"/>
          <w:left w:w="0" w:type="dxa"/>
          <w:bottom w:w="0" w:type="dxa"/>
          <w:right w:w="0" w:type="dxa"/>
        </w:tblCellMar>
      </w:tblPr>
      <w:tblGrid>
        <w:gridCol w:w="1396"/>
        <w:gridCol w:w="316"/>
        <w:gridCol w:w="1036"/>
        <w:gridCol w:w="316"/>
        <w:gridCol w:w="1291"/>
        <w:gridCol w:w="316"/>
        <w:gridCol w:w="1726"/>
        <w:gridCol w:w="361"/>
      </w:tblGrid>
      <w:tr>
        <w:trPr/>
        <w:tc>
          <w:tcPr>
            <w:tcW w:w="13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 </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16" w:type="dxa"/>
            <w:tcBorders/>
            <w:vAlign w:val="center"/>
          </w:tcPr>
          <w:p>
            <w:pPr>
              <w:pStyle w:val="TableContents"/>
              <w:bidi w:val="0"/>
              <w:spacing w:before="0" w:after="0"/>
              <w:ind w:left="0" w:right="0" w:hanging="0"/>
              <w:jc w:val="both"/>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  </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both"/>
              <w:rPr/>
            </w:pPr>
            <w:r>
              <w:rPr/>
              <w:t>​</w:t>
            </w:r>
          </w:p>
        </w:tc>
        <w:tc>
          <w:tcPr>
            <w:tcW w:w="129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At May 5, 2023, 33,268,686 shares of the Registrant’s Common Stock, $0.001 par value per share, were outstanding.</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 w:name="_59011261_8b95_4728_a383_8e72507a5623"/>
      <w:bookmarkEnd w:id="41"/>
      <w:r>
        <w:rPr>
          <w:rFonts w:ascii="Times New Roman;Times;serif" w:hAnsi="Times New Roman;Times;serif"/>
          <w:b/>
          <w:sz w:val="20"/>
        </w:rPr>
        <w:t>EVOLUTION PETROLEUM CORPORATION</w:t>
        <w:br/>
        <w:t>​</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763"/>
        <w:gridCol w:w="9080"/>
        <w:gridCol w:w="362"/>
      </w:tblGrid>
      <w:tr>
        <w:trPr/>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84505" cy="175260"/>
                      <wp:effectExtent l="0" t="0" r="0" b="0"/>
                      <wp:wrapNone/>
                      <wp:docPr id="14" name="Frame13"/>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765800" cy="175260"/>
                      <wp:effectExtent l="0" t="0" r="0" b="0"/>
                      <wp:wrapNone/>
                      <wp:docPr id="15" name="Frame14"/>
                      <a:graphic xmlns:a="http://schemas.openxmlformats.org/drawingml/2006/main">
                        <a:graphicData uri="http://schemas.microsoft.com/office/word/2010/wordprocessingShape">
                          <wps:wsp>
                            <wps:cNvSpPr txBox="1"/>
                            <wps:spPr>
                              <a:xfrm>
                                <a:off x="0" y="0"/>
                                <a:ext cx="5765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29870" cy="175260"/>
                      <wp:effectExtent l="0" t="0" r="0" b="0"/>
                      <wp:wrapNone/>
                      <wp:docPr id="16" name="Frame1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3" w:type="dxa"/>
            <w:gridSpan w:val="2"/>
            <w:tcBorders/>
            <w:shd w:fill="CCEEFF" w:val="clear"/>
            <w:vAlign w:val="center"/>
          </w:tcPr>
          <w:p>
            <w:pPr>
              <w:pStyle w:val="TableContents"/>
              <w:bidi w:val="0"/>
              <w:spacing w:before="0" w:after="0"/>
              <w:ind w:left="0" w:right="0" w:hanging="0"/>
              <w:jc w:val="left"/>
              <w:rPr/>
            </w:pPr>
            <w:hyperlink w:anchor="FORWARDLOOKINGSTATEMENTS_262188">
              <w:r>
                <w:rPr>
                  <w:rStyle w:val="InternetLink"/>
                  <w:rFonts w:ascii="Times New Roman;Times;serif" w:hAnsi="Times New Roman;Times;serif"/>
                  <w:b/>
                  <w:i w:val="false"/>
                  <w:caps w:val="false"/>
                  <w:smallCaps w:val="false"/>
                  <w:sz w:val="20"/>
                </w:rPr>
                <w:t>Forward-Looking Statements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63"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Times;serif" w:hAnsi="Times New Roman;Times;serif"/>
                  <w:b/>
                  <w:i w:val="false"/>
                  <w:caps w:val="false"/>
                  <w:smallCaps w:val="false"/>
                  <w:sz w:val="20"/>
                </w:rPr>
                <w:t>PART I</w:t>
              </w:r>
            </w:hyperlink>
            <w:r>
              <w:rPr>
                <w:rFonts w:ascii="Times New Roman;Times;serif" w:hAnsi="Times New Roman;Times;serif"/>
                <w:b/>
                <w:sz w:val="20"/>
              </w:rPr>
              <w:t>.</w:t>
            </w:r>
          </w:p>
        </w:tc>
        <w:tc>
          <w:tcPr>
            <w:tcW w:w="9080"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Times;serif" w:hAnsi="Times New Roman;Times;serif"/>
                  <w:b/>
                  <w:i w:val="false"/>
                  <w:caps w:val="false"/>
                  <w:smallCaps w:val="false"/>
                  <w:sz w:val="20"/>
                </w:rPr>
                <w:t>FINANCIAL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3" w:type="dxa"/>
            <w:tcBorders/>
            <w:shd w:fill="CCEEFF" w:val="clear"/>
            <w:vAlign w:val="center"/>
          </w:tcPr>
          <w:p>
            <w:pPr>
              <w:pStyle w:val="TableContents"/>
              <w:bidi w:val="0"/>
              <w:spacing w:before="0" w:after="0"/>
              <w:ind w:left="0" w:right="0" w:hanging="0"/>
              <w:jc w:val="left"/>
              <w:rPr/>
            </w:pPr>
            <w:hyperlink w:anchor="Item_1_Condensed_Consolidated_Financial">
              <w:r>
                <w:rPr>
                  <w:rStyle w:val="InternetLink"/>
                  <w:rFonts w:ascii="Times New Roman;Times;serif" w:hAnsi="Times New Roman;Times;serif"/>
                  <w:b w:val="false"/>
                  <w:i w:val="false"/>
                  <w:caps w:val="false"/>
                  <w:smallCaps w:val="false"/>
                  <w:sz w:val="20"/>
                </w:rPr>
                <w:t>Item 1.</w:t>
              </w:r>
            </w:hyperlink>
          </w:p>
        </w:tc>
        <w:tc>
          <w:tcPr>
            <w:tcW w:w="9080" w:type="dxa"/>
            <w:tcBorders/>
            <w:shd w:fill="CCEEFF" w:val="clear"/>
            <w:vAlign w:val="center"/>
          </w:tcPr>
          <w:p>
            <w:pPr>
              <w:pStyle w:val="TableContents"/>
              <w:bidi w:val="0"/>
              <w:spacing w:before="0" w:after="0"/>
              <w:ind w:left="0" w:right="0" w:hanging="0"/>
              <w:jc w:val="left"/>
              <w:rPr/>
            </w:pPr>
            <w:hyperlink w:anchor="Item_1_Condensed_Consolidated_Financial">
              <w:r>
                <w:rPr>
                  <w:rStyle w:val="InternetLink"/>
                  <w:rFonts w:ascii="Times New Roman;Times;serif" w:hAnsi="Times New Roman;Times;serif"/>
                  <w:b w:val="false"/>
                  <w:i w:val="false"/>
                  <w:caps w:val="false"/>
                  <w:smallCaps w:val="false"/>
                  <w:sz w:val="20"/>
                </w:rPr>
                <w:t>Condensed Consolidated Financial Statements (Unaudited)</w:t>
              </w:r>
            </w:hyperlink>
            <w:r>
              <w:rPr>
                <w:rFonts w:ascii="Times New Roman;Times;serif" w:hAnsi="Times New Roman;Times;serif"/>
                <w:sz w:val="20"/>
              </w:rPr>
              <w:t xml:space="preserve"> </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3" w:type="dxa"/>
            <w:tcBorders/>
            <w:vAlign w:val="center"/>
          </w:tcPr>
          <w:p>
            <w:pPr>
              <w:pStyle w:val="TableContents"/>
              <w:bidi w:val="0"/>
              <w:spacing w:before="0" w:after="0"/>
              <w:ind w:left="0" w:right="0" w:hanging="0"/>
              <w:jc w:val="left"/>
              <w:rPr/>
            </w:pPr>
            <w:r>
              <w:rPr/>
              <w:t>​</w:t>
            </w:r>
          </w:p>
        </w:tc>
        <w:tc>
          <w:tcPr>
            <w:tcW w:w="9080" w:type="dxa"/>
            <w:tcBorders/>
            <w:vAlign w:val="center"/>
          </w:tcPr>
          <w:p>
            <w:pPr>
              <w:pStyle w:val="TableContents"/>
              <w:bidi w:val="0"/>
              <w:spacing w:before="0" w:after="0"/>
              <w:ind w:left="0" w:right="0" w:hanging="0"/>
              <w:jc w:val="left"/>
              <w:rPr/>
            </w:pPr>
            <w:hyperlink w:anchor="ConsolidatedCondensedBalanceSheets">
              <w:r>
                <w:rPr>
                  <w:rStyle w:val="InternetLink"/>
                  <w:rFonts w:ascii="Times New Roman;Times;serif" w:hAnsi="Times New Roman;Times;serif"/>
                  <w:b w:val="false"/>
                  <w:i w:val="false"/>
                  <w:caps w:val="false"/>
                  <w:smallCaps w:val="false"/>
                  <w:sz w:val="20"/>
                </w:rPr>
                <w:t>Condensed Consolidated Balance Sheets (Unaudited) as of March 31, 2023 and June 30, 2022</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3" w:type="dxa"/>
            <w:tcBorders/>
            <w:shd w:fill="CCEEFF" w:val="clear"/>
            <w:vAlign w:val="center"/>
          </w:tcPr>
          <w:p>
            <w:pPr>
              <w:pStyle w:val="TableContents"/>
              <w:bidi w:val="0"/>
              <w:spacing w:before="0" w:after="0"/>
              <w:ind w:left="0" w:right="0" w:hanging="0"/>
              <w:jc w:val="left"/>
              <w:rPr/>
            </w:pPr>
            <w:r>
              <w:rPr/>
              <w:t>​</w:t>
            </w:r>
          </w:p>
        </w:tc>
        <w:tc>
          <w:tcPr>
            <w:tcW w:w="9080" w:type="dxa"/>
            <w:tcBorders/>
            <w:shd w:fill="CCEEFF" w:val="clear"/>
            <w:vAlign w:val="center"/>
          </w:tcPr>
          <w:p>
            <w:pPr>
              <w:pStyle w:val="TableContents"/>
              <w:bidi w:val="0"/>
              <w:spacing w:before="0" w:after="0"/>
              <w:ind w:left="0" w:right="0" w:hanging="0"/>
              <w:jc w:val="left"/>
              <w:rPr/>
            </w:pPr>
            <w:hyperlink w:anchor="ConsolidatedCondensedStatementsofOperati">
              <w:r>
                <w:rPr>
                  <w:rStyle w:val="InternetLink"/>
                  <w:rFonts w:ascii="Times New Roman;Times;serif" w:hAnsi="Times New Roman;Times;serif"/>
                  <w:b w:val="false"/>
                  <w:i w:val="false"/>
                  <w:caps w:val="false"/>
                  <w:smallCaps w:val="false"/>
                  <w:sz w:val="20"/>
                </w:rPr>
                <w:t>Condensed Consolidated Statements of Operations (Unaudited) for the three and nine months ended March 31, 2023 and 2022</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63" w:type="dxa"/>
            <w:tcBorders/>
            <w:vAlign w:val="center"/>
          </w:tcPr>
          <w:p>
            <w:pPr>
              <w:pStyle w:val="TableContents"/>
              <w:bidi w:val="0"/>
              <w:spacing w:before="0" w:after="0"/>
              <w:ind w:left="0" w:right="0" w:hanging="0"/>
              <w:jc w:val="left"/>
              <w:rPr/>
            </w:pPr>
            <w:r>
              <w:rPr/>
              <w:t>​</w:t>
            </w:r>
          </w:p>
        </w:tc>
        <w:tc>
          <w:tcPr>
            <w:tcW w:w="9080" w:type="dxa"/>
            <w:tcBorders/>
            <w:vAlign w:val="center"/>
          </w:tcPr>
          <w:p>
            <w:pPr>
              <w:pStyle w:val="TableContents"/>
              <w:bidi w:val="0"/>
              <w:spacing w:before="0" w:after="0"/>
              <w:ind w:left="0" w:right="0" w:hanging="0"/>
              <w:jc w:val="left"/>
              <w:rPr/>
            </w:pPr>
            <w:hyperlink w:anchor="ConsolidatedCondensedStatementsofCashFlo">
              <w:r>
                <w:rPr>
                  <w:rStyle w:val="InternetLink"/>
                  <w:rFonts w:ascii="Times New Roman;Times;serif" w:hAnsi="Times New Roman;Times;serif"/>
                  <w:b w:val="false"/>
                  <w:i w:val="false"/>
                  <w:caps w:val="false"/>
                  <w:smallCaps w:val="false"/>
                  <w:sz w:val="20"/>
                </w:rPr>
                <w:t>Condensed Consolidated Statements of Cash Flows (Unaudited) for the nine months ended March 31, 2023 and 2022</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63" w:type="dxa"/>
            <w:tcBorders/>
            <w:shd w:fill="CCEEFF" w:val="clear"/>
            <w:vAlign w:val="center"/>
          </w:tcPr>
          <w:p>
            <w:pPr>
              <w:pStyle w:val="TableContents"/>
              <w:bidi w:val="0"/>
              <w:spacing w:before="0" w:after="0"/>
              <w:ind w:left="0" w:right="0" w:hanging="0"/>
              <w:jc w:val="left"/>
              <w:rPr/>
            </w:pPr>
            <w:r>
              <w:rPr/>
              <w:t>​</w:t>
            </w:r>
          </w:p>
        </w:tc>
        <w:tc>
          <w:tcPr>
            <w:tcW w:w="9080" w:type="dxa"/>
            <w:tcBorders/>
            <w:shd w:fill="CCEEFF" w:val="clear"/>
            <w:vAlign w:val="center"/>
          </w:tcPr>
          <w:p>
            <w:pPr>
              <w:pStyle w:val="TableContents"/>
              <w:bidi w:val="0"/>
              <w:spacing w:before="0" w:after="0"/>
              <w:ind w:left="0" w:right="0" w:hanging="0"/>
              <w:jc w:val="left"/>
              <w:rPr/>
            </w:pPr>
            <w:hyperlink w:anchor="ConsolidatedCondensedStatementsofSHE">
              <w:r>
                <w:rPr>
                  <w:rStyle w:val="InternetLink"/>
                  <w:rFonts w:ascii="Times New Roman;Times;serif" w:hAnsi="Times New Roman;Times;serif"/>
                  <w:b w:val="false"/>
                  <w:i w:val="false"/>
                  <w:caps w:val="false"/>
                  <w:smallCaps w:val="false"/>
                  <w:sz w:val="20"/>
                </w:rPr>
                <w:t>Condensed Consolidated Statements of Changes in Stockholders’ Equity (Unaudited) for the three and nine months ended March 31, 2023 and 2022</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63" w:type="dxa"/>
            <w:tcBorders/>
            <w:vAlign w:val="center"/>
          </w:tcPr>
          <w:p>
            <w:pPr>
              <w:pStyle w:val="TableContents"/>
              <w:bidi w:val="0"/>
              <w:spacing w:before="0" w:after="0"/>
              <w:ind w:left="0" w:right="0" w:hanging="0"/>
              <w:jc w:val="left"/>
              <w:rPr/>
            </w:pPr>
            <w:r>
              <w:rPr/>
              <w:t>​</w:t>
            </w:r>
          </w:p>
        </w:tc>
        <w:tc>
          <w:tcPr>
            <w:tcW w:w="9080" w:type="dxa"/>
            <w:tcBorders/>
            <w:vAlign w:val="center"/>
          </w:tcPr>
          <w:p>
            <w:pPr>
              <w:pStyle w:val="TableContents"/>
              <w:bidi w:val="0"/>
              <w:spacing w:before="0" w:after="0"/>
              <w:ind w:left="0" w:right="0" w:hanging="0"/>
              <w:jc w:val="left"/>
              <w:rPr/>
            </w:pPr>
            <w:hyperlink w:anchor="Note_to_Unaudited_Condensed">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63" w:type="dxa"/>
            <w:tcBorders/>
            <w:shd w:fill="CCEEFF" w:val="clear"/>
            <w:vAlign w:val="center"/>
          </w:tcPr>
          <w:p>
            <w:pPr>
              <w:pStyle w:val="TableContents"/>
              <w:bidi w:val="0"/>
              <w:spacing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Item 2.</w:t>
              </w:r>
            </w:hyperlink>
          </w:p>
        </w:tc>
        <w:tc>
          <w:tcPr>
            <w:tcW w:w="9080" w:type="dxa"/>
            <w:tcBorders/>
            <w:shd w:fill="CCEEFF" w:val="clear"/>
            <w:vAlign w:val="center"/>
          </w:tcPr>
          <w:p>
            <w:pPr>
              <w:pStyle w:val="TableContents"/>
              <w:bidi w:val="0"/>
              <w:spacing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63" w:type="dxa"/>
            <w:tcBorders/>
            <w:vAlign w:val="center"/>
          </w:tcPr>
          <w:p>
            <w:pPr>
              <w:pStyle w:val="TableContents"/>
              <w:bidi w:val="0"/>
              <w:spacing w:before="0" w:after="0"/>
              <w:ind w:left="0" w:right="0" w:hanging="0"/>
              <w:jc w:val="left"/>
              <w:rPr/>
            </w:pPr>
            <w:hyperlink w:anchor="Item_3_Quantitative">
              <w:r>
                <w:rPr>
                  <w:rStyle w:val="InternetLink"/>
                  <w:rFonts w:ascii="Times New Roman;Times;serif" w:hAnsi="Times New Roman;Times;serif"/>
                  <w:b w:val="false"/>
                  <w:i w:val="false"/>
                  <w:caps w:val="false"/>
                  <w:smallCaps w:val="false"/>
                  <w:sz w:val="20"/>
                </w:rPr>
                <w:t>Item 3.</w:t>
              </w:r>
            </w:hyperlink>
          </w:p>
        </w:tc>
        <w:tc>
          <w:tcPr>
            <w:tcW w:w="9080" w:type="dxa"/>
            <w:tcBorders/>
            <w:vAlign w:val="center"/>
          </w:tcPr>
          <w:p>
            <w:pPr>
              <w:pStyle w:val="TableContents"/>
              <w:bidi w:val="0"/>
              <w:spacing w:before="0" w:after="0"/>
              <w:ind w:left="0" w:right="0" w:hanging="0"/>
              <w:jc w:val="left"/>
              <w:rPr/>
            </w:pPr>
            <w:hyperlink w:anchor="Item_3_Quantitative">
              <w:r>
                <w:rPr>
                  <w:rStyle w:val="InternetLink"/>
                  <w:rFonts w:ascii="Times New Roman;Times;serif" w:hAnsi="Times New Roman;Times;serif"/>
                  <w:b w:val="false"/>
                  <w:i w:val="false"/>
                  <w:caps w:val="false"/>
                  <w:smallCaps w:val="false"/>
                  <w:sz w:val="20"/>
                </w:rPr>
                <w:t>Quantitative and Qualitative Disclosures about Market Risks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63" w:type="dxa"/>
            <w:tcBorders/>
            <w:shd w:fill="CCEEFF" w:val="clear"/>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Item 4.</w:t>
              </w:r>
            </w:hyperlink>
          </w:p>
        </w:tc>
        <w:tc>
          <w:tcPr>
            <w:tcW w:w="9080" w:type="dxa"/>
            <w:tcBorders/>
            <w:shd w:fill="CCEEFF" w:val="clear"/>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Controls and Procedures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843" w:type="dxa"/>
            <w:gridSpan w:val="2"/>
            <w:tcBorders/>
            <w:vAlign w:val="center"/>
          </w:tcPr>
          <w:p>
            <w:pPr>
              <w:pStyle w:val="TableContents"/>
              <w:bidi w:val="0"/>
              <w:spacing w:before="0" w:after="0"/>
              <w:ind w:left="0" w:right="0" w:hanging="0"/>
              <w:jc w:val="left"/>
              <w:rPr/>
            </w:pPr>
            <w:hyperlink w:anchor="Part_II_OTHER_INFORMATION">
              <w:r>
                <w:rPr>
                  <w:rStyle w:val="InternetLink"/>
                  <w:rFonts w:ascii="Times New Roman;Times;serif" w:hAnsi="Times New Roman;Times;serif"/>
                  <w:b/>
                  <w:i w:val="false"/>
                  <w:caps w:val="false"/>
                  <w:smallCaps w:val="false"/>
                  <w:sz w:val="20"/>
                </w:rPr>
                <w:t>PART II. 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763" w:type="dxa"/>
            <w:tcBorders/>
            <w:shd w:fill="CCEEFF" w:val="clear"/>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9080" w:type="dxa"/>
            <w:tcBorders/>
            <w:shd w:fill="CCEEFF" w:val="clear"/>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763" w:type="dxa"/>
            <w:tcBorders/>
            <w:vAlign w:val="center"/>
          </w:tcPr>
          <w:p>
            <w:pPr>
              <w:pStyle w:val="TableContents"/>
              <w:bidi w:val="0"/>
              <w:spacing w:before="0" w:after="0"/>
              <w:ind w:left="0" w:right="0" w:hanging="0"/>
              <w:jc w:val="left"/>
              <w:rPr/>
            </w:pPr>
            <w:hyperlink w:anchor="Item1ARiskFactors_401633">
              <w:r>
                <w:rPr>
                  <w:rStyle w:val="InternetLink"/>
                  <w:rFonts w:ascii="Times New Roman;Times;serif" w:hAnsi="Times New Roman;Times;serif"/>
                  <w:b w:val="false"/>
                  <w:i w:val="false"/>
                  <w:caps w:val="false"/>
                  <w:smallCaps w:val="false"/>
                  <w:sz w:val="20"/>
                </w:rPr>
                <w:t>Item 1A.</w:t>
              </w:r>
            </w:hyperlink>
          </w:p>
        </w:tc>
        <w:tc>
          <w:tcPr>
            <w:tcW w:w="9080" w:type="dxa"/>
            <w:tcBorders/>
            <w:vAlign w:val="center"/>
          </w:tcPr>
          <w:p>
            <w:pPr>
              <w:pStyle w:val="TableContents"/>
              <w:bidi w:val="0"/>
              <w:spacing w:before="0" w:after="0"/>
              <w:ind w:left="0" w:right="0" w:hanging="0"/>
              <w:jc w:val="left"/>
              <w:rPr/>
            </w:pPr>
            <w:hyperlink w:anchor="Item1ARiskFactors_401633">
              <w:r>
                <w:rPr>
                  <w:rStyle w:val="InternetLink"/>
                  <w:rFonts w:ascii="Times New Roman;Times;serif" w:hAnsi="Times New Roman;Times;serif"/>
                  <w:b w:val="false"/>
                  <w:i w:val="false"/>
                  <w:caps w:val="false"/>
                  <w:smallCaps w:val="false"/>
                  <w:sz w:val="20"/>
                </w:rPr>
                <w:t>Risk Factors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63"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9080"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63" w:type="dxa"/>
            <w:tcBorders/>
            <w:vAlign w:val="center"/>
          </w:tcPr>
          <w:p>
            <w:pPr>
              <w:pStyle w:val="TableContents"/>
              <w:bidi w:val="0"/>
              <w:spacing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Item 3.</w:t>
              </w:r>
            </w:hyperlink>
          </w:p>
        </w:tc>
        <w:tc>
          <w:tcPr>
            <w:tcW w:w="9080" w:type="dxa"/>
            <w:tcBorders/>
            <w:vAlign w:val="center"/>
          </w:tcPr>
          <w:p>
            <w:pPr>
              <w:pStyle w:val="TableContents"/>
              <w:bidi w:val="0"/>
              <w:spacing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Defaults Upon Senior Securities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63" w:type="dxa"/>
            <w:tcBorders/>
            <w:shd w:fill="CCEEFF" w:val="clear"/>
            <w:vAlign w:val="center"/>
          </w:tcPr>
          <w:p>
            <w:pPr>
              <w:pStyle w:val="TableContents"/>
              <w:bidi w:val="0"/>
              <w:spacing w:before="0" w:after="0"/>
              <w:ind w:left="0" w:right="0" w:hanging="0"/>
              <w:jc w:val="left"/>
              <w:rPr/>
            </w:pPr>
            <w:hyperlink w:anchor="Item4MineSafetyDisclosures_798178">
              <w:r>
                <w:rPr>
                  <w:rStyle w:val="InternetLink"/>
                  <w:rFonts w:ascii="Times New Roman;Times;serif" w:hAnsi="Times New Roman;Times;serif"/>
                  <w:b w:val="false"/>
                  <w:i w:val="false"/>
                  <w:caps w:val="false"/>
                  <w:smallCaps w:val="false"/>
                  <w:sz w:val="20"/>
                </w:rPr>
                <w:t>Item 4.</w:t>
              </w:r>
            </w:hyperlink>
          </w:p>
        </w:tc>
        <w:tc>
          <w:tcPr>
            <w:tcW w:w="9080" w:type="dxa"/>
            <w:tcBorders/>
            <w:shd w:fill="CCEEFF" w:val="clear"/>
            <w:vAlign w:val="center"/>
          </w:tcPr>
          <w:p>
            <w:pPr>
              <w:pStyle w:val="TableContents"/>
              <w:bidi w:val="0"/>
              <w:spacing w:before="0" w:after="0"/>
              <w:ind w:left="0" w:right="0" w:hanging="0"/>
              <w:jc w:val="left"/>
              <w:rPr/>
            </w:pPr>
            <w:hyperlink w:anchor="Item4MineSafetyDisclosures_798178">
              <w:r>
                <w:rPr>
                  <w:rStyle w:val="InternetLink"/>
                  <w:rFonts w:ascii="Times New Roman;Times;serif" w:hAnsi="Times New Roman;Times;serif"/>
                  <w:b w:val="false"/>
                  <w:i w:val="false"/>
                  <w:caps w:val="false"/>
                  <w:smallCaps w:val="false"/>
                  <w:sz w:val="20"/>
                </w:rPr>
                <w:t>Mine Safety Disclosures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63"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9080"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63" w:type="dxa"/>
            <w:tcBorders/>
            <w:shd w:fill="CCEEFF" w:val="clear"/>
            <w:vAlign w:val="center"/>
          </w:tcPr>
          <w:p>
            <w:pPr>
              <w:pStyle w:val="TableContents"/>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Item 6.</w:t>
              </w:r>
            </w:hyperlink>
          </w:p>
        </w:tc>
        <w:tc>
          <w:tcPr>
            <w:tcW w:w="9080" w:type="dxa"/>
            <w:tcBorders/>
            <w:shd w:fill="CCEEFF" w:val="clear"/>
            <w:vAlign w:val="center"/>
          </w:tcPr>
          <w:p>
            <w:pPr>
              <w:pStyle w:val="TableContents"/>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Exhibits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63" w:type="dxa"/>
            <w:tcBorders/>
            <w:vAlign w:val="center"/>
          </w:tcPr>
          <w:p>
            <w:pPr>
              <w:pStyle w:val="TableContents"/>
              <w:bidi w:val="0"/>
              <w:spacing w:before="0" w:after="0"/>
              <w:ind w:left="0" w:right="0" w:hanging="0"/>
              <w:jc w:val="left"/>
              <w:rPr/>
            </w:pPr>
            <w:r>
              <w:rPr/>
              <w:t>​</w:t>
            </w:r>
          </w:p>
        </w:tc>
        <w:tc>
          <w:tcPr>
            <w:tcW w:w="9080" w:type="dxa"/>
            <w:tcBorders/>
            <w:vAlign w:val="center"/>
          </w:tcPr>
          <w:p>
            <w:pPr>
              <w:pStyle w:val="TableContents"/>
              <w:bidi w:val="0"/>
              <w:spacing w:before="0" w:after="0"/>
              <w:ind w:left="0" w:right="0" w:hanging="0"/>
              <w:jc w:val="left"/>
              <w:rPr/>
            </w:pPr>
            <w:hyperlink w:anchor="SIGNATURES_679961">
              <w:r>
                <w:rPr>
                  <w:rStyle w:val="InternetLink"/>
                  <w:rFonts w:ascii="Times New Roman;Times;serif" w:hAnsi="Times New Roman;Times;serif"/>
                  <w:b w:val="false"/>
                  <w:i w:val="false"/>
                  <w:caps w:val="false"/>
                  <w:smallCaps w:val="false"/>
                  <w:sz w:val="20"/>
                </w:rPr>
                <w:t>Signatures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We use the terms, “EPM,</w:t>
      </w:r>
      <w:r>
        <w:rPr>
          <w:rFonts w:ascii="Times New Roman;Times;serif" w:hAnsi="Times New Roman;Times;serif"/>
          <w:sz w:val="20"/>
        </w:rPr>
        <w:t>” “</w:t>
      </w:r>
      <w:r>
        <w:rPr>
          <w:rFonts w:ascii="Times New Roman;Times;serif" w:hAnsi="Times New Roman;Times;serif"/>
          <w:i/>
          <w:sz w:val="20"/>
        </w:rPr>
        <w:t>Company,</w:t>
      </w:r>
      <w:r>
        <w:rPr>
          <w:rFonts w:ascii="Times New Roman;Times;serif" w:hAnsi="Times New Roman;Times;serif"/>
          <w:sz w:val="20"/>
        </w:rPr>
        <w:t>” “</w:t>
      </w:r>
      <w:r>
        <w:rPr>
          <w:rFonts w:ascii="Times New Roman;Times;serif" w:hAnsi="Times New Roman;Times;serif"/>
          <w:i/>
          <w:sz w:val="20"/>
        </w:rPr>
        <w:t>we,</w:t>
      </w:r>
      <w:r>
        <w:rPr>
          <w:rFonts w:ascii="Times New Roman;Times;serif" w:hAnsi="Times New Roman;Times;serif"/>
          <w:sz w:val="20"/>
        </w:rPr>
        <w:t>” “</w:t>
      </w:r>
      <w:r>
        <w:rPr>
          <w:rFonts w:ascii="Times New Roman;Times;serif" w:hAnsi="Times New Roman;Times;serif"/>
          <w:i/>
          <w:sz w:val="20"/>
        </w:rPr>
        <w:t>us,</w:t>
      </w:r>
      <w:r>
        <w:rPr>
          <w:rFonts w:ascii="Times New Roman;Times;serif" w:hAnsi="Times New Roman;Times;serif"/>
          <w:sz w:val="20"/>
        </w:rPr>
        <w:t xml:space="preserve">” </w:t>
      </w:r>
      <w:r>
        <w:rPr>
          <w:rFonts w:ascii="Times New Roman;Times;serif" w:hAnsi="Times New Roman;Times;serif"/>
          <w:i/>
          <w:sz w:val="20"/>
        </w:rPr>
        <w:t>and “our</w:t>
      </w:r>
      <w:r>
        <w:rPr>
          <w:rFonts w:ascii="Times New Roman;Times;serif" w:hAnsi="Times New Roman;Times;serif"/>
          <w:sz w:val="20"/>
        </w:rPr>
        <w:t xml:space="preserve">” </w:t>
      </w:r>
      <w:r>
        <w:rPr>
          <w:rFonts w:ascii="Times New Roman;Times;serif" w:hAnsi="Times New Roman;Times;serif"/>
          <w:i/>
          <w:sz w:val="20"/>
        </w:rPr>
        <w:t>to refer to Evolution Petroleum Corporation, and unless the context otherwise requires, its wholly-owned subsidiaries.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FORWARDLOOKINGSTATEMENTS_262188"/>
      <w:bookmarkStart w:id="44" w:name="_612d74ed_e934_4cc3_8b6b_7049637839e7"/>
      <w:bookmarkEnd w:id="43"/>
      <w:bookmarkEnd w:id="44"/>
      <w:r>
        <w:rPr>
          <w:rFonts w:ascii="Times New Roman;Times;serif" w:hAnsi="Times New Roman;Times;serif"/>
          <w:b/>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This Form 10-Q and the information referenced herein contains forward-looking statements within the meaning of the Private Securities Litigations Reform Act of 1995, Section 27A of the Securities Act of 1933 and Section 21E of the Securities Exchange Act of 1934.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 </w:t>
      </w:r>
    </w:p>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expectations of plans, strategies and objectives, including anticipated development activity and capital spending;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capital allocation strategy, capital structure, anticipated sources of funding, growth in long-term shareholder value and ability to preserve balance sheet strength; </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benefits of our multi-basin portfolio, including operational and commodity flexibility;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maximize cash flow and the application of excess cash flows to pay dividends and repurchase shares pursuant to our share repurchase program; </w:t>
            </w:r>
          </w:p>
        </w:tc>
      </w:tr>
    </w:tbl>
    <w:tbl>
      <w:tblPr>
        <w:tblW w:w="8451" w:type="dxa"/>
        <w:jc w:val="left"/>
        <w:tblInd w:w="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oil, natural gas and NGLs production and commodity mix, GHG emissions and ESG performance; </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oil, natural gas and NGL prices; </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drilling and completions activity; </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our oil, natural gas and NGL reserves and recoverable quantities;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access credit facilities and other sources of liquidity to meet financial obligations throughout commodity price cycles; </w:t>
            </w:r>
          </w:p>
        </w:tc>
      </w:tr>
    </w:tbl>
    <w:tbl>
      <w:tblPr>
        <w:tblW w:w="2466" w:type="dxa"/>
        <w:jc w:val="left"/>
        <w:tblInd w:w="0" w:type="dxa"/>
        <w:tblLayout w:type="fixed"/>
        <w:tblCellMar>
          <w:top w:w="28" w:type="dxa"/>
          <w:left w:w="28" w:type="dxa"/>
          <w:bottom w:w="28" w:type="dxa"/>
          <w:right w:w="28" w:type="dxa"/>
        </w:tblCellMar>
      </w:tblPr>
      <w:tblGrid>
        <w:gridCol w:w="124"/>
        <w:gridCol w:w="25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interest expense; </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debt and financial ratios, finance growth and comply with financial covenants;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implementation and outcomes of risk management programs, including exposure to commodity price and interest rate fluctuations, the volume of oil and natural gas production hedged, and the markets or physical sales locations hedged;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of changes in federal, state, provincial and local, rules and regulations; anticipated compliance with current or proposed environmental legislation, including the costs thereof; adequacy of provisions for abandonment and site reclamation costs; </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operational and financial flexibility, discipline and ability to respond to evolving market conditions; </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declaration and payment of future dividends and any anticipated repurchase of our outstanding common shares; </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adequacy of our provision for taxes and legal claims;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cost inflation and expected cost structures, including expected operating, transportation, processing and labor expenses; </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competitiveness relative to our peers, including with respect to capital, materials, people, assets and production; </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oil, natural gas and NGL inventories and global demand for oil, natural gas and NGL;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outlook of the oil and natural gas industry generally, including impacts from changes to the geopolitical environment; </w:t>
            </w:r>
          </w:p>
        </w:tc>
      </w:tr>
    </w:tbl>
    <w:tbl>
      <w:tblPr>
        <w:tblW w:w="2736" w:type="dxa"/>
        <w:jc w:val="left"/>
        <w:tblInd w:w="0" w:type="dxa"/>
        <w:tblLayout w:type="fixed"/>
        <w:tblCellMar>
          <w:top w:w="28" w:type="dxa"/>
          <w:left w:w="28" w:type="dxa"/>
          <w:bottom w:w="28" w:type="dxa"/>
          <w:right w:w="28" w:type="dxa"/>
        </w:tblCellMar>
      </w:tblPr>
      <w:tblGrid>
        <w:gridCol w:w="124"/>
        <w:gridCol w:w="25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staffing levels;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payments related to our commitments, obligations and contingencies, and the ability to satisfy the same; and </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impact of accounting and tax pronouncements, rule changes and standards.</w:t>
            </w:r>
          </w:p>
        </w:tc>
      </w:tr>
    </w:tbl>
    <w:p>
      <w:pPr>
        <w:pStyle w:val="TextBody"/>
        <w:bidi w:val="0"/>
        <w:spacing w:before="0" w:after="240"/>
        <w:ind w:left="108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 </w:t>
      </w:r>
    </w:p>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commodity prices and basis differentials; </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access credit facilities and shelf prospectuses; </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assumptions contained in our corporate guidance; </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availability of attractive commodity or financial hedges and the enforceability of risk management programs;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that counterparties will fulfill their obligations pursuant to gathering, processing, transportation and marketing agreements; </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access to adequate gathering, transportation, processing and storage facilities; </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assumed tax, royalty and regulatory regimes;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and projections made in light of, and generally consistent with, our historical experience and our perception of historical industry trends; and </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assumptions contained herein.</w:t>
            </w:r>
          </w:p>
        </w:tc>
      </w:tr>
    </w:tbl>
    <w:p>
      <w:pPr>
        <w:pStyle w:val="TextBody"/>
        <w:bidi w:val="0"/>
        <w:spacing w:before="0" w:after="240"/>
        <w:ind w:left="108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and natural gas, operating risks and other risk factors as described under the </w:t>
      </w:r>
      <w:r>
        <w:rPr>
          <w:rFonts w:ascii="Times New Roman;Times;serif" w:hAnsi="Times New Roman;Times;serif"/>
          <w:i/>
          <w:sz w:val="20"/>
        </w:rPr>
        <w:t>Risk Factors</w:t>
      </w:r>
      <w:r>
        <w:rPr>
          <w:rFonts w:ascii="Times New Roman;Times;serif" w:hAnsi="Times New Roman;Times;serif"/>
          <w:sz w:val="20"/>
        </w:rPr>
        <w:t xml:space="preserve"> section of our previously filed Annual Report on Form 10-K for the fiscal year ended June 30, 2022, as well as the other disclosures contained herein, therein, and as also may be described from time to time in future reports we file with the Securities and Exchange Commission. There also may be other factors that we cannot anticipate or that are not described in this report, generally because we do not currently perceive them to be material. Such factors could cause results to differ materially from our expectations.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Forward-looking statements speak only as of the date they are made, and we do not undertake to update these statements other than as required by law. Readers are advised, however, to review any further disclosures we make on related subjects in our filings with the Securities and Exchange Commission.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5" w:name="Part_I_Financial_Information"/>
      <w:bookmarkStart w:id="46" w:name="_fb316e7f_91f9_481e_86ee_c81b21f1c42b"/>
      <w:bookmarkEnd w:id="45"/>
      <w:bookmarkEnd w:id="46"/>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47" w:name="Item_1_Condensed_Consolidated_Financial"/>
      <w:bookmarkEnd w:id="47"/>
      <w:r>
        <w:rPr>
          <w:rFonts w:ascii="Times New Roman;Times;serif" w:hAnsi="Times New Roman;Times;serif"/>
          <w:b/>
          <w:sz w:val="20"/>
        </w:rPr>
        <w:t>Item 1. Condensed Consolidated Financial Statements (Unaudited)</w:t>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bookmarkStart w:id="48" w:name="ConsolidatedCondensedBalanceSheets"/>
      <w:bookmarkStart w:id="49" w:name="_ade1e21b_8bc3_42d7_8b5a_76c2e235f5f7"/>
      <w:bookmarkEnd w:id="48"/>
      <w:bookmarkEnd w:id="49"/>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0" w:name="Tc_wV9ZGftvEEyJFPopV3Dhbw_35_5"/>
      <w:bookmarkStart w:id="51" w:name="Tc_a05ePzKJ2Uupi5imvqtEaA_35_2"/>
      <w:bookmarkStart w:id="52" w:name="Tc_2y1XCNMlgEioaFy1YmwcgA_35_0"/>
      <w:bookmarkStart w:id="53" w:name="Tc_Qi54UWyfs0G_RZ1_8ajS_Q_34_0"/>
      <w:bookmarkStart w:id="54" w:name="Tc_BdQHAVaZoUKkQtnrTc09HA_33_0"/>
      <w:bookmarkStart w:id="55" w:name="Tc_oZnYSGDDt0G2ueWFoi8lOA_32_0"/>
      <w:bookmarkStart w:id="56" w:name="Tc_9dNN8oXMIkCDoow8Xuetjw_31_0"/>
      <w:bookmarkStart w:id="57" w:name="Tc_H7wTarys7UKGUT1Y_aGhRQ_30_0"/>
      <w:bookmarkStart w:id="58" w:name="Tc_BIZplG0PvUC0HVjmqQ4xbA_29_0"/>
      <w:bookmarkStart w:id="59" w:name="Tc_Z3Gu1nh5cEy7TiFYDQET7g_28_0"/>
      <w:bookmarkStart w:id="60" w:name="Tc_Ap6Anzl9A0eyNp9yd1UpzA_27_0"/>
      <w:bookmarkStart w:id="61" w:name="Tc_z0qXAT4L60Wc4rT2fepNTw_26_0"/>
      <w:bookmarkStart w:id="62" w:name="Tc_Yg_bZ5l1Kkq3o27nPqo7wA_25_6"/>
      <w:bookmarkStart w:id="63" w:name="Tc_zEKl6LCCr02BCnEkWEn69Q_25_0"/>
      <w:bookmarkStart w:id="64" w:name="Tc_zMsHI6Ti-Uuc5D-whMKliQ_24_0"/>
      <w:bookmarkStart w:id="65" w:name="Tc_IHd3rozkcUiMcaAkw7sRJw_23_0"/>
      <w:bookmarkStart w:id="66" w:name="Tc_nCCKnhasVky6H5ftHauaAQ_22_3"/>
      <w:bookmarkStart w:id="67" w:name="Tc_Lc_TXjOOhEuVps8S3AlI0A_22_0"/>
      <w:bookmarkStart w:id="68" w:name="Tc_8BvlQ-Y8gUy9DJtf8oMu3A_21_0"/>
      <w:bookmarkStart w:id="69" w:name="Tc_DMHIzd2DDkGENuOxAGh5hg_20_0"/>
      <w:bookmarkStart w:id="70" w:name="Tc_ma4B23Urnk-i4RxivdpGsw_19_0"/>
      <w:bookmarkStart w:id="71" w:name="Tc_sNqDmGokv0Ks3Tdba6hhvQ_18_3"/>
      <w:bookmarkStart w:id="72" w:name="Tc_h89wM96knU2LitHrGu7h0Q_18_0"/>
      <w:bookmarkStart w:id="73" w:name="Tc_B7xn3o9z70il0n_L79AzjQ_17_0"/>
      <w:bookmarkStart w:id="74" w:name="Tc__AzVgYjFnEWHCW1kwLNJ-Q_16_5"/>
      <w:bookmarkStart w:id="75" w:name="Tc_7GHhwcy60EeNy6zJRtuQ4w_16_2"/>
      <w:bookmarkStart w:id="76" w:name="Tc_QCYQJrP_kka2YL5zbgn99g_16_0"/>
      <w:bookmarkStart w:id="77" w:name="Tc_xwxWe6c9FkqD1WFriptD4A_15_0"/>
      <w:bookmarkStart w:id="78" w:name="Tc_Y4wKaVrD8U6Dl7cd6YgKjQ_14_0"/>
      <w:bookmarkStart w:id="79" w:name="Tc_SYGY3Y1DDUOvSLUSJac8jA_13_5"/>
      <w:bookmarkStart w:id="80" w:name="Tc_220gMpKlO0ynrvnVgOw7rQ_13_2"/>
      <w:bookmarkStart w:id="81" w:name="Tc_4_QDxNmIyU-xDIhBYbguuQ_13_0"/>
      <w:bookmarkStart w:id="82" w:name="Tc_qCiTzxTickSJIHfBjdLrlQ_12_0"/>
      <w:bookmarkStart w:id="83" w:name="Tc_Mff_Y7krkEiSeEph1p5y6Q_11_0"/>
      <w:bookmarkStart w:id="84" w:name="Tc_a3QP624g9UqSn4mGUauNlw_10_0"/>
      <w:bookmarkStart w:id="85" w:name="Tc_sIxfFEBbo0-SrKsu8qaawA_9_0"/>
      <w:bookmarkStart w:id="86" w:name="Tc_0X3jbq-YoUqEpGGAyKZDEA_8_0"/>
      <w:bookmarkStart w:id="87" w:name="Tc_zIVqkhkMdk-RIJn105LIQw_7_0"/>
      <w:bookmarkStart w:id="88" w:name="Tc_VgPY3mt1Kk6HgidgF3T10Q_6_3"/>
      <w:bookmarkStart w:id="89" w:name="Tc_cE86doBLIUuISjLYjXBUFw_6_0"/>
      <w:bookmarkStart w:id="90" w:name="Tc_snzilhl9Q0esGSzrEG3xqw_5_0"/>
      <w:bookmarkStart w:id="91" w:name="Tc_jkC7jIedLk67cViSUOSVfQ_4_5"/>
      <w:bookmarkStart w:id="92" w:name="Tc_NIJec_UIiEia7l-xdvS5mw_4_2"/>
      <w:bookmarkStart w:id="93" w:name="Tc_zel1oE9d8kCNd1V78r4bLA_4_0"/>
      <w:bookmarkStart w:id="94" w:name="Tc_YLRXVQ0qaUS4PJyQZ6tjiw_3_0"/>
      <w:bookmarkStart w:id="95" w:name="Tc_OEHU_-TPjUGGxHbuM3SnNg_2_0"/>
      <w:bookmarkStart w:id="96" w:name="Tc_fmSyR8coaEG8pwyb7y5KUQ_1_5"/>
      <w:bookmarkStart w:id="97" w:name="Tc_yqPndYNTLEiQQJBBIvvtGw_1_2"/>
      <w:bookmarkStart w:id="98" w:name="_02e7d75a_4f6f_4234_a115_8b95b7bce8cd"/>
      <w:bookmarkStart w:id="99" w:name="Tc_wV9ZGftvEEyJFPopV3Dhbw_35_5"/>
      <w:bookmarkStart w:id="100" w:name="Tc_a05ePzKJ2Uupi5imvqtEaA_35_2"/>
      <w:bookmarkStart w:id="101" w:name="Tc_2y1XCNMlgEioaFy1YmwcgA_35_0"/>
      <w:bookmarkStart w:id="102" w:name="Tc_Qi54UWyfs0G_RZ1_8ajS_Q_34_0"/>
      <w:bookmarkStart w:id="103" w:name="Tc_BdQHAVaZoUKkQtnrTc09HA_33_0"/>
      <w:bookmarkStart w:id="104" w:name="Tc_oZnYSGDDt0G2ueWFoi8lOA_32_0"/>
      <w:bookmarkStart w:id="105" w:name="Tc_9dNN8oXMIkCDoow8Xuetjw_31_0"/>
      <w:bookmarkStart w:id="106" w:name="Tc_H7wTarys7UKGUT1Y_aGhRQ_30_0"/>
      <w:bookmarkStart w:id="107" w:name="Tc_BIZplG0PvUC0HVjmqQ4xbA_29_0"/>
      <w:bookmarkStart w:id="108" w:name="Tc_Z3Gu1nh5cEy7TiFYDQET7g_28_0"/>
      <w:bookmarkStart w:id="109" w:name="Tc_Ap6Anzl9A0eyNp9yd1UpzA_27_0"/>
      <w:bookmarkStart w:id="110" w:name="Tc_z0qXAT4L60Wc4rT2fepNTw_26_0"/>
      <w:bookmarkStart w:id="111" w:name="Tc_Yg_bZ5l1Kkq3o27nPqo7wA_25_6"/>
      <w:bookmarkStart w:id="112" w:name="Tc_zEKl6LCCr02BCnEkWEn69Q_25_0"/>
      <w:bookmarkStart w:id="113" w:name="Tc_zMsHI6Ti-Uuc5D-whMKliQ_24_0"/>
      <w:bookmarkStart w:id="114" w:name="Tc_IHd3rozkcUiMcaAkw7sRJw_23_0"/>
      <w:bookmarkStart w:id="115" w:name="Tc_nCCKnhasVky6H5ftHauaAQ_22_3"/>
      <w:bookmarkStart w:id="116" w:name="Tc_Lc_TXjOOhEuVps8S3AlI0A_22_0"/>
      <w:bookmarkStart w:id="117" w:name="Tc_8BvlQ-Y8gUy9DJtf8oMu3A_21_0"/>
      <w:bookmarkStart w:id="118" w:name="Tc_DMHIzd2DDkGENuOxAGh5hg_20_0"/>
      <w:bookmarkStart w:id="119" w:name="Tc_ma4B23Urnk-i4RxivdpGsw_19_0"/>
      <w:bookmarkStart w:id="120" w:name="Tc_sNqDmGokv0Ks3Tdba6hhvQ_18_3"/>
      <w:bookmarkStart w:id="121" w:name="Tc_h89wM96knU2LitHrGu7h0Q_18_0"/>
      <w:bookmarkStart w:id="122" w:name="Tc_B7xn3o9z70il0n_L79AzjQ_17_0"/>
      <w:bookmarkStart w:id="123" w:name="Tc__AzVgYjFnEWHCW1kwLNJ-Q_16_5"/>
      <w:bookmarkStart w:id="124" w:name="Tc_7GHhwcy60EeNy6zJRtuQ4w_16_2"/>
      <w:bookmarkStart w:id="125" w:name="Tc_QCYQJrP_kka2YL5zbgn99g_16_0"/>
      <w:bookmarkStart w:id="126" w:name="Tc_xwxWe6c9FkqD1WFriptD4A_15_0"/>
      <w:bookmarkStart w:id="127" w:name="Tc_Y4wKaVrD8U6Dl7cd6YgKjQ_14_0"/>
      <w:bookmarkStart w:id="128" w:name="Tc_SYGY3Y1DDUOvSLUSJac8jA_13_5"/>
      <w:bookmarkStart w:id="129" w:name="Tc_220gMpKlO0ynrvnVgOw7rQ_13_2"/>
      <w:bookmarkStart w:id="130" w:name="Tc_4_QDxNmIyU-xDIhBYbguuQ_13_0"/>
      <w:bookmarkStart w:id="131" w:name="Tc_qCiTzxTickSJIHfBjdLrlQ_12_0"/>
      <w:bookmarkStart w:id="132" w:name="Tc_Mff_Y7krkEiSeEph1p5y6Q_11_0"/>
      <w:bookmarkStart w:id="133" w:name="Tc_a3QP624g9UqSn4mGUauNlw_10_0"/>
      <w:bookmarkStart w:id="134" w:name="Tc_sIxfFEBbo0-SrKsu8qaawA_9_0"/>
      <w:bookmarkStart w:id="135" w:name="Tc_0X3jbq-YoUqEpGGAyKZDEA_8_0"/>
      <w:bookmarkStart w:id="136" w:name="Tc_zIVqkhkMdk-RIJn105LIQw_7_0"/>
      <w:bookmarkStart w:id="137" w:name="Tc_VgPY3mt1Kk6HgidgF3T10Q_6_3"/>
      <w:bookmarkStart w:id="138" w:name="Tc_cE86doBLIUuISjLYjXBUFw_6_0"/>
      <w:bookmarkStart w:id="139" w:name="Tc_snzilhl9Q0esGSzrEG3xqw_5_0"/>
      <w:bookmarkStart w:id="140" w:name="Tc_jkC7jIedLk67cViSUOSVfQ_4_5"/>
      <w:bookmarkStart w:id="141" w:name="Tc_NIJec_UIiEia7l-xdvS5mw_4_2"/>
      <w:bookmarkStart w:id="142" w:name="Tc_zel1oE9d8kCNd1V78r4bLA_4_0"/>
      <w:bookmarkStart w:id="143" w:name="Tc_YLRXVQ0qaUS4PJyQZ6tjiw_3_0"/>
      <w:bookmarkStart w:id="144" w:name="Tc_OEHU_-TPjUGGxHbuM3SnNg_2_0"/>
      <w:bookmarkStart w:id="145" w:name="Tc_fmSyR8coaEG8pwyb7y5KUQ_1_5"/>
      <w:bookmarkStart w:id="146" w:name="Tc_yqPndYNTLEiQQJBBIvvtGw_1_2"/>
      <w:bookmarkStart w:id="147" w:name="_02e7d75a_4f6f_4234_a115_8b95b7bce8cd"/>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tbl>
      <w:tblPr>
        <w:tblW w:w="8725" w:type="dxa"/>
        <w:jc w:val="left"/>
        <w:tblInd w:w="0" w:type="dxa"/>
        <w:tblLayout w:type="fixed"/>
        <w:tblCellMar>
          <w:top w:w="0" w:type="dxa"/>
          <w:left w:w="0" w:type="dxa"/>
          <w:bottom w:w="0" w:type="dxa"/>
          <w:right w:w="0" w:type="dxa"/>
        </w:tblCellMar>
      </w:tblPr>
      <w:tblGrid>
        <w:gridCol w:w="5581"/>
        <w:gridCol w:w="326"/>
        <w:gridCol w:w="285"/>
        <w:gridCol w:w="1006"/>
        <w:gridCol w:w="326"/>
        <w:gridCol w:w="237"/>
        <w:gridCol w:w="964"/>
      </w:tblGrid>
      <w:tr>
        <w:trPr/>
        <w:tc>
          <w:tcPr>
            <w:tcW w:w="5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543935" cy="175260"/>
                      <wp:effectExtent l="0" t="0" r="0" b="0"/>
                      <wp:wrapNone/>
                      <wp:docPr id="17" name="Frame16"/>
                      <a:graphic xmlns:a="http://schemas.openxmlformats.org/drawingml/2006/main">
                        <a:graphicData uri="http://schemas.microsoft.com/office/word/2010/wordprocessingShape">
                          <wps:wsp>
                            <wps:cNvSpPr txBox="1"/>
                            <wps:spPr>
                              <a:xfrm>
                                <a:off x="0" y="0"/>
                                <a:ext cx="3543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18"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80975" cy="175260"/>
                      <wp:effectExtent l="0" t="0" r="0" b="0"/>
                      <wp:wrapNone/>
                      <wp:docPr id="19" name="Frame18"/>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38810" cy="175260"/>
                      <wp:effectExtent l="0" t="0" r="0" b="0"/>
                      <wp:wrapNone/>
                      <wp:docPr id="20" name="Frame1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1"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50495" cy="175260"/>
                      <wp:effectExtent l="0" t="0" r="0" b="0"/>
                      <wp:wrapNone/>
                      <wp:docPr id="22" name="Frame21"/>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12140" cy="175260"/>
                      <wp:effectExtent l="0" t="0" r="0" b="0"/>
                      <wp:wrapNone/>
                      <wp:docPr id="23" name="Frame22"/>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2023</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2022</w:t>
            </w:r>
          </w:p>
        </w:tc>
      </w:tr>
      <w:tr>
        <w:trPr/>
        <w:tc>
          <w:tcPr>
            <w:tcW w:w="55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left"/>
              <w:rPr/>
            </w:pPr>
            <w:r>
              <w:rPr/>
              <w:t> </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left"/>
              <w:rPr/>
            </w:pPr>
            <w:r>
              <w:rPr/>
              <w:t> </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18,387</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8,280</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Receivables from crude oil, natural gas, and natural gas liquids revenues</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9,853</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24,043</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2,765</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3,875</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31,005</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36,368</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 of depletion, depreciation, and impairment</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Oil and natural gas properties, net—full-cost method of accounting, of </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which none were excluded from amortization</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105,315</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110,508</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1,353</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1,171</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137,673</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148,047</w:t>
            </w:r>
          </w:p>
        </w:tc>
      </w:tr>
      <w:tr>
        <w:trPr/>
        <w:tc>
          <w:tcPr>
            <w:tcW w:w="55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8,735</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15,133</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liabilities and other</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9,429</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11,893</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2,164</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 and federal taxes payable</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2,158</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1,095</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20,322</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30,285</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 term liabilities</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Senior secured credit facility</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21,250</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6,999</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7,099</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14,592</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13,899</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liability</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42,050</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72,533</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and contingencies (Note 10)</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8"/>
              </w:rPr>
              <w:t>Common stock; par value $0.001; 100,000,000</w:t>
            </w:r>
            <w:r>
              <w:rPr>
                <w:rFonts w:ascii="Times New Roman;Times;serif" w:hAnsi="Times New Roman;Times;serif"/>
                <w:sz w:val="20"/>
              </w:rPr>
              <w:t xml:space="preserve"> </w:t>
            </w:r>
            <w:r>
              <w:rPr>
                <w:rFonts w:ascii="Times New Roman;Times;serif" w:hAnsi="Times New Roman;Times;serif"/>
                <w:sz w:val="18"/>
              </w:rPr>
              <w:t xml:space="preserve">shares authorized: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and</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33,270,909</w:t>
            </w:r>
            <w:r>
              <w:rPr>
                <w:rFonts w:ascii="Times New Roman;Times;serif" w:hAnsi="Times New Roman;Times;serif"/>
                <w:sz w:val="20"/>
              </w:rPr>
              <w:t xml:space="preserve"> </w:t>
            </w:r>
            <w:r>
              <w:rPr>
                <w:rFonts w:ascii="Times New Roman;Times;serif" w:hAnsi="Times New Roman;Times;serif"/>
                <w:sz w:val="18"/>
              </w:rPr>
              <w:t>and 33,470,710</w:t>
            </w:r>
            <w:r>
              <w:rPr>
                <w:rFonts w:ascii="Times New Roman;Times;serif" w:hAnsi="Times New Roman;Times;serif"/>
                <w:sz w:val="20"/>
              </w:rPr>
              <w:t xml:space="preserve"> </w:t>
            </w:r>
            <w:r>
              <w:rPr>
                <w:rFonts w:ascii="Times New Roman;Times;serif" w:hAnsi="Times New Roman;Times;serif"/>
                <w:sz w:val="18"/>
              </w:rPr>
              <w:t>shares as of March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and June 30, 2022, respectively</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39,801</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42,629</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55,789</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32,852</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95,623</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75,514</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137,673</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148,047</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48" w:name="ConsolidatedCondensedStatementsofOperati"/>
      <w:bookmarkStart w:id="149" w:name="_6d385609_320d_4e2c_bd93_ac03aa3e18e1"/>
      <w:bookmarkEnd w:id="148"/>
      <w:bookmarkEnd w:id="149"/>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0" w:name="Tc_LwIIAdDY2USKkag25iNDQA_27_0"/>
      <w:bookmarkStart w:id="151" w:name="Tc_HnoN4qdsGUmoWDltGrXPYg_26_0"/>
      <w:bookmarkStart w:id="152" w:name="Tc_J-4CrOp3HUCcYo-U0lefog_25_0"/>
      <w:bookmarkStart w:id="153" w:name="Tc_r535J1SxVkGhf5Mg-gjiTQ_24_11"/>
      <w:bookmarkStart w:id="154" w:name="Tc_g9vvkJm3x0y-MKNyYiULBw_24_8"/>
      <w:bookmarkStart w:id="155" w:name="Tc__eXOu964r0aAJ5WUY7j3dA_24_5"/>
      <w:bookmarkStart w:id="156" w:name="Tc_9j3vJ25s40eHDYEyly3z1Q_24_2"/>
      <w:bookmarkStart w:id="157" w:name="Tc_Kir8danr60a1Wg19jGF32A_24_0"/>
      <w:bookmarkStart w:id="158" w:name="Tc_qm2rUscl70uq4IVPL-KiTA_23_11"/>
      <w:bookmarkStart w:id="159" w:name="Tc_P9IXXULm-k6vUfd4_AU0iA_23_8"/>
      <w:bookmarkStart w:id="160" w:name="Tc_kyW76qnBTkCD1x5sBmgk8w_23_5"/>
      <w:bookmarkStart w:id="161" w:name="Tc_DD9XxlMbNk-1bOymZcCz6Q_23_2"/>
      <w:bookmarkStart w:id="162" w:name="Tc_23XEZ3GAeECtPUl17epHGw_23_0"/>
      <w:bookmarkStart w:id="163" w:name="Tc_Sj-ebJ_ZB0-bzlvLbGOW2g_22_0"/>
      <w:bookmarkStart w:id="164" w:name="Tc_p7TZZ49GeE-dZLZxiPSI5Q_21_11"/>
      <w:bookmarkStart w:id="165" w:name="Tc_f6EQJ_c9LUKfomHtDfaCFA_21_8"/>
      <w:bookmarkStart w:id="166" w:name="Tc_-i49sv1_WkyCWrTbHfMKPQ_21_5"/>
      <w:bookmarkStart w:id="167" w:name="Tc_IUSn3VvFAUiLqYv6fawyTQ_21_2"/>
      <w:bookmarkStart w:id="168" w:name="Tc_NJDfTJtMWEShd9o73pL1Rw_21_0"/>
      <w:bookmarkStart w:id="169" w:name="Tc_J3LcEjOOPUK65xharFEERw_20_0"/>
      <w:bookmarkStart w:id="170" w:name="Tc_YFLKsUPhR0K8gO_Y-AUAIw_19_0"/>
      <w:bookmarkStart w:id="171" w:name="Tc_E1q9njAM1UWvSwPGv6l5Pg_18_0"/>
      <w:bookmarkStart w:id="172" w:name="Tc_e0nXnfJsLEWMx1NCPoDnWA_17_0"/>
      <w:bookmarkStart w:id="173" w:name="Tc_SAeMDqKUdUSLJCNOALHqBA_16_0"/>
      <w:bookmarkStart w:id="174" w:name="Tc_eRBTB5C4gEKLFuwBud3OHA_15_0"/>
      <w:bookmarkStart w:id="175" w:name="Tc_T9ORAY6bXU2kx6hVDjCdDw_14_0"/>
      <w:bookmarkStart w:id="176" w:name="Tc_nNSUeY1V6E2oxIBSsLu8iA_13_0"/>
      <w:bookmarkStart w:id="177" w:name="Tc_G2EqQJZ2I0auA-yF37PhHQ_12_0"/>
      <w:bookmarkStart w:id="178" w:name="Tc_To6sKYs99kKOOMW96tHTDA_11_0"/>
      <w:bookmarkStart w:id="179" w:name="Tc_2Yw73F_EbEaEXMBVDlhgdg_10_0"/>
      <w:bookmarkStart w:id="180" w:name="Tc_OnaZuPzEbEma009JxVGUew_9_0"/>
      <w:bookmarkStart w:id="181" w:name="Tc_QVrDu9-9K0GuMKU_Gkxuiw_8_0"/>
      <w:bookmarkStart w:id="182" w:name="Tc_dlckfFEj80ehomlBRQYmfg_7_0"/>
      <w:bookmarkStart w:id="183" w:name="Tc_24dJoYYXFUWCPKc4YK_XbA_6_0"/>
      <w:bookmarkStart w:id="184" w:name="Tc_oZcgNbR2vESu6nJgk8bMxA_5_11"/>
      <w:bookmarkStart w:id="185" w:name="Tc_CLjvoa7DqECmPMpXHx6L7A_5_8"/>
      <w:bookmarkStart w:id="186" w:name="Tc_dO9oTff_ZUGCK2nRXZQp1Q_5_5"/>
      <w:bookmarkStart w:id="187" w:name="Tc_d1rPiQ_WxE-UxOSRqWeBXw_5_2"/>
      <w:bookmarkStart w:id="188" w:name="Tc_v5J2OL1Mmkmq--f4jnB0yg_5_0"/>
      <w:bookmarkStart w:id="189" w:name="Tc_Z6-gu_ipUUmbZEGcsE3l3g_4_0"/>
      <w:bookmarkStart w:id="190" w:name="Tc_jA7tlgBJV0Kq1lvBnPzNkA_3_11"/>
      <w:bookmarkStart w:id="191" w:name="Tc_u_ChTgZKQk66g3JggWwrZw_3_8"/>
      <w:bookmarkStart w:id="192" w:name="Tc_GvQEBT-3Yk-o7H-deMnxnw_3_5"/>
      <w:bookmarkStart w:id="193" w:name="Tc_SvejK5xKc0up-ybGatiNXQ_3_2"/>
      <w:bookmarkStart w:id="194" w:name="Tc_Rnz6ILIQ2kqSL0FN14cUug_2_8"/>
      <w:bookmarkStart w:id="195" w:name="Tc_orQMMjWxNkae81oM1o3kjg_2_2"/>
      <w:bookmarkStart w:id="196" w:name="Tc_m3ixwCTogk2oMcEG8d41Lg_1_8"/>
      <w:bookmarkStart w:id="197" w:name="Tc_gpYE4kMBXEaT8hoGTUh8BA_1_2"/>
      <w:bookmarkStart w:id="198" w:name="_ab43d1fc_886f_4742_bb47_d543d5d485af"/>
      <w:bookmarkStart w:id="199" w:name="Tc_LwIIAdDY2USKkag25iNDQA_27_0"/>
      <w:bookmarkStart w:id="200" w:name="Tc_HnoN4qdsGUmoWDltGrXPYg_26_0"/>
      <w:bookmarkStart w:id="201" w:name="Tc_J-4CrOp3HUCcYo-U0lefog_25_0"/>
      <w:bookmarkStart w:id="202" w:name="Tc_r535J1SxVkGhf5Mg-gjiTQ_24_11"/>
      <w:bookmarkStart w:id="203" w:name="Tc_g9vvkJm3x0y-MKNyYiULBw_24_8"/>
      <w:bookmarkStart w:id="204" w:name="Tc__eXOu964r0aAJ5WUY7j3dA_24_5"/>
      <w:bookmarkStart w:id="205" w:name="Tc_9j3vJ25s40eHDYEyly3z1Q_24_2"/>
      <w:bookmarkStart w:id="206" w:name="Tc_Kir8danr60a1Wg19jGF32A_24_0"/>
      <w:bookmarkStart w:id="207" w:name="Tc_qm2rUscl70uq4IVPL-KiTA_23_11"/>
      <w:bookmarkStart w:id="208" w:name="Tc_P9IXXULm-k6vUfd4_AU0iA_23_8"/>
      <w:bookmarkStart w:id="209" w:name="Tc_kyW76qnBTkCD1x5sBmgk8w_23_5"/>
      <w:bookmarkStart w:id="210" w:name="Tc_DD9XxlMbNk-1bOymZcCz6Q_23_2"/>
      <w:bookmarkStart w:id="211" w:name="Tc_23XEZ3GAeECtPUl17epHGw_23_0"/>
      <w:bookmarkStart w:id="212" w:name="Tc_Sj-ebJ_ZB0-bzlvLbGOW2g_22_0"/>
      <w:bookmarkStart w:id="213" w:name="Tc_p7TZZ49GeE-dZLZxiPSI5Q_21_11"/>
      <w:bookmarkStart w:id="214" w:name="Tc_f6EQJ_c9LUKfomHtDfaCFA_21_8"/>
      <w:bookmarkStart w:id="215" w:name="Tc_-i49sv1_WkyCWrTbHfMKPQ_21_5"/>
      <w:bookmarkStart w:id="216" w:name="Tc_IUSn3VvFAUiLqYv6fawyTQ_21_2"/>
      <w:bookmarkStart w:id="217" w:name="Tc_NJDfTJtMWEShd9o73pL1Rw_21_0"/>
      <w:bookmarkStart w:id="218" w:name="Tc_J3LcEjOOPUK65xharFEERw_20_0"/>
      <w:bookmarkStart w:id="219" w:name="Tc_YFLKsUPhR0K8gO_Y-AUAIw_19_0"/>
      <w:bookmarkStart w:id="220" w:name="Tc_E1q9njAM1UWvSwPGv6l5Pg_18_0"/>
      <w:bookmarkStart w:id="221" w:name="Tc_e0nXnfJsLEWMx1NCPoDnWA_17_0"/>
      <w:bookmarkStart w:id="222" w:name="Tc_SAeMDqKUdUSLJCNOALHqBA_16_0"/>
      <w:bookmarkStart w:id="223" w:name="Tc_eRBTB5C4gEKLFuwBud3OHA_15_0"/>
      <w:bookmarkStart w:id="224" w:name="Tc_T9ORAY6bXU2kx6hVDjCdDw_14_0"/>
      <w:bookmarkStart w:id="225" w:name="Tc_nNSUeY1V6E2oxIBSsLu8iA_13_0"/>
      <w:bookmarkStart w:id="226" w:name="Tc_G2EqQJZ2I0auA-yF37PhHQ_12_0"/>
      <w:bookmarkStart w:id="227" w:name="Tc_To6sKYs99kKOOMW96tHTDA_11_0"/>
      <w:bookmarkStart w:id="228" w:name="Tc_2Yw73F_EbEaEXMBVDlhgdg_10_0"/>
      <w:bookmarkStart w:id="229" w:name="Tc_OnaZuPzEbEma009JxVGUew_9_0"/>
      <w:bookmarkStart w:id="230" w:name="Tc_QVrDu9-9K0GuMKU_Gkxuiw_8_0"/>
      <w:bookmarkStart w:id="231" w:name="Tc_dlckfFEj80ehomlBRQYmfg_7_0"/>
      <w:bookmarkStart w:id="232" w:name="Tc_24dJoYYXFUWCPKc4YK_XbA_6_0"/>
      <w:bookmarkStart w:id="233" w:name="Tc_oZcgNbR2vESu6nJgk8bMxA_5_11"/>
      <w:bookmarkStart w:id="234" w:name="Tc_CLjvoa7DqECmPMpXHx6L7A_5_8"/>
      <w:bookmarkStart w:id="235" w:name="Tc_dO9oTff_ZUGCK2nRXZQp1Q_5_5"/>
      <w:bookmarkStart w:id="236" w:name="Tc_d1rPiQ_WxE-UxOSRqWeBXw_5_2"/>
      <w:bookmarkStart w:id="237" w:name="Tc_v5J2OL1Mmkmq--f4jnB0yg_5_0"/>
      <w:bookmarkStart w:id="238" w:name="Tc_Z6-gu_ipUUmbZEGcsE3l3g_4_0"/>
      <w:bookmarkStart w:id="239" w:name="Tc_jA7tlgBJV0Kq1lvBnPzNkA_3_11"/>
      <w:bookmarkStart w:id="240" w:name="Tc_u_ChTgZKQk66g3JggWwrZw_3_8"/>
      <w:bookmarkStart w:id="241" w:name="Tc_GvQEBT-3Yk-o7H-deMnxnw_3_5"/>
      <w:bookmarkStart w:id="242" w:name="Tc_SvejK5xKc0up-ybGatiNXQ_3_2"/>
      <w:bookmarkStart w:id="243" w:name="Tc_Rnz6ILIQ2kqSL0FN14cUug_2_8"/>
      <w:bookmarkStart w:id="244" w:name="Tc_orQMMjWxNkae81oM1o3kjg_2_2"/>
      <w:bookmarkStart w:id="245" w:name="Tc_m3ixwCTogk2oMcEG8d41Lg_1_8"/>
      <w:bookmarkStart w:id="246" w:name="Tc_gpYE4kMBXEaT8hoGTUh8BA_1_2"/>
      <w:bookmarkStart w:id="247" w:name="_ab43d1fc_886f_4742_bb47_d543d5d485af"/>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tbl>
      <w:tblPr>
        <w:tblW w:w="8363" w:type="dxa"/>
        <w:jc w:val="left"/>
        <w:tblInd w:w="0" w:type="dxa"/>
        <w:tblLayout w:type="fixed"/>
        <w:tblCellMar>
          <w:top w:w="0" w:type="dxa"/>
          <w:left w:w="0" w:type="dxa"/>
          <w:bottom w:w="0" w:type="dxa"/>
          <w:right w:w="0" w:type="dxa"/>
        </w:tblCellMar>
      </w:tblPr>
      <w:tblGrid>
        <w:gridCol w:w="4231"/>
        <w:gridCol w:w="109"/>
        <w:gridCol w:w="200"/>
        <w:gridCol w:w="644"/>
        <w:gridCol w:w="111"/>
        <w:gridCol w:w="200"/>
        <w:gridCol w:w="644"/>
        <w:gridCol w:w="109"/>
        <w:gridCol w:w="196"/>
        <w:gridCol w:w="691"/>
        <w:gridCol w:w="326"/>
        <w:gridCol w:w="196"/>
        <w:gridCol w:w="706"/>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686685" cy="175260"/>
                      <wp:effectExtent l="0" t="0" r="0" b="0"/>
                      <wp:wrapNone/>
                      <wp:docPr id="24" name="Frame23"/>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5"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7000" cy="175260"/>
                      <wp:effectExtent l="0" t="0" r="0" b="0"/>
                      <wp:wrapNone/>
                      <wp:docPr id="26" name="Frame25"/>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08940" cy="175260"/>
                      <wp:effectExtent l="0" t="0" r="0" b="0"/>
                      <wp:wrapNone/>
                      <wp:docPr id="27" name="Frame26"/>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0485" cy="175260"/>
                      <wp:effectExtent l="0" t="0" r="0" b="0"/>
                      <wp:wrapNone/>
                      <wp:docPr id="28" name="Frame27"/>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7000" cy="175260"/>
                      <wp:effectExtent l="0" t="0" r="0" b="0"/>
                      <wp:wrapNone/>
                      <wp:docPr id="29" name="Frame28"/>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08940" cy="175260"/>
                      <wp:effectExtent l="0" t="0" r="0" b="0"/>
                      <wp:wrapNone/>
                      <wp:docPr id="30" name="Frame29"/>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1"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4460" cy="175260"/>
                      <wp:effectExtent l="0" t="0" r="0" b="0"/>
                      <wp:wrapNone/>
                      <wp:docPr id="32" name="Frame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38785" cy="175260"/>
                      <wp:effectExtent l="0" t="0" r="0" b="0"/>
                      <wp:wrapNone/>
                      <wp:docPr id="33" name="Frame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4"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35"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48310" cy="175260"/>
                      <wp:effectExtent l="0" t="0" r="0" b="0"/>
                      <wp:wrapNone/>
                      <wp:docPr id="36" name="Frame3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799"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11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w:t>
            </w:r>
          </w:p>
        </w:tc>
      </w:tr>
      <w:tr>
        <w:trPr/>
        <w:tc>
          <w:tcPr>
            <w:tcW w:w="42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109" w:type="dxa"/>
            <w:tcBorders/>
            <w:vAlign w:val="center"/>
          </w:tcPr>
          <w:p>
            <w:pPr>
              <w:pStyle w:val="TableContents"/>
              <w:bidi w:val="0"/>
              <w:spacing w:before="0" w:after="1"/>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r>
      <w:tr>
        <w:trPr/>
        <w:tc>
          <w:tcPr>
            <w:tcW w:w="42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8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111" w:type="dxa"/>
            <w:tcBorders/>
            <w:vAlign w:val="center"/>
          </w:tcPr>
          <w:p>
            <w:pPr>
              <w:pStyle w:val="TableContents"/>
              <w:bidi w:val="0"/>
              <w:spacing w:before="0" w:after="1"/>
              <w:ind w:left="0" w:right="0" w:hanging="0"/>
              <w:jc w:val="left"/>
              <w:rPr/>
            </w:pPr>
            <w:r>
              <w:rPr/>
              <w:t>​</w:t>
            </w:r>
          </w:p>
        </w:tc>
        <w:tc>
          <w:tcPr>
            <w:tcW w:w="8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Crude oil</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11,799</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14,868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40,062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34,309</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21,598</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6,070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58,816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20,698</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 liquids</w:t>
            </w:r>
          </w:p>
        </w:tc>
        <w:tc>
          <w:tcPr>
            <w:tcW w:w="109"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3,470</w:t>
            </w:r>
          </w:p>
        </w:tc>
        <w:tc>
          <w:tcPr>
            <w:tcW w:w="111"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4,750</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11,462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11,899</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36,867</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25,688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110,340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66,906</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costs</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left"/>
              <w:rPr/>
            </w:pPr>
            <w:r>
              <w:rPr/>
              <w:t> </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operating costs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13,570</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12,084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47,727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31,380</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Depletion, depreciation, and accretion</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3,383</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10,439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4,489</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2,267</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5,278</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costs</w:t>
            </w:r>
          </w:p>
        </w:tc>
        <w:tc>
          <w:tcPr>
            <w:tcW w:w="109"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19,220</w:t>
            </w:r>
          </w:p>
        </w:tc>
        <w:tc>
          <w:tcPr>
            <w:tcW w:w="111"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15,336</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65,486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41,147</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17,647</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10,352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44,854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25,759</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left"/>
              <w:rPr/>
            </w:pPr>
            <w:r>
              <w:rPr/>
              <w:t> </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gain (loss) on derivative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270</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(2,591)</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and other income</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17,898</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7,593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44,989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22,908</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(3,941)</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(9,938)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(5,152)</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109"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13,957</w:t>
            </w:r>
          </w:p>
        </w:tc>
        <w:tc>
          <w:tcPr>
            <w:tcW w:w="111"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5,705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35,051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17,756</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left"/>
              <w:rPr/>
            </w:pPr>
            <w:r>
              <w:rPr/>
              <w:t> </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 </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0.42</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0.53</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0.41</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0.52</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left"/>
              <w:rPr/>
            </w:pPr>
            <w:r>
              <w:rPr/>
              <w:t> </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33,013</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33,009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33,108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32,933</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33,156</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33,388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33,291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33,258</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48" w:name="ConsolidatedCondensedStatementsofCashFlo"/>
      <w:bookmarkStart w:id="249" w:name="_f5da7674_b66e_4d9f_a67a_045dfb8ad3ca"/>
      <w:bookmarkEnd w:id="248"/>
      <w:bookmarkEnd w:id="249"/>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50" w:name="Tc_xG6oWaj8Q0qtJI2lcgTVNQ_37_3"/>
      <w:bookmarkStart w:id="251" w:name="Tc_mXrBkajGXkyRkIl0j3LHJA_37_0"/>
      <w:bookmarkStart w:id="252" w:name="Tc_pvT-v54dkUKPonJtLr6ViA_36_6"/>
      <w:bookmarkStart w:id="253" w:name="Tc__pdMl7tlwE2u6FoDHOU4rA_36_5"/>
      <w:bookmarkStart w:id="254" w:name="Tc_YYCYwo4ac020eVFmpqB36A_36_2"/>
      <w:bookmarkStart w:id="255" w:name="Tc_gZWspKR9mkmAFAy8wI2dTA_36_0"/>
      <w:bookmarkStart w:id="256" w:name="Tc_MRTA_Asxb0-buVpVUHdliA_35_0"/>
      <w:bookmarkStart w:id="257" w:name="Tc_aT9FWUvR6E-5EEmZ2sqKww_34_0"/>
      <w:bookmarkStart w:id="258" w:name="Tc_NH3RsyUmkUOS8LfiaylPVA_32_5"/>
      <w:bookmarkStart w:id="259" w:name="Tc_WlrCzxYewUK9Rz4CUv394w_32_2"/>
      <w:bookmarkStart w:id="260" w:name="Tc_3iAnNIMsR0a1aDIH5q0fFg_32_0"/>
      <w:bookmarkStart w:id="261" w:name="Tc_zdhAHX_kMUWShjlAdVxnKQ_31_0"/>
      <w:bookmarkStart w:id="262" w:name="Tc_Mr5urQr7rUCQnVronmaddQ_30_0"/>
      <w:bookmarkStart w:id="263" w:name="Tc_r_n7HWoS9kGGByaILjx-2g_29_0"/>
      <w:bookmarkStart w:id="264" w:name="Tc_e-RsL_5aMEi6Rp9l3ASR5g_28_0"/>
      <w:bookmarkStart w:id="265" w:name="Tc_vxaX3gYj2kKDhNIcka_qgQ_27_3"/>
      <w:bookmarkStart w:id="266" w:name="Tc_PEdKGy-OI0mXVbtzXClCJQ_27_0"/>
      <w:bookmarkStart w:id="267" w:name="Tc_pfRRNnwS3USEK9uKbS9vaA_26_0"/>
      <w:bookmarkStart w:id="268" w:name="Tc_TLJLNCDtNkqn36H2Mbi_xg_25_0"/>
      <w:bookmarkStart w:id="269" w:name="Tc_2ZLIbNyFIkyVltJ-z2GniA_24_0"/>
      <w:bookmarkStart w:id="270" w:name="Tc_OWoUwMo3MkWkkYqRoRLyfw_23_0"/>
      <w:bookmarkStart w:id="271" w:name="Tc_NfDfoP8qkEeddcj7DQH2yQ_22_3"/>
      <w:bookmarkStart w:id="272" w:name="Tc_n7AETBT0AUe5CJ-HSwNO2Q_22_0"/>
      <w:bookmarkStart w:id="273" w:name="Tc_hz4MKkiBsEi4QSAiPiAcKw_21_0"/>
      <w:bookmarkStart w:id="274" w:name="Tc_9vtYyYdeckmoOWmsEmWBJA_20_0"/>
      <w:bookmarkStart w:id="275" w:name="Tc_KDRc_zesB0SKqkOuooutNA_19_0"/>
      <w:bookmarkStart w:id="276" w:name="Tc_ymgsmaSMV0mENM0YAKyx9w_18_0"/>
      <w:bookmarkStart w:id="277" w:name="Tc_TSXm26XiEUGyIsH7rGQQtA_17_0"/>
      <w:bookmarkStart w:id="278" w:name="Tc_PWmbv1zv1keq_0nxDJQXAA_16_0"/>
      <w:bookmarkStart w:id="279" w:name="Tc_EIL5stLzNEKY7A1a3TEf_Q_15_0"/>
      <w:bookmarkStart w:id="280" w:name="Tc_LE_3UE1ihEi2T-1G-ZqLaA_14_0"/>
      <w:bookmarkStart w:id="281" w:name="Tc_3CSgjtJokkmWjwsV5omSqg_13_0"/>
      <w:bookmarkStart w:id="282" w:name="Tc_5M3NrcXpPk-HaLe8lp5PFQ_12_0"/>
      <w:bookmarkStart w:id="283" w:name="Tc_K-a54hvGmUe_mQP3u9IEvg_11_0"/>
      <w:bookmarkStart w:id="284" w:name="Tc_mErSqzTOQUunUZgSqv7u0g_10_0"/>
      <w:bookmarkStart w:id="285" w:name="Tc_QGapr4G9MEiNLklk3HC_wA_9_0"/>
      <w:bookmarkStart w:id="286" w:name="Tc_vcv0P7zp-Eu78J7U24moFA_8_6"/>
      <w:bookmarkStart w:id="287" w:name="Tc_Dz5CSvKsh0-N_Tn63lXM_A_8_0"/>
      <w:bookmarkStart w:id="288" w:name="Tc_oPNnBbxoOUaQlb7JU6jL-A_7_0"/>
      <w:bookmarkStart w:id="289" w:name="Tc_5S6O8_X7306OfvCajJ-Dpw_6_0"/>
      <w:bookmarkStart w:id="290" w:name="Tc_ZGTzmiRxYEuTFzAz5XSrrg_5_0"/>
      <w:bookmarkStart w:id="291" w:name="Tc_iCIWIIm7Hk2Z6kNyGCK5Vg_4_5"/>
      <w:bookmarkStart w:id="292" w:name="Tc_7I-WIVlzrke0QKzVUIQS-Q_4_2"/>
      <w:bookmarkStart w:id="293" w:name="Tc_wAIKZHwLiE2kFt4S9hBAdQ_4_0"/>
      <w:bookmarkStart w:id="294" w:name="Tc_ScbLF4Pf5E2uP5bHTqnrJA_3_0"/>
      <w:bookmarkStart w:id="295" w:name="Tc_fDe2gzpyL02mbqb5OFbvOg_2_5"/>
      <w:bookmarkStart w:id="296" w:name="Tc_gkEWUjegY0iz-rSgU-LkZQ_2_2"/>
      <w:bookmarkStart w:id="297" w:name="Tc_CfPxivLzpkyGLsLJRj5SDg_1_2"/>
      <w:bookmarkStart w:id="298" w:name="_014cb2cf_3a29_4038_8aee_cb5e23794f77"/>
      <w:bookmarkStart w:id="299" w:name="Tc_xG6oWaj8Q0qtJI2lcgTVNQ_37_3"/>
      <w:bookmarkStart w:id="300" w:name="Tc_mXrBkajGXkyRkIl0j3LHJA_37_0"/>
      <w:bookmarkStart w:id="301" w:name="Tc_pvT-v54dkUKPonJtLr6ViA_36_6"/>
      <w:bookmarkStart w:id="302" w:name="Tc__pdMl7tlwE2u6FoDHOU4rA_36_5"/>
      <w:bookmarkStart w:id="303" w:name="Tc_YYCYwo4ac020eVFmpqB36A_36_2"/>
      <w:bookmarkStart w:id="304" w:name="Tc_gZWspKR9mkmAFAy8wI2dTA_36_0"/>
      <w:bookmarkStart w:id="305" w:name="Tc_MRTA_Asxb0-buVpVUHdliA_35_0"/>
      <w:bookmarkStart w:id="306" w:name="Tc_aT9FWUvR6E-5EEmZ2sqKww_34_0"/>
      <w:bookmarkStart w:id="307" w:name="Tc_NH3RsyUmkUOS8LfiaylPVA_32_5"/>
      <w:bookmarkStart w:id="308" w:name="Tc_WlrCzxYewUK9Rz4CUv394w_32_2"/>
      <w:bookmarkStart w:id="309" w:name="Tc_3iAnNIMsR0a1aDIH5q0fFg_32_0"/>
      <w:bookmarkStart w:id="310" w:name="Tc_zdhAHX_kMUWShjlAdVxnKQ_31_0"/>
      <w:bookmarkStart w:id="311" w:name="Tc_Mr5urQr7rUCQnVronmaddQ_30_0"/>
      <w:bookmarkStart w:id="312" w:name="Tc_r_n7HWoS9kGGByaILjx-2g_29_0"/>
      <w:bookmarkStart w:id="313" w:name="Tc_e-RsL_5aMEi6Rp9l3ASR5g_28_0"/>
      <w:bookmarkStart w:id="314" w:name="Tc_vxaX3gYj2kKDhNIcka_qgQ_27_3"/>
      <w:bookmarkStart w:id="315" w:name="Tc_PEdKGy-OI0mXVbtzXClCJQ_27_0"/>
      <w:bookmarkStart w:id="316" w:name="Tc_pfRRNnwS3USEK9uKbS9vaA_26_0"/>
      <w:bookmarkStart w:id="317" w:name="Tc_TLJLNCDtNkqn36H2Mbi_xg_25_0"/>
      <w:bookmarkStart w:id="318" w:name="Tc_2ZLIbNyFIkyVltJ-z2GniA_24_0"/>
      <w:bookmarkStart w:id="319" w:name="Tc_OWoUwMo3MkWkkYqRoRLyfw_23_0"/>
      <w:bookmarkStart w:id="320" w:name="Tc_NfDfoP8qkEeddcj7DQH2yQ_22_3"/>
      <w:bookmarkStart w:id="321" w:name="Tc_n7AETBT0AUe5CJ-HSwNO2Q_22_0"/>
      <w:bookmarkStart w:id="322" w:name="Tc_hz4MKkiBsEi4QSAiPiAcKw_21_0"/>
      <w:bookmarkStart w:id="323" w:name="Tc_9vtYyYdeckmoOWmsEmWBJA_20_0"/>
      <w:bookmarkStart w:id="324" w:name="Tc_KDRc_zesB0SKqkOuooutNA_19_0"/>
      <w:bookmarkStart w:id="325" w:name="Tc_ymgsmaSMV0mENM0YAKyx9w_18_0"/>
      <w:bookmarkStart w:id="326" w:name="Tc_TSXm26XiEUGyIsH7rGQQtA_17_0"/>
      <w:bookmarkStart w:id="327" w:name="Tc_PWmbv1zv1keq_0nxDJQXAA_16_0"/>
      <w:bookmarkStart w:id="328" w:name="Tc_EIL5stLzNEKY7A1a3TEf_Q_15_0"/>
      <w:bookmarkStart w:id="329" w:name="Tc_LE_3UE1ihEi2T-1G-ZqLaA_14_0"/>
      <w:bookmarkStart w:id="330" w:name="Tc_3CSgjtJokkmWjwsV5omSqg_13_0"/>
      <w:bookmarkStart w:id="331" w:name="Tc_5M3NrcXpPk-HaLe8lp5PFQ_12_0"/>
      <w:bookmarkStart w:id="332" w:name="Tc_K-a54hvGmUe_mQP3u9IEvg_11_0"/>
      <w:bookmarkStart w:id="333" w:name="Tc_mErSqzTOQUunUZgSqv7u0g_10_0"/>
      <w:bookmarkStart w:id="334" w:name="Tc_QGapr4G9MEiNLklk3HC_wA_9_0"/>
      <w:bookmarkStart w:id="335" w:name="Tc_vcv0P7zp-Eu78J7U24moFA_8_6"/>
      <w:bookmarkStart w:id="336" w:name="Tc_Dz5CSvKsh0-N_Tn63lXM_A_8_0"/>
      <w:bookmarkStart w:id="337" w:name="Tc_oPNnBbxoOUaQlb7JU6jL-A_7_0"/>
      <w:bookmarkStart w:id="338" w:name="Tc_5S6O8_X7306OfvCajJ-Dpw_6_0"/>
      <w:bookmarkStart w:id="339" w:name="Tc_ZGTzmiRxYEuTFzAz5XSrrg_5_0"/>
      <w:bookmarkStart w:id="340" w:name="Tc_iCIWIIm7Hk2Z6kNyGCK5Vg_4_5"/>
      <w:bookmarkStart w:id="341" w:name="Tc_7I-WIVlzrke0QKzVUIQS-Q_4_2"/>
      <w:bookmarkStart w:id="342" w:name="Tc_wAIKZHwLiE2kFt4S9hBAdQ_4_0"/>
      <w:bookmarkStart w:id="343" w:name="Tc_ScbLF4Pf5E2uP5bHTqnrJA_3_0"/>
      <w:bookmarkStart w:id="344" w:name="Tc_fDe2gzpyL02mbqb5OFbvOg_2_5"/>
      <w:bookmarkStart w:id="345" w:name="Tc_gkEWUjegY0iz-rSgU-LkZQ_2_2"/>
      <w:bookmarkStart w:id="346" w:name="Tc_CfPxivLzpkyGLsLJRj5SDg_1_2"/>
      <w:bookmarkStart w:id="347" w:name="_014cb2cf_3a29_4038_8aee_cb5e23794f77"/>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tbl>
      <w:tblPr>
        <w:tblW w:w="9670" w:type="dxa"/>
        <w:jc w:val="left"/>
        <w:tblInd w:w="0" w:type="dxa"/>
        <w:tblLayout w:type="fixed"/>
        <w:tblCellMar>
          <w:top w:w="0" w:type="dxa"/>
          <w:left w:w="0" w:type="dxa"/>
          <w:bottom w:w="0" w:type="dxa"/>
          <w:right w:w="0" w:type="dxa"/>
        </w:tblCellMar>
      </w:tblPr>
      <w:tblGrid>
        <w:gridCol w:w="6766"/>
        <w:gridCol w:w="326"/>
        <w:gridCol w:w="229"/>
        <w:gridCol w:w="843"/>
        <w:gridCol w:w="381"/>
        <w:gridCol w:w="229"/>
        <w:gridCol w:w="896"/>
      </w:tblGrid>
      <w:tr>
        <w:trPr/>
        <w:tc>
          <w:tcPr>
            <w:tcW w:w="6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296410" cy="175260"/>
                      <wp:effectExtent l="0" t="0" r="0" b="0"/>
                      <wp:wrapNone/>
                      <wp:docPr id="37" name="Frame36"/>
                      <a:graphic xmlns:a="http://schemas.openxmlformats.org/drawingml/2006/main">
                        <a:graphicData uri="http://schemas.microsoft.com/office/word/2010/wordprocessingShape">
                          <wps:wsp>
                            <wps:cNvSpPr txBox="1"/>
                            <wps:spPr>
                              <a:xfrm>
                                <a:off x="0" y="0"/>
                                <a:ext cx="429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38"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5415" cy="175260"/>
                      <wp:effectExtent l="0" t="0" r="0" b="0"/>
                      <wp:wrapNone/>
                      <wp:docPr id="39" name="Frame38"/>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35305" cy="175260"/>
                      <wp:effectExtent l="0" t="0" r="0" b="0"/>
                      <wp:wrapNone/>
                      <wp:docPr id="40" name="Frame39"/>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41935" cy="175260"/>
                      <wp:effectExtent l="0" t="0" r="0" b="0"/>
                      <wp:wrapNone/>
                      <wp:docPr id="41" name="Frame40"/>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45415" cy="175260"/>
                      <wp:effectExtent l="0" t="0" r="0" b="0"/>
                      <wp:wrapNone/>
                      <wp:docPr id="42" name="Frame41"/>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68960" cy="175260"/>
                      <wp:effectExtent l="0" t="0" r="0" b="0"/>
                      <wp:wrapNone/>
                      <wp:docPr id="43" name="Frame4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66" w:type="dxa"/>
            <w:tcBorders/>
            <w:vAlign w:val="center"/>
          </w:tcPr>
          <w:p>
            <w:pPr>
              <w:pStyle w:val="TableContents"/>
              <w:bidi w:val="0"/>
              <w:spacing w:before="0" w:after="1"/>
              <w:ind w:left="0" w:right="0" w:hanging="0"/>
              <w:jc w:val="left"/>
              <w:rPr>
                <w:color w:val="0563C1"/>
              </w:rPr>
            </w:pPr>
            <w:r>
              <w:rPr>
                <w:color w:val="0563C1"/>
              </w:rPr>
              <w:t>​</w:t>
            </w:r>
          </w:p>
        </w:tc>
        <w:tc>
          <w:tcPr>
            <w:tcW w:w="326" w:type="dxa"/>
            <w:tcBorders/>
            <w:vAlign w:val="center"/>
          </w:tcPr>
          <w:p>
            <w:pPr>
              <w:pStyle w:val="TableContents"/>
              <w:bidi w:val="0"/>
              <w:spacing w:before="0" w:after="1"/>
              <w:ind w:left="0" w:right="0" w:hanging="0"/>
              <w:jc w:val="left"/>
              <w:rPr/>
            </w:pPr>
            <w:r>
              <w:rPr/>
              <w:t>​</w:t>
            </w:r>
          </w:p>
        </w:tc>
        <w:tc>
          <w:tcPr>
            <w:tcW w:w="25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 March 31, </w:t>
            </w:r>
          </w:p>
        </w:tc>
      </w:tr>
      <w:tr>
        <w:trPr/>
        <w:tc>
          <w:tcPr>
            <w:tcW w:w="676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0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81" w:type="dxa"/>
            <w:tcBorders/>
            <w:vAlign w:val="center"/>
          </w:tcPr>
          <w:p>
            <w:pPr>
              <w:pStyle w:val="TableContents"/>
              <w:bidi w:val="0"/>
              <w:spacing w:before="0" w:after="1"/>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left"/>
              <w:rPr/>
            </w:pPr>
            <w:r>
              <w:rPr/>
              <w:t> </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left"/>
              <w:rPr/>
            </w:pPr>
            <w:r>
              <w:rPr/>
              <w:t> </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35,051</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17,756</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income (loss) to 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left"/>
              <w:rPr/>
            </w:pPr>
            <w:r>
              <w:rPr/>
              <w:t> </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left"/>
              <w:rPr/>
            </w:pPr>
            <w:r>
              <w:rPr/>
              <w:t>​</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Depletion, depreciation, and accretion</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10,439</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4,489</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1,155</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868</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Settlement of asset retirement obligations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 loss on derivative contracts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(1,994)</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2,398</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settlements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(1,130)</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left"/>
              <w:rPr/>
            </w:pPr>
            <w:r>
              <w:rPr/>
              <w:t> </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left"/>
              <w:rPr/>
            </w:pPr>
            <w:r>
              <w:rPr/>
              <w:t>​</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Receivables from crude oil, natural gas, and natural gas liquids revenues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16,483</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(4,999)</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(980)</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and accrued liabilities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(8,146)</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7,529</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 and federal income taxes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1,063</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51,719</w:t>
            </w:r>
          </w:p>
        </w:tc>
        <w:tc>
          <w:tcPr>
            <w:tcW w:w="381"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28,691</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left"/>
              <w:rPr/>
            </w:pPr>
            <w:r>
              <w:rPr/>
              <w:t>​</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 of oil and natural gas properties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(25,844)</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 expenditures for 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(4,234)</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(826)</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 deposit</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(1,470)</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(4,265)</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(28,140)</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left"/>
              <w:rPr/>
            </w:pPr>
            <w:r>
              <w:rPr/>
              <w:t> </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left"/>
              <w:rPr/>
            </w:pPr>
            <w:r>
              <w:rPr/>
              <w:t> </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dividends paid</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(12,114)</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(8,421)</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repurchases, including stock surrendered for tax withholding</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(3,983)</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Borrowings under senior secured credit facility</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17,000</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Repayments of senior secured credit facility</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(21,250)</w:t>
            </w:r>
          </w:p>
        </w:tc>
        <w:tc>
          <w:tcPr>
            <w:tcW w:w="381"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(37,347)</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7,541</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10,107</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8,092</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8,280</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5,277</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end of period</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18,387</w:t>
            </w:r>
          </w:p>
        </w:tc>
        <w:tc>
          <w:tcPr>
            <w:tcW w:w="381"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13,369</w:t>
            </w:r>
          </w:p>
        </w:tc>
      </w:tr>
      <w:tr>
        <w:trPr/>
        <w:tc>
          <w:tcPr>
            <w:tcW w:w="67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left"/>
              <w:rPr/>
            </w:pPr>
            <w:r>
              <w:rPr/>
              <w:t>​</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Supplemental disclosures of cash flow information:</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left"/>
              <w:rPr/>
            </w:pPr>
            <w:r>
              <w:rPr/>
              <w:t>​</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investing and financing transactions: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left"/>
              <w:rPr/>
            </w:pPr>
            <w:r>
              <w:rPr/>
              <w:t>​</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Increase (decrease) in accrued capital expenditures for oil and natural gas properties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6" w:type="dxa"/>
            <w:tcBorders/>
            <w:vAlign w:val="center"/>
          </w:tcPr>
          <w:p>
            <w:pPr>
              <w:pStyle w:val="TableContents"/>
              <w:bidi w:val="0"/>
              <w:spacing w:before="0" w:after="1"/>
              <w:ind w:left="0" w:right="0" w:hanging="0"/>
              <w:jc w:val="right"/>
              <w:rPr/>
            </w:pPr>
            <w:r>
              <w:rPr/>
              <w:t>—</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property costs attributable to the recognition of asset retirement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2,440</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48" w:name="ConsolidatedCondensedStatementsofSHE"/>
      <w:bookmarkStart w:id="349" w:name="_902a7ac0_d0c2_4371_9efa_d4ef7bb2bbbc"/>
      <w:bookmarkEnd w:id="348"/>
      <w:bookmarkEnd w:id="349"/>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STOCKHOLDERS’ EQUITY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50" w:name="Tc_LXbseaJZ9EWqyaHy4X5kuQ_46_16"/>
      <w:bookmarkStart w:id="351" w:name="Tc_kaUFMr7wUkimfiXOviaTuA_46_14"/>
      <w:bookmarkStart w:id="352" w:name="Tc_l91xhRrgskmigbipe3gfyg_46_13"/>
      <w:bookmarkStart w:id="353" w:name="Tc_ifzD5VNT0EGgam6ACFUCIw_46_10"/>
      <w:bookmarkStart w:id="354" w:name="Tc_opeAvETPXE-Rubt2PirJAg_46_7"/>
      <w:bookmarkStart w:id="355" w:name="Tc_KF0PYUzGNUy3l-3-XWObeA_46_4"/>
      <w:bookmarkStart w:id="356" w:name="Tc_wCbwrT50dUit0Q2HzGlkjg_46_0"/>
      <w:bookmarkStart w:id="357" w:name="Tc_ajl4KePhOkG-jxgv6wBNfQ_45_14"/>
      <w:bookmarkStart w:id="358" w:name="Tc_ElxPo8OdvUmMPtS63Ox73Q_45_8"/>
      <w:bookmarkStart w:id="359" w:name="Tc_eyTOBW_6O0O7s4j8tAg6lw_45_5"/>
      <w:bookmarkStart w:id="360" w:name="Tc_Epfb7K2bDUOegjs8AWZmoQ_45_2"/>
      <w:bookmarkStart w:id="361" w:name="Tc_fYzQDC7WykiSvM0g-dx0bA_45_0"/>
      <w:bookmarkStart w:id="362" w:name="Tc_A0HJ3RRxQEClIW01arO61Q_44_14"/>
      <w:bookmarkStart w:id="363" w:name="Tc_cgw1M9GbeE2LFhfUUjCtYg_44_8"/>
      <w:bookmarkStart w:id="364" w:name="Tc_-svE5VePYEOgOja3H6T6WA_44_5"/>
      <w:bookmarkStart w:id="365" w:name="Tc_I-W3vc_YQkeShbIxR2X0lg_44_2"/>
      <w:bookmarkStart w:id="366" w:name="Tc_Dh6IiH9Es0Wtwu63MtXiSw_44_0"/>
      <w:bookmarkStart w:id="367" w:name="Tc_dscpV_iziUeUw1i79M3ebg_43_14"/>
      <w:bookmarkStart w:id="368" w:name="Tc_K-lvIemAhkyxOqealLaiUA_43_11"/>
      <w:bookmarkStart w:id="369" w:name="Tc_A6GcHvNU20640rSeO3VLIw_43_5"/>
      <w:bookmarkStart w:id="370" w:name="Tc_EKpxWxnO8k2_5cdb2HUBtw_43_2"/>
      <w:bookmarkStart w:id="371" w:name="Tc_cwiDl75tS0CVZVd_U6N6xA_43_0"/>
      <w:bookmarkStart w:id="372" w:name="Tc__KgB_QZWJU-nrkEYDYtWrw_42_17"/>
      <w:bookmarkStart w:id="373" w:name="Tc_hP7DA8Aobkq4MHjYKZdplA_42_11"/>
      <w:bookmarkStart w:id="374" w:name="Tc_K1YPvIsUyUO5XIncPrnp2Q_42_5"/>
      <w:bookmarkStart w:id="375" w:name="Tc_lB_YhrVmCUOIyhBaPShQRw_42_0"/>
      <w:bookmarkStart w:id="376" w:name="Tc_AG5b_kWBo022XXL6bGL5FA_41_11"/>
      <w:bookmarkStart w:id="377" w:name="Tc_j-5A-hKTykmgSKO59cEJKw_41_8"/>
      <w:bookmarkStart w:id="378" w:name="Tc_j9hwnYkMrEOyZ-O6KqM6ww_41_5"/>
      <w:bookmarkStart w:id="379" w:name="Tc_qHgQr0EbyUq4Wlfd7I1QFg_41_2"/>
      <w:bookmarkStart w:id="380" w:name="Tc_zf5Oz5LZo0q2vdgbVSYpkw_41_0"/>
      <w:bookmarkStart w:id="381" w:name="Tc_RVoZCvwk1Eyl5Y3oatzfDw_40_17"/>
      <w:bookmarkStart w:id="382" w:name="Tc_YBVr09YffkSARSeGa6f8NQ_40_14"/>
      <w:bookmarkStart w:id="383" w:name="Tc__BE9_k8Ue0G0aMojXiyugQ_40_11"/>
      <w:bookmarkStart w:id="384" w:name="Tc_OxsXRofjcECGaUkGHJoOTA_40_8"/>
      <w:bookmarkStart w:id="385" w:name="Tc_1C-AVuAucke18SxNHlHhtA_40_5"/>
      <w:bookmarkStart w:id="386" w:name="Tc_OzHpkeCh4Uqc4JkBI8FTXQ_40_0"/>
      <w:bookmarkStart w:id="387" w:name="Tc_jDtS4qyxoEqrSddxrCdoTg_39_17"/>
      <w:bookmarkStart w:id="388" w:name="Tc_-D0r2KfYOEyCbq-2yxQDNw_39_14"/>
      <w:bookmarkStart w:id="389" w:name="Tc_0fYO_BZ8bUSlAWOpdoBWYQ_39_11"/>
      <w:bookmarkStart w:id="390" w:name="Tc_KbjBliFLdkyHnMhfLwi99A_39_8"/>
      <w:bookmarkStart w:id="391" w:name="Tc_Z01FffmbIkSNA1ASW6zvMQ_39_5"/>
      <w:bookmarkStart w:id="392" w:name="Tc_UXfJAyZa50uQOfQxjpNQbQ_39_0"/>
      <w:bookmarkStart w:id="393" w:name="Tc_C2iNLedEl0-oVWi2AMaIRA_38_16"/>
      <w:bookmarkStart w:id="394" w:name="Tc_-w6gc4Eqp0Kknm-SEY6mXg_38_14"/>
      <w:bookmarkStart w:id="395" w:name="Tc_siWLrtfpD0C6CODI4xHvjA_38_13"/>
      <w:bookmarkStart w:id="396" w:name="Tc_YdToCmOhaEaM9pMTOrD-TQ_38_10"/>
      <w:bookmarkStart w:id="397" w:name="Tc_-ynQVs7mC0-j4GTiWyuvCQ_38_7"/>
      <w:bookmarkStart w:id="398" w:name="Tc_joWagN9Ll0i-r7EYZLuEQw_38_4"/>
      <w:bookmarkStart w:id="399" w:name="Tc_1zpu41yX-Uem2hf-mMamig_38_0"/>
      <w:bookmarkStart w:id="400" w:name="Tc_ViO5AQ1ED0aFP8XHmAgUTw_37_0"/>
      <w:bookmarkStart w:id="401" w:name="Tc_d2MP2E6130e8DS6TvBDtQg_35_16"/>
      <w:bookmarkStart w:id="402" w:name="Tc_AhCjliVtXk6W97ArUTpjHQ_35_14"/>
      <w:bookmarkStart w:id="403" w:name="Tc_x2zL1gC9mECGnWCT7nxppg_35_13"/>
      <w:bookmarkStart w:id="404" w:name="Tc_P336_jJVtk6ZP72XG6OVrA_35_10"/>
      <w:bookmarkStart w:id="405" w:name="Tc_qVupqucSJEGzI8hQKPBrtg_35_7"/>
      <w:bookmarkStart w:id="406" w:name="Tc_8tQcawOROkOaugsDZI-Tgw_35_4"/>
      <w:bookmarkStart w:id="407" w:name="Tc_Zl8B4zHuQ0SO5Rr4i5P_Bw_35_0"/>
      <w:bookmarkStart w:id="408" w:name="Tc_-4xCTY37nkSZozSbDdM97Q_34_14"/>
      <w:bookmarkStart w:id="409" w:name="Tc_KCxQnmTAb0S1ufNQJDBJOw_34_8"/>
      <w:bookmarkStart w:id="410" w:name="Tc_yx4U7lUStECabHv5sq7cyA_34_5"/>
      <w:bookmarkStart w:id="411" w:name="Tc_NqglFuNUTU-zanplTEB4xw_34_2"/>
      <w:bookmarkStart w:id="412" w:name="Tc_GdZ9UmgBDk6l8DIOAJuj0Q_34_0"/>
      <w:bookmarkStart w:id="413" w:name="Tc_XDUBBO6r_E2NpOA1X5aS3g_33_14"/>
      <w:bookmarkStart w:id="414" w:name="Tc_swVDTUJZaECVKKqomkl8IA_33_8"/>
      <w:bookmarkStart w:id="415" w:name="Tc_SrIU7ieHvEeQQ7j2YT34rg_33_5"/>
      <w:bookmarkStart w:id="416" w:name="Tc_0mAjLt_R5U-T2ErwmYYb0w_33_2"/>
      <w:bookmarkStart w:id="417" w:name="Tc_8YDpmhdzKEO_AU9PIl54xA_33_0"/>
      <w:bookmarkStart w:id="418" w:name="Tc_nmzOuMxVoEOHguU1oehILw_32_14"/>
      <w:bookmarkStart w:id="419" w:name="Tc_A_XbbrLqK0elVwJSEyELLQ_32_11"/>
      <w:bookmarkStart w:id="420" w:name="Tc_9T5z2TC1Qkac7ylKx6L-Uw_32_5"/>
      <w:bookmarkStart w:id="421" w:name="Tc_KuRyc2S-20u4CQzqiEx95Q_32_2"/>
      <w:bookmarkStart w:id="422" w:name="Tc_XfIyhuTjIESUZchXvzqR2Q_32_0"/>
      <w:bookmarkStart w:id="423" w:name="Tc_Q7VTGGEeIkquvnWYJOOayg_31_17"/>
      <w:bookmarkStart w:id="424" w:name="Tc__2VVIv2u0UGNggvRagujUQ_31_11"/>
      <w:bookmarkStart w:id="425" w:name="Tc_3hedUZN5WU2zSUPieDnqSA_31_5"/>
      <w:bookmarkStart w:id="426" w:name="Tc_Pjl1GfgO30aMdbzG61NmLA_31_0"/>
      <w:bookmarkStart w:id="427" w:name="Tc_E-UjQtQwCEiRGzV5YWo81g_30_11"/>
      <w:bookmarkStart w:id="428" w:name="Tc_nIFZoXvx10ymJZ-PTkPTQQ_30_8"/>
      <w:bookmarkStart w:id="429" w:name="Tc_qZIs0vncZkSBVbPnXWrTQw_30_5"/>
      <w:bookmarkStart w:id="430" w:name="Tc_TvL4xw7exk-eu1B6mLFwAw_30_2"/>
      <w:bookmarkStart w:id="431" w:name="Tc_GxXFSo5ZpUWp2phVMuba6Q_30_0"/>
      <w:bookmarkStart w:id="432" w:name="Tc_cetRqmsBYESQKPDe6P7f2g_29_17"/>
      <w:bookmarkStart w:id="433" w:name="Tc_5fVE4pzqE0mtwF8udfSIkg_29_14"/>
      <w:bookmarkStart w:id="434" w:name="Tc_FKuKBHGdzU6IVppeTNEl9Q_29_11"/>
      <w:bookmarkStart w:id="435" w:name="Tc_ZdvNNh8BLE-m2-UUIdoKBQ_29_8"/>
      <w:bookmarkStart w:id="436" w:name="Tc_iy4iZZJ9eEOTygijlcPRKw_29_5"/>
      <w:bookmarkStart w:id="437" w:name="Tc_K3hJaVJ2uEilp-FAvzeehA_29_0"/>
      <w:bookmarkStart w:id="438" w:name="Tc_05WHMgam2UypfkPog5AL2Q_28_17"/>
      <w:bookmarkStart w:id="439" w:name="Tc_yhgWptn2YE6YSUnRyssNcQ_28_14"/>
      <w:bookmarkStart w:id="440" w:name="Tc__sd1SQ9ZSkaTRowSOEh5sg_28_11"/>
      <w:bookmarkStart w:id="441" w:name="Tc_xIKh0w-CJU-8hWPOhlGqVA_28_8"/>
      <w:bookmarkStart w:id="442" w:name="Tc_lYwtGB09FEKH384Autgo-g_28_5"/>
      <w:bookmarkStart w:id="443" w:name="Tc_lYzyLJtEd0mQ90UQt_8YbA_28_0"/>
      <w:bookmarkStart w:id="444" w:name="Tc_faOMlvgwkkemKd2zds-NSg_27_16"/>
      <w:bookmarkStart w:id="445" w:name="Tc_QJQVWIqAQk-sfZhY5JzOtQ_27_14"/>
      <w:bookmarkStart w:id="446" w:name="Tc_ZGmI5pbkU0GpjRr9pVWmhw_27_13"/>
      <w:bookmarkStart w:id="447" w:name="Tc_PjDRUDA_lEiuCJIHUjcArg_27_10"/>
      <w:bookmarkStart w:id="448" w:name="Tc_C27uz4cIQkC6IUS02FeQ0Q_27_7"/>
      <w:bookmarkStart w:id="449" w:name="Tc_-Kgh-rWdMUifzSl3fnJZwQ_27_4"/>
      <w:bookmarkStart w:id="450" w:name="Tc_14iBv-HP7UOIluzFulJ8EQ_27_0"/>
      <w:bookmarkStart w:id="451" w:name="Tc_l9GBHY3pU0WswmAGOha42Q_26_0"/>
      <w:bookmarkStart w:id="452" w:name="Tc_ZRu8AYZIa063sfuJW_ZRow_24_16"/>
      <w:bookmarkStart w:id="453" w:name="Tc_eyhvNk11wUO3z6rh_mk3Lw_24_14"/>
      <w:bookmarkStart w:id="454" w:name="Tc_P_LrmEBqa0uaB0yYN59dKg_24_13"/>
      <w:bookmarkStart w:id="455" w:name="Tc_35xg8HPTlEGMIX6JoHkGsw_24_10"/>
      <w:bookmarkStart w:id="456" w:name="Tc__yKBYdNV7EGFdIit7CT1ow_24_7"/>
      <w:bookmarkStart w:id="457" w:name="Tc_7lfjndrZa0OScU3hiF5Yvw_24_4"/>
      <w:bookmarkStart w:id="458" w:name="Tc_Viu_qjZkZUqGbyaIN8ITIg_24_0"/>
      <w:bookmarkStart w:id="459" w:name="Tc_awmK5b5w7kmi6rO2kSlueA_23_14"/>
      <w:bookmarkStart w:id="460" w:name="Tc_JTAk8WOZJUO2bgd2YKoL8A_23_8"/>
      <w:bookmarkStart w:id="461" w:name="Tc_8lBCO5Xg2UeHVB-1u9kY9g_23_5"/>
      <w:bookmarkStart w:id="462" w:name="Tc_Qsa2hiH4G0KjVlUFJfncqw_23_2"/>
      <w:bookmarkStart w:id="463" w:name="Tc_iA9TO9ihP0aAbREARXWRuw_23_0"/>
      <w:bookmarkStart w:id="464" w:name="Tc_skOoHIGXdkmfNr-muW8ueA_22_14"/>
      <w:bookmarkStart w:id="465" w:name="Tc_3DxQah2Bz0qDDsS5jozJig_22_8"/>
      <w:bookmarkStart w:id="466" w:name="Tc_E5j6wxgKJEGxKR7whZdLcQ_22_5"/>
      <w:bookmarkStart w:id="467" w:name="Tc_LDZFA6qo6UW__1DfIApW2Q_22_2"/>
      <w:bookmarkStart w:id="468" w:name="Tc_zIezHeAP7EW9tBBzZBLbcw_22_0"/>
      <w:bookmarkStart w:id="469" w:name="Tc_dGdRpmlsv0ancGVqk4Dw9g_21_14"/>
      <w:bookmarkStart w:id="470" w:name="Tc_yjWf0Lju5Ee3CCUx_ciwKw_21_11"/>
      <w:bookmarkStart w:id="471" w:name="Tc_8i3WFXXWEkahRjotR2Y_ww_21_5"/>
      <w:bookmarkStart w:id="472" w:name="Tc_47q6yLyMlEez-sdKkqS3Pg_21_2"/>
      <w:bookmarkStart w:id="473" w:name="Tc_dWoXa4ba1k6Jh0DpIkTHog_21_0"/>
      <w:bookmarkStart w:id="474" w:name="Tc__zsFjtwNbEG3R-1TPSWZ4Q_20_17"/>
      <w:bookmarkStart w:id="475" w:name="Tc_meFavtn2MkSy9W-AwWtg8Q_20_11"/>
      <w:bookmarkStart w:id="476" w:name="Tc_6MSjWKjPQ0WDwEs_lFx6Rg_20_0"/>
      <w:bookmarkStart w:id="477" w:name="Tc_iTkM0cPO3UW9A9GINXX28A_19_11"/>
      <w:bookmarkStart w:id="478" w:name="Tc_RECHmCiFxE2grrT-Lv8VyQ_19_8"/>
      <w:bookmarkStart w:id="479" w:name="Tc_GZKoQu6V4k2PCjSk_OiM1w_19_5"/>
      <w:bookmarkStart w:id="480" w:name="Tc_pBfo2x39DkCuo8-SMaQEbA_19_2"/>
      <w:bookmarkStart w:id="481" w:name="Tc_ULEdDDC_LUagbMYkONhqUQ_19_0"/>
      <w:bookmarkStart w:id="482" w:name="Tc_aUATdur95ESjbnY5AoTQ7w_18_17"/>
      <w:bookmarkStart w:id="483" w:name="Tc_XM0-9Rsp5U2xqJDGh96pzw_18_14"/>
      <w:bookmarkStart w:id="484" w:name="Tc_xVYQHY9IGk69TkWAatKIhg_18_11"/>
      <w:bookmarkStart w:id="485" w:name="Tc_0_e6oFeYjkif-8U73fRCdg_18_8"/>
      <w:bookmarkStart w:id="486" w:name="Tc_lo5orII2CkObaCSIcs8JcQ_18_5"/>
      <w:bookmarkStart w:id="487" w:name="Tc_UWErm9ttfEiFBcQy1Gq2FA_18_0"/>
      <w:bookmarkStart w:id="488" w:name="Tc_x_brvyCynkSch5Hz2uafZw_17_17"/>
      <w:bookmarkStart w:id="489" w:name="Tc_vt9mbSXG2k-XJtAzIVvzKg_17_14"/>
      <w:bookmarkStart w:id="490" w:name="Tc_D4cXz2RIX02j9q6fHkKhQA_17_11"/>
      <w:bookmarkStart w:id="491" w:name="Tc_heCsNSwcr0iD48__26ftIg_17_0"/>
      <w:bookmarkStart w:id="492" w:name="Tc_x5dPQc1v2kyEBjxYZZ0iNA_16_16"/>
      <w:bookmarkStart w:id="493" w:name="Tc_mprdT2qiakuRmv1gIc7oOA_16_14"/>
      <w:bookmarkStart w:id="494" w:name="Tc_hqbfVl4TUUeKUqt0_lfo5g_16_13"/>
      <w:bookmarkStart w:id="495" w:name="Tc_b5lMciUFiECzNnrgP9cxIw_16_10"/>
      <w:bookmarkStart w:id="496" w:name="Tc_ixvwAGvf7kmYkNF8ElJU9w_16_7"/>
      <w:bookmarkStart w:id="497" w:name="Tc_NH5YJWLsuEeNvLNcO8EHyA_16_4"/>
      <w:bookmarkStart w:id="498" w:name="Tc_41c_1Isp6U2y9cHOPjkL9g_16_0"/>
      <w:bookmarkStart w:id="499" w:name="Tc_ed2fJ73pqE2R9pPVhDviQQ_15_0"/>
      <w:bookmarkStart w:id="500" w:name="Tc_HtK9uGDvqEq_x66WIDp79g_13_16"/>
      <w:bookmarkStart w:id="501" w:name="Tc_NM95gOtbN0iDi9S308ajvw_13_14"/>
      <w:bookmarkStart w:id="502" w:name="Tc_D0OSfyAx3UWi2vONJiHrnA_13_13"/>
      <w:bookmarkStart w:id="503" w:name="Tc_Awoa3F5Zv0yW3VjwqQ5vgw_13_10"/>
      <w:bookmarkStart w:id="504" w:name="Tc_YvC1a6ID6EKAqHPII3T34Q_13_7"/>
      <w:bookmarkStart w:id="505" w:name="Tc_3L7Un-DdrEuwOl-RRlDYVw_13_4"/>
      <w:bookmarkStart w:id="506" w:name="Tc_jdZsKaGHwESIQKASBqiP0w_13_0"/>
      <w:bookmarkStart w:id="507" w:name="Tc_3Nu2sw58oEeEyB7frvdvVw_12_14"/>
      <w:bookmarkStart w:id="508" w:name="Tc_a79RZ4FufU-4Et2Mpeiwnw_12_8"/>
      <w:bookmarkStart w:id="509" w:name="Tc_EGqO4hOmj0yGJ3hSBizWPw_12_5"/>
      <w:bookmarkStart w:id="510" w:name="Tc_pbz58sB9x0WBw7jC7pjoOA_12_2"/>
      <w:bookmarkStart w:id="511" w:name="Tc_lquq7Cu6MUijUcPauq1V4w_12_0"/>
      <w:bookmarkStart w:id="512" w:name="Tc__tCU2cJPfkilHeMBImUeoA_11_14"/>
      <w:bookmarkStart w:id="513" w:name="Tc_2efQrWx9GkqbTmz3lPN0Mw_11_8"/>
      <w:bookmarkStart w:id="514" w:name="Tc_75e2F2y8REOqlv9Rp_83bA_11_5"/>
      <w:bookmarkStart w:id="515" w:name="Tc_GyzAXk37z0iJrc5smUjvSQ_11_2"/>
      <w:bookmarkStart w:id="516" w:name="Tc_xHsLBmU1J0af_rz2o8D1fg_11_0"/>
      <w:bookmarkStart w:id="517" w:name="Tc_kksX-L9VfE6g_P6RC_beKw_10_14"/>
      <w:bookmarkStart w:id="518" w:name="Tc_PUZGT2KQl0-xYBd-RAQXgA_10_11"/>
      <w:bookmarkStart w:id="519" w:name="Tc_60B90oYXVkSfpBi5oNcnLw_10_5"/>
      <w:bookmarkStart w:id="520" w:name="Tc_0oJNnG6cPEGwgodqbcRWoA_10_2"/>
      <w:bookmarkStart w:id="521" w:name="Tc_wfAR0u0uhEqP315TM7rXLg_10_0"/>
      <w:bookmarkStart w:id="522" w:name="Tc_J8t8uFDozEKgPpcMyAUFJQ_9_17"/>
      <w:bookmarkStart w:id="523" w:name="Tc_DuTGsoAAc0yD8xA_-rsnXw_9_11"/>
      <w:bookmarkStart w:id="524" w:name="Tc_xb2fHEnxB0OCZtlwDk_0cw_9_0"/>
      <w:bookmarkStart w:id="525" w:name="Tc_W8hM7d1BbEy82nqQK6NMyg_8_11"/>
      <w:bookmarkStart w:id="526" w:name="Tc_5aRzEkVkoEyjEOVRi4KLtw_8_8"/>
      <w:bookmarkStart w:id="527" w:name="Tc_jswZlGT370OyLes3yl43Cg_8_5"/>
      <w:bookmarkStart w:id="528" w:name="Tc_OxHG9YMlfECze9hNHlL9Ag_8_2"/>
      <w:bookmarkStart w:id="529" w:name="Tc_QymsVPN9wEaNL1Z175O1aA_8_0"/>
      <w:bookmarkStart w:id="530" w:name="Tc_tKuhqpvIZEOtJzvC9m4Jhw_7_17"/>
      <w:bookmarkStart w:id="531" w:name="Tc_pItehvstwUGOHqwuL-xiOw_7_14"/>
      <w:bookmarkStart w:id="532" w:name="Tc_rmCxW_3dDkGqDEtRWN2Bzw_7_11"/>
      <w:bookmarkStart w:id="533" w:name="Tc_ByIhLzCukEGVKP44Cy6v7g_7_8"/>
      <w:bookmarkStart w:id="534" w:name="Tc_Prkrt08nmk6X-ecPCqI1DQ_7_5"/>
      <w:bookmarkStart w:id="535" w:name="Tc_ZGg0Rfsdf0a1vPU_EXu9cA_7_2"/>
      <w:bookmarkStart w:id="536" w:name="Tc_ocoZha_c0ka-INbTVoF50A_7_0"/>
      <w:bookmarkStart w:id="537" w:name="Tc_HUTo5xxunUSPtkMMSnW94w_6_17"/>
      <w:bookmarkStart w:id="538" w:name="Tc_WJZc44OOI0SK9EgdsSiIaw_6_14"/>
      <w:bookmarkStart w:id="539" w:name="Tc_FFfm71TQsk-lnERB4KiD-A_6_11"/>
      <w:bookmarkStart w:id="540" w:name="Tc_1j8lZqMGIk-dIk-OrjExyQ_6_8"/>
      <w:bookmarkStart w:id="541" w:name="Tc_kyQ2N12PtUKGdaromfdqyQ_6_5"/>
      <w:bookmarkStart w:id="542" w:name="Tc_vXb-ca34AE-qcEb9aPB53w_6_0"/>
      <w:bookmarkStart w:id="543" w:name="Tc_SFRjwsHOS0a7MRRVLInZrA_5_16"/>
      <w:bookmarkStart w:id="544" w:name="Tc_NyYUCAgvsEuyvcUKEintmA_5_14"/>
      <w:bookmarkStart w:id="545" w:name="Tc_a08TMLAg9kiSOyJ8qEsOyg_5_13"/>
      <w:bookmarkStart w:id="546" w:name="Tc_mhub2-ZYDE-od3-qxgFiFQ_5_10"/>
      <w:bookmarkStart w:id="547" w:name="Tc_hGq4LJskfEeiUjaZawA8IA_5_7"/>
      <w:bookmarkStart w:id="548" w:name="Tc_ErtTHxx8v0mpAy8p7rrhSQ_5_4"/>
      <w:bookmarkStart w:id="549" w:name="Tc_ldA2IvyhhUiBhK9qM1LmjA_5_0"/>
      <w:bookmarkStart w:id="550" w:name="Tc_w2GNLfmXREiFA5qfks1LUA_4_0"/>
      <w:bookmarkStart w:id="551" w:name="Tc_a_gYXOQBjkeBOfScAC4vlg_3_16"/>
      <w:bookmarkStart w:id="552" w:name="Tc_Mu21cqJ1LEC59WBRGdiP8w_3_13"/>
      <w:bookmarkStart w:id="553" w:name="Tc_1eaZLnCmE0u7Og7P-8ZEJw_3_10"/>
      <w:bookmarkStart w:id="554" w:name="Tc_mjyCzuc5dkCWks8SczB4tQ_3_7"/>
      <w:bookmarkStart w:id="555" w:name="Tc_ZVwgfQ_DbUK8B6l3xtrH5g_3_4"/>
      <w:bookmarkStart w:id="556" w:name="Tc_3YDGfeeKzEOBCdkR8oLiLQ_3_2"/>
      <w:bookmarkStart w:id="557" w:name="Tc_ayMJSZuzbEauX8zHk8T_Zw_2_16"/>
      <w:bookmarkStart w:id="558" w:name="Tc_WOPrU79Mfka8SbELWeeTeg_2_13"/>
      <w:bookmarkStart w:id="559" w:name="Tc_f4FOZWV8NEK1jwY_8IBAag_2_10"/>
      <w:bookmarkStart w:id="560" w:name="Tc_e5lsV3XFJ0mn8vt1KNENwg_2_7"/>
      <w:bookmarkStart w:id="561" w:name="Tc_LJ7e5PapIEKAzygMtWrLmg_2_2"/>
      <w:bookmarkStart w:id="562" w:name="Tc_qDJO6VKSBkquNx7ZM0ozpg_1_16"/>
      <w:bookmarkStart w:id="563" w:name="Tc_I2LaKMNZgkWCmHV2M1GkUA_1_7"/>
      <w:bookmarkStart w:id="564" w:name="_06ea1a7d_4c1b_4643_b930_3fb3fce994fd"/>
      <w:bookmarkStart w:id="565" w:name="Tc_LXbseaJZ9EWqyaHy4X5kuQ_46_16"/>
      <w:bookmarkStart w:id="566" w:name="Tc_kaUFMr7wUkimfiXOviaTuA_46_14"/>
      <w:bookmarkStart w:id="567" w:name="Tc_l91xhRrgskmigbipe3gfyg_46_13"/>
      <w:bookmarkStart w:id="568" w:name="Tc_ifzD5VNT0EGgam6ACFUCIw_46_10"/>
      <w:bookmarkStart w:id="569" w:name="Tc_opeAvETPXE-Rubt2PirJAg_46_7"/>
      <w:bookmarkStart w:id="570" w:name="Tc_KF0PYUzGNUy3l-3-XWObeA_46_4"/>
      <w:bookmarkStart w:id="571" w:name="Tc_wCbwrT50dUit0Q2HzGlkjg_46_0"/>
      <w:bookmarkStart w:id="572" w:name="Tc_ajl4KePhOkG-jxgv6wBNfQ_45_14"/>
      <w:bookmarkStart w:id="573" w:name="Tc_ElxPo8OdvUmMPtS63Ox73Q_45_8"/>
      <w:bookmarkStart w:id="574" w:name="Tc_eyTOBW_6O0O7s4j8tAg6lw_45_5"/>
      <w:bookmarkStart w:id="575" w:name="Tc_Epfb7K2bDUOegjs8AWZmoQ_45_2"/>
      <w:bookmarkStart w:id="576" w:name="Tc_fYzQDC7WykiSvM0g-dx0bA_45_0"/>
      <w:bookmarkStart w:id="577" w:name="Tc_A0HJ3RRxQEClIW01arO61Q_44_14"/>
      <w:bookmarkStart w:id="578" w:name="Tc_cgw1M9GbeE2LFhfUUjCtYg_44_8"/>
      <w:bookmarkStart w:id="579" w:name="Tc_-svE5VePYEOgOja3H6T6WA_44_5"/>
      <w:bookmarkStart w:id="580" w:name="Tc_I-W3vc_YQkeShbIxR2X0lg_44_2"/>
      <w:bookmarkStart w:id="581" w:name="Tc_Dh6IiH9Es0Wtwu63MtXiSw_44_0"/>
      <w:bookmarkStart w:id="582" w:name="Tc_dscpV_iziUeUw1i79M3ebg_43_14"/>
      <w:bookmarkStart w:id="583" w:name="Tc_K-lvIemAhkyxOqealLaiUA_43_11"/>
      <w:bookmarkStart w:id="584" w:name="Tc_A6GcHvNU20640rSeO3VLIw_43_5"/>
      <w:bookmarkStart w:id="585" w:name="Tc_EKpxWxnO8k2_5cdb2HUBtw_43_2"/>
      <w:bookmarkStart w:id="586" w:name="Tc_cwiDl75tS0CVZVd_U6N6xA_43_0"/>
      <w:bookmarkStart w:id="587" w:name="Tc__KgB_QZWJU-nrkEYDYtWrw_42_17"/>
      <w:bookmarkStart w:id="588" w:name="Tc_hP7DA8Aobkq4MHjYKZdplA_42_11"/>
      <w:bookmarkStart w:id="589" w:name="Tc_K1YPvIsUyUO5XIncPrnp2Q_42_5"/>
      <w:bookmarkStart w:id="590" w:name="Tc_lB_YhrVmCUOIyhBaPShQRw_42_0"/>
      <w:bookmarkStart w:id="591" w:name="Tc_AG5b_kWBo022XXL6bGL5FA_41_11"/>
      <w:bookmarkStart w:id="592" w:name="Tc_j-5A-hKTykmgSKO59cEJKw_41_8"/>
      <w:bookmarkStart w:id="593" w:name="Tc_j9hwnYkMrEOyZ-O6KqM6ww_41_5"/>
      <w:bookmarkStart w:id="594" w:name="Tc_qHgQr0EbyUq4Wlfd7I1QFg_41_2"/>
      <w:bookmarkStart w:id="595" w:name="Tc_zf5Oz5LZo0q2vdgbVSYpkw_41_0"/>
      <w:bookmarkStart w:id="596" w:name="Tc_RVoZCvwk1Eyl5Y3oatzfDw_40_17"/>
      <w:bookmarkStart w:id="597" w:name="Tc_YBVr09YffkSARSeGa6f8NQ_40_14"/>
      <w:bookmarkStart w:id="598" w:name="Tc__BE9_k8Ue0G0aMojXiyugQ_40_11"/>
      <w:bookmarkStart w:id="599" w:name="Tc_OxsXRofjcECGaUkGHJoOTA_40_8"/>
      <w:bookmarkStart w:id="600" w:name="Tc_1C-AVuAucke18SxNHlHhtA_40_5"/>
      <w:bookmarkStart w:id="601" w:name="Tc_OzHpkeCh4Uqc4JkBI8FTXQ_40_0"/>
      <w:bookmarkStart w:id="602" w:name="Tc_jDtS4qyxoEqrSddxrCdoTg_39_17"/>
      <w:bookmarkStart w:id="603" w:name="Tc_-D0r2KfYOEyCbq-2yxQDNw_39_14"/>
      <w:bookmarkStart w:id="604" w:name="Tc_0fYO_BZ8bUSlAWOpdoBWYQ_39_11"/>
      <w:bookmarkStart w:id="605" w:name="Tc_KbjBliFLdkyHnMhfLwi99A_39_8"/>
      <w:bookmarkStart w:id="606" w:name="Tc_Z01FffmbIkSNA1ASW6zvMQ_39_5"/>
      <w:bookmarkStart w:id="607" w:name="Tc_UXfJAyZa50uQOfQxjpNQbQ_39_0"/>
      <w:bookmarkStart w:id="608" w:name="Tc_C2iNLedEl0-oVWi2AMaIRA_38_16"/>
      <w:bookmarkStart w:id="609" w:name="Tc_-w6gc4Eqp0Kknm-SEY6mXg_38_14"/>
      <w:bookmarkStart w:id="610" w:name="Tc_siWLrtfpD0C6CODI4xHvjA_38_13"/>
      <w:bookmarkStart w:id="611" w:name="Tc_YdToCmOhaEaM9pMTOrD-TQ_38_10"/>
      <w:bookmarkStart w:id="612" w:name="Tc_-ynQVs7mC0-j4GTiWyuvCQ_38_7"/>
      <w:bookmarkStart w:id="613" w:name="Tc_joWagN9Ll0i-r7EYZLuEQw_38_4"/>
      <w:bookmarkStart w:id="614" w:name="Tc_1zpu41yX-Uem2hf-mMamig_38_0"/>
      <w:bookmarkStart w:id="615" w:name="Tc_ViO5AQ1ED0aFP8XHmAgUTw_37_0"/>
      <w:bookmarkStart w:id="616" w:name="Tc_d2MP2E6130e8DS6TvBDtQg_35_16"/>
      <w:bookmarkStart w:id="617" w:name="Tc_AhCjliVtXk6W97ArUTpjHQ_35_14"/>
      <w:bookmarkStart w:id="618" w:name="Tc_x2zL1gC9mECGnWCT7nxppg_35_13"/>
      <w:bookmarkStart w:id="619" w:name="Tc_P336_jJVtk6ZP72XG6OVrA_35_10"/>
      <w:bookmarkStart w:id="620" w:name="Tc_qVupqucSJEGzI8hQKPBrtg_35_7"/>
      <w:bookmarkStart w:id="621" w:name="Tc_8tQcawOROkOaugsDZI-Tgw_35_4"/>
      <w:bookmarkStart w:id="622" w:name="Tc_Zl8B4zHuQ0SO5Rr4i5P_Bw_35_0"/>
      <w:bookmarkStart w:id="623" w:name="Tc_-4xCTY37nkSZozSbDdM97Q_34_14"/>
      <w:bookmarkStart w:id="624" w:name="Tc_KCxQnmTAb0S1ufNQJDBJOw_34_8"/>
      <w:bookmarkStart w:id="625" w:name="Tc_yx4U7lUStECabHv5sq7cyA_34_5"/>
      <w:bookmarkStart w:id="626" w:name="Tc_NqglFuNUTU-zanplTEB4xw_34_2"/>
      <w:bookmarkStart w:id="627" w:name="Tc_GdZ9UmgBDk6l8DIOAJuj0Q_34_0"/>
      <w:bookmarkStart w:id="628" w:name="Tc_XDUBBO6r_E2NpOA1X5aS3g_33_14"/>
      <w:bookmarkStart w:id="629" w:name="Tc_swVDTUJZaECVKKqomkl8IA_33_8"/>
      <w:bookmarkStart w:id="630" w:name="Tc_SrIU7ieHvEeQQ7j2YT34rg_33_5"/>
      <w:bookmarkStart w:id="631" w:name="Tc_0mAjLt_R5U-T2ErwmYYb0w_33_2"/>
      <w:bookmarkStart w:id="632" w:name="Tc_8YDpmhdzKEO_AU9PIl54xA_33_0"/>
      <w:bookmarkStart w:id="633" w:name="Tc_nmzOuMxVoEOHguU1oehILw_32_14"/>
      <w:bookmarkStart w:id="634" w:name="Tc_A_XbbrLqK0elVwJSEyELLQ_32_11"/>
      <w:bookmarkStart w:id="635" w:name="Tc_9T5z2TC1Qkac7ylKx6L-Uw_32_5"/>
      <w:bookmarkStart w:id="636" w:name="Tc_KuRyc2S-20u4CQzqiEx95Q_32_2"/>
      <w:bookmarkStart w:id="637" w:name="Tc_XfIyhuTjIESUZchXvzqR2Q_32_0"/>
      <w:bookmarkStart w:id="638" w:name="Tc_Q7VTGGEeIkquvnWYJOOayg_31_17"/>
      <w:bookmarkStart w:id="639" w:name="Tc__2VVIv2u0UGNggvRagujUQ_31_11"/>
      <w:bookmarkStart w:id="640" w:name="Tc_3hedUZN5WU2zSUPieDnqSA_31_5"/>
      <w:bookmarkStart w:id="641" w:name="Tc_Pjl1GfgO30aMdbzG61NmLA_31_0"/>
      <w:bookmarkStart w:id="642" w:name="Tc_E-UjQtQwCEiRGzV5YWo81g_30_11"/>
      <w:bookmarkStart w:id="643" w:name="Tc_nIFZoXvx10ymJZ-PTkPTQQ_30_8"/>
      <w:bookmarkStart w:id="644" w:name="Tc_qZIs0vncZkSBVbPnXWrTQw_30_5"/>
      <w:bookmarkStart w:id="645" w:name="Tc_TvL4xw7exk-eu1B6mLFwAw_30_2"/>
      <w:bookmarkStart w:id="646" w:name="Tc_GxXFSo5ZpUWp2phVMuba6Q_30_0"/>
      <w:bookmarkStart w:id="647" w:name="Tc_cetRqmsBYESQKPDe6P7f2g_29_17"/>
      <w:bookmarkStart w:id="648" w:name="Tc_5fVE4pzqE0mtwF8udfSIkg_29_14"/>
      <w:bookmarkStart w:id="649" w:name="Tc_FKuKBHGdzU6IVppeTNEl9Q_29_11"/>
      <w:bookmarkStart w:id="650" w:name="Tc_ZdvNNh8BLE-m2-UUIdoKBQ_29_8"/>
      <w:bookmarkStart w:id="651" w:name="Tc_iy4iZZJ9eEOTygijlcPRKw_29_5"/>
      <w:bookmarkStart w:id="652" w:name="Tc_K3hJaVJ2uEilp-FAvzeehA_29_0"/>
      <w:bookmarkStart w:id="653" w:name="Tc_05WHMgam2UypfkPog5AL2Q_28_17"/>
      <w:bookmarkStart w:id="654" w:name="Tc_yhgWptn2YE6YSUnRyssNcQ_28_14"/>
      <w:bookmarkStart w:id="655" w:name="Tc__sd1SQ9ZSkaTRowSOEh5sg_28_11"/>
      <w:bookmarkStart w:id="656" w:name="Tc_xIKh0w-CJU-8hWPOhlGqVA_28_8"/>
      <w:bookmarkStart w:id="657" w:name="Tc_lYwtGB09FEKH384Autgo-g_28_5"/>
      <w:bookmarkStart w:id="658" w:name="Tc_lYzyLJtEd0mQ90UQt_8YbA_28_0"/>
      <w:bookmarkStart w:id="659" w:name="Tc_faOMlvgwkkemKd2zds-NSg_27_16"/>
      <w:bookmarkStart w:id="660" w:name="Tc_QJQVWIqAQk-sfZhY5JzOtQ_27_14"/>
      <w:bookmarkStart w:id="661" w:name="Tc_ZGmI5pbkU0GpjRr9pVWmhw_27_13"/>
      <w:bookmarkStart w:id="662" w:name="Tc_PjDRUDA_lEiuCJIHUjcArg_27_10"/>
      <w:bookmarkStart w:id="663" w:name="Tc_C27uz4cIQkC6IUS02FeQ0Q_27_7"/>
      <w:bookmarkStart w:id="664" w:name="Tc_-Kgh-rWdMUifzSl3fnJZwQ_27_4"/>
      <w:bookmarkStart w:id="665" w:name="Tc_14iBv-HP7UOIluzFulJ8EQ_27_0"/>
      <w:bookmarkStart w:id="666" w:name="Tc_l9GBHY3pU0WswmAGOha42Q_26_0"/>
      <w:bookmarkStart w:id="667" w:name="Tc_ZRu8AYZIa063sfuJW_ZRow_24_16"/>
      <w:bookmarkStart w:id="668" w:name="Tc_eyhvNk11wUO3z6rh_mk3Lw_24_14"/>
      <w:bookmarkStart w:id="669" w:name="Tc_P_LrmEBqa0uaB0yYN59dKg_24_13"/>
      <w:bookmarkStart w:id="670" w:name="Tc_35xg8HPTlEGMIX6JoHkGsw_24_10"/>
      <w:bookmarkStart w:id="671" w:name="Tc__yKBYdNV7EGFdIit7CT1ow_24_7"/>
      <w:bookmarkStart w:id="672" w:name="Tc_7lfjndrZa0OScU3hiF5Yvw_24_4"/>
      <w:bookmarkStart w:id="673" w:name="Tc_Viu_qjZkZUqGbyaIN8ITIg_24_0"/>
      <w:bookmarkStart w:id="674" w:name="Tc_awmK5b5w7kmi6rO2kSlueA_23_14"/>
      <w:bookmarkStart w:id="675" w:name="Tc_JTAk8WOZJUO2bgd2YKoL8A_23_8"/>
      <w:bookmarkStart w:id="676" w:name="Tc_8lBCO5Xg2UeHVB-1u9kY9g_23_5"/>
      <w:bookmarkStart w:id="677" w:name="Tc_Qsa2hiH4G0KjVlUFJfncqw_23_2"/>
      <w:bookmarkStart w:id="678" w:name="Tc_iA9TO9ihP0aAbREARXWRuw_23_0"/>
      <w:bookmarkStart w:id="679" w:name="Tc_skOoHIGXdkmfNr-muW8ueA_22_14"/>
      <w:bookmarkStart w:id="680" w:name="Tc_3DxQah2Bz0qDDsS5jozJig_22_8"/>
      <w:bookmarkStart w:id="681" w:name="Tc_E5j6wxgKJEGxKR7whZdLcQ_22_5"/>
      <w:bookmarkStart w:id="682" w:name="Tc_LDZFA6qo6UW__1DfIApW2Q_22_2"/>
      <w:bookmarkStart w:id="683" w:name="Tc_zIezHeAP7EW9tBBzZBLbcw_22_0"/>
      <w:bookmarkStart w:id="684" w:name="Tc_dGdRpmlsv0ancGVqk4Dw9g_21_14"/>
      <w:bookmarkStart w:id="685" w:name="Tc_yjWf0Lju5Ee3CCUx_ciwKw_21_11"/>
      <w:bookmarkStart w:id="686" w:name="Tc_8i3WFXXWEkahRjotR2Y_ww_21_5"/>
      <w:bookmarkStart w:id="687" w:name="Tc_47q6yLyMlEez-sdKkqS3Pg_21_2"/>
      <w:bookmarkStart w:id="688" w:name="Tc_dWoXa4ba1k6Jh0DpIkTHog_21_0"/>
      <w:bookmarkStart w:id="689" w:name="Tc__zsFjtwNbEG3R-1TPSWZ4Q_20_17"/>
      <w:bookmarkStart w:id="690" w:name="Tc_meFavtn2MkSy9W-AwWtg8Q_20_11"/>
      <w:bookmarkStart w:id="691" w:name="Tc_6MSjWKjPQ0WDwEs_lFx6Rg_20_0"/>
      <w:bookmarkStart w:id="692" w:name="Tc_iTkM0cPO3UW9A9GINXX28A_19_11"/>
      <w:bookmarkStart w:id="693" w:name="Tc_RECHmCiFxE2grrT-Lv8VyQ_19_8"/>
      <w:bookmarkStart w:id="694" w:name="Tc_GZKoQu6V4k2PCjSk_OiM1w_19_5"/>
      <w:bookmarkStart w:id="695" w:name="Tc_pBfo2x39DkCuo8-SMaQEbA_19_2"/>
      <w:bookmarkStart w:id="696" w:name="Tc_ULEdDDC_LUagbMYkONhqUQ_19_0"/>
      <w:bookmarkStart w:id="697" w:name="Tc_aUATdur95ESjbnY5AoTQ7w_18_17"/>
      <w:bookmarkStart w:id="698" w:name="Tc_XM0-9Rsp5U2xqJDGh96pzw_18_14"/>
      <w:bookmarkStart w:id="699" w:name="Tc_xVYQHY9IGk69TkWAatKIhg_18_11"/>
      <w:bookmarkStart w:id="700" w:name="Tc_0_e6oFeYjkif-8U73fRCdg_18_8"/>
      <w:bookmarkStart w:id="701" w:name="Tc_lo5orII2CkObaCSIcs8JcQ_18_5"/>
      <w:bookmarkStart w:id="702" w:name="Tc_UWErm9ttfEiFBcQy1Gq2FA_18_0"/>
      <w:bookmarkStart w:id="703" w:name="Tc_x_brvyCynkSch5Hz2uafZw_17_17"/>
      <w:bookmarkStart w:id="704" w:name="Tc_vt9mbSXG2k-XJtAzIVvzKg_17_14"/>
      <w:bookmarkStart w:id="705" w:name="Tc_D4cXz2RIX02j9q6fHkKhQA_17_11"/>
      <w:bookmarkStart w:id="706" w:name="Tc_heCsNSwcr0iD48__26ftIg_17_0"/>
      <w:bookmarkStart w:id="707" w:name="Tc_x5dPQc1v2kyEBjxYZZ0iNA_16_16"/>
      <w:bookmarkStart w:id="708" w:name="Tc_mprdT2qiakuRmv1gIc7oOA_16_14"/>
      <w:bookmarkStart w:id="709" w:name="Tc_hqbfVl4TUUeKUqt0_lfo5g_16_13"/>
      <w:bookmarkStart w:id="710" w:name="Tc_b5lMciUFiECzNnrgP9cxIw_16_10"/>
      <w:bookmarkStart w:id="711" w:name="Tc_ixvwAGvf7kmYkNF8ElJU9w_16_7"/>
      <w:bookmarkStart w:id="712" w:name="Tc_NH5YJWLsuEeNvLNcO8EHyA_16_4"/>
      <w:bookmarkStart w:id="713" w:name="Tc_41c_1Isp6U2y9cHOPjkL9g_16_0"/>
      <w:bookmarkStart w:id="714" w:name="Tc_ed2fJ73pqE2R9pPVhDviQQ_15_0"/>
      <w:bookmarkStart w:id="715" w:name="Tc_HtK9uGDvqEq_x66WIDp79g_13_16"/>
      <w:bookmarkStart w:id="716" w:name="Tc_NM95gOtbN0iDi9S308ajvw_13_14"/>
      <w:bookmarkStart w:id="717" w:name="Tc_D0OSfyAx3UWi2vONJiHrnA_13_13"/>
      <w:bookmarkStart w:id="718" w:name="Tc_Awoa3F5Zv0yW3VjwqQ5vgw_13_10"/>
      <w:bookmarkStart w:id="719" w:name="Tc_YvC1a6ID6EKAqHPII3T34Q_13_7"/>
      <w:bookmarkStart w:id="720" w:name="Tc_3L7Un-DdrEuwOl-RRlDYVw_13_4"/>
      <w:bookmarkStart w:id="721" w:name="Tc_jdZsKaGHwESIQKASBqiP0w_13_0"/>
      <w:bookmarkStart w:id="722" w:name="Tc_3Nu2sw58oEeEyB7frvdvVw_12_14"/>
      <w:bookmarkStart w:id="723" w:name="Tc_a79RZ4FufU-4Et2Mpeiwnw_12_8"/>
      <w:bookmarkStart w:id="724" w:name="Tc_EGqO4hOmj0yGJ3hSBizWPw_12_5"/>
      <w:bookmarkStart w:id="725" w:name="Tc_pbz58sB9x0WBw7jC7pjoOA_12_2"/>
      <w:bookmarkStart w:id="726" w:name="Tc_lquq7Cu6MUijUcPauq1V4w_12_0"/>
      <w:bookmarkStart w:id="727" w:name="Tc__tCU2cJPfkilHeMBImUeoA_11_14"/>
      <w:bookmarkStart w:id="728" w:name="Tc_2efQrWx9GkqbTmz3lPN0Mw_11_8"/>
      <w:bookmarkStart w:id="729" w:name="Tc_75e2F2y8REOqlv9Rp_83bA_11_5"/>
      <w:bookmarkStart w:id="730" w:name="Tc_GyzAXk37z0iJrc5smUjvSQ_11_2"/>
      <w:bookmarkStart w:id="731" w:name="Tc_xHsLBmU1J0af_rz2o8D1fg_11_0"/>
      <w:bookmarkStart w:id="732" w:name="Tc_kksX-L9VfE6g_P6RC_beKw_10_14"/>
      <w:bookmarkStart w:id="733" w:name="Tc_PUZGT2KQl0-xYBd-RAQXgA_10_11"/>
      <w:bookmarkStart w:id="734" w:name="Tc_60B90oYXVkSfpBi5oNcnLw_10_5"/>
      <w:bookmarkStart w:id="735" w:name="Tc_0oJNnG6cPEGwgodqbcRWoA_10_2"/>
      <w:bookmarkStart w:id="736" w:name="Tc_wfAR0u0uhEqP315TM7rXLg_10_0"/>
      <w:bookmarkStart w:id="737" w:name="Tc_J8t8uFDozEKgPpcMyAUFJQ_9_17"/>
      <w:bookmarkStart w:id="738" w:name="Tc_DuTGsoAAc0yD8xA_-rsnXw_9_11"/>
      <w:bookmarkStart w:id="739" w:name="Tc_xb2fHEnxB0OCZtlwDk_0cw_9_0"/>
      <w:bookmarkStart w:id="740" w:name="Tc_W8hM7d1BbEy82nqQK6NMyg_8_11"/>
      <w:bookmarkStart w:id="741" w:name="Tc_5aRzEkVkoEyjEOVRi4KLtw_8_8"/>
      <w:bookmarkStart w:id="742" w:name="Tc_jswZlGT370OyLes3yl43Cg_8_5"/>
      <w:bookmarkStart w:id="743" w:name="Tc_OxHG9YMlfECze9hNHlL9Ag_8_2"/>
      <w:bookmarkStart w:id="744" w:name="Tc_QymsVPN9wEaNL1Z175O1aA_8_0"/>
      <w:bookmarkStart w:id="745" w:name="Tc_tKuhqpvIZEOtJzvC9m4Jhw_7_17"/>
      <w:bookmarkStart w:id="746" w:name="Tc_pItehvstwUGOHqwuL-xiOw_7_14"/>
      <w:bookmarkStart w:id="747" w:name="Tc_rmCxW_3dDkGqDEtRWN2Bzw_7_11"/>
      <w:bookmarkStart w:id="748" w:name="Tc_ByIhLzCukEGVKP44Cy6v7g_7_8"/>
      <w:bookmarkStart w:id="749" w:name="Tc_Prkrt08nmk6X-ecPCqI1DQ_7_5"/>
      <w:bookmarkStart w:id="750" w:name="Tc_ZGg0Rfsdf0a1vPU_EXu9cA_7_2"/>
      <w:bookmarkStart w:id="751" w:name="Tc_ocoZha_c0ka-INbTVoF50A_7_0"/>
      <w:bookmarkStart w:id="752" w:name="Tc_HUTo5xxunUSPtkMMSnW94w_6_17"/>
      <w:bookmarkStart w:id="753" w:name="Tc_WJZc44OOI0SK9EgdsSiIaw_6_14"/>
      <w:bookmarkStart w:id="754" w:name="Tc_FFfm71TQsk-lnERB4KiD-A_6_11"/>
      <w:bookmarkStart w:id="755" w:name="Tc_1j8lZqMGIk-dIk-OrjExyQ_6_8"/>
      <w:bookmarkStart w:id="756" w:name="Tc_kyQ2N12PtUKGdaromfdqyQ_6_5"/>
      <w:bookmarkStart w:id="757" w:name="Tc_vXb-ca34AE-qcEb9aPB53w_6_0"/>
      <w:bookmarkStart w:id="758" w:name="Tc_SFRjwsHOS0a7MRRVLInZrA_5_16"/>
      <w:bookmarkStart w:id="759" w:name="Tc_NyYUCAgvsEuyvcUKEintmA_5_14"/>
      <w:bookmarkStart w:id="760" w:name="Tc_a08TMLAg9kiSOyJ8qEsOyg_5_13"/>
      <w:bookmarkStart w:id="761" w:name="Tc_mhub2-ZYDE-od3-qxgFiFQ_5_10"/>
      <w:bookmarkStart w:id="762" w:name="Tc_hGq4LJskfEeiUjaZawA8IA_5_7"/>
      <w:bookmarkStart w:id="763" w:name="Tc_ErtTHxx8v0mpAy8p7rrhSQ_5_4"/>
      <w:bookmarkStart w:id="764" w:name="Tc_ldA2IvyhhUiBhK9qM1LmjA_5_0"/>
      <w:bookmarkStart w:id="765" w:name="Tc_w2GNLfmXREiFA5qfks1LUA_4_0"/>
      <w:bookmarkStart w:id="766" w:name="Tc_a_gYXOQBjkeBOfScAC4vlg_3_16"/>
      <w:bookmarkStart w:id="767" w:name="Tc_Mu21cqJ1LEC59WBRGdiP8w_3_13"/>
      <w:bookmarkStart w:id="768" w:name="Tc_1eaZLnCmE0u7Og7P-8ZEJw_3_10"/>
      <w:bookmarkStart w:id="769" w:name="Tc_mjyCzuc5dkCWks8SczB4tQ_3_7"/>
      <w:bookmarkStart w:id="770" w:name="Tc_ZVwgfQ_DbUK8B6l3xtrH5g_3_4"/>
      <w:bookmarkStart w:id="771" w:name="Tc_3YDGfeeKzEOBCdkR8oLiLQ_3_2"/>
      <w:bookmarkStart w:id="772" w:name="Tc_ayMJSZuzbEauX8zHk8T_Zw_2_16"/>
      <w:bookmarkStart w:id="773" w:name="Tc_WOPrU79Mfka8SbELWeeTeg_2_13"/>
      <w:bookmarkStart w:id="774" w:name="Tc_f4FOZWV8NEK1jwY_8IBAag_2_10"/>
      <w:bookmarkStart w:id="775" w:name="Tc_e5lsV3XFJ0mn8vt1KNENwg_2_7"/>
      <w:bookmarkStart w:id="776" w:name="Tc_LJ7e5PapIEKAzygMtWrLmg_2_2"/>
      <w:bookmarkStart w:id="777" w:name="Tc_qDJO6VKSBkquNx7ZM0ozpg_1_16"/>
      <w:bookmarkStart w:id="778" w:name="Tc_I2LaKMNZgkWCmHV2M1GkUA_1_7"/>
      <w:bookmarkStart w:id="779" w:name="_06ea1a7d_4c1b_4643_b930_3fb3fce994fd"/>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tbl>
      <w:tblPr>
        <w:tblW w:w="10205" w:type="dxa"/>
        <w:jc w:val="left"/>
        <w:tblInd w:w="0" w:type="dxa"/>
        <w:tblLayout w:type="fixed"/>
        <w:tblCellMar>
          <w:top w:w="0" w:type="dxa"/>
          <w:left w:w="0" w:type="dxa"/>
          <w:bottom w:w="0" w:type="dxa"/>
          <w:right w:w="0" w:type="dxa"/>
        </w:tblCellMar>
      </w:tblPr>
      <w:tblGrid>
        <w:gridCol w:w="3305"/>
        <w:gridCol w:w="326"/>
        <w:gridCol w:w="601"/>
        <w:gridCol w:w="326"/>
        <w:gridCol w:w="248"/>
        <w:gridCol w:w="438"/>
        <w:gridCol w:w="326"/>
        <w:gridCol w:w="214"/>
        <w:gridCol w:w="657"/>
        <w:gridCol w:w="326"/>
        <w:gridCol w:w="196"/>
        <w:gridCol w:w="690"/>
        <w:gridCol w:w="326"/>
        <w:gridCol w:w="196"/>
        <w:gridCol w:w="600"/>
        <w:gridCol w:w="326"/>
        <w:gridCol w:w="238"/>
        <w:gridCol w:w="866"/>
      </w:tblGrid>
      <w:tr>
        <w:trPr/>
        <w:tc>
          <w:tcPr>
            <w:tcW w:w="3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98675" cy="175260"/>
                      <wp:effectExtent l="0" t="0" r="0" b="0"/>
                      <wp:wrapNone/>
                      <wp:docPr id="44" name="Frame43"/>
                      <a:graphic xmlns:a="http://schemas.openxmlformats.org/drawingml/2006/main">
                        <a:graphicData uri="http://schemas.microsoft.com/office/word/2010/wordprocessingShape">
                          <wps:wsp>
                            <wps:cNvSpPr txBox="1"/>
                            <wps:spPr>
                              <a:xfrm>
                                <a:off x="0" y="0"/>
                                <a:ext cx="2098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5"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81635" cy="175260"/>
                      <wp:effectExtent l="0" t="0" r="0" b="0"/>
                      <wp:wrapNone/>
                      <wp:docPr id="46" name="Frame4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57480" cy="175260"/>
                      <wp:effectExtent l="0" t="0" r="0" b="0"/>
                      <wp:wrapNone/>
                      <wp:docPr id="48" name="Frame4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78130" cy="175260"/>
                      <wp:effectExtent l="0" t="0" r="0" b="0"/>
                      <wp:wrapNone/>
                      <wp:docPr id="49" name="Frame48"/>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5890" cy="175260"/>
                      <wp:effectExtent l="0" t="0" r="0" b="0"/>
                      <wp:wrapNone/>
                      <wp:docPr id="51" name="Frame50"/>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17195" cy="175260"/>
                      <wp:effectExtent l="0" t="0" r="0" b="0"/>
                      <wp:wrapNone/>
                      <wp:docPr id="52" name="Frame51"/>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24460" cy="175260"/>
                      <wp:effectExtent l="0" t="0" r="0" b="0"/>
                      <wp:wrapNone/>
                      <wp:docPr id="54" name="Frame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38150" cy="175260"/>
                      <wp:effectExtent l="0" t="0" r="0" b="0"/>
                      <wp:wrapNone/>
                      <wp:docPr id="55" name="Frame54"/>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24460" cy="175260"/>
                      <wp:effectExtent l="0" t="0" r="0" b="0"/>
                      <wp:wrapNone/>
                      <wp:docPr id="57" name="Frame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81000" cy="175260"/>
                      <wp:effectExtent l="0" t="0" r="0" b="0"/>
                      <wp:wrapNone/>
                      <wp:docPr id="58" name="Frame57"/>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59"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51130" cy="175260"/>
                      <wp:effectExtent l="0" t="0" r="0" b="0"/>
                      <wp:wrapNone/>
                      <wp:docPr id="60" name="Frame59"/>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49910" cy="175260"/>
                      <wp:effectExtent l="0" t="0" r="0" b="0"/>
                      <wp:wrapNone/>
                      <wp:docPr id="61" name="Frame60"/>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5"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43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10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05"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61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1"/>
              <w:ind w:left="0" w:right="0" w:hanging="0"/>
              <w:jc w:val="left"/>
              <w:rPr/>
            </w:pPr>
            <w:r>
              <w:rPr/>
              <w:t>​</w:t>
            </w:r>
          </w:p>
        </w:tc>
        <w:tc>
          <w:tcPr>
            <w:tcW w:w="110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3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the Three Months Ended March 31, 2023</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center"/>
              <w:rPr/>
            </w:pPr>
            <w:r>
              <w:rPr/>
              <w:t>​</w:t>
            </w:r>
          </w:p>
        </w:tc>
        <w:tc>
          <w:tcPr>
            <w:tcW w:w="43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center"/>
              <w:rPr/>
            </w:pPr>
            <w:r>
              <w:rPr/>
              <w:t>​</w:t>
            </w:r>
          </w:p>
        </w:tc>
        <w:tc>
          <w:tcPr>
            <w:tcW w:w="65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90"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00"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center"/>
              <w:rPr/>
            </w:pPr>
            <w:r>
              <w:rPr/>
              <w:t>​</w:t>
            </w:r>
          </w:p>
        </w:tc>
        <w:tc>
          <w:tcPr>
            <w:tcW w:w="866" w:type="dxa"/>
            <w:tcBorders/>
            <w:shd w:fill="CCEEFF" w:val="clear"/>
            <w:vAlign w:val="center"/>
          </w:tcPr>
          <w:p>
            <w:pPr>
              <w:pStyle w:val="TableContents"/>
              <w:bidi w:val="0"/>
              <w:spacing w:before="0" w:after="1"/>
              <w:ind w:left="0" w:right="0" w:hanging="0"/>
              <w:jc w:val="center"/>
              <w:rPr/>
            </w:pPr>
            <w:r>
              <w:rPr/>
              <w:t>​</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December 31, 2022</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33,808</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43,243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45,861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89,138</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restricted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43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righ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Forfeitures of restricted stock</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43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right"/>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repurchases, including stock surrendered for tax withholding</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43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(3,896)</w:t>
            </w:r>
          </w:p>
        </w:tc>
        <w:tc>
          <w:tcPr>
            <w:tcW w:w="326"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righ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(3,896)</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Retirements of treasury stock</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(638)</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4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3,896</w:t>
            </w:r>
          </w:p>
        </w:tc>
        <w:tc>
          <w:tcPr>
            <w:tcW w:w="326"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right"/>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43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453</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43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13,957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13,957</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dividends paid</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(4,029)</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March 31, 2023</w:t>
            </w:r>
          </w:p>
        </w:tc>
        <w:tc>
          <w:tcPr>
            <w:tcW w:w="326" w:type="dxa"/>
            <w:tcBorders/>
            <w:vAlign w:val="center"/>
          </w:tcPr>
          <w:p>
            <w:pPr>
              <w:pStyle w:val="TableContents"/>
              <w:bidi w:val="0"/>
              <w:spacing w:before="0" w:after="1"/>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33,271</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39,801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55,789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95,623</w:t>
            </w:r>
          </w:p>
        </w:tc>
      </w:tr>
      <w:tr>
        <w:trPr/>
        <w:tc>
          <w:tcPr>
            <w:tcW w:w="330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43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the Nine Months Ended March 31, 2023</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center"/>
              <w:rPr/>
            </w:pPr>
            <w:r>
              <w:rPr/>
              <w:t>​</w:t>
            </w:r>
          </w:p>
        </w:tc>
        <w:tc>
          <w:tcPr>
            <w:tcW w:w="43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center"/>
              <w:rPr/>
            </w:pPr>
            <w:r>
              <w:rPr/>
              <w:t>​</w:t>
            </w:r>
          </w:p>
        </w:tc>
        <w:tc>
          <w:tcPr>
            <w:tcW w:w="6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center"/>
              <w:rPr/>
            </w:pPr>
            <w:r>
              <w:rPr/>
              <w:t>​</w:t>
            </w:r>
          </w:p>
        </w:tc>
        <w:tc>
          <w:tcPr>
            <w:tcW w:w="866" w:type="dxa"/>
            <w:tcBorders/>
            <w:vAlign w:val="center"/>
          </w:tcPr>
          <w:p>
            <w:pPr>
              <w:pStyle w:val="TableContents"/>
              <w:bidi w:val="0"/>
              <w:spacing w:before="0" w:after="1"/>
              <w:ind w:left="0" w:right="0" w:hanging="0"/>
              <w:jc w:val="center"/>
              <w:rPr/>
            </w:pPr>
            <w:r>
              <w:rPr/>
              <w:t>​</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June 30, 2022</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33,471</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42,629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32,852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75,514</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restricted common stock</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476</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4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right"/>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Forfeitures of restricted stock</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43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righ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repurchases, including stock surrendered for tax withholding</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43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(3,983)</w:t>
            </w:r>
          </w:p>
        </w:tc>
        <w:tc>
          <w:tcPr>
            <w:tcW w:w="326"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righ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(3,983)</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Retirements of treasury stock</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4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(3,982)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3,983</w:t>
            </w:r>
          </w:p>
        </w:tc>
        <w:tc>
          <w:tcPr>
            <w:tcW w:w="326"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righ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43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1,155</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43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35,051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35,051</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dividends paid</w:t>
            </w:r>
          </w:p>
        </w:tc>
        <w:tc>
          <w:tcPr>
            <w:tcW w:w="326"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(12,114)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(12,114)</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March 31, 2023</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33,271</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39,801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55,789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95,623</w:t>
            </w:r>
          </w:p>
        </w:tc>
      </w:tr>
      <w:tr>
        <w:trPr/>
        <w:tc>
          <w:tcPr>
            <w:tcW w:w="33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43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the Three Months Ended March 31, 2022</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43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December 31, 2021</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33,689</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43,067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19,026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62,127</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restricted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43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righ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Forfeitures of restricted stock</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43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right"/>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repurchases, including stock surrendered for tax withholding</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43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c>
          <w:tcPr>
            <w:tcW w:w="326"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righ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Retirements of treasury stock</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43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c>
          <w:tcPr>
            <w:tcW w:w="326"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right"/>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43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43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5,705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5,705</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dividends paid</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(3,376)</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March 31, 2022</w:t>
            </w:r>
          </w:p>
        </w:tc>
        <w:tc>
          <w:tcPr>
            <w:tcW w:w="326" w:type="dxa"/>
            <w:tcBorders/>
            <w:vAlign w:val="center"/>
          </w:tcPr>
          <w:p>
            <w:pPr>
              <w:pStyle w:val="TableContents"/>
              <w:bidi w:val="0"/>
              <w:spacing w:before="0" w:after="1"/>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33,720</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43,371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21,355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64,760</w:t>
            </w:r>
          </w:p>
        </w:tc>
      </w:tr>
      <w:tr>
        <w:trPr/>
        <w:tc>
          <w:tcPr>
            <w:tcW w:w="330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43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the Nine Months Ended March 31, 2022</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43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June 30, 2021</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33,515</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42,541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54,595</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restricted common stock</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314</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43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Forfeitures of restricted stock</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43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repurchases, including stock surrendered for tax withholding</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43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Retirements of treasury stock</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43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43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868</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43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17,756</w:t>
            </w:r>
          </w:p>
        </w:tc>
      </w:tr>
      <w:tr>
        <w:trPr/>
        <w:tc>
          <w:tcPr>
            <w:tcW w:w="3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dividends paid</w:t>
            </w:r>
          </w:p>
        </w:tc>
        <w:tc>
          <w:tcPr>
            <w:tcW w:w="326"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(8,421)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(8,421)</w:t>
            </w:r>
          </w:p>
        </w:tc>
      </w:tr>
      <w:tr>
        <w:trPr/>
        <w:tc>
          <w:tcPr>
            <w:tcW w:w="3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March 31, 2022</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33,720</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43,371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21,355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64,760</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780" w:name="Note_to_Unaudited_Condensed"/>
      <w:bookmarkStart w:id="781" w:name="_Hlk117605630"/>
      <w:bookmarkStart w:id="782" w:name="Note1SummaryofSignificantEventsandAccoun"/>
      <w:bookmarkEnd w:id="780"/>
      <w:bookmarkEnd w:id="781"/>
      <w:bookmarkEnd w:id="782"/>
      <w:r>
        <w:rPr>
          <w:rFonts w:ascii="Times New Roman;Times;serif" w:hAnsi="Times New Roman;Times;serif"/>
          <w:b/>
          <w:sz w:val="20"/>
        </w:rPr>
        <w:t>Note 1. Financial Statement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Nature of Operations. </w:t>
      </w:r>
      <w:r>
        <w:rPr>
          <w:rFonts w:ascii="Times New Roman;Times;serif" w:hAnsi="Times New Roman;Times;serif"/>
          <w:sz w:val="20"/>
        </w:rPr>
        <w:t>  Evolution Petroleum Corporation is an independent energy company focused on maximizing returns to shareholders through the ownership of and investment in onshore oil and natural gas properties in the United States. The Company’s long-term goal is to maximize total shareholder return from a diversified portfolio of long-life oil and natural gas properties built through acquisitions and through selective development, production enhancement, and other exploitation efforts on its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producing properties consist of non-operated interests in </w:t>
      </w:r>
      <w:r>
        <w:rPr>
          <w:rFonts w:ascii="Times New Roman;Times;serif" w:hAnsi="Times New Roman;Times;serif"/>
          <w:color w:val="333333"/>
          <w:sz w:val="20"/>
        </w:rPr>
        <w:t xml:space="preserve">the following areas: the Jonah </w:t>
      </w:r>
      <w:r>
        <w:rPr>
          <w:rFonts w:ascii="Times New Roman;Times;serif" w:hAnsi="Times New Roman;Times;serif"/>
          <w:sz w:val="20"/>
        </w:rPr>
        <w:t>Field in Sublette County, Wyoming, a natural gas and natural gas liquids producing field; the Williston Basin in North Dakota, producing oil and natural gas properties; the Barnett Shale located in North Texas, natural gas and natural gas liquids producing properties; the Hamilton Dome Field located in Hot Springs County, Wyoming, a secondary oil recovery field utilizing water injection wells to pressurize the reservoir; the Delhi Holt-Bryant Unit in the Delhi Field in Northeast Louisiana, a CO</w:t>
      </w:r>
      <w:r>
        <w:rPr>
          <w:rFonts w:ascii="Times New Roman;Times;serif" w:hAnsi="Times New Roman;Times;serif"/>
          <w:sz w:val="15"/>
        </w:rPr>
        <w:t>2</w:t>
      </w:r>
      <w:r>
        <w:rPr>
          <w:rFonts w:ascii="Times New Roman;Times;serif" w:hAnsi="Times New Roman;Times;serif"/>
          <w:sz w:val="20"/>
        </w:rPr>
        <w:t xml:space="preserve"> enhanced oil recovery (“EOR”) project; as well as small overriding royalty interests in four onshore Texas wells.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Interim Financial Statements. </w:t>
      </w:r>
      <w:r>
        <w:rPr>
          <w:rFonts w:ascii="Times New Roman;Times;serif" w:hAnsi="Times New Roman;Times;serif"/>
          <w:sz w:val="20"/>
        </w:rPr>
        <w:t>  The accompanying unaudited condensed consolidated financial statements have been prepared in accordance with generally accepted accounting principles in the United States of America (“GAAP”) for interim financial information and the appropriate rules and regulations of the Securities and Exchange Commission (“SEC”). Accordingly, certain information and footnote disclosures normally included in financial statements prepared in accordance with GAAP have been condensed or omitted pursuant to such rules and regulations. All adjustments (consisting of normal recurring accruals) which are, in the opinion of management, necessary for a fair presentation of the financial position and results of operations for the interim periods presented have been included. The interim financial information and notes hereto should be read in conjunction with the Company’s 2022 Annual Report on Form 10-K for the fiscal year ended June 30, 2022, as filed with the SEC on September 14, 2022. The results of operations for interim periods are not necessarily indicative of results to be expected for a full fiscal year. The Company has evaluated events and transactions through the date of issuance of these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Principles of Consolidation and Reporting. </w:t>
      </w:r>
      <w:r>
        <w:rPr>
          <w:rFonts w:ascii="Times New Roman;Times;serif" w:hAnsi="Times New Roman;Times;serif"/>
          <w:sz w:val="20"/>
        </w:rPr>
        <w:t>  The unaudited condensed consolidated financial statements include the accounts of Evolution Petroleum Corporation and its wholly-owned subsidiaries (the “Company”). All significant intercompany transactions have been eliminated in consolidation. The unaudited condensed consolidated financial statements for the previous year may include certain reclassifications to conform to the current presentation. To conform with the current year presentation, “</w:t>
      </w:r>
      <w:r>
        <w:rPr>
          <w:rFonts w:ascii="Times New Roman;Times;serif" w:hAnsi="Times New Roman;Times;serif"/>
          <w:i/>
          <w:sz w:val="20"/>
        </w:rPr>
        <w:t>Other receivables”</w:t>
      </w:r>
      <w:r>
        <w:rPr>
          <w:rFonts w:ascii="Times New Roman;Times;serif" w:hAnsi="Times New Roman;Times;serif"/>
          <w:sz w:val="20"/>
        </w:rPr>
        <w:t xml:space="preserve"> disclosed in Footnote 13, “</w:t>
      </w:r>
      <w:r>
        <w:rPr>
          <w:rFonts w:ascii="Times New Roman;Times;serif" w:hAnsi="Times New Roman;Times;serif"/>
          <w:i/>
          <w:sz w:val="20"/>
        </w:rPr>
        <w:t>Additional Financial Statement Information”</w:t>
      </w:r>
      <w:r>
        <w:rPr>
          <w:rFonts w:ascii="Times New Roman;Times;serif" w:hAnsi="Times New Roman;Times;serif"/>
          <w:sz w:val="20"/>
        </w:rPr>
        <w:t xml:space="preserve"> is included with “</w:t>
      </w:r>
      <w:r>
        <w:rPr>
          <w:rFonts w:ascii="Times New Roman;Times;serif" w:hAnsi="Times New Roman;Times;serif"/>
          <w:i/>
          <w:sz w:val="20"/>
        </w:rPr>
        <w:t xml:space="preserve">Prepaids expenses and other current assets” </w:t>
      </w:r>
      <w:r>
        <w:rPr>
          <w:rFonts w:ascii="Times New Roman;Times;serif" w:hAnsi="Times New Roman;Times;serif"/>
          <w:sz w:val="20"/>
        </w:rPr>
        <w:t>instead of “</w:t>
      </w:r>
      <w:r>
        <w:rPr>
          <w:rFonts w:ascii="Times New Roman;Times;serif" w:hAnsi="Times New Roman;Times;serif"/>
          <w:i/>
          <w:sz w:val="20"/>
        </w:rPr>
        <w:t>Receivables from crude oil, natural gas, and natural gas liquids revenues”</w:t>
      </w:r>
      <w:r>
        <w:rPr>
          <w:rFonts w:ascii="Times New Roman;Times;serif" w:hAnsi="Times New Roman;Times;serif"/>
          <w:sz w:val="20"/>
        </w:rPr>
        <w:t xml:space="preserve"> at June 30, 2022 on the unaudited condensed consolidated balance sheets. This reclassification has no impact on previously reported net income or stockholders’ 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Risk and Uncertainties. </w:t>
      </w:r>
      <w:r>
        <w:rPr>
          <w:rFonts w:ascii="Times New Roman;Times;serif" w:hAnsi="Times New Roman;Times;serif"/>
          <w:sz w:val="20"/>
        </w:rPr>
        <w:t>The Company’s oil and natural gas interests are operated by third-party operators and involve other third-party working interest owners. As a result, the Company has limited ability to influence the operation or future development of such properties. However, the Company is proactive with its third-party operators to review capital projects and related spending and present alternative plans as appropriate.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Use of Estimates. </w:t>
      </w:r>
      <w:r>
        <w:rPr>
          <w:rFonts w:ascii="Times New Roman;Times;serif" w:hAnsi="Times New Roman;Times;serif"/>
          <w:sz w:val="20"/>
        </w:rPr>
        <w:t xml:space="preserve">  The preparation of the Company’s unaudited condensed consolidated financial statements in conformity with GAAP requires the Company to make estimates and assumptions that affect the reported amounts of assets and liabilities and the disclosure of contingent assets and liabilities, if any, at the date of the consolidated financial statements and the reported amounts of revenues and expenses during the respective reporting periods. Significant estimates include (a) reserve quantities and estimated future cash flows associated with proved reserves, which may significantly impact depletion expense and potential impairments of oil and natural gas properties, (b) asset retirement obligations, (c) stock-based compensation, (d) fair values of derivative contract assets and liabilities, (e) income taxes and the valuation of deferred income tax assets, (f) commitments and contingencies, and (g) accruals of crude oil, natural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gas, and natural gas liquids (“NGL”) revenues and expenses. The Company analyzes estimates and judgements based on historical experience and various other assumptions and information that are believed to be reasonable. Estimates and assumptions about future events and their effects cannot be predicted with certainty and, accordingly, these estimates may change as additional information is obtained, as new events occur, and as the Company’s environment changes. Actual results may differ from the estimates and assumptions used in the preparation of the Company’s unaudited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Recently Issued Accounting Pronouncements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June 2016, the FASB issued ASU 2016-13, </w:t>
      </w:r>
      <w:r>
        <w:rPr>
          <w:rFonts w:ascii="Times New Roman;Times;serif" w:hAnsi="Times New Roman;Times;serif"/>
          <w:i/>
          <w:sz w:val="20"/>
        </w:rPr>
        <w:t>Financial Instruments - Credit Losses</w:t>
      </w:r>
      <w:r>
        <w:rPr>
          <w:rFonts w:ascii="Times New Roman;Times;serif" w:hAnsi="Times New Roman;Times;serif"/>
          <w:sz w:val="20"/>
        </w:rPr>
        <w:t xml:space="preserve"> (“ASU 2016-13”). ASU 2016-13 changes the impairment model for most financial assets and certain other instruments, including trade and other receivables, and requires the use of a new forward-looking expected loss model that will result in the earlier recognition of allowances for losses. Early adoption is permitted and entities must adopt the amendment using a modified retrospective approach to the first reporting period in which the guidance is effective. For smaller reporting companies, as provided by ASU 2019-10, </w:t>
      </w:r>
      <w:r>
        <w:rPr>
          <w:rFonts w:ascii="Times New Roman;Times;serif" w:hAnsi="Times New Roman;Times;serif"/>
          <w:i/>
          <w:sz w:val="20"/>
        </w:rPr>
        <w:t>Financial Instruments - Credit Losses (Topic 326), Derivatives and Hedging (Topic 815), and Leases (Topic 842)</w:t>
      </w:r>
      <w:r>
        <w:rPr>
          <w:rFonts w:ascii="Times New Roman;Times;serif" w:hAnsi="Times New Roman;Times;serif"/>
          <w:sz w:val="20"/>
        </w:rPr>
        <w:t>, ASU 2016-13 is effective for annual periods, including interim periods within those annual periods, beginning after December 15, 2022. The Company is currently evaluating the impact of ASU 2016-13 but does not expect that it will have a material effect on the Company’s financial position, results of operations, cash flows or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accounting pronouncements that have recently been issued by the FASB or other standards-setting bodies are not expected to have a material impact on the Company’s financial position, results of operations, cash flows or disclosures.</w:t>
      </w:r>
    </w:p>
    <w:p>
      <w:pPr>
        <w:pStyle w:val="TextBody"/>
        <w:bidi w:val="0"/>
        <w:spacing w:before="0" w:after="240"/>
        <w:ind w:left="0" w:right="0" w:hanging="0"/>
        <w:jc w:val="left"/>
        <w:rPr>
          <w:rFonts w:ascii="Times New Roman;Times;serif" w:hAnsi="Times New Roman;Times;serif"/>
          <w:b/>
          <w:sz w:val="20"/>
        </w:rPr>
      </w:pPr>
      <w:bookmarkStart w:id="783" w:name="Tc_8_nR7eEBikybOGjgqHfsAQ_8_11"/>
      <w:bookmarkStart w:id="784" w:name="Tc_bp-mSGej3U6R1SxfCmAbFA_8_8"/>
      <w:bookmarkStart w:id="785" w:name="Tc_9zNokyFLXk-nsrfwcogsBA_8_5"/>
      <w:bookmarkStart w:id="786" w:name="Tc_hZvPgP0zpkGMl1fLcgUfcg_8_2"/>
      <w:bookmarkStart w:id="787" w:name="Tc_dTkXh59euUK7Ff9B783W9g_8_0"/>
      <w:bookmarkStart w:id="788" w:name="Tc_ilj71dQWfEeenxNbz0yBVQ_7_0"/>
      <w:bookmarkStart w:id="789" w:name="Tc_2o6ht9FSsEi-gnQdNSt3vA_6_0"/>
      <w:bookmarkStart w:id="790" w:name="Tc_lYYoPwM5ekWxUsFSQh2luw_5_11"/>
      <w:bookmarkStart w:id="791" w:name="Tc_1o2NU1lMjE-M3mJgvInplg_5_8"/>
      <w:bookmarkStart w:id="792" w:name="Tc_H59a6DRtt0qyh7k6g2OgkQ_5_5"/>
      <w:bookmarkStart w:id="793" w:name="Tc_5F9p5I6FkEOxtQkbzjAjhw_5_2"/>
      <w:bookmarkStart w:id="794" w:name="Tc_rmGJ6h_PYE2BFpO82nLwQg_5_0"/>
      <w:bookmarkStart w:id="795" w:name="Tc_tiwu__RCCkajqF-fFxZZUQ_4_0"/>
      <w:bookmarkStart w:id="796" w:name="Tc_QOc7_pdMsk6JOUY51dgcIQ_3_11"/>
      <w:bookmarkStart w:id="797" w:name="Tc_j4NwnbYpe0OXmZbHFTqI_Q_3_8"/>
      <w:bookmarkStart w:id="798" w:name="Tc_0RQYO0RpeE6SLJLBePuyrA_3_5"/>
      <w:bookmarkStart w:id="799" w:name="Tc_kTtPC4NFo0OGjU1kwBz79A_3_2"/>
      <w:bookmarkStart w:id="800" w:name="Tc_5_LgCrffSk-bGFneqVuNVg_2_8"/>
      <w:bookmarkStart w:id="801" w:name="Tc_ccHgEU5CzEOL59k9yllvfQ_2_2"/>
      <w:bookmarkStart w:id="802" w:name="Tc_WWhUwu436keEB9feox9P4w_1_8"/>
      <w:bookmarkStart w:id="803" w:name="Tc_QARkU5vHHk68Eu-aQOk8aQ_1_2"/>
      <w:bookmarkStart w:id="804" w:name="_8e7fea18_aa70_49c8_9123_44c6a85de2d6"/>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r>
        <w:rPr>
          <w:rFonts w:ascii="Times New Roman;Times;serif" w:hAnsi="Times New Roman;Times;serif"/>
          <w:b/>
          <w:sz w:val="20"/>
        </w:rPr>
        <w:t>Note 2. Revenue Recognition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revenues are primarily generated from its crude oil, natural gas and NGL production from </w:t>
      </w:r>
      <w:r>
        <w:rPr>
          <w:rFonts w:ascii="Times New Roman;Times;serif" w:hAnsi="Times New Roman;Times;serif"/>
          <w:color w:val="333333"/>
          <w:sz w:val="20"/>
        </w:rPr>
        <w:t xml:space="preserve">the Jonah </w:t>
      </w:r>
      <w:r>
        <w:rPr>
          <w:rFonts w:ascii="Times New Roman;Times;serif" w:hAnsi="Times New Roman;Times;serif"/>
          <w:sz w:val="20"/>
        </w:rPr>
        <w:t>Field in Sublette County, Wyoming, the Williston Basin in North Dakota, the Barnett Shale located in North Texas, the Hamilton Dome Field in Wyoming, and the Delhi Field in Northeast Louisiana. Additionally, an overriding royalty interest retained in a past divestiture of Texas properties provides de minimis revenue. The following table disaggregates the Company’s revenues by major product for the three and nine months ended March 31, 2023 and 2022 (in thousands):</w:t>
      </w:r>
    </w:p>
    <w:tbl>
      <w:tblPr>
        <w:tblW w:w="5805" w:type="dxa"/>
        <w:jc w:val="left"/>
        <w:tblInd w:w="0" w:type="dxa"/>
        <w:tblLayout w:type="fixed"/>
        <w:tblCellMar>
          <w:top w:w="0" w:type="dxa"/>
          <w:left w:w="0" w:type="dxa"/>
          <w:bottom w:w="0" w:type="dxa"/>
          <w:right w:w="0" w:type="dxa"/>
        </w:tblCellMar>
      </w:tblPr>
      <w:tblGrid>
        <w:gridCol w:w="1456"/>
        <w:gridCol w:w="326"/>
        <w:gridCol w:w="207"/>
        <w:gridCol w:w="635"/>
        <w:gridCol w:w="115"/>
        <w:gridCol w:w="207"/>
        <w:gridCol w:w="635"/>
        <w:gridCol w:w="109"/>
        <w:gridCol w:w="196"/>
        <w:gridCol w:w="691"/>
        <w:gridCol w:w="326"/>
        <w:gridCol w:w="196"/>
        <w:gridCol w:w="70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924560" cy="175260"/>
                      <wp:effectExtent l="0" t="0" r="0" b="0"/>
                      <wp:wrapNone/>
                      <wp:docPr id="62" name="Frame61"/>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3"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1445" cy="175260"/>
                      <wp:effectExtent l="0" t="0" r="0" b="0"/>
                      <wp:wrapNone/>
                      <wp:docPr id="64" name="Frame63"/>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03225" cy="175260"/>
                      <wp:effectExtent l="0" t="0" r="0" b="0"/>
                      <wp:wrapNone/>
                      <wp:docPr id="65" name="Frame64"/>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3025" cy="175260"/>
                      <wp:effectExtent l="0" t="0" r="0" b="0"/>
                      <wp:wrapNone/>
                      <wp:docPr id="66" name="Frame65"/>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1445" cy="175260"/>
                      <wp:effectExtent l="0" t="0" r="0" b="0"/>
                      <wp:wrapNone/>
                      <wp:docPr id="67" name="Frame66"/>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03225" cy="175260"/>
                      <wp:effectExtent l="0" t="0" r="0" b="0"/>
                      <wp:wrapNone/>
                      <wp:docPr id="68" name="Frame67"/>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69" name="Frame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4460" cy="175260"/>
                      <wp:effectExtent l="0" t="0" r="0" b="0"/>
                      <wp:wrapNone/>
                      <wp:docPr id="70" name="Frame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38785" cy="175260"/>
                      <wp:effectExtent l="0" t="0" r="0" b="0"/>
                      <wp:wrapNone/>
                      <wp:docPr id="71" name="Frame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2"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24460" cy="175260"/>
                      <wp:effectExtent l="0" t="0" r="0" b="0"/>
                      <wp:wrapNone/>
                      <wp:docPr id="73" name="Frame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48310" cy="175260"/>
                      <wp:effectExtent l="0" t="0" r="0" b="0"/>
                      <wp:wrapNone/>
                      <wp:docPr id="74" name="Frame7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799"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11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w:t>
            </w:r>
          </w:p>
        </w:tc>
      </w:tr>
      <w:tr>
        <w:trPr/>
        <w:tc>
          <w:tcPr>
            <w:tcW w:w="1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109" w:type="dxa"/>
            <w:tcBorders/>
            <w:vAlign w:val="center"/>
          </w:tcPr>
          <w:p>
            <w:pPr>
              <w:pStyle w:val="TableContents"/>
              <w:bidi w:val="0"/>
              <w:spacing w:before="0" w:after="1"/>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r>
      <w:tr>
        <w:trPr/>
        <w:tc>
          <w:tcPr>
            <w:tcW w:w="145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115" w:type="dxa"/>
            <w:tcBorders/>
            <w:vAlign w:val="center"/>
          </w:tcPr>
          <w:p>
            <w:pPr>
              <w:pStyle w:val="TableContents"/>
              <w:bidi w:val="0"/>
              <w:spacing w:before="0" w:after="1"/>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115"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Crude oil</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11,799</w:t>
            </w:r>
          </w:p>
        </w:tc>
        <w:tc>
          <w:tcPr>
            <w:tcW w:w="115"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14,868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40,062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34,309</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21,598</w:t>
            </w:r>
          </w:p>
        </w:tc>
        <w:tc>
          <w:tcPr>
            <w:tcW w:w="115"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6,070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58,816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20,698</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 liquids</w:t>
            </w:r>
          </w:p>
        </w:tc>
        <w:tc>
          <w:tcPr>
            <w:tcW w:w="32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3,470</w:t>
            </w:r>
          </w:p>
        </w:tc>
        <w:tc>
          <w:tcPr>
            <w:tcW w:w="115"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4,750</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11,462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11,899</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36,867</w:t>
            </w:r>
          </w:p>
        </w:tc>
        <w:tc>
          <w:tcPr>
            <w:tcW w:w="115"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25,688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110,340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66,906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Jonah Field, the Company has elected to take its natural gas and NGL working interest production in-kind and markets its NGL production to Enterprise Products Partners L.P. (“Enterprise”) and its natural gas production to different purchasers.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does not take production in-kind at any of its other properties and does not negotiate contracts with customers for such production. The Company recognizes crude oil, natural gas, and NGL production revenue at the point in time when custody and title (“control”) of the product transfers to the customer. The sales of oil and natural gas are made under contracts which the Company’s third-party operators of its wells have negotiated with customers, which typically include variable consideration that is based on pricing tied to local indices and volumes delivered in the current month. The Company receives payment from the sale of oil and natural gas production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two months after delivery.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Judgments made in applying the guidance in ASC 606, </w:t>
      </w:r>
      <w:r>
        <w:rPr>
          <w:rFonts w:ascii="Times New Roman;Times;serif" w:hAnsi="Times New Roman;Times;serif"/>
          <w:i/>
          <w:sz w:val="20"/>
        </w:rPr>
        <w:t>Revenue from Contracts with Customers</w:t>
      </w:r>
      <w:r>
        <w:rPr>
          <w:rFonts w:ascii="Times New Roman;Times;serif" w:hAnsi="Times New Roman;Times;serif"/>
          <w:sz w:val="20"/>
        </w:rPr>
        <w:t>, relate primarily to determining the point in time when control of product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predictable differentials. Accordingly, the Company does not consider estimates of variable consideration to be constrained.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contractual performance obligations arise upon the production of hydrocarbons from wells in which the Company has an ownership interest. The performance obligations are considered satisfied upon control of produced hydrocarbons transferring to a customer at a specified delivery point. Consideration is allocated to completed performance obligations at the end of an accounting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Revenue is recorded in the month when contractual performance obligations are satisfied. However, settlement statements from the purchasers of hydrocarbons and the related cash consideration are received by field operators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two months before the Company receives payment and documentation from the operator, which is typical in the oil and natural gas industry. As a result, the Company must estimate the amount of production delivered to the customer and the consideration that will ultimately be received for the sale of the product. To estimate accounts receivable from operators’ contracts with customers, the Company uses knowledge of its properties, information from field operators, historical performance, contractual arrangements, index pricing, quality and transportation differentials, and other factors. Because the contractual performance obligations have been satisfied and an unconditional right to consideration exists as of the balance sheet date, the Company recognized amounts due from contracts with field operators as “</w:t>
      </w:r>
      <w:r>
        <w:rPr>
          <w:rFonts w:ascii="Times New Roman;Times;serif" w:hAnsi="Times New Roman;Times;serif"/>
          <w:i/>
          <w:sz w:val="20"/>
        </w:rPr>
        <w:t>Receivables from crude oil, natural gas, and natural gas liquids revenues”</w:t>
      </w:r>
      <w:r>
        <w:rPr>
          <w:rFonts w:ascii="Times New Roman;Times;serif" w:hAnsi="Times New Roman;Times;serif"/>
          <w:sz w:val="20"/>
        </w:rPr>
        <w:t xml:space="preserve"> on the unaudited condensed consolidated balance sheets. Differences between estimates and actual amounts received for product sales are recorded in the month that payments received from purchasers are remitted to the Company by field operators.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Acquisitions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1, 2022, the Company closed the acquisition of non-operated interests in the Jonah Field in Sublette County, Wyoming from Exaro Energy III, LLC (the “Jonah Field Acquisition”). After taking into account customary closing adjustments and an effective date of February 1, 2022, total cash consideration for the Jonah Field Acquisition was $26.4 million. The Company accounted for this transaction as an asset acquisition and allocated all of the purchase price (including $0.2 million of transaction costs) to proved oil and natural gas properties. Approximately, $1.6 million of the consideration transferred related to deposits transferred to the Company at closing, the largest related to a $1.2 million deposit with Enterprise for a gas gathering contract which was recorded to “</w:t>
      </w:r>
      <w:r>
        <w:rPr>
          <w:rFonts w:ascii="Times New Roman;Times;serif" w:hAnsi="Times New Roman;Times;serif"/>
          <w:i/>
          <w:sz w:val="20"/>
        </w:rPr>
        <w:t>Other assets”</w:t>
      </w:r>
      <w:r>
        <w:rPr>
          <w:rFonts w:ascii="Times New Roman;Times;serif" w:hAnsi="Times New Roman;Times;serif"/>
          <w:sz w:val="20"/>
        </w:rPr>
        <w:t xml:space="preserve"> on the unaudited condensed consolidated balance sheets. In addition, the Company recognized $3.0 million in non-cash asset retirement obligations. The transaction was funded with cash on hand and $17.0 million in borrowings under the Company’s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January 14, 2022, the Company completed the acquisition of non-operated working interests in the Williston Basin in North Dakota from Foundation Energy Fund VII-A, LP and Foundation Energy Management, LLC (the “Williston Basin Acquisition”). After taking into account customary closing adjustments and an effective date of June 1, 2021, cash consideration was $25.2 million which included $0.3 million of capitalized transaction costs related to the acquisition. The Company accounted for the transaction as an asset acquisition and allocated all of the purchase price (including capitalized transaction costs) to proved oil and natural gas properties. The Company also recognized $2.4 million in non-cash asset retirement obligations. The transaction was funded with cash on hand and $16.0 million in borrowings under the Company’s Senior Secured Credit Facility.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May 7, 2021, the Company completed the acquisition of non-operated oil and natural gas properties in the Barnett Shale from Tokyo Gas Americas for net cash consideration of $17.4 million, after taking into account customary closing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adjustments, and also recognized $2.8 million in non-cash asset retirement obligations (the “Barnett Shale Acquisition”). The Company accounted for the transaction as an asset acquisition and allocated all of the purchase price (including capitalized transaction costs) to proved oil and natural gas properties. During the nine months ended March 31, 2022, the Company recorded a downward purchase price adjustment of $0.9 million related to its acquisition of the Barnett Shale as a result of the completion of the final settlement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accordance with the FASB’s authoritative guidance on asset acquisitions, the Company allocated the cost of the above acquisitions to the assets acquired and liabilities assumed based on a relative fair value basis of the assets acquired and liabilities assumed, with no recognition of goodwill or bargain purchase gain recorded. Incremental legal and professional fees related directly to the acquisitions were capitalized as part of the acquisition cost. The fair value is the price that would be received to sell an asset or paid to transfer a liability in an orderly transaction between market participants at the measurement date (exit price). Fair value measurements also utilize market assumptions of market participants.</w:t>
      </w:r>
    </w:p>
    <w:p>
      <w:pPr>
        <w:pStyle w:val="TextBody"/>
        <w:bidi w:val="0"/>
        <w:spacing w:before="0" w:after="240"/>
        <w:ind w:left="0" w:right="0" w:hanging="0"/>
        <w:jc w:val="left"/>
        <w:rPr>
          <w:rFonts w:ascii="Times New Roman;Times;serif" w:hAnsi="Times New Roman;Times;serif"/>
          <w:b/>
          <w:sz w:val="20"/>
        </w:rPr>
      </w:pPr>
      <w:bookmarkStart w:id="805" w:name="Tc_iz3J0sWbwE2yTAa2WpBWFw_5_5"/>
      <w:bookmarkStart w:id="806" w:name="Tc_2oMP_N7Jk0ulPmg7FWUjZQ_5_2"/>
      <w:bookmarkStart w:id="807" w:name="Tc_jivjJgCDrkuTOW_Oqp1o4g_5_0"/>
      <w:bookmarkStart w:id="808" w:name="Tc_Gw8_at4xEUSV9K9XGBoS-A_4_0"/>
      <w:bookmarkStart w:id="809" w:name="Tc_L2jTWsFg1U-pkhiLr8pPbw_3_5"/>
      <w:bookmarkStart w:id="810" w:name="Tc_EPNvK_FcTE-2P1qW3rSUxg_3_2"/>
      <w:bookmarkStart w:id="811" w:name="Tc_K4aSqvYf4UmqKQzaY--dnw_3_0"/>
      <w:bookmarkStart w:id="812" w:name="Tc_s80x_o-qgECzENpzfmBwxg_2_0"/>
      <w:bookmarkStart w:id="813" w:name="Tc_muLeLLNoe06_vgdp7fSTsw_1_5"/>
      <w:bookmarkStart w:id="814" w:name="Tc_8wdcdOb6K0iX-rNM8eWNbg_1_2"/>
      <w:bookmarkStart w:id="815" w:name="_bb6f76be_405b_431f_a9f2_efc06cd04540"/>
      <w:bookmarkEnd w:id="805"/>
      <w:bookmarkEnd w:id="806"/>
      <w:bookmarkEnd w:id="807"/>
      <w:bookmarkEnd w:id="808"/>
      <w:bookmarkEnd w:id="809"/>
      <w:bookmarkEnd w:id="810"/>
      <w:bookmarkEnd w:id="811"/>
      <w:bookmarkEnd w:id="812"/>
      <w:bookmarkEnd w:id="813"/>
      <w:bookmarkEnd w:id="814"/>
      <w:bookmarkEnd w:id="815"/>
      <w:r>
        <w:rPr>
          <w:rFonts w:ascii="Times New Roman;Times;serif" w:hAnsi="Times New Roman;Times;serif"/>
          <w:b/>
          <w:sz w:val="20"/>
        </w:rPr>
        <w:t>Note 4. Property and Equipment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as of March 31, 2023 and June 30, 2022 consisted of the following (in thousands):</w:t>
      </w:r>
    </w:p>
    <w:p>
      <w:pPr>
        <w:pStyle w:val="TextBody"/>
        <w:bidi w:val="0"/>
        <w:spacing w:before="0" w:after="240"/>
        <w:ind w:left="0" w:right="0" w:hanging="0"/>
        <w:jc w:val="left"/>
        <w:rPr/>
      </w:pPr>
      <w:r>
        <w:rPr/>
        <w:t>​</w:t>
      </w:r>
    </w:p>
    <w:tbl>
      <w:tblPr>
        <w:tblW w:w="7435" w:type="dxa"/>
        <w:jc w:val="left"/>
        <w:tblInd w:w="0" w:type="dxa"/>
        <w:tblLayout w:type="fixed"/>
        <w:tblCellMar>
          <w:top w:w="0" w:type="dxa"/>
          <w:left w:w="0" w:type="dxa"/>
          <w:bottom w:w="0" w:type="dxa"/>
          <w:right w:w="0" w:type="dxa"/>
        </w:tblCellMar>
      </w:tblPr>
      <w:tblGrid>
        <w:gridCol w:w="4291"/>
        <w:gridCol w:w="326"/>
        <w:gridCol w:w="285"/>
        <w:gridCol w:w="1006"/>
        <w:gridCol w:w="326"/>
        <w:gridCol w:w="237"/>
        <w:gridCol w:w="964"/>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724785" cy="175260"/>
                      <wp:effectExtent l="0" t="0" r="0" b="0"/>
                      <wp:wrapNone/>
                      <wp:docPr id="75" name="Frame74"/>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6"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80975" cy="175260"/>
                      <wp:effectExtent l="0" t="0" r="0" b="0"/>
                      <wp:wrapNone/>
                      <wp:docPr id="77" name="Frame76"/>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38810" cy="175260"/>
                      <wp:effectExtent l="0" t="0" r="0" b="0"/>
                      <wp:wrapNone/>
                      <wp:docPr id="78" name="Frame7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79"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50495" cy="175260"/>
                      <wp:effectExtent l="0" t="0" r="0" b="0"/>
                      <wp:wrapNone/>
                      <wp:docPr id="80" name="Frame7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12140" cy="175260"/>
                      <wp:effectExtent l="0" t="0" r="0" b="0"/>
                      <wp:wrapNone/>
                      <wp:docPr id="81" name="Frame80"/>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2023</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2022</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left"/>
              <w:rPr/>
            </w:pPr>
            <w:r>
              <w:rPr/>
              <w:t> </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costs subject to amortization</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193,039</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188,634</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Accumulated depletion, depreciation, and impairment</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(87,724)</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(78,126)</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net</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105,315</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110,508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March 31, 2023 and June 30, 2022, all oil and natural gas property costs were subject to amortization. Depletion of oil and natural gas properties was $9.6 million and $4.1 million for the nine months ended March 31, 2023 and 2022,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nine months ended March 31, 2023 and 2022, the Company incurred development capital expenditures of $4.4 million and $0.8 million,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uses the full cost method of accounting for its investments in oil and natural gas properties. All costs of acquisition, exploration, and development of oil and natural gas reserves are capitalized as the cost of oil and natural gas and properties when incurred. To the extent capitalized costs of evaluated oil and natural gas properties, net of accumulated depletion, exceed the discounted future net revenues of proved oil and natural gas reserves, net of deferred taxes, such excess capitalized costs would be charged to expense as a write-down of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March 31, 2023, the ceiling test value of the Company’s reserves was calculated based on the first-day-of-the-month average for the 12-months ended March 31, 2023 of the West Texas Intermediate (“WTI”) crude oil spot price of $91.38 per barrel and Henry Hub natural gas spot price of $5.97 per MMBtu, adjusted by market differentials by field. The net price per barrel of NGLs was $47.07, which was based on historical differentials to WTI as NGLs do not have any single comparable reference index price. Using these prices, at March 31, 2023 the cost center ceiling was higher than the capitalized costs of oil and natural gas properties, and as a result, no write-down was necessary.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March 31, 2022, the ceiling test value of the Company’s reserves was calculated based on the first-day-of the month average for the 12-months ended March 31, 2022 of the WTI crude oil spot price of $75.28 per barrel and Henry Hub natural gas spot price of $4.15 per MMBtu, adjusted by market differentials by field. The net price per barrel of NGLs was $40.07, which was based on historical prices received as NGLs do not have any single comparable reference index price. Using these prices, at March 31, 2022 the cost center ceiling was higher than the capitalized costs of oil and natural gas properties, and as a result, no write-down was necessary.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5. Senior Secured Credit Facility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April 11, 2016, the Company entered into a three-year, senior secured reserve-based credit facility (as amended, the “Senior Secured Credit Facility”) with MidFirst Bank in an amount up to $50.0 million with a current borrowing base of $50.0 million. On May 5, 2023, the Company entered into the Tenth Amendment to the Senior Secured Credit Facility extending the maturity to April 9, 2026. The Tenth Amendment also replaces the London Interbank Offered Rate ("LIBOR") with the </w:t>
      </w:r>
      <w:r>
        <w:rPr>
          <w:rFonts w:ascii="Times New Roman;Times;serif" w:hAnsi="Times New Roman;Times;serif"/>
          <w:sz w:val="20"/>
          <w:shd w:fill="FFFFFF" w:val="clear"/>
        </w:rPr>
        <w:t>Secured Overnight Financing Rate (“SOFR”) plus a credit spread adjustment of 0.05% to effectively convert SOFR to a LIBOR equivalent and modifies the Margined Collateral Value, as defined in the Ninth Amendment to the Senior Secured Credit Facility, to $95.0 million.</w:t>
      </w:r>
      <w:r>
        <w:rPr>
          <w:rFonts w:ascii="Times New Roman;Times;serif" w:hAnsi="Times New Roman;Times;serif"/>
          <w:sz w:val="20"/>
        </w:rPr>
        <w:t xml:space="preserve"> The borrowing base will be redetermined semiannually, with the lenders and the Company each having the right to one interim unscheduled redetermination between any two consecutive semi-annual redeterminations. The borrowing base takes into account the estimated value of the Company’s oil and natural gas properties, proved reserves, total indebtedness, and other relevant factors consistent with customary oil and natural gas lending criteria. The Senior Secured Credit Facility carries a commitment fee of 0.25% per annum on the undrawn portion of the borrowing base. Any borrowings under the Senior Secured Credit Facility will bear interest, at the Company’s option, at either SOFR plus 2.80%, which includes a 0.05% credit spread adjustment from LIBOR, subject to a minimum SOFR of 0.50%, or the Prime Rate, as defined under the Senior Secured Credit Facility, plus 1.00%</w:t>
      </w:r>
      <w:r>
        <w:rPr>
          <w:rFonts w:ascii="Times New Roman;Times;serif" w:hAnsi="Times New Roman;Times;serif"/>
          <w:sz w:val="20"/>
          <w:shd w:fill="FFFFFF" w:val="clear"/>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may elect, at its option, to prepay any borrowings outstanding under the Senior Secured Credit Facility without premium or penalty. Amounts outstanding under the Senior Secured Credit Facility are guaranteed by the Company’s direct and indirect subsidiaries and secured by a security interest in substantially all of the properties of the Company and its subsidiaries. Borrowings under the Senior Secured Credit Facility may be used for the acquisition and development of oil and natural gas properties, investments in cash flow generating properties complimentary to the production of oil and natural gas, and for letters of credit or other general corporate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Senior Secured Credit Facility contains certain events of default, including non-payment; breaches or representation and warranties; non-compliance with covenants; cross-defaults to material indebtedness; voluntary or involuntary bankruptcy; judgments and change in control. The Senior Secured Credit Facility also contains financial covenants including a requirement that the Company maintain, as of the last day of each fiscal quarter, (i) a maximum total leverage ratio of not more than 3.00 to 1.00, (ii) a current ratio of not less than 1.00 to 1.00, and (iii) a consolidated tangible net worth of not less than $40.0 million, each as defined in the Senior Secured Credit Facility. As of March 31, 2023, the Company did not have any borrowings outstanding under its Senior Secured Credit Facility, resulting in $50.0 million of available borrowing capacity. For the nine months ended March 31, 2023 and 2022, the weighted average interest on borrowings under the Senior Secured Credit Facility was 5.25% and 3.04%, respectively. As of March 31, 2023, the Company was in compliance with the financial covenants under the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February 7, 2022, the Company entered into the Ninth Amendment to the Senior Secured Credit Facility. This amendment, among other things, modified the definition of utilization percentage related to the required hedging covenant such that for the purposes of determining the amount of future production to hedge, the utilization of the Senior Secured Credit Facility will be based on the Margined Collateral Value, as defined in the agreement, to the extent it exceeds the borrowing base then in effect. This amendment also required the Company to enter into hedges for the next </w:t>
      </w:r>
      <w:r>
        <w:rPr>
          <w:rFonts w:ascii="Times New Roman;Times;serif" w:hAnsi="Times New Roman;Times;serif"/>
          <w:b w:val="false"/>
          <w:i w:val="false"/>
          <w:caps w:val="false"/>
          <w:smallCaps w:val="false"/>
          <w:sz w:val="20"/>
        </w:rPr>
        <w:t>12-month</w:t>
      </w:r>
      <w:r>
        <w:rPr>
          <w:rFonts w:ascii="Times New Roman;Times;serif" w:hAnsi="Times New Roman;Times;serif"/>
          <w:sz w:val="20"/>
        </w:rPr>
        <w:t xml:space="preserve"> period ending February 2023, covering 25% of expected crude oil and natural gas production over that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9, 2021, the Company entered into the Eighth Amendment to the Senior Secured Credit Facility. This amendment, among other things, increased the borrowing base to $50.0 million and added a hedging covenant whereby the Company must hedge a minimum of 25% to 75% of future production on a rolling 12-month basis when 25% or more of the borrowing base is utilized. The hedging covenant was amended in the Ninth Amendment, as discussed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5, 2021 the Company entered into the Seventh Amendment to the Senior Secured Credit Facility which, among other things, added definitions for the terms “Acquired Entity or Mineral Interests” and “Acquired Entity or Mineral Interests EBITDA Adjustment.” Additionally, the consolidated tangible net worth covenant level was reduced to $40.0 million from $50.0 million.</w:t>
      </w:r>
    </w:p>
    <w:p>
      <w:pPr>
        <w:pStyle w:val="TextBody"/>
        <w:bidi w:val="0"/>
        <w:spacing w:before="0" w:after="240"/>
        <w:ind w:left="0" w:right="0" w:hanging="0"/>
        <w:jc w:val="left"/>
        <w:rPr>
          <w:rFonts w:ascii="Times New Roman;Times;serif" w:hAnsi="Times New Roman;Times;serif"/>
          <w:b/>
          <w:sz w:val="20"/>
        </w:rPr>
      </w:pPr>
      <w:bookmarkStart w:id="816" w:name="_Hlk134092921"/>
      <w:bookmarkEnd w:id="816"/>
      <w:r>
        <w:rPr>
          <w:rFonts w:ascii="Times New Roman;Times;serif" w:hAnsi="Times New Roman;Times;serif"/>
          <w:b/>
          <w:sz w:val="20"/>
        </w:rPr>
        <w:t>Note 6.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files a consolidated federal income tax return in the United States and various combined and separate filings in several state and local jurisdictions.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unrecognized tax benefits, nor any accrued interest or penalties associated with unrecognized tax benefits during the periods presented in the unaudited condensed consolidated financial statements. The Company believes that it has appropriate support for the income tax positions taken and to be taken on the Company’s tax returns and that the accruals for tax liabilities are adequate for all open years based on its assessment of many factors including past experience and interpretations of tax law applied to the facts of each matter. The Company’s federal and state income tax returns are open to audit under the statute of limitations for the fiscal years ended June 30, 2019 through June 30, 2021 for federal tax purposes and for the fiscal years ended June 30, 2018 through June 30, 2021 for state tax purposes. To the extent the Company utilizes net operating losses (“NOLs”) generated in earlier years, such earlier years may also be subject to audit.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nine months ended March 31, 2023 the Company recognized income tax expense of $9.9 million and had an effective tax rate of 22.1% compared to an income tax expense of $5.2 million and an effective tax rate of 22.5% for the nine months ended March 31, 2022. During the nine months ended March 31, 2023 and 2022, the Company recognized an income tax benefit of $0.1 million for both periods related to the vesting of restricted stock awards.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effective tax rate will typically differ from the statutory federal rate as a result of state income taxes, primarily in the states of Louisiana, North Dakota, and Texas, due to percentage depletion in excess of basis, and other permanent differences. For both periods, the respective statutory federal tax rate was 21%.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Deferred income taxes primarily represent the net tax effect of temporary differences between the carrying amounts of assets and liabilities for financial reporting purposes and the amounts used for income tax purposes.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Derivatives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exposed to certain risks relating to its ongoing business operations, including commodity price risk and interest rate risk. In accordance with the Company’s policy and the requirements under the Senior Secured Credit Facility (as discussed in Note 5, “</w:t>
      </w:r>
      <w:r>
        <w:rPr>
          <w:rFonts w:ascii="Times New Roman;Times;serif" w:hAnsi="Times New Roman;Times;serif"/>
          <w:i/>
          <w:sz w:val="20"/>
        </w:rPr>
        <w:t>Senior Secured Credit Facility”</w:t>
      </w:r>
      <w:r>
        <w:rPr>
          <w:rFonts w:ascii="Times New Roman;Times;serif" w:hAnsi="Times New Roman;Times;serif"/>
          <w:sz w:val="20"/>
        </w:rPr>
        <w:t>), it may hedge or may be required to hedge a varying portion of anticipated oil and natural gas production for future periods. Derivatives are carried at fair value on the unaudited condensed consolidated balance sheets as assets or liabilities, with the changes in the fair value included in the unaudited condensed consolidated statements of operations for the period in which the change occurs. The Company’s hedge policies and objectives may change significantly as its operational profile changes or as required under the Senior Secured Credit Facility. The Company does not enter into derivative contracts for speculative trading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It is the Company’s policy to enter into derivative contracts only with counterparties that are creditworthy financial or commodity hedging institutions deemed by management as competent and competitive market makers. As of March 31, 2023, all of the Company’s derivative contracts had expired. The Company has no open derivative contracts as of March 31, 2023, and the Company did not post collateral under any of its derivative contracts during the year as they were secured under the Company’s Senior Secured Credit Facility.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817" w:name="Tc_64TJ7DAZoU6STqECHTHalw_7_13"/>
      <w:bookmarkStart w:id="818" w:name="Tc_vy0gjfWT8k6uEUB81GrD3g_7_10"/>
      <w:bookmarkStart w:id="819" w:name="Tc_WBkJysirPE6xPm_-BDssrg_7_7"/>
      <w:bookmarkStart w:id="820" w:name="Tc_UFoBQBX5g02W5-Zp9NL1qg_7_4"/>
      <w:bookmarkStart w:id="821" w:name="Tc_wJhwI21kh0mRyrQXZyB43w_7_0"/>
      <w:bookmarkStart w:id="822" w:name="Tc_dSDAdT5HSEOCxYqH1tchXQ_6_2"/>
      <w:bookmarkStart w:id="823" w:name="Tc_r7-m8vg7-U2FG7J83if05g_6_0"/>
      <w:bookmarkStart w:id="824" w:name="Tc_dxJTEa_gfU-dqiiIBBjyMg_5_13"/>
      <w:bookmarkStart w:id="825" w:name="Tc_dxpgRtXCj0KrbqetUndbZw_5_10"/>
      <w:bookmarkStart w:id="826" w:name="Tc_KSuspnkdHkGPnIcjOQZ9sw_5_7"/>
      <w:bookmarkStart w:id="827" w:name="Tc_LquAI695UUy7uIpGWPSLvQ_5_4"/>
      <w:bookmarkStart w:id="828" w:name="Tc_rsswGLtOD0yA7nBUjXABzg_5_2"/>
      <w:bookmarkStart w:id="829" w:name="Tc_k_1ZE3V7tE60RtutB4o-Ig_5_0"/>
      <w:bookmarkStart w:id="830" w:name="Tc_PaGE9ypB1kKZbgr9RN-kaA_4_0"/>
      <w:bookmarkStart w:id="831" w:name="Tc_fq8MwVflEk-9FVrI9GhdiA_3_13"/>
      <w:bookmarkStart w:id="832" w:name="Tc_tdJZ5Fq7O0CjmyA1CIpTow_3_10"/>
      <w:bookmarkStart w:id="833" w:name="Tc_sVT07cM0vUaBwD5tbEBCng_3_7"/>
      <w:bookmarkStart w:id="834" w:name="Tc_PNZwHTr-ZUSVn6wVdXz0gA_3_4"/>
      <w:bookmarkStart w:id="835" w:name="Tc_LUGNx5seRkqhbebULLU8IQ_3_2"/>
      <w:bookmarkStart w:id="836" w:name="Tc_qAj1b0P6Lk66llOe2JD1rg_3_0"/>
      <w:bookmarkStart w:id="837" w:name="Tc_hzjzFsF2FEiDo-up2s3cZQ_2_10"/>
      <w:bookmarkStart w:id="838" w:name="Tc_uHtNL7WP4kSNfOMnJk50eQ_2_4"/>
      <w:bookmarkStart w:id="839" w:name="Tc_3ZzyRK0x6EWDTdRJfTy9TQ_2_2"/>
      <w:bookmarkStart w:id="840" w:name="Tc_XIA0yx5pRk6v3VTQLQFUFQ_2_0"/>
      <w:bookmarkStart w:id="841" w:name="Tc_nVseFuCyhUaVUilskLdebQ_1_10"/>
      <w:bookmarkStart w:id="842" w:name="Tc_A61NO0S95UWy8qwILExv2w_1_4"/>
      <w:bookmarkStart w:id="843" w:name="Tc_fK4paUBqpECh42AtjX2PrA_1_2"/>
      <w:bookmarkStart w:id="844" w:name="Tc_VltwlOSNwUuI885YBdi4HA_1_0"/>
      <w:bookmarkStart w:id="845" w:name="_9d6eb02c_4362_4afa_9b80_7d5a6a691dc6"/>
      <w:bookmarkStart w:id="846" w:name="Tc_J4ThraYN_Ee7FdlR7-5n2Q_6_15"/>
      <w:bookmarkStart w:id="847" w:name="Tc_3-omzhVhHUW7uEGaGmQABA_6_12"/>
      <w:bookmarkStart w:id="848" w:name="Tc_kOcH2hq4YUeQRvuom_5n7g_6_7"/>
      <w:bookmarkStart w:id="849" w:name="Tc_v_Mx4YAdYUmjwJ-VzhlhEQ_6_4"/>
      <w:bookmarkStart w:id="850" w:name="Tc_2FVK43ruREiqorxhD2UkDg_6_0"/>
      <w:bookmarkStart w:id="851" w:name="Tc_YoZpNXEzC0G1BSIhJ3WUfQ_5_10"/>
      <w:bookmarkStart w:id="852" w:name="Tc_Dt0lYYVw70i1tbETS5vkgg_5_0"/>
      <w:bookmarkStart w:id="853" w:name="Tc_DdT53NbmtU-hDBaMT46cuQ_4_15"/>
      <w:bookmarkStart w:id="854" w:name="Tc_gaOvmduwz0i-bl-A-WbyCQ_4_12"/>
      <w:bookmarkStart w:id="855" w:name="Tc_hCOWXKJpUEyKdswybln3Fw_4_7"/>
      <w:bookmarkStart w:id="856" w:name="Tc_Knsacgg3P02JjG52VA2Rlg_4_4"/>
      <w:bookmarkStart w:id="857" w:name="Tc_eh1Wn8w-YU25dWIgD-H2GA_4_0"/>
      <w:bookmarkStart w:id="858" w:name="Tc_KmtF5qobcki3NGB1outIQw_3_15"/>
      <w:bookmarkStart w:id="859" w:name="Tc_tSOD8UOZBkO6CLlmrQNdQQ_3_12"/>
      <w:bookmarkStart w:id="860" w:name="Tc_TqtRFMMsU0WDsNnTq_RrVA_3_10"/>
      <w:bookmarkStart w:id="861" w:name="Tc_8CE4DwGQEkuSS8_JtVh61Q_3_7"/>
      <w:bookmarkStart w:id="862" w:name="Tc_gKTj5V2ZRky_QlIqoocUmA_3_4"/>
      <w:bookmarkStart w:id="863" w:name="Tc_vXT01QRutE2hsxo1CQ9HUg_3_2"/>
      <w:bookmarkStart w:id="864" w:name="Tc_ziVrnCtcUUKTGNCcjdVXSw_3_0"/>
      <w:bookmarkStart w:id="865" w:name="Tc_1VUoZBTKGUmAKadj84vz1Q_2_12"/>
      <w:bookmarkStart w:id="866" w:name="Tc_NnkAn0Cdrkqx-mtmrvm-oA_2_10"/>
      <w:bookmarkStart w:id="867" w:name="Tc_G5lesJ9uFUeKnTKDLAVmIA_2_4"/>
      <w:bookmarkStart w:id="868" w:name="Tc_yGFA99Rv1keJmTui7ohixw_2_2"/>
      <w:bookmarkStart w:id="869" w:name="Tc__GieqNGFCEGXJts1-C9O3w_2_0"/>
      <w:bookmarkStart w:id="870" w:name="Tc_tdG5gbC67UCchMeaNOW8yw_1_0"/>
      <w:bookmarkStart w:id="871" w:name="_e00ecc49_4d48_459e_9edb_0efa96799439"/>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r>
        <w:rPr>
          <w:rFonts w:ascii="Times New Roman;Times;serif" w:hAnsi="Times New Roman;Times;serif"/>
          <w:sz w:val="20"/>
        </w:rPr>
        <w:t>The Company has in the past, and may utilize in the future, costless put/call collars and fixed-price swaps to hedge a portion of its anticipated future production. A costless collar consists of a sold call, which establishes a maximum price the Company will receive for the volumes under contract, and a purchased put that establishes a minimum price. Fixed-price swaps are designed so that the Company receives or makes payments based on a differential between fixed and variable prices for the volumes under contract. The Company has elected not to designate its open derivative contracts for hedge accounting. Accordingly, the Company records the net change in the mark-to-market valuation of the derivative contracts and all payments and receipts on settled derivative contracts in “</w:t>
      </w:r>
      <w:r>
        <w:rPr>
          <w:rFonts w:ascii="Times New Roman;Times;serif" w:hAnsi="Times New Roman;Times;serif"/>
          <w:i/>
          <w:sz w:val="20"/>
        </w:rPr>
        <w:t>Net gain (loss) on derivative contracts</w:t>
      </w:r>
      <w:r>
        <w:rPr>
          <w:rFonts w:ascii="Times New Roman;Times;serif" w:hAnsi="Times New Roman;Times;serif"/>
          <w:sz w:val="20"/>
        </w:rPr>
        <w:t>” on the unaudited condensed consolidated statements of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 derivative contracts are recorded at fair market value in accordance with ASC 815, </w:t>
      </w:r>
      <w:r>
        <w:rPr>
          <w:rFonts w:ascii="Times New Roman;Times;serif" w:hAnsi="Times New Roman;Times;serif"/>
          <w:i/>
          <w:sz w:val="20"/>
        </w:rPr>
        <w:t>Derivatives and Hedging</w:t>
      </w:r>
      <w:r>
        <w:rPr>
          <w:rFonts w:ascii="Times New Roman;Times;serif" w:hAnsi="Times New Roman;Times;serif"/>
          <w:sz w:val="20"/>
        </w:rPr>
        <w:t xml:space="preserve"> (“ASC 815”) and ASC 820, </w:t>
      </w:r>
      <w:r>
        <w:rPr>
          <w:rFonts w:ascii="Times New Roman;Times;serif" w:hAnsi="Times New Roman;Times;serif"/>
          <w:i/>
          <w:sz w:val="20"/>
        </w:rPr>
        <w:t>Fair Value Measurement</w:t>
      </w:r>
      <w:r>
        <w:rPr>
          <w:rFonts w:ascii="Times New Roman;Times;serif" w:hAnsi="Times New Roman;Times;serif"/>
          <w:sz w:val="20"/>
        </w:rPr>
        <w:t xml:space="preserve"> (“ASC 820”) and included in the unaudited condensed consolidated balance sheets as assets or liabilities. The “</w:t>
      </w:r>
      <w:r>
        <w:rPr>
          <w:rFonts w:ascii="Times New Roman;Times;serif" w:hAnsi="Times New Roman;Times;serif"/>
          <w:i/>
          <w:sz w:val="20"/>
        </w:rPr>
        <w:t>Derivative contract assets”</w:t>
      </w:r>
      <w:r>
        <w:rPr>
          <w:rFonts w:ascii="Times New Roman;Times;serif" w:hAnsi="Times New Roman;Times;serif"/>
          <w:sz w:val="20"/>
        </w:rPr>
        <w:t xml:space="preserve"> and “</w:t>
      </w:r>
      <w:r>
        <w:rPr>
          <w:rFonts w:ascii="Times New Roman;Times;serif" w:hAnsi="Times New Roman;Times;serif"/>
          <w:i/>
          <w:sz w:val="20"/>
        </w:rPr>
        <w:t>Derivative contract liabilities”</w:t>
      </w:r>
      <w:r>
        <w:rPr>
          <w:rFonts w:ascii="Times New Roman;Times;serif" w:hAnsi="Times New Roman;Times;serif"/>
          <w:sz w:val="20"/>
        </w:rPr>
        <w:t xml:space="preserve"> represent the difference between the market commodity prices and the hedged prices for the remaining volumes of production hedges as of June 30, 2022 (the “mark-to-market valuation”). The following table summarizes the location and fair value amounts of all derivative contracts in the unaudited condensed consolidated balance sheets as of March 31, 2023 and June 30, 2022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7"/>
        <w:gridCol w:w="326"/>
        <w:gridCol w:w="1054"/>
        <w:gridCol w:w="326"/>
        <w:gridCol w:w="456"/>
        <w:gridCol w:w="805"/>
        <w:gridCol w:w="336"/>
        <w:gridCol w:w="385"/>
        <w:gridCol w:w="741"/>
        <w:gridCol w:w="326"/>
        <w:gridCol w:w="1106"/>
        <w:gridCol w:w="326"/>
        <w:gridCol w:w="456"/>
        <w:gridCol w:w="805"/>
        <w:gridCol w:w="336"/>
        <w:gridCol w:w="282"/>
        <w:gridCol w:w="892"/>
      </w:tblGrid>
      <w:tr>
        <w:trPr/>
        <w:tc>
          <w:tcPr>
            <w:tcW w:w="1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91845" cy="175260"/>
                      <wp:effectExtent l="0" t="0" r="0" b="0"/>
                      <wp:wrapNone/>
                      <wp:docPr id="82" name="Frame81"/>
                      <a:graphic xmlns:a="http://schemas.openxmlformats.org/drawingml/2006/main">
                        <a:graphicData uri="http://schemas.microsoft.com/office/word/2010/wordprocessingShape">
                          <wps:wsp>
                            <wps:cNvSpPr txBox="1"/>
                            <wps:spPr>
                              <a:xfrm>
                                <a:off x="0" y="0"/>
                                <a:ext cx="791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3"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69290" cy="175260"/>
                      <wp:effectExtent l="0" t="0" r="0" b="0"/>
                      <wp:wrapNone/>
                      <wp:docPr id="84" name="Frame83"/>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5"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89560" cy="175260"/>
                      <wp:effectExtent l="0" t="0" r="0" b="0"/>
                      <wp:wrapNone/>
                      <wp:docPr id="86" name="Frame85"/>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11175" cy="175260"/>
                      <wp:effectExtent l="0" t="0" r="0" b="0"/>
                      <wp:wrapNone/>
                      <wp:docPr id="87" name="Frame86"/>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3360" cy="175260"/>
                      <wp:effectExtent l="0" t="0" r="0" b="0"/>
                      <wp:wrapNone/>
                      <wp:docPr id="88" name="Frame87"/>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44475" cy="175260"/>
                      <wp:effectExtent l="0" t="0" r="0" b="0"/>
                      <wp:wrapNone/>
                      <wp:docPr id="89" name="Frame88"/>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70535" cy="175260"/>
                      <wp:effectExtent l="0" t="0" r="0" b="0"/>
                      <wp:wrapNone/>
                      <wp:docPr id="90" name="Frame89"/>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1"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702310" cy="175260"/>
                      <wp:effectExtent l="0" t="0" r="0" b="0"/>
                      <wp:wrapNone/>
                      <wp:docPr id="92" name="Frame91"/>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3"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89560" cy="175260"/>
                      <wp:effectExtent l="0" t="0" r="0" b="0"/>
                      <wp:wrapNone/>
                      <wp:docPr id="94" name="Frame93"/>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11175" cy="175260"/>
                      <wp:effectExtent l="0" t="0" r="0" b="0"/>
                      <wp:wrapNone/>
                      <wp:docPr id="95" name="Frame94"/>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3360" cy="175260"/>
                      <wp:effectExtent l="0" t="0" r="0" b="0"/>
                      <wp:wrapNone/>
                      <wp:docPr id="96" name="Frame95"/>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79070" cy="175260"/>
                      <wp:effectExtent l="0" t="0" r="0" b="0"/>
                      <wp:wrapNone/>
                      <wp:docPr id="97" name="Frame96"/>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66420" cy="175260"/>
                      <wp:effectExtent l="0" t="0" r="0" b="0"/>
                      <wp:wrapNone/>
                      <wp:docPr id="98" name="Frame97"/>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Derivatives not designated </w:t>
            </w:r>
          </w:p>
        </w:tc>
        <w:tc>
          <w:tcPr>
            <w:tcW w:w="326"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723" w:type="dxa"/>
            <w:gridSpan w:val="5"/>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771" w:type="dxa"/>
            <w:gridSpan w:val="5"/>
            <w:tcBorders/>
            <w:vAlign w:val="center"/>
          </w:tcPr>
          <w:p>
            <w:pPr>
              <w:pStyle w:val="TableContents"/>
              <w:bidi w:val="0"/>
              <w:spacing w:before="0" w:after="1"/>
              <w:ind w:left="0" w:right="0" w:hanging="0"/>
              <w:jc w:val="center"/>
              <w:rPr/>
            </w:pPr>
            <w:r>
              <w:rPr/>
              <w:t>​</w:t>
            </w:r>
          </w:p>
        </w:tc>
      </w:tr>
      <w:tr>
        <w:trPr/>
        <w:tc>
          <w:tcPr>
            <w:tcW w:w="124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hedging contracts</w:t>
            </w:r>
          </w:p>
        </w:tc>
        <w:tc>
          <w:tcPr>
            <w:tcW w:w="326"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w:t>
            </w:r>
          </w:p>
        </w:tc>
        <w:tc>
          <w:tcPr>
            <w:tcW w:w="326" w:type="dxa"/>
            <w:tcBorders/>
            <w:vAlign w:val="center"/>
          </w:tcPr>
          <w:p>
            <w:pPr>
              <w:pStyle w:val="TableContents"/>
              <w:bidi w:val="0"/>
              <w:spacing w:before="0" w:after="1"/>
              <w:ind w:left="0" w:right="0" w:hanging="0"/>
              <w:jc w:val="left"/>
              <w:rPr/>
            </w:pPr>
            <w:r>
              <w:rPr/>
              <w:t>​</w:t>
            </w:r>
          </w:p>
        </w:tc>
        <w:tc>
          <w:tcPr>
            <w:tcW w:w="27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Assets</w:t>
            </w:r>
          </w:p>
        </w:tc>
        <w:tc>
          <w:tcPr>
            <w:tcW w:w="326" w:type="dxa"/>
            <w:tcBorders/>
            <w:vAlign w:val="center"/>
          </w:tcPr>
          <w:p>
            <w:pPr>
              <w:pStyle w:val="TableContents"/>
              <w:bidi w:val="0"/>
              <w:spacing w:before="0" w:after="1"/>
              <w:ind w:left="0" w:right="0" w:hanging="0"/>
              <w:jc w:val="left"/>
              <w:rPr/>
            </w:pPr>
            <w:r>
              <w:rPr/>
              <w:t>​</w:t>
            </w:r>
          </w:p>
        </w:tc>
        <w:tc>
          <w:tcPr>
            <w:tcW w:w="11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w:t>
            </w:r>
          </w:p>
        </w:tc>
        <w:tc>
          <w:tcPr>
            <w:tcW w:w="326" w:type="dxa"/>
            <w:tcBorders/>
            <w:vAlign w:val="center"/>
          </w:tcPr>
          <w:p>
            <w:pPr>
              <w:pStyle w:val="TableContents"/>
              <w:bidi w:val="0"/>
              <w:spacing w:before="0" w:after="1"/>
              <w:ind w:left="0" w:right="0" w:hanging="0"/>
              <w:jc w:val="left"/>
              <w:rPr/>
            </w:pPr>
            <w:r>
              <w:rPr/>
              <w:t>​</w:t>
            </w:r>
          </w:p>
        </w:tc>
        <w:tc>
          <w:tcPr>
            <w:tcW w:w="277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Liabilities</w:t>
            </w:r>
          </w:p>
        </w:tc>
      </w:tr>
      <w:tr>
        <w:trPr/>
        <w:tc>
          <w:tcPr>
            <w:tcW w:w="124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under ASC 815</w:t>
            </w:r>
          </w:p>
        </w:tc>
        <w:tc>
          <w:tcPr>
            <w:tcW w:w="326" w:type="dxa"/>
            <w:tcBorders/>
            <w:vAlign w:val="center"/>
          </w:tcPr>
          <w:p>
            <w:pPr>
              <w:pStyle w:val="TableContents"/>
              <w:bidi w:val="0"/>
              <w:spacing w:before="0" w:after="1"/>
              <w:ind w:left="0" w:right="0" w:hanging="0"/>
              <w:jc w:val="left"/>
              <w:rPr/>
            </w:pPr>
            <w:r>
              <w:rPr/>
              <w:t>    </w:t>
            </w:r>
          </w:p>
        </w:tc>
        <w:tc>
          <w:tcPr>
            <w:tcW w:w="105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26" w:type="dxa"/>
            <w:tcBorders/>
            <w:vAlign w:val="center"/>
          </w:tcPr>
          <w:p>
            <w:pPr>
              <w:pStyle w:val="TableContents"/>
              <w:bidi w:val="0"/>
              <w:spacing w:before="0" w:after="1"/>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3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2022</w:t>
            </w:r>
          </w:p>
        </w:tc>
        <w:tc>
          <w:tcPr>
            <w:tcW w:w="326" w:type="dxa"/>
            <w:tcBorders/>
            <w:vAlign w:val="center"/>
          </w:tcPr>
          <w:p>
            <w:pPr>
              <w:pStyle w:val="TableContents"/>
              <w:bidi w:val="0"/>
              <w:spacing w:before="0" w:after="1"/>
              <w:ind w:left="0" w:right="0" w:hanging="0"/>
              <w:jc w:val="left"/>
              <w:rPr/>
            </w:pPr>
            <w:r>
              <w:rPr/>
              <w:t>    </w:t>
            </w:r>
          </w:p>
        </w:tc>
        <w:tc>
          <w:tcPr>
            <w:tcW w:w="11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26" w:type="dxa"/>
            <w:tcBorders/>
            <w:vAlign w:val="center"/>
          </w:tcPr>
          <w:p>
            <w:pPr>
              <w:pStyle w:val="TableContents"/>
              <w:bidi w:val="0"/>
              <w:spacing w:before="0" w:after="1"/>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36" w:type="dxa"/>
            <w:tcBorders/>
            <w:vAlign w:val="center"/>
          </w:tcPr>
          <w:p>
            <w:pPr>
              <w:pStyle w:val="TableContents"/>
              <w:bidi w:val="0"/>
              <w:spacing w:before="0" w:after="1"/>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2022</w:t>
            </w:r>
          </w:p>
        </w:tc>
      </w:tr>
      <w:tr>
        <w:trPr/>
        <w:tc>
          <w:tcPr>
            <w:tcW w:w="124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Commodity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Current assets - derivative contract assets</w:t>
            </w:r>
          </w:p>
        </w:tc>
        <w:tc>
          <w:tcPr>
            <w:tcW w:w="326" w:type="dxa"/>
            <w:tcBorders/>
            <w:shd w:fill="CCEEFF" w:val="clear"/>
            <w:vAlign w:val="center"/>
          </w:tcPr>
          <w:p>
            <w:pPr>
              <w:pStyle w:val="TableContents"/>
              <w:bidi w:val="0"/>
              <w:spacing w:before="0" w:after="1"/>
              <w:ind w:left="0" w:right="0" w:hanging="0"/>
              <w:jc w:val="left"/>
              <w:rPr/>
            </w:pPr>
            <w:r>
              <w:rPr/>
              <w:t>​</w:t>
            </w:r>
          </w:p>
        </w:tc>
        <w:tc>
          <w:tcPr>
            <w:tcW w:w="4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5" w:type="dxa"/>
            <w:tcBorders/>
            <w:shd w:fill="CCEEFF" w:val="clear"/>
            <w:vAlign w:val="center"/>
          </w:tcPr>
          <w:p>
            <w:pPr>
              <w:pStyle w:val="TableContents"/>
              <w:bidi w:val="0"/>
              <w:spacing w:before="0" w:after="1"/>
              <w:ind w:left="0" w:right="0" w:hanging="0"/>
              <w:jc w:val="righ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w:t>
            </w:r>
          </w:p>
        </w:tc>
        <w:tc>
          <w:tcPr>
            <w:tcW w:w="326" w:type="dxa"/>
            <w:tcBorders/>
            <w:shd w:fill="CCEEFF" w:val="clear"/>
            <w:vAlign w:val="center"/>
          </w:tcPr>
          <w:p>
            <w:pPr>
              <w:pStyle w:val="TableContents"/>
              <w:bidi w:val="0"/>
              <w:spacing w:before="0" w:after="1"/>
              <w:ind w:left="0" w:right="0" w:hanging="0"/>
              <w:jc w:val="left"/>
              <w:rPr/>
            </w:pPr>
            <w:r>
              <w:rPr/>
              <w:t>​</w:t>
            </w:r>
          </w:p>
        </w:tc>
        <w:tc>
          <w:tcPr>
            <w:tcW w:w="110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Current liabilities - derivative contract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4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5" w:type="dxa"/>
            <w:tcBorders/>
            <w:shd w:fill="CCEEFF" w:val="clear"/>
            <w:vAlign w:val="center"/>
          </w:tcPr>
          <w:p>
            <w:pPr>
              <w:pStyle w:val="TableContents"/>
              <w:bidi w:val="0"/>
              <w:spacing w:before="0" w:after="1"/>
              <w:ind w:left="0" w:right="0" w:hanging="0"/>
              <w:jc w:val="righ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2,164</w:t>
            </w:r>
          </w:p>
        </w:tc>
      </w:tr>
      <w:tr>
        <w:trPr/>
        <w:tc>
          <w:tcPr>
            <w:tcW w:w="124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Commodity contracts</w:t>
            </w:r>
          </w:p>
        </w:tc>
        <w:tc>
          <w:tcPr>
            <w:tcW w:w="326"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assets - derivative contract assets</w:t>
            </w:r>
          </w:p>
        </w:tc>
        <w:tc>
          <w:tcPr>
            <w:tcW w:w="326" w:type="dxa"/>
            <w:tcBorders/>
            <w:vAlign w:val="center"/>
          </w:tcPr>
          <w:p>
            <w:pPr>
              <w:pStyle w:val="TableContents"/>
              <w:bidi w:val="0"/>
              <w:spacing w:before="0" w:after="1"/>
              <w:ind w:left="0" w:right="0" w:hanging="0"/>
              <w:jc w:val="left"/>
              <w:rPr/>
            </w:pPr>
            <w:r>
              <w:rPr/>
              <w:t>​</w:t>
            </w:r>
          </w:p>
        </w:tc>
        <w:tc>
          <w:tcPr>
            <w:tcW w:w="4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 term liabilities - derivative contract liabilities</w:t>
            </w:r>
          </w:p>
        </w:tc>
        <w:tc>
          <w:tcPr>
            <w:tcW w:w="326" w:type="dxa"/>
            <w:tcBorders/>
            <w:vAlign w:val="center"/>
          </w:tcPr>
          <w:p>
            <w:pPr>
              <w:pStyle w:val="TableContents"/>
              <w:bidi w:val="0"/>
              <w:spacing w:before="0" w:after="1"/>
              <w:ind w:left="0" w:right="0" w:hanging="0"/>
              <w:jc w:val="left"/>
              <w:rPr/>
            </w:pPr>
            <w:r>
              <w:rPr/>
              <w:t>​</w:t>
            </w:r>
          </w:p>
        </w:tc>
        <w:tc>
          <w:tcPr>
            <w:tcW w:w="4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24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derivatives not designated as hedging contracts under ASC 815</w:t>
            </w:r>
          </w:p>
        </w:tc>
        <w:tc>
          <w:tcPr>
            <w:tcW w:w="326"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w:t>
            </w:r>
          </w:p>
        </w:tc>
        <w:tc>
          <w:tcPr>
            <w:tcW w:w="326" w:type="dxa"/>
            <w:tcBorders/>
            <w:shd w:fill="CCEEFF" w:val="clear"/>
            <w:vAlign w:val="center"/>
          </w:tcPr>
          <w:p>
            <w:pPr>
              <w:pStyle w:val="TableContents"/>
              <w:bidi w:val="0"/>
              <w:spacing w:before="0" w:after="1"/>
              <w:ind w:left="0" w:right="0" w:hanging="0"/>
              <w:jc w:val="left"/>
              <w:rPr/>
            </w:pPr>
            <w:r>
              <w:rPr/>
              <w:t>​</w:t>
            </w:r>
          </w:p>
        </w:tc>
        <w:tc>
          <w:tcPr>
            <w:tcW w:w="11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2,164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location and amounts of the Company’s realized and unrealized gains and losses on derivative contracts in the Company’s unaudited condensed consolidated statements of operations for the three and nine months ended March 31, 2023 and 2022 (in thousands). “</w:t>
      </w:r>
      <w:r>
        <w:rPr>
          <w:rFonts w:ascii="Times New Roman;Times;serif" w:hAnsi="Times New Roman;Times;serif"/>
          <w:i/>
          <w:sz w:val="20"/>
        </w:rPr>
        <w:t>Realized gain (loss) on derivative contracts”</w:t>
      </w:r>
      <w:r>
        <w:rPr>
          <w:rFonts w:ascii="Times New Roman;Times;serif" w:hAnsi="Times New Roman;Times;serif"/>
          <w:sz w:val="20"/>
        </w:rPr>
        <w:t xml:space="preserve"> represents all receipts (payments) on derivative contracts settled during the period. “</w:t>
      </w:r>
      <w:r>
        <w:rPr>
          <w:rFonts w:ascii="Times New Roman;Times;serif" w:hAnsi="Times New Roman;Times;serif"/>
          <w:i/>
          <w:sz w:val="20"/>
        </w:rPr>
        <w:t xml:space="preserve">Unrealized gain (loss) on derivative contracts” </w:t>
      </w:r>
      <w:r>
        <w:rPr>
          <w:rFonts w:ascii="Times New Roman;Times;serif" w:hAnsi="Times New Roman;Times;serif"/>
          <w:sz w:val="20"/>
        </w:rPr>
        <w:t>represents the net change in the mark-to-market valuation of the derivative contracts.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58"/>
        <w:gridCol w:w="326"/>
        <w:gridCol w:w="3403"/>
        <w:gridCol w:w="326"/>
        <w:gridCol w:w="197"/>
        <w:gridCol w:w="479"/>
        <w:gridCol w:w="109"/>
        <w:gridCol w:w="197"/>
        <w:gridCol w:w="615"/>
        <w:gridCol w:w="109"/>
        <w:gridCol w:w="196"/>
        <w:gridCol w:w="610"/>
        <w:gridCol w:w="326"/>
        <w:gridCol w:w="196"/>
        <w:gridCol w:w="658"/>
      </w:tblGrid>
      <w:tr>
        <w:trPr/>
        <w:tc>
          <w:tcPr>
            <w:tcW w:w="2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560830" cy="175260"/>
                      <wp:effectExtent l="0" t="0" r="0" b="0"/>
                      <wp:wrapNone/>
                      <wp:docPr id="99" name="Frame98"/>
                      <a:graphic xmlns:a="http://schemas.openxmlformats.org/drawingml/2006/main">
                        <a:graphicData uri="http://schemas.microsoft.com/office/word/2010/wordprocessingShape">
                          <wps:wsp>
                            <wps:cNvSpPr txBox="1"/>
                            <wps:spPr>
                              <a:xfrm>
                                <a:off x="0" y="0"/>
                                <a:ext cx="1560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0"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60905" cy="175260"/>
                      <wp:effectExtent l="0" t="0" r="0" b="0"/>
                      <wp:wrapNone/>
                      <wp:docPr id="101" name="Frame100"/>
                      <a:graphic xmlns:a="http://schemas.openxmlformats.org/drawingml/2006/main">
                        <a:graphicData uri="http://schemas.microsoft.com/office/word/2010/wordprocessingShape">
                          <wps:wsp>
                            <wps:cNvSpPr txBox="1"/>
                            <wps:spPr>
                              <a:xfrm>
                                <a:off x="0" y="0"/>
                                <a:ext cx="2160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2"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25095" cy="175260"/>
                      <wp:effectExtent l="0" t="0" r="0" b="0"/>
                      <wp:wrapNone/>
                      <wp:docPr id="103" name="Frame102"/>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04165" cy="175260"/>
                      <wp:effectExtent l="0" t="0" r="0" b="0"/>
                      <wp:wrapNone/>
                      <wp:docPr id="104" name="Frame103"/>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105"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25095" cy="175260"/>
                      <wp:effectExtent l="0" t="0" r="0" b="0"/>
                      <wp:wrapNone/>
                      <wp:docPr id="106" name="Frame105"/>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90525" cy="175260"/>
                      <wp:effectExtent l="0" t="0" r="0" b="0"/>
                      <wp:wrapNone/>
                      <wp:docPr id="107" name="Frame106"/>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08" name="Frame1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4460" cy="175260"/>
                      <wp:effectExtent l="0" t="0" r="0" b="0"/>
                      <wp:wrapNone/>
                      <wp:docPr id="109" name="Frame1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87350" cy="175260"/>
                      <wp:effectExtent l="0" t="0" r="0" b="0"/>
                      <wp:wrapNone/>
                      <wp:docPr id="110" name="Frame109"/>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1"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24460" cy="175260"/>
                      <wp:effectExtent l="0" t="0" r="0" b="0"/>
                      <wp:wrapNone/>
                      <wp:docPr id="112" name="Frame1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17830" cy="175260"/>
                      <wp:effectExtent l="0" t="0" r="0" b="0"/>
                      <wp:wrapNone/>
                      <wp:docPr id="113" name="Frame112"/>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58"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Derivatives not designated </w:t>
            </w:r>
          </w:p>
        </w:tc>
        <w:tc>
          <w:tcPr>
            <w:tcW w:w="326" w:type="dxa"/>
            <w:tcBorders/>
            <w:vAlign w:val="center"/>
          </w:tcPr>
          <w:p>
            <w:pPr>
              <w:pStyle w:val="TableContents"/>
              <w:bidi w:val="0"/>
              <w:spacing w:before="0" w:after="1"/>
              <w:ind w:left="0" w:right="0" w:hanging="0"/>
              <w:jc w:val="left"/>
              <w:rPr/>
            </w:pPr>
            <w:r>
              <w:rPr/>
              <w:t>​</w:t>
            </w:r>
          </w:p>
        </w:tc>
        <w:tc>
          <w:tcPr>
            <w:tcW w:w="340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Location of gain (loss)</w:t>
            </w:r>
          </w:p>
        </w:tc>
        <w:tc>
          <w:tcPr>
            <w:tcW w:w="326" w:type="dxa"/>
            <w:tcBorders/>
            <w:vAlign w:val="center"/>
          </w:tcPr>
          <w:p>
            <w:pPr>
              <w:pStyle w:val="TableContents"/>
              <w:bidi w:val="0"/>
              <w:spacing w:before="0" w:after="1"/>
              <w:ind w:left="0" w:right="0" w:hanging="0"/>
              <w:jc w:val="left"/>
              <w:rPr/>
            </w:pPr>
            <w:r>
              <w:rPr/>
              <w:t>​</w:t>
            </w:r>
          </w:p>
        </w:tc>
        <w:tc>
          <w:tcPr>
            <w:tcW w:w="159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1986"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2458"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hedging contracts</w:t>
            </w:r>
          </w:p>
        </w:tc>
        <w:tc>
          <w:tcPr>
            <w:tcW w:w="326" w:type="dxa"/>
            <w:tcBorders/>
            <w:vAlign w:val="center"/>
          </w:tcPr>
          <w:p>
            <w:pPr>
              <w:pStyle w:val="TableContents"/>
              <w:bidi w:val="0"/>
              <w:spacing w:before="0" w:after="1"/>
              <w:ind w:left="0" w:right="0" w:hanging="0"/>
              <w:jc w:val="left"/>
              <w:rPr/>
            </w:pPr>
            <w:r>
              <w:rPr/>
              <w:t>​</w:t>
            </w:r>
          </w:p>
        </w:tc>
        <w:tc>
          <w:tcPr>
            <w:tcW w:w="340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recognized in income on </w:t>
            </w:r>
          </w:p>
        </w:tc>
        <w:tc>
          <w:tcPr>
            <w:tcW w:w="326" w:type="dxa"/>
            <w:tcBorders/>
            <w:vAlign w:val="center"/>
          </w:tcPr>
          <w:p>
            <w:pPr>
              <w:pStyle w:val="TableContents"/>
              <w:bidi w:val="0"/>
              <w:spacing w:before="0" w:after="1"/>
              <w:ind w:left="0" w:right="0" w:hanging="0"/>
              <w:jc w:val="left"/>
              <w:rPr/>
            </w:pPr>
            <w:r>
              <w:rPr/>
              <w:t>​</w:t>
            </w:r>
          </w:p>
        </w:tc>
        <w:tc>
          <w:tcPr>
            <w:tcW w:w="159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1"/>
              <w:ind w:left="0" w:right="0" w:hanging="0"/>
              <w:jc w:val="left"/>
              <w:rPr/>
            </w:pPr>
            <w:r>
              <w:rPr/>
              <w:t>​</w:t>
            </w:r>
          </w:p>
        </w:tc>
        <w:tc>
          <w:tcPr>
            <w:tcW w:w="198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45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under ASC 815</w:t>
            </w:r>
          </w:p>
        </w:tc>
        <w:tc>
          <w:tcPr>
            <w:tcW w:w="326" w:type="dxa"/>
            <w:tcBorders/>
            <w:vAlign w:val="center"/>
          </w:tcPr>
          <w:p>
            <w:pPr>
              <w:pStyle w:val="TableContents"/>
              <w:bidi w:val="0"/>
              <w:spacing w:before="0" w:after="1"/>
              <w:ind w:left="0" w:right="0" w:hanging="0"/>
              <w:jc w:val="left"/>
              <w:rPr/>
            </w:pPr>
            <w:r>
              <w:rPr/>
              <w:t>    </w:t>
            </w:r>
          </w:p>
        </w:tc>
        <w:tc>
          <w:tcPr>
            <w:tcW w:w="340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derivative contracts</w:t>
            </w:r>
          </w:p>
        </w:tc>
        <w:tc>
          <w:tcPr>
            <w:tcW w:w="326" w:type="dxa"/>
            <w:tcBorders/>
            <w:vAlign w:val="center"/>
          </w:tcPr>
          <w:p>
            <w:pPr>
              <w:pStyle w:val="TableContents"/>
              <w:bidi w:val="0"/>
              <w:spacing w:before="0" w:after="1"/>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8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58"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Commodity contracts:</w:t>
            </w:r>
          </w:p>
        </w:tc>
        <w:tc>
          <w:tcPr>
            <w:tcW w:w="326" w:type="dxa"/>
            <w:tcBorders/>
            <w:vAlign w:val="center"/>
          </w:tcPr>
          <w:p>
            <w:pPr>
              <w:pStyle w:val="TableContents"/>
              <w:bidi w:val="0"/>
              <w:spacing w:before="0" w:after="1"/>
              <w:ind w:left="0" w:right="0" w:hanging="0"/>
              <w:jc w:val="left"/>
              <w:rPr/>
            </w:pPr>
            <w:r>
              <w:rPr/>
              <w:t>​</w:t>
            </w:r>
          </w:p>
        </w:tc>
        <w:tc>
          <w:tcPr>
            <w:tcW w:w="34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4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left"/>
              <w:rPr/>
            </w:pPr>
            <w:r>
              <w:rPr/>
              <w:t>​</w:t>
            </w:r>
          </w:p>
        </w:tc>
      </w:tr>
      <w:tr>
        <w:trPr/>
        <w:tc>
          <w:tcPr>
            <w:tcW w:w="245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Realized gain (loss) on derivative contracts </w:t>
            </w:r>
          </w:p>
        </w:tc>
        <w:tc>
          <w:tcPr>
            <w:tcW w:w="326" w:type="dxa"/>
            <w:tcBorders/>
            <w:shd w:fill="CCEEFF" w:val="clear"/>
            <w:vAlign w:val="center"/>
          </w:tcPr>
          <w:p>
            <w:pPr>
              <w:pStyle w:val="TableContents"/>
              <w:bidi w:val="0"/>
              <w:spacing w:before="0" w:after="1"/>
              <w:ind w:left="0" w:right="0" w:hanging="0"/>
              <w:jc w:val="left"/>
              <w:rPr/>
            </w:pPr>
            <w:r>
              <w:rPr/>
              <w:t>​</w:t>
            </w:r>
          </w:p>
        </w:tc>
        <w:tc>
          <w:tcPr>
            <w:tcW w:w="34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income and expenses - net gain (loss)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7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465</w:t>
            </w:r>
          </w:p>
        </w:tc>
        <w:tc>
          <w:tcPr>
            <w:tcW w:w="10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w:t>
            </w:r>
          </w:p>
        </w:tc>
      </w:tr>
      <w:tr>
        <w:trPr/>
        <w:tc>
          <w:tcPr>
            <w:tcW w:w="245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26" w:type="dxa"/>
            <w:tcBorders/>
            <w:vAlign w:val="center"/>
          </w:tcPr>
          <w:p>
            <w:pPr>
              <w:pStyle w:val="TableContents"/>
              <w:bidi w:val="0"/>
              <w:spacing w:before="0" w:after="1"/>
              <w:ind w:left="0" w:right="0" w:hanging="0"/>
              <w:jc w:val="left"/>
              <w:rPr/>
            </w:pPr>
            <w:r>
              <w:rPr/>
              <w:t>​</w:t>
            </w:r>
          </w:p>
        </w:tc>
        <w:tc>
          <w:tcPr>
            <w:tcW w:w="340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income and expenses - net gain (loss) on derivative contracts</w:t>
            </w:r>
          </w:p>
        </w:tc>
        <w:tc>
          <w:tcPr>
            <w:tcW w:w="32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w:t>
            </w:r>
          </w:p>
        </w:tc>
        <w:tc>
          <w:tcPr>
            <w:tcW w:w="109"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(2,398)</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(2,398)</w:t>
            </w:r>
          </w:p>
        </w:tc>
      </w:tr>
      <w:tr>
        <w:trPr/>
        <w:tc>
          <w:tcPr>
            <w:tcW w:w="245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340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w:t>
            </w:r>
          </w:p>
        </w:tc>
        <w:tc>
          <w:tcPr>
            <w:tcW w:w="109" w:type="dxa"/>
            <w:tcBorders/>
            <w:shd w:fill="CCEEFF" w:val="clear"/>
            <w:vAlign w:val="center"/>
          </w:tcPr>
          <w:p>
            <w:pPr>
              <w:pStyle w:val="TableContents"/>
              <w:bidi w:val="0"/>
              <w:spacing w:before="0" w:after="1"/>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(2,591)</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rFonts w:ascii="Times New Roman;Times;serif" w:hAnsi="Times New Roman;Times;serif"/>
          <w:sz w:val="20"/>
        </w:rPr>
      </w:pPr>
      <w:bookmarkStart w:id="872" w:name="Tc_SX--B5XMrESwITGTGXhfvw_5_5"/>
      <w:bookmarkStart w:id="873" w:name="Tc_3cAHj2qSsE2BHocv4u9TEw_5_2"/>
      <w:bookmarkStart w:id="874" w:name="Tc_v9ii0Z8c7kO0M1oOk72xSg_5_0"/>
      <w:bookmarkStart w:id="875" w:name="Tc_k_GoC3BLRUuYcNf-BPt0XA_4_0"/>
      <w:bookmarkStart w:id="876" w:name="Tc_03gimv-JmUik5MK_Gj5Vcw_3_5"/>
      <w:bookmarkStart w:id="877" w:name="Tc_1negXkLQfUC0CP1dv2x93A_3_2"/>
      <w:bookmarkStart w:id="878" w:name="Tc_kG1KXEtCLESExhoq8bqq_g_3_0"/>
      <w:bookmarkStart w:id="879" w:name="Tc_k0G6xhXH1kiUH-VGvgQwDg_2_5"/>
      <w:bookmarkStart w:id="880" w:name="Tc_JIUg3km84EK-cOlpEzdNig_2_2"/>
      <w:bookmarkStart w:id="881" w:name="Tc_GRShZcITqEugbVq-gftWgg_2_0"/>
      <w:bookmarkStart w:id="882" w:name="Tc_RscResTKv0Cegnv5wW8yKw_1_5"/>
      <w:bookmarkStart w:id="883" w:name="Tc_PhaO_GyzdUymbYOO4IWieg_1_2"/>
      <w:bookmarkStart w:id="884" w:name="_8b52ea36_71cf_4314_9816_5aa3dd00e4b6"/>
      <w:bookmarkEnd w:id="872"/>
      <w:bookmarkEnd w:id="873"/>
      <w:bookmarkEnd w:id="874"/>
      <w:bookmarkEnd w:id="875"/>
      <w:bookmarkEnd w:id="876"/>
      <w:bookmarkEnd w:id="877"/>
      <w:bookmarkEnd w:id="878"/>
      <w:bookmarkEnd w:id="879"/>
      <w:bookmarkEnd w:id="880"/>
      <w:bookmarkEnd w:id="881"/>
      <w:bookmarkEnd w:id="882"/>
      <w:bookmarkEnd w:id="883"/>
      <w:bookmarkEnd w:id="884"/>
      <w:r>
        <w:rPr>
          <w:rFonts w:ascii="Times New Roman;Times;serif" w:hAnsi="Times New Roman;Times;serif"/>
          <w:sz w:val="20"/>
        </w:rPr>
        <w:t>The Company presents the fair value of its derivative contracts at the gross amounts in the unaudited condensed consolidated balance sheets. The following table shows the potential effects of master netting arrangements on the fair value of the Company’s derivative contracts as of June 30, 2022 (in thousands):</w:t>
      </w:r>
    </w:p>
    <w:p>
      <w:pPr>
        <w:pStyle w:val="TextBody"/>
        <w:bidi w:val="0"/>
        <w:spacing w:before="0" w:after="240"/>
        <w:ind w:left="0" w:right="0" w:hanging="0"/>
        <w:jc w:val="left"/>
        <w:rPr/>
      </w:pPr>
      <w:r>
        <w:rPr/>
        <w:t>​</w:t>
      </w:r>
    </w:p>
    <w:tbl>
      <w:tblPr>
        <w:tblW w:w="9428" w:type="dxa"/>
        <w:jc w:val="left"/>
        <w:tblInd w:w="0" w:type="dxa"/>
        <w:tblLayout w:type="fixed"/>
        <w:tblCellMar>
          <w:top w:w="0" w:type="dxa"/>
          <w:left w:w="0" w:type="dxa"/>
          <w:bottom w:w="0" w:type="dxa"/>
          <w:right w:w="0" w:type="dxa"/>
        </w:tblCellMar>
      </w:tblPr>
      <w:tblGrid>
        <w:gridCol w:w="4231"/>
        <w:gridCol w:w="326"/>
        <w:gridCol w:w="655"/>
        <w:gridCol w:w="1460"/>
        <w:gridCol w:w="326"/>
        <w:gridCol w:w="586"/>
        <w:gridCol w:w="1844"/>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686685" cy="175260"/>
                      <wp:effectExtent l="0" t="0" r="0" b="0"/>
                      <wp:wrapNone/>
                      <wp:docPr id="114" name="Frame113"/>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5"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15925" cy="175260"/>
                      <wp:effectExtent l="0" t="0" r="0" b="0"/>
                      <wp:wrapNone/>
                      <wp:docPr id="116" name="Frame115"/>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927100" cy="175260"/>
                      <wp:effectExtent l="0" t="0" r="0" b="0"/>
                      <wp:wrapNone/>
                      <wp:docPr id="117" name="Frame116"/>
                      <a:graphic xmlns:a="http://schemas.openxmlformats.org/drawingml/2006/main">
                        <a:graphicData uri="http://schemas.microsoft.com/office/word/2010/wordprocessingShape">
                          <wps:wsp>
                            <wps:cNvSpPr txBox="1"/>
                            <wps:spPr>
                              <a:xfrm>
                                <a:off x="0" y="0"/>
                                <a:ext cx="927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18"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72110" cy="175260"/>
                      <wp:effectExtent l="0" t="0" r="0" b="0"/>
                      <wp:wrapNone/>
                      <wp:docPr id="119" name="Frame11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170940" cy="175260"/>
                      <wp:effectExtent l="0" t="0" r="0" b="0"/>
                      <wp:wrapNone/>
                      <wp:docPr id="120" name="Frame119"/>
                      <a:graphic xmlns:a="http://schemas.openxmlformats.org/drawingml/2006/main">
                        <a:graphicData uri="http://schemas.microsoft.com/office/word/2010/wordprocessingShape">
                          <wps:wsp>
                            <wps:cNvSpPr txBox="1"/>
                            <wps:spPr>
                              <a:xfrm>
                                <a:off x="0" y="0"/>
                                <a:ext cx="1170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Contracts Assets</w:t>
            </w:r>
          </w:p>
        </w:tc>
        <w:tc>
          <w:tcPr>
            <w:tcW w:w="326" w:type="dxa"/>
            <w:tcBorders/>
            <w:vAlign w:val="center"/>
          </w:tcPr>
          <w:p>
            <w:pPr>
              <w:pStyle w:val="TableContents"/>
              <w:bidi w:val="0"/>
              <w:spacing w:before="0" w:after="0"/>
              <w:ind w:left="0" w:right="0" w:hanging="0"/>
              <w:jc w:val="left"/>
              <w:rPr/>
            </w:pPr>
            <w:r>
              <w:rPr/>
              <w:t>​</w:t>
            </w:r>
          </w:p>
        </w:tc>
        <w:tc>
          <w:tcPr>
            <w:tcW w:w="24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Contracts Liabilities</w:t>
            </w:r>
          </w:p>
        </w:tc>
      </w:tr>
      <w:tr>
        <w:trPr/>
        <w:tc>
          <w:tcPr>
            <w:tcW w:w="42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Offsetting of Derivative Assets and Liabilities</w:t>
            </w:r>
          </w:p>
        </w:tc>
        <w:tc>
          <w:tcPr>
            <w:tcW w:w="326" w:type="dxa"/>
            <w:tcBorders/>
            <w:vAlign w:val="center"/>
          </w:tcPr>
          <w:p>
            <w:pPr>
              <w:pStyle w:val="TableContents"/>
              <w:bidi w:val="0"/>
              <w:spacing w:before="0" w:after="0"/>
              <w:ind w:left="0" w:right="0" w:hanging="0"/>
              <w:jc w:val="left"/>
              <w:rPr/>
            </w:pPr>
            <w:r>
              <w:rPr/>
              <w:t>    </w:t>
            </w:r>
          </w:p>
        </w:tc>
        <w:tc>
          <w:tcPr>
            <w:tcW w:w="2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2022</w:t>
            </w:r>
          </w:p>
        </w:tc>
        <w:tc>
          <w:tcPr>
            <w:tcW w:w="326" w:type="dxa"/>
            <w:tcBorders/>
            <w:vAlign w:val="center"/>
          </w:tcPr>
          <w:p>
            <w:pPr>
              <w:pStyle w:val="TableContents"/>
              <w:bidi w:val="0"/>
              <w:spacing w:before="0" w:after="0"/>
              <w:ind w:left="0" w:right="0" w:hanging="0"/>
              <w:jc w:val="left"/>
              <w:rPr/>
            </w:pPr>
            <w:r>
              <w:rPr/>
              <w:t>    </w:t>
            </w:r>
          </w:p>
        </w:tc>
        <w:tc>
          <w:tcPr>
            <w:tcW w:w="24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amounts presented in the Consolidated Balance Sheet</w:t>
            </w:r>
          </w:p>
        </w:tc>
        <w:tc>
          <w:tcPr>
            <w:tcW w:w="326"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8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Amounts not offset in the Consolidated Balance Sheet</w:t>
            </w:r>
          </w:p>
        </w:tc>
        <w:tc>
          <w:tcPr>
            <w:tcW w:w="326" w:type="dxa"/>
            <w:tcBorders/>
            <w:vAlign w:val="center"/>
          </w:tcPr>
          <w:p>
            <w:pPr>
              <w:pStyle w:val="TableContents"/>
              <w:bidi w:val="0"/>
              <w:spacing w:before="0" w:after="0"/>
              <w:ind w:left="0" w:right="0" w:hanging="0"/>
              <w:jc w:val="left"/>
              <w:rPr/>
            </w:pPr>
            <w:r>
              <w:rPr/>
              <w:t>​</w:t>
            </w:r>
          </w:p>
        </w:tc>
        <w:tc>
          <w:tcPr>
            <w:tcW w:w="6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w:t>
            </w:r>
          </w:p>
        </w:tc>
        <w:tc>
          <w:tcPr>
            <w:tcW w:w="32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amount</w:t>
            </w:r>
          </w:p>
        </w:tc>
        <w:tc>
          <w:tcPr>
            <w:tcW w:w="326" w:type="dxa"/>
            <w:tcBorders/>
            <w:shd w:fill="CCEEFF" w:val="clear"/>
            <w:vAlign w:val="center"/>
          </w:tcPr>
          <w:p>
            <w:pPr>
              <w:pStyle w:val="TableContents"/>
              <w:bidi w:val="0"/>
              <w:spacing w:before="0" w:after="0"/>
              <w:ind w:left="0" w:right="0" w:hanging="0"/>
              <w:jc w:val="left"/>
              <w:rPr/>
            </w:pPr>
            <w:r>
              <w:rPr/>
              <w:t>​</w:t>
            </w:r>
          </w:p>
        </w:tc>
        <w:tc>
          <w:tcPr>
            <w:tcW w:w="6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84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1,994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enters into an International Swap Dealers Association Master Agreements (“ISDA”) with each counterparty prior to a derivative contract with such counterparty. The ISDA is a standard contract that governs all derivative contracts entered into between the Company and the respective counterparty. The ISDA allows for offsetting of amounts payable or receivable between the Company and the counterparty, at the election of both parties, for transactions that occur on the same date and in the same currency.</w:t>
      </w:r>
    </w:p>
    <w:p>
      <w:pPr>
        <w:pStyle w:val="TextBody"/>
        <w:bidi w:val="0"/>
        <w:spacing w:before="0" w:after="240"/>
        <w:ind w:left="0" w:right="0" w:hanging="0"/>
        <w:jc w:val="left"/>
        <w:rPr>
          <w:rFonts w:ascii="Times New Roman;Times;serif" w:hAnsi="Times New Roman;Times;serif"/>
          <w:b/>
          <w:sz w:val="20"/>
        </w:rPr>
      </w:pPr>
      <w:bookmarkStart w:id="885" w:name="Tc_mTFLhQeoPkukphK7kIa6Nw_7_11"/>
      <w:bookmarkStart w:id="886" w:name="Tc_5RBl74tCZkmLL8I9wyrOEQ_7_9"/>
      <w:bookmarkStart w:id="887" w:name="Tc_4CDTEb7L9EWXZArN8fVzRw_7_8"/>
      <w:bookmarkStart w:id="888" w:name="Tc_p3HRtt8kh0KiRnIIfdT9AQ_7_5"/>
      <w:bookmarkStart w:id="889" w:name="Tc_9UgGrW9kj0eOkY3aUrryYg_7_3"/>
      <w:bookmarkStart w:id="890" w:name="Tc_SD8UoLn33kaBDA7KeZoN3g_7_2"/>
      <w:bookmarkStart w:id="891" w:name="Tc_FLwvfDyktUafchxWho9NsQ_7_0"/>
      <w:bookmarkStart w:id="892" w:name="Tc_9qDu8pTMI0uXt_EvEgDb8w_6_0"/>
      <w:bookmarkStart w:id="893" w:name="Tc_X6zdm-cpLEC8V9Eak3DWSQ_4_11"/>
      <w:bookmarkStart w:id="894" w:name="Tc_8XP7RyeDa0e68Runy_lhaw_4_9"/>
      <w:bookmarkStart w:id="895" w:name="Tc_K0lZLRDQXUe5j_dVASmSeQ_4_8"/>
      <w:bookmarkStart w:id="896" w:name="Tc_Bix7cY7RoEKRRQm0w2JTag_4_5"/>
      <w:bookmarkStart w:id="897" w:name="Tc_OOS2HjecL0uIblJlTFa4rQ_4_3"/>
      <w:bookmarkStart w:id="898" w:name="Tc_tPd5G6y3bkSwtn6Dv3G8Cg_4_2"/>
      <w:bookmarkStart w:id="899" w:name="Tc_SBCmL6fAVE6o3XeRfjmfrw_4_0"/>
      <w:bookmarkStart w:id="900" w:name="Tc_tWQSHhm8jU-XjBBNFh_DAg_3_0"/>
      <w:bookmarkStart w:id="901" w:name="Tc_D8C0wMC9T0WqkAVgr_4AbA_2_11"/>
      <w:bookmarkStart w:id="902" w:name="Tc_qh8cU0A7BEqAwJRGEghCjg_2_8"/>
      <w:bookmarkStart w:id="903" w:name="Tc_vPeC5ypkj0qFjcNvlk0Uhw_2_5"/>
      <w:bookmarkStart w:id="904" w:name="Tc_yVojKvtl1EeOOuRtYs4hZw_2_2"/>
      <w:bookmarkStart w:id="905" w:name="Tc_Gz18ampBJk-77So6jDr_CQ_1_2"/>
      <w:bookmarkStart w:id="906" w:name="_7b09ce04_3b33_4441_9861_6cd0cd9b38c1"/>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r>
        <w:rPr>
          <w:rFonts w:ascii="Times New Roman;Times;serif" w:hAnsi="Times New Roman;Times;serif"/>
          <w:b/>
          <w:sz w:val="20"/>
        </w:rPr>
        <w:t>Note 8. Fair Value Measurement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three levels are defined as follows: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1—Observable inputs such as quoted prices in active markets at the measurement date for identical, unrestricted assets or liabilities.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2—Other inputs that are observable directly or indirectly, such as quoted prices in markets that are not active or inputs which are observable, either directly or indirectly, for substantially the full term of the asset or liability.</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3—Unobservable inputs for which there are little or no market data and which the Company makes its own assumptions about how market participants would price the assets and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Fair Value of Derivative Instruments.</w:t>
      </w:r>
      <w:r>
        <w:rPr>
          <w:rFonts w:ascii="Times New Roman;Times;serif" w:hAnsi="Times New Roman;Times;serif"/>
          <w:sz w:val="20"/>
        </w:rPr>
        <w:t> The Company’s determination of fair value incorporates not only the credit standing of the counterparties involved in transactions with the Company resulting in receivables on the Company’s unaudited condensed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ASC 820 establishes a fair value hierarchy that prioritizes the inputs to valuation techniques used to measure fair value. The Company utilizes market data or assumptions that market participants would use in pricing the asset or liability, including assumptions about risk and the risks inherent in the inputs to the valuation technique. These inputs can be readily observable (Level 1) market corroborated (Level 2), or generally unobservable (Level 3). The Company classifies fair value balances based on observability of those inputs.</w:t>
      </w:r>
    </w:p>
    <w:p>
      <w:pPr>
        <w:pStyle w:val="TextBody"/>
        <w:bidi w:val="0"/>
        <w:spacing w:before="0" w:after="0"/>
        <w:ind w:left="0" w:right="0" w:hanging="0"/>
        <w:jc w:val="left"/>
        <w:rPr/>
      </w:pPr>
      <w:r>
        <w:rPr/>
        <w:t>​</w:t>
      </w:r>
    </w:p>
    <w:tbl>
      <w:tblPr>
        <w:tblW w:w="6244" w:type="dxa"/>
        <w:jc w:val="left"/>
        <w:tblInd w:w="0" w:type="dxa"/>
        <w:tblLayout w:type="fixed"/>
        <w:tblCellMar>
          <w:top w:w="0" w:type="dxa"/>
          <w:left w:w="0" w:type="dxa"/>
          <w:bottom w:w="0" w:type="dxa"/>
          <w:right w:w="0" w:type="dxa"/>
        </w:tblCellMar>
      </w:tblPr>
      <w:tblGrid>
        <w:gridCol w:w="2131"/>
        <w:gridCol w:w="326"/>
        <w:gridCol w:w="233"/>
        <w:gridCol w:w="412"/>
        <w:gridCol w:w="326"/>
        <w:gridCol w:w="196"/>
        <w:gridCol w:w="511"/>
        <w:gridCol w:w="326"/>
        <w:gridCol w:w="233"/>
        <w:gridCol w:w="412"/>
        <w:gridCol w:w="326"/>
        <w:gridCol w:w="196"/>
        <w:gridCol w:w="6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53185" cy="175260"/>
                      <wp:effectExtent l="0" t="0" r="0" b="0"/>
                      <wp:wrapNone/>
                      <wp:docPr id="121" name="Frame120"/>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2"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47955" cy="175260"/>
                      <wp:effectExtent l="0" t="0" r="0" b="0"/>
                      <wp:wrapNone/>
                      <wp:docPr id="123" name="Frame12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61620" cy="175260"/>
                      <wp:effectExtent l="0" t="0" r="0" b="0"/>
                      <wp:wrapNone/>
                      <wp:docPr id="124" name="Frame123"/>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5"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24460" cy="175260"/>
                      <wp:effectExtent l="0" t="0" r="0" b="0"/>
                      <wp:wrapNone/>
                      <wp:docPr id="126" name="Frame1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24485" cy="175260"/>
                      <wp:effectExtent l="0" t="0" r="0" b="0"/>
                      <wp:wrapNone/>
                      <wp:docPr id="127" name="Frame12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28"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47955" cy="175260"/>
                      <wp:effectExtent l="0" t="0" r="0" b="0"/>
                      <wp:wrapNone/>
                      <wp:docPr id="129" name="Frame128"/>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61620" cy="175260"/>
                      <wp:effectExtent l="0" t="0" r="0" b="0"/>
                      <wp:wrapNone/>
                      <wp:docPr id="130" name="Frame129"/>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1"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24460" cy="175260"/>
                      <wp:effectExtent l="0" t="0" r="0" b="0"/>
                      <wp:wrapNone/>
                      <wp:docPr id="132" name="Frame1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91160" cy="175260"/>
                      <wp:effectExtent l="0" t="0" r="0" b="0"/>
                      <wp:wrapNone/>
                      <wp:docPr id="133" name="Frame13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8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2022</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26" w:type="dxa"/>
            <w:tcBorders/>
            <w:vAlign w:val="center"/>
          </w:tcPr>
          <w:p>
            <w:pPr>
              <w:pStyle w:val="TableContents"/>
              <w:bidi w:val="0"/>
              <w:spacing w:before="0" w:after="1"/>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w:t>
            </w:r>
          </w:p>
        </w:tc>
      </w:tr>
      <w:tr>
        <w:trPr/>
        <w:tc>
          <w:tcPr>
            <w:tcW w:w="21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2,164</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2,164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Derivative contracts listed above as Level 2 include costless put/call collars that are carried at fair value. The Company records the net change in fair value of these positions in “</w:t>
      </w:r>
      <w:r>
        <w:rPr>
          <w:rFonts w:ascii="Times New Roman;Times;serif" w:hAnsi="Times New Roman;Times;serif"/>
          <w:i/>
          <w:sz w:val="20"/>
        </w:rPr>
        <w:t>Net gain (loss) on derivative contracts”</w:t>
      </w:r>
      <w:r>
        <w:rPr>
          <w:rFonts w:ascii="Times New Roman;Times;serif" w:hAnsi="Times New Roman;Times;serif"/>
          <w:sz w:val="20"/>
        </w:rPr>
        <w:t xml:space="preserve"> in the Company’s unaudited condensed consolidated statements of operations. The Company is able to value the assets and liabilities based on observable market data for similar instruments, which resulted in the Company reporting its derivatives as Level 2. This observable data includes the forward curves for commodity prices based on quoted market prices and implied volatility factors related to changes in the forward curves. See Note 7, “</w:t>
      </w:r>
      <w:r>
        <w:rPr>
          <w:rFonts w:ascii="Times New Roman;Times;serif" w:hAnsi="Times New Roman;Times;serif"/>
          <w:i/>
          <w:sz w:val="20"/>
        </w:rPr>
        <w:t>Derivatives</w:t>
      </w:r>
      <w:r>
        <w:rPr>
          <w:rFonts w:ascii="Times New Roman;Times;serif" w:hAnsi="Times New Roman;Times;serif"/>
          <w:sz w:val="20"/>
        </w:rPr>
        <w:t>,” for additional discussion of derivatives.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Historically, the Company’s derivative contracts were with large utilities with investment grade credit ratings which are believed to have minimal credit risk. As such, the Company was exposed to credit risk to the extent of nonperformance by the counterparties in the derivative contracts. To date, the Company has not experienced such nonperformance.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Other Fair Value Measurements.</w:t>
      </w:r>
      <w:r>
        <w:rPr>
          <w:rFonts w:ascii="Times New Roman;Times;serif" w:hAnsi="Times New Roman;Times;serif"/>
          <w:sz w:val="20"/>
        </w:rPr>
        <w:t xml:space="preserve"> The following disclosure of the estimated fair value of financial instruments is made in accordance with the requirements of ASC 825, </w:t>
      </w:r>
      <w:r>
        <w:rPr>
          <w:rFonts w:ascii="Times New Roman;Times;serif" w:hAnsi="Times New Roman;Times;serif"/>
          <w:i/>
          <w:sz w:val="20"/>
        </w:rPr>
        <w:t>Financial Instruments</w:t>
      </w:r>
      <w:r>
        <w:rPr>
          <w:rFonts w:ascii="Times New Roman;Times;serif" w:hAnsi="Times New Roman;Times;serif"/>
          <w:sz w:val="20"/>
        </w:rPr>
        <w:t>. The estimated fair value amounts have been determined at discrete points in time based on relevant market information. These estimates involve uncertainties and cannot be determined with precision. The estimated fair value of cash and cash equivalents, accounts receivable, and accounts payable approximates their carrying value due to their short-term nature. The estimated fair value of the Company’s Senior Secured Credit Facility approximates carrying value because the interest rates approximate current market rates.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the provisions of ASC 820, for nonfinancial assets and liabilities measured at fair value on a non-recurring basis. These provisions apply to the Company’s initial measurement and any subsequent revision of asset retirement obligations (“ARO”) for which fair value is calculated using discounted future cash flows derived from historical costs and management’s expectations of future cost environments. Significant Level 3 inputs used in the calculation of ARO include the costs of plugging and abandoning wells, surface restoration, and reserve lives. Subsequent to initial recognition, revisions to estimated asset retirement obligations are made when changes occur for input values. See Note 9, “</w:t>
      </w:r>
      <w:r>
        <w:rPr>
          <w:rFonts w:ascii="Times New Roman;Times;serif" w:hAnsi="Times New Roman;Times;serif"/>
          <w:i/>
          <w:sz w:val="20"/>
        </w:rPr>
        <w:t>Asset Retirement Obligations</w:t>
      </w:r>
      <w:r>
        <w:rPr>
          <w:rFonts w:ascii="Times New Roman;Times;serif" w:hAnsi="Times New Roman;Times;serif"/>
          <w:sz w:val="20"/>
        </w:rPr>
        <w:t>,” for a reconciliation of the beginning and ending balances of the liability for the Company’s ARO.</w:t>
      </w:r>
    </w:p>
    <w:p>
      <w:pPr>
        <w:pStyle w:val="TextBody"/>
        <w:bidi w:val="0"/>
        <w:spacing w:before="0" w:after="240"/>
        <w:ind w:left="0" w:right="0" w:hanging="0"/>
        <w:jc w:val="left"/>
        <w:rPr>
          <w:rFonts w:ascii="Times New Roman;Times;serif" w:hAnsi="Times New Roman;Times;serif"/>
          <w:b/>
          <w:sz w:val="20"/>
        </w:rPr>
      </w:pPr>
      <w:bookmarkStart w:id="907" w:name="Tc_8W5HaHMla0GJ41Kd9pNEag_7_2"/>
      <w:bookmarkStart w:id="908" w:name="Tc_hvgeYnYWv0GOjYGdzj5ugQ_7_0"/>
      <w:bookmarkStart w:id="909" w:name="Tc_bYsH9PBq2kaMqe2GPdkavw_6_0"/>
      <w:bookmarkStart w:id="910" w:name="Tc_0H53VL4YF0yfwzi4bpj1Fw_5_0"/>
      <w:bookmarkStart w:id="911" w:name="Tc_j1w4BWgHpE67VahsMZqN4A_4_0"/>
      <w:bookmarkStart w:id="912" w:name="Tc_bzts7DoS4UWE6gg0fFnj2A_3_0"/>
      <w:bookmarkStart w:id="913" w:name="Tc_A2tJU6EwRE-DfKlyuD-ciw_2_2"/>
      <w:bookmarkStart w:id="914" w:name="Tc_yY9moWSjyUykfNPiRW6jWw_2_0"/>
      <w:bookmarkStart w:id="915" w:name="Tc_kLTJ9doIVkyIsmcIKd25qQ_1_2"/>
      <w:bookmarkStart w:id="916" w:name="_ca729665_5364_4415_b087_50a217d730f7"/>
      <w:bookmarkEnd w:id="907"/>
      <w:bookmarkEnd w:id="908"/>
      <w:bookmarkEnd w:id="909"/>
      <w:bookmarkEnd w:id="910"/>
      <w:bookmarkEnd w:id="911"/>
      <w:bookmarkEnd w:id="912"/>
      <w:bookmarkEnd w:id="913"/>
      <w:bookmarkEnd w:id="914"/>
      <w:bookmarkEnd w:id="915"/>
      <w:bookmarkEnd w:id="916"/>
      <w:r>
        <w:rPr>
          <w:rFonts w:ascii="Times New Roman;Times;serif" w:hAnsi="Times New Roman;Times;serif"/>
          <w:b/>
          <w:sz w:val="20"/>
        </w:rPr>
        <w:t>Note 9. Asset Retirement Obligations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ARO represents the estimated present value of the amount expected to be incurred to plug, abandon, and remediate its oil and natural gas properties at the end of their productive lives in accordance with applicable laws and regulations. The Company records the ARO liability on the unaudited condensed consolidated balance sheets and capitalizes the cost in “</w:t>
      </w:r>
      <w:r>
        <w:rPr>
          <w:rFonts w:ascii="Times New Roman;Times;serif" w:hAnsi="Times New Roman;Times;serif"/>
          <w:i/>
          <w:sz w:val="20"/>
        </w:rPr>
        <w:t xml:space="preserve">Oil and natural gas properties, net” </w:t>
      </w:r>
      <w:r>
        <w:rPr>
          <w:rFonts w:ascii="Times New Roman;Times;serif" w:hAnsi="Times New Roman;Times;serif"/>
          <w:sz w:val="20"/>
        </w:rPr>
        <w:t>during the period in which the obligation is incurred. The Company records the accretion of its ARO liabilities in “</w:t>
      </w:r>
      <w:r>
        <w:rPr>
          <w:rFonts w:ascii="Times New Roman;Times;serif" w:hAnsi="Times New Roman;Times;serif"/>
          <w:i/>
          <w:sz w:val="20"/>
        </w:rPr>
        <w:t xml:space="preserve">Depletion, depreciation and accretion” </w:t>
      </w:r>
      <w:r>
        <w:rPr>
          <w:rFonts w:ascii="Times New Roman;Times;serif" w:hAnsi="Times New Roman;Times;serif"/>
          <w:sz w:val="20"/>
        </w:rPr>
        <w:t xml:space="preserve">expense in the unaudited condensed consolidated statements of operations.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is a reconciliation of the activity related to the Company’s ARO liability (inclusive of the current portion) (in thousands):</w:t>
      </w:r>
    </w:p>
    <w:tbl>
      <w:tblPr>
        <w:tblW w:w="5428" w:type="dxa"/>
        <w:jc w:val="left"/>
        <w:tblInd w:w="0" w:type="dxa"/>
        <w:tblLayout w:type="fixed"/>
        <w:tblCellMar>
          <w:top w:w="0" w:type="dxa"/>
          <w:left w:w="0" w:type="dxa"/>
          <w:bottom w:w="0" w:type="dxa"/>
          <w:right w:w="0" w:type="dxa"/>
        </w:tblCellMar>
      </w:tblPr>
      <w:tblGrid>
        <w:gridCol w:w="3766"/>
        <w:gridCol w:w="326"/>
        <w:gridCol w:w="290"/>
        <w:gridCol w:w="1046"/>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391410" cy="175260"/>
                      <wp:effectExtent l="0" t="0" r="0" b="0"/>
                      <wp:wrapNone/>
                      <wp:docPr id="134" name="Frame133"/>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5"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84150" cy="175260"/>
                      <wp:effectExtent l="0" t="0" r="0" b="0"/>
                      <wp:wrapNone/>
                      <wp:docPr id="136" name="Frame135"/>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64210" cy="175260"/>
                      <wp:effectExtent l="0" t="0" r="0" b="0"/>
                      <wp:wrapNone/>
                      <wp:docPr id="137" name="Frame136"/>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3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2023</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13,921</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 settled</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Accretion of discount</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841</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 end of period</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14,643</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current asset retirement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portion of asset retirement obligations</w:t>
            </w:r>
          </w:p>
        </w:tc>
        <w:tc>
          <w:tcPr>
            <w:tcW w:w="326" w:type="dxa"/>
            <w:tcBorders/>
            <w:vAlign w:val="center"/>
          </w:tcPr>
          <w:p>
            <w:pPr>
              <w:pStyle w:val="TableContents"/>
              <w:bidi w:val="0"/>
              <w:spacing w:before="0"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14,592</w:t>
            </w:r>
          </w:p>
        </w:tc>
      </w:tr>
    </w:tbl>
    <w:p>
      <w:pPr>
        <w:pStyle w:val="TextBody"/>
        <w:bidi w:val="0"/>
        <w:spacing w:before="0" w:after="240"/>
        <w:ind w:left="0" w:right="0" w:hanging="0"/>
        <w:jc w:val="left"/>
        <w:rPr/>
      </w:pPr>
      <w:r>
        <w:rPr/>
        <w:t>​</w:t>
      </w:r>
    </w:p>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Commitments and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subject to various claims and contingencies in the normal course of business. In addition, from time to time, the Company receives communications from government or regulatory agencies concerning investigations or allegations of noncompliance with laws or regulations in jurisdictions in which the Company operates. The Company discloses such matters if it believes there is a reasonable possibility that a future event or events will confirm a material loss through impairment of an asset or the incurrence of a material liability. The Company accrues a material loss if it believes it probable that a future event or events will confirm a loss and the loss is reasonably estimatable. Furthermore, the Company will disclose any matter that is unasserted if it considers it probable that a claim will be asserted and there is a reasonable possibility that the outcome will be unfavorable and material in amount. The Company expenses legal defense costs as they are incurred.</w:t>
      </w:r>
    </w:p>
    <w:p>
      <w:pPr>
        <w:pStyle w:val="TextBody"/>
        <w:bidi w:val="0"/>
        <w:spacing w:before="0" w:after="240"/>
        <w:ind w:left="0" w:right="0" w:hanging="0"/>
        <w:jc w:val="left"/>
        <w:rPr>
          <w:rFonts w:ascii="Times New Roman;Times;serif" w:hAnsi="Times New Roman;Times;serif"/>
          <w:b/>
          <w:sz w:val="20"/>
        </w:rPr>
      </w:pPr>
      <w:bookmarkStart w:id="917" w:name="Tc_3v9BbHfUDkWR5NaBMzj5Bg_5_0"/>
      <w:bookmarkStart w:id="918" w:name="Tc_qHHew2Px9UiNCtgz7ghoGA_4_0"/>
      <w:bookmarkStart w:id="919" w:name="Tc_vVpkFmiZcEugp5TLrS9Uiw_3_5"/>
      <w:bookmarkStart w:id="920" w:name="Tc_Wr6MWbnWlkGJMf6qv2dtQA_3_2"/>
      <w:bookmarkStart w:id="921" w:name="Tc__ZH5IErRm06FTKGONdxhOA_3_0"/>
      <w:bookmarkStart w:id="922" w:name="Tc_8tyuqg-cJkm2Wz9y1s2rtQ_2_5"/>
      <w:bookmarkStart w:id="923" w:name="Tc_sw9GHhA5PEKDV3_U_-oGZQ_2_2"/>
      <w:bookmarkStart w:id="924" w:name="Tc_0VxtGP0uS0yRy7R1Zrh7hw_1_2"/>
      <w:bookmarkStart w:id="925" w:name="_7829c56e_1e63_4215_87a8_4acdb16554ad"/>
      <w:bookmarkEnd w:id="917"/>
      <w:bookmarkEnd w:id="918"/>
      <w:bookmarkEnd w:id="919"/>
      <w:bookmarkEnd w:id="920"/>
      <w:bookmarkEnd w:id="921"/>
      <w:bookmarkEnd w:id="922"/>
      <w:bookmarkEnd w:id="923"/>
      <w:bookmarkEnd w:id="924"/>
      <w:bookmarkEnd w:id="925"/>
      <w:r>
        <w:rPr>
          <w:rFonts w:ascii="Times New Roman;Times;serif" w:hAnsi="Times New Roman;Times;serif"/>
          <w:b/>
          <w:sz w:val="20"/>
        </w:rPr>
        <w:t>Note 11. Stockholders’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31, 2023, the Company had 33,270,909 shares of common stock outstanding.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began paying quarterly cash dividends on common stock in December 2013. As of March 31, 2023, the Company has cumulatively paid over $98.4 million in cash dividends. The Company paid dividends of $12.1 million and $8.4 million to its common stockholders during the nine months ended March 31, 2023 and 2022, respectively. The following table reflects the dividends paid per share within the respective three-month periods:</w:t>
      </w:r>
    </w:p>
    <w:p>
      <w:pPr>
        <w:pStyle w:val="TextBody"/>
        <w:bidi w:val="0"/>
        <w:spacing w:before="0" w:after="240"/>
        <w:ind w:left="0" w:right="0" w:hanging="0"/>
        <w:jc w:val="left"/>
        <w:rPr/>
      </w:pPr>
      <w:r>
        <w:rPr/>
        <w:t>​</w:t>
      </w:r>
    </w:p>
    <w:tbl>
      <w:tblPr>
        <w:tblW w:w="4857" w:type="dxa"/>
        <w:jc w:val="left"/>
        <w:tblInd w:w="0" w:type="dxa"/>
        <w:tblLayout w:type="fixed"/>
        <w:tblCellMar>
          <w:top w:w="0" w:type="dxa"/>
          <w:left w:w="0" w:type="dxa"/>
          <w:bottom w:w="0" w:type="dxa"/>
          <w:right w:w="0" w:type="dxa"/>
        </w:tblCellMar>
      </w:tblPr>
      <w:tblGrid>
        <w:gridCol w:w="2686"/>
        <w:gridCol w:w="326"/>
        <w:gridCol w:w="196"/>
        <w:gridCol w:w="511"/>
        <w:gridCol w:w="326"/>
        <w:gridCol w:w="196"/>
        <w:gridCol w:w="61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705610" cy="175260"/>
                      <wp:effectExtent l="0" t="0" r="0" b="0"/>
                      <wp:wrapNone/>
                      <wp:docPr id="138" name="Frame137"/>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24460" cy="175260"/>
                      <wp:effectExtent l="0" t="0" r="0" b="0"/>
                      <wp:wrapNone/>
                      <wp:docPr id="140" name="Frame1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24485" cy="175260"/>
                      <wp:effectExtent l="0" t="0" r="0" b="0"/>
                      <wp:wrapNone/>
                      <wp:docPr id="141" name="Frame14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2"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24460" cy="175260"/>
                      <wp:effectExtent l="0" t="0" r="0" b="0"/>
                      <wp:wrapNone/>
                      <wp:docPr id="143" name="Frame1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91160" cy="175260"/>
                      <wp:effectExtent l="0" t="0" r="0" b="0"/>
                      <wp:wrapNone/>
                      <wp:docPr id="144" name="Frame14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w:t>
            </w:r>
          </w:p>
        </w:tc>
      </w:tr>
      <w:tr>
        <w:trPr/>
        <w:tc>
          <w:tcPr>
            <w:tcW w:w="26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Third quarter ended March 31,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0.100</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Second quarter ended December 31,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0.075</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First quarter ended September 30,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0.075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8, 2022, the Board of Directors approved a share repurchase program, under which the Company is authorized to repurchase up to $25.0 million of its common stock through December 31, 2024. The Company intends to fund repurchases from working capital and cash provided by operating activities. The Board of Directors along with the management team believe that a share repurchase program is complimentary to the existing dividend policy and is a tax efficient means to further improve shareholder return.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the Company’s capital needs and resources,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Once the Company completed repayment of borrowings on its Senior Secured Credit Facility and emerged from its blackout period in December 2022, the Company entered into a Rule 10b5-1 plan that authorizes a broker to repurchase shares in the open market subject to pre-defined limitations on trading volume and price. The plan included a 30-day cooling off period that did not allow repurchases to commence until January 2023. The plan is effective until June 30, 2023, unless extended, renewed or terminated by the Company, and has a maximum authorized amount of $5.0 million over that period. The Company may alter the terms of the plan from time to time to the extent it determines changes are necessary to achieve the intended objectives of the repurchase program. During the three and nine months ended March 31, 2023, 0.6 million shares of the Company’s common stock were repurchased under the plan at a total cost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rFonts w:ascii="Times New Roman;Times;serif" w:hAnsi="Times New Roman;Times;serif"/>
          <w:sz w:val="20"/>
        </w:rPr>
      </w:pPr>
      <w:bookmarkStart w:id="926" w:name="Tc_I7OJRth9u0az8aaSI2Yy6A_6_5"/>
      <w:bookmarkStart w:id="927" w:name="Tc_-HCIJsjFA0e_AtuwBV__mw_6_2"/>
      <w:bookmarkStart w:id="928" w:name="Tc_dcqRfq-fykGYZys1QKOBGg_6_0"/>
      <w:bookmarkStart w:id="929" w:name="Tc_4uLpBdFxW0CnyzoxO1w3bg_5_5"/>
      <w:bookmarkStart w:id="930" w:name="Tc_8IPwwspXRkyr_1lZkXwj4Q_5_2"/>
      <w:bookmarkStart w:id="931" w:name="Tc_UrUQtgZri0y1B53tuzAnJA_5_0"/>
      <w:bookmarkStart w:id="932" w:name="Tc_sfz1zzu8RUSSi3ill8BzCw_4_0"/>
      <w:bookmarkStart w:id="933" w:name="Tc_oUntxFt3S0CFNZbE0-hKBA_3_5"/>
      <w:bookmarkStart w:id="934" w:name="Tc_qy3Kz6ncLkae5n_86wyP2Q_3_2"/>
      <w:bookmarkStart w:id="935" w:name="Tc_ukT75PQG0EOs48-XN5DZqg_2_2"/>
      <w:bookmarkStart w:id="936" w:name="Tc_mLOmYWlOQ0KjCOK5vOLo8A_1_2"/>
      <w:bookmarkStart w:id="937" w:name="_faec2dab_219a_4016_96a6_ff08ac0a25ec"/>
      <w:bookmarkEnd w:id="926"/>
      <w:bookmarkEnd w:id="927"/>
      <w:bookmarkEnd w:id="928"/>
      <w:bookmarkEnd w:id="929"/>
      <w:bookmarkEnd w:id="930"/>
      <w:bookmarkEnd w:id="931"/>
      <w:bookmarkEnd w:id="932"/>
      <w:bookmarkEnd w:id="933"/>
      <w:bookmarkEnd w:id="934"/>
      <w:bookmarkEnd w:id="935"/>
      <w:bookmarkEnd w:id="936"/>
      <w:bookmarkEnd w:id="937"/>
      <w:r>
        <w:rPr>
          <w:rFonts w:ascii="Times New Roman;Times;serif" w:hAnsi="Times New Roman;Times;serif"/>
          <w:sz w:val="20"/>
        </w:rPr>
        <w:t>approximately $3.9 million, including incremental direct transaction costs. These treasury shares were subsequently cancelled.</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nine months ended March 31, 2023 and 2022, the Company also acquired treasury stock upon the vesting of employee stock-based awards to fund payroll tax withholding obligations. These treasury shares were subsequently cancelled. Such shares were valued at fair market value on the date of vesting.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all treasury stock purchases during the nine months ended March 31, 2023 and 2022:</w:t>
      </w:r>
    </w:p>
    <w:p>
      <w:pPr>
        <w:pStyle w:val="TextBody"/>
        <w:bidi w:val="0"/>
        <w:spacing w:before="0" w:after="240"/>
        <w:ind w:left="0" w:right="0" w:hanging="0"/>
        <w:jc w:val="left"/>
        <w:rPr/>
      </w:pPr>
      <w:r>
        <w:rPr/>
        <w:t>​</w:t>
      </w:r>
    </w:p>
    <w:tbl>
      <w:tblPr>
        <w:tblW w:w="5180" w:type="dxa"/>
        <w:jc w:val="left"/>
        <w:tblInd w:w="0" w:type="dxa"/>
        <w:tblLayout w:type="fixed"/>
        <w:tblCellMar>
          <w:top w:w="0" w:type="dxa"/>
          <w:left w:w="0" w:type="dxa"/>
          <w:bottom w:w="0" w:type="dxa"/>
          <w:right w:w="0" w:type="dxa"/>
        </w:tblCellMar>
      </w:tblPr>
      <w:tblGrid>
        <w:gridCol w:w="2821"/>
        <w:gridCol w:w="326"/>
        <w:gridCol w:w="196"/>
        <w:gridCol w:w="826"/>
        <w:gridCol w:w="109"/>
        <w:gridCol w:w="196"/>
        <w:gridCol w:w="70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791335" cy="175260"/>
                      <wp:effectExtent l="0" t="0" r="0" b="0"/>
                      <wp:wrapNone/>
                      <wp:docPr id="145" name="Frame144"/>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6"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24460" cy="175260"/>
                      <wp:effectExtent l="0" t="0" r="0" b="0"/>
                      <wp:wrapNone/>
                      <wp:docPr id="147" name="Frame1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24510" cy="175260"/>
                      <wp:effectExtent l="0" t="0" r="0" b="0"/>
                      <wp:wrapNone/>
                      <wp:docPr id="148" name="Frame14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49"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24460" cy="175260"/>
                      <wp:effectExtent l="0" t="0" r="0" b="0"/>
                      <wp:wrapNone/>
                      <wp:docPr id="150" name="Frame1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48310" cy="175260"/>
                      <wp:effectExtent l="0" t="0" r="0" b="0"/>
                      <wp:wrapNone/>
                      <wp:docPr id="151" name="Frame150"/>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3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3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Number of treasury shares acquired</w:t>
            </w:r>
            <w:r>
              <w:rPr>
                <w:rFonts w:ascii="Times New Roman;Times;serif" w:hAnsi="Times New Roman;Times;serif"/>
                <w:i/>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650,435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7,385</w:t>
            </w:r>
          </w:p>
        </w:tc>
      </w:tr>
      <w:tr>
        <w:trPr/>
        <w:tc>
          <w:tcPr>
            <w:tcW w:w="2821"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Average cost per share</w:t>
            </w:r>
            <w:r>
              <w:rPr>
                <w:rFonts w:ascii="Times New Roman;Times;serif" w:hAnsi="Times New Roman;Times;serif"/>
                <w:i/>
                <w:sz w:val="14"/>
              </w:rPr>
              <w:t>(1)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6.12</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5.09</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 of treasury shares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3,982,849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37,596</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3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For the nine months ended March 31, 2023, includes 633,789</w:t>
            </w:r>
            <w:r>
              <w:rPr>
                <w:caps w:val="false"/>
                <w:smallCaps w:val="false"/>
              </w:rPr>
              <w:t xml:space="preserve"> </w:t>
            </w:r>
            <w:r>
              <w:rPr>
                <w:rFonts w:ascii="Times New Roman;Times;serif" w:hAnsi="Times New Roman;Times;serif"/>
                <w:b w:val="false"/>
                <w:i w:val="false"/>
                <w:caps w:val="false"/>
                <w:smallCaps w:val="false"/>
                <w:sz w:val="20"/>
              </w:rPr>
              <w:t>shares repurchased under the Company’s share repurchase program for a weighted average price of $6.07</w:t>
            </w:r>
            <w:r>
              <w:rPr>
                <w:caps w:val="false"/>
                <w:smallCaps w:val="false"/>
              </w:rPr>
              <w:t xml:space="preserve"> </w:t>
            </w:r>
            <w:r>
              <w:rPr>
                <w:rFonts w:ascii="Times New Roman;Times;serif" w:hAnsi="Times New Roman;Times;serif"/>
                <w:b w:val="false"/>
                <w:i w:val="false"/>
                <w:caps w:val="false"/>
                <w:smallCaps w:val="false"/>
                <w:sz w:val="20"/>
              </w:rPr>
              <w:t>per share.</w:t>
            </w:r>
          </w:p>
        </w:tc>
      </w:tr>
    </w:tbl>
    <w:p>
      <w:pPr>
        <w:pStyle w:val="TextBody"/>
        <w:bidi w:val="0"/>
        <w:spacing w:before="0" w:after="240"/>
        <w:ind w:left="72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Expected Tax Treatment of Dividends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fiscal year ended June 30, 2022, all common stock dividends for that fiscal year were treated for tax purposes as qualified dividend income to the recipients. Based on its current projections for the fiscal year ended June 30, 2023, the Company expects all common stock dividends for such period to be treated as qualified dividend income to the recipients. Such projections are based on the Company’s reasonable expectations as of March 31, 2023 and are subject to change based on the Company’s final tax calculations at the end of the fiscal year.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Evolution Petroleum Corporation 2016 Equity Incentive Plan (as amended, the “2016 Plan”) authorizes the issuance of 3.6 million shares of common stock prior to its expiration on December 8, 2026. Incentives under the 2016 Plan may be granted to employees, directors, and consultants of the Company in any one or a combination of the following forms: incentive stock options and non-statutory stock options, stock appreciation rights, restricted stock awards and restricted stock unit awards, performance share awards, performance cash awards, and other forms of incentives valued in whole or in part by reference to, or otherwise based on, the Company’s common stock, including its appreciation in value. As of March 31, 2023 and June 30, 2022, approximately 1.3 million shares and 1.8 million shares, respectively, remained available for grant under the 2016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estimates the fair value of stock-based compensation awards on the grant date to provide the basis for future compensation expense. For the three and nine months ended March 31, 2023, the Company recognized $0.5 million and $1.2 million, respectively, of stock-based compensation expense. During the three and nine months ended March 31, 2022, the Company recognized $0.3 million and $0.9 million, respectively, of stock-based compensation expense. Stock-based compensation expense is recorded as a component of “</w:t>
      </w:r>
      <w:r>
        <w:rPr>
          <w:rFonts w:ascii="Times New Roman;Times;serif" w:hAnsi="Times New Roman;Times;serif"/>
          <w:i/>
          <w:sz w:val="20"/>
        </w:rPr>
        <w:t>General and administrative expenses</w:t>
      </w:r>
      <w:r>
        <w:rPr>
          <w:rFonts w:ascii="Times New Roman;Times;serif" w:hAnsi="Times New Roman;Times;serif"/>
          <w:sz w:val="20"/>
        </w:rPr>
        <w:t xml:space="preserve">” on the unaudited condensed consolidated statements of operations.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Time-Vested Restricted Stock Awards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Time-vested restricted stock awards contain service-based vesting conditions and expire after a maximum of </w:t>
      </w:r>
      <w:r>
        <w:rPr>
          <w:rFonts w:ascii="Times New Roman;Times;serif" w:hAnsi="Times New Roman;Times;serif"/>
          <w:b w:val="false"/>
          <w:i w:val="false"/>
          <w:caps w:val="false"/>
          <w:smallCaps w:val="false"/>
          <w:sz w:val="20"/>
        </w:rPr>
        <w:t>four years</w:t>
      </w:r>
      <w:r>
        <w:rPr>
          <w:rFonts w:ascii="Times New Roman;Times;serif" w:hAnsi="Times New Roman;Times;serif"/>
          <w:sz w:val="20"/>
        </w:rPr>
        <w:t xml:space="preserve"> from the date of grant if unvested. The common shares underlying these awards are issued on the date of grant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938" w:name="_Hlk118406756"/>
      <w:bookmarkEnd w:id="938"/>
      <w:r>
        <w:rPr>
          <w:rFonts w:ascii="Times New Roman;Times;serif" w:hAnsi="Times New Roman;Times;serif"/>
          <w:sz w:val="20"/>
        </w:rPr>
        <w:t xml:space="preserve">participate in dividends paid by the Company. These service-based awards vest with continuous employment by the Company, generally in annual installments over terms of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four years. Awards to the Company’s directors generally have one-year cliff vesting. For such awards, grant date fair value is based on market value of the Company’s common stock at the time of grant. This value is then amortized ratably over the service period. Previously recognized amortization expense subsequent to the last vesting date of an award is reversed in the event that the holder has no longer rendered service to the Company resulting in forfeiture of the award.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Performance-Based Restricted Stock Awards and Performance-Based Contingent Stock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Performance-based restricted stock awards and performance-based contingent stock units contain market-based vesting conditions based on the price of the Company’s common stock, the intrinsic value indexed solely to its common stock or the intrinsic value indexed to its common stock compared to the performance of the common stock of its peers. The common shares underlying the Company’s performance-based restricted stock awards are issued on the date of grant and participate in dividends paid by the Company and expire after a maximum of </w:t>
      </w:r>
      <w:r>
        <w:rPr>
          <w:rFonts w:ascii="Times New Roman;Times;serif" w:hAnsi="Times New Roman;Times;serif"/>
          <w:b w:val="false"/>
          <w:i w:val="false"/>
          <w:caps w:val="false"/>
          <w:smallCaps w:val="false"/>
          <w:sz w:val="20"/>
        </w:rPr>
        <w:t>four years</w:t>
      </w:r>
      <w:r>
        <w:rPr>
          <w:rFonts w:ascii="Times New Roman;Times;serif" w:hAnsi="Times New Roman;Times;serif"/>
          <w:sz w:val="20"/>
        </w:rPr>
        <w:t xml:space="preserve"> from the date of grant if unvested. Performance-based contingent share units do not participate in dividends and shares are only issued in part or in full upon the attainment of vesting conditions, generally have a lower probability of achievement and expire after a maximum of </w:t>
      </w:r>
      <w:r>
        <w:rPr>
          <w:rFonts w:ascii="Times New Roman;Times;serif" w:hAnsi="Times New Roman;Times;serif"/>
          <w:b w:val="false"/>
          <w:i w:val="false"/>
          <w:caps w:val="false"/>
          <w:smallCaps w:val="false"/>
          <w:sz w:val="20"/>
        </w:rPr>
        <w:t>four years</w:t>
      </w:r>
      <w:r>
        <w:rPr>
          <w:rFonts w:ascii="Times New Roman;Times;serif" w:hAnsi="Times New Roman;Times;serif"/>
          <w:sz w:val="20"/>
        </w:rPr>
        <w:t xml:space="preserve"> from the date of grant if unvested. Shares underlying performance-based contingent share units are reserved from the 2016 Plan. Performance-based restricted stock awards and contingent restricted stock units are valued using a Monte Carlo simulation and geometric Brownian motion techniques applied to the historical volatility of the Company’s total stock return compared to the historical volatilities of other companies or indices to which the Company compares its performance and/or the Company’s absolute total stock return. For certain awards, this Monte Carlo simulation also provides an expected vesting term. Stock-based compensation is recognized ratably over the expected vesting period, so long as the award holder remains an employee of the Company. Previously recognized compensation expense is only reversed for the awards with market-based vesting conditions if the requisite service period is not rendered by the holder resulting in forfeiture of the award or as a result of regulatory required clawback.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Vesting of grants with performance-based vesting conditions is dependent on the future price of the Company’s common stock. Such awards vest in part or in full if the trailing total returns on the Company’s common stock for a specified three-year period exceed the corresponding total returns of various quartiles of indices consisting of peer companies or, in some cases, vest when the average of the Company’s closing common stock price over a defined measurement period meets or exceeds a required common stock price.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nine months ended March 31, 2023, the Company granted a total of 0.5 million equity awards that included 0.4 million time-vested restricted stock awards, 0.1 million performance-based restricted stock awards, and approximately 0.05 million performance-based contingent stock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nine months ended March 31, 2022, the Company granted a total of 0.4 million equity awards that included 0.2 million time-vested restricted stock awards, 0.1 million performance-based restricted stock awards, and 0.1 million of performance-based contingent stock units.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939" w:name="Tc_Xelb0O1PAEeQbPk62_y2Gg_11_7"/>
      <w:bookmarkStart w:id="940" w:name="Tc_YEg0Afu7x0CQtJdFItBg1w_11_4"/>
      <w:bookmarkStart w:id="941" w:name="Tc_0k4dJRHBP0GLy2rXbUHviA_11_0"/>
      <w:bookmarkStart w:id="942" w:name="Tc_JhOvKoYee0qsN4LbyYpmmA_10_5"/>
      <w:bookmarkStart w:id="943" w:name="Tc_IJpSfqN0nkuPIY9oWkHRxw_10_2"/>
      <w:bookmarkStart w:id="944" w:name="Tc_a9-BlHHqSkup59iEz6Zr8g_10_0"/>
      <w:bookmarkStart w:id="945" w:name="Tc_lipnXyDPQEirXynJER8S3w_9_0"/>
      <w:bookmarkStart w:id="946" w:name="Tc_As5-nn8Ce0aoBTexCraFwg_8_5"/>
      <w:bookmarkStart w:id="947" w:name="Tc_zVeGnzAzSk2ZpBiRqTKWiw_8_2"/>
      <w:bookmarkStart w:id="948" w:name="Tc_ml3FM1n7gkOljgrtngwdNQ_8_0"/>
      <w:bookmarkStart w:id="949" w:name="Tc_gJTFWvXeAEKSarj47ecXVg_7_0"/>
      <w:bookmarkStart w:id="950" w:name="Tc_uEP8MqDKB0im4YghBIel_Q_6_7"/>
      <w:bookmarkStart w:id="951" w:name="Tc_sAGt5Gh9nUuiehKVa-w4hw_6_0"/>
      <w:bookmarkStart w:id="952" w:name="Tc_pNEE042hCkawLroXpYEx3Q_5_10"/>
      <w:bookmarkStart w:id="953" w:name="Tc_K6pDm8Pe5UGgeGf_xU70KQ_5_7"/>
      <w:bookmarkStart w:id="954" w:name="Tc_SVgGaJ_uVUm78JeRzl5l3Q_5_4"/>
      <w:bookmarkStart w:id="955" w:name="Tc_T2esbsShOk6YsaB_tP-mXA_5_2"/>
      <w:bookmarkStart w:id="956" w:name="Tc_WSijZyqxY0isavlPf3p7tg_4_10"/>
      <w:bookmarkStart w:id="957" w:name="Tc_Occ6Mzt_6UWfEERyjso-YQ_4_7"/>
      <w:bookmarkStart w:id="958" w:name="Tc_5uOKkYELbUevVk32hVWZ8g_4_4"/>
      <w:bookmarkStart w:id="959" w:name="Tc_DpZUEoNaMUqUCURlPnNLxw_4_2"/>
      <w:bookmarkStart w:id="960" w:name="Tc_Z_poiS8PCUmxi-8e7I5btQ_3_10"/>
      <w:bookmarkStart w:id="961" w:name="Tc_E3RNaqu7AkmrscNRCuPu0g_3_7"/>
      <w:bookmarkStart w:id="962" w:name="Tc_xsAxpppw3EWFpC-JdrMLIw_3_4"/>
      <w:bookmarkStart w:id="963" w:name="Tc_ar5FYJdvT0GU72GNYVd5Ag_3_2"/>
      <w:bookmarkStart w:id="964" w:name="Tc_u7pjKSTXq06RQkQfkHLOkg_2_10"/>
      <w:bookmarkStart w:id="965" w:name="Tc_gRXg7Ws0l0ywanq-ZoOrww_2_7"/>
      <w:bookmarkStart w:id="966" w:name="Tc_vPE5t_9vaESBkF7R3_n1FA_1_10"/>
      <w:bookmarkStart w:id="967" w:name="_39bb90b1_d154_4baf_8a63_17a1713e0525"/>
      <w:bookmarkStart w:id="968" w:name="Tc_3kmg70k8GU2eEv5Htz0Ufw_11_7"/>
      <w:bookmarkStart w:id="969" w:name="Tc_es3gw41wtUC0BLegqRVOGA_11_4"/>
      <w:bookmarkStart w:id="970" w:name="Tc_Qe2vo_MrzkCn7pTstR99vw_11_0"/>
      <w:bookmarkStart w:id="971" w:name="Tc_O-U7IJuMo025GvdT4LJULA_10_0"/>
      <w:bookmarkStart w:id="972" w:name="Tc_KxYrD7_9NUugoDgN_dBWVQ_9_0"/>
      <w:bookmarkStart w:id="973" w:name="Tc_7duuJgI_jkK31EDnHHmKtw_8_0"/>
      <w:bookmarkStart w:id="974" w:name="Tc_iwa0Z1Dgdk2nNX8kk-tKdQ_7_0"/>
      <w:bookmarkStart w:id="975" w:name="Tc_zRBo4F_46UOKyzsuKx6ATQ_6_7"/>
      <w:bookmarkStart w:id="976" w:name="Tc_NPIVFuRZHUKZZ0kEmzNzDw_6_0"/>
      <w:bookmarkStart w:id="977" w:name="Tc_8eyUPxmtl0aBw_dmEKIq0g_5_10"/>
      <w:bookmarkStart w:id="978" w:name="Tc_4QLmVE5P9USbmOGc3g0Cfg_5_7"/>
      <w:bookmarkStart w:id="979" w:name="Tc_BjLQLhy5P0GAnZgB3vPlKQ_5_4"/>
      <w:bookmarkStart w:id="980" w:name="Tc_b6nSIc3cSUO6dxLVj0Hhrg_5_2"/>
      <w:bookmarkStart w:id="981" w:name="Tc_j_tuTrANZ0ewCydLdW-41A_4_10"/>
      <w:bookmarkStart w:id="982" w:name="Tc_OzFWENDS9UqwM_zxeWarJg_4_7"/>
      <w:bookmarkStart w:id="983" w:name="Tc_aOZauFrAUEWiBIW860-9vg_4_4"/>
      <w:bookmarkStart w:id="984" w:name="Tc_sQDDSCwlxUCB0hPWeXfDLg_4_2"/>
      <w:bookmarkStart w:id="985" w:name="Tc__jgcDoCqR0qq2TQ8lOEhMg_3_10"/>
      <w:bookmarkStart w:id="986" w:name="Tc_vo2ZniqMvUKaN-kStQm1kw_3_7"/>
      <w:bookmarkStart w:id="987" w:name="Tc_UOIdMyTzykinCynsxizYFg_3_4"/>
      <w:bookmarkStart w:id="988" w:name="Tc__76pDg7s_k-VmA21VQhSNw_3_2"/>
      <w:bookmarkStart w:id="989" w:name="Tc_CM9aLnn_ZUWnFnYjtABNng_2_10"/>
      <w:bookmarkStart w:id="990" w:name="Tc_uywuMkwZ0EGdn8IZuWZn8w_2_7"/>
      <w:bookmarkStart w:id="991" w:name="Tc_mm4lZ_Yqd0qQfWb36CDLVw_2_4"/>
      <w:bookmarkStart w:id="992" w:name="Tc_df5dphSVoEqT8JT_o4HZGQ_1_10"/>
      <w:bookmarkStart w:id="993" w:name="_2aae393f_a863_4b61_9c55_af88f4acb3ad"/>
      <w:bookmarkStart w:id="994" w:name="_Hlk118406769"/>
      <w:bookmarkStart w:id="995" w:name="Tc_fV_O0cCPOkGtPGBsEBw4nw_7_4"/>
      <w:bookmarkStart w:id="996" w:name="Tc_Qj7ydAotR0OZ2PxBXuT9gA_7_0"/>
      <w:bookmarkStart w:id="997" w:name="Tc_6e73vIr7_EKvfkjpY6Gnjg_6_0"/>
      <w:bookmarkStart w:id="998" w:name="Tc_So1BnZXiBEuM-fpyb4kOvQ_5_4"/>
      <w:bookmarkStart w:id="999" w:name="Tc_pmks33cJLk60nvmM3SGblQ_5_0"/>
      <w:bookmarkStart w:id="1000" w:name="Tc_hOs9u4EkBUiEIc_8EX_zvQ_4_4"/>
      <w:bookmarkStart w:id="1001" w:name="Tc_BQA20xHPdUGBfEfbFqxPPg_4_2"/>
      <w:bookmarkStart w:id="1002" w:name="Tc_cxpiceFg5USpiabGM8zwmA_4_0"/>
      <w:bookmarkStart w:id="1003" w:name="Tc_Wf-3d2us-kCAu2l6rKcHkQ_3_4"/>
      <w:bookmarkStart w:id="1004" w:name="Tc_Svx3jzgYoE-gWkzk1csOcw_3_2"/>
      <w:bookmarkStart w:id="1005" w:name="Tc_SBXYrPN3aU2xQqyrkz7eVA_2_4"/>
      <w:bookmarkStart w:id="1006" w:name="Tc_h0aC5t_r9EGuWmid-5sT6Q_2_2"/>
      <w:bookmarkStart w:id="1007" w:name="Tc_J3o-10edREmZjDL07GdOHw_1_4"/>
      <w:bookmarkStart w:id="1008" w:name="_c30fad03_af99_45f2_b601_513f8d8e1004"/>
      <w:bookmarkStart w:id="1009" w:name="Tc_kU-NAk07t0ynCzgdUkdW2A_8_6"/>
      <w:bookmarkStart w:id="1010" w:name="Tc_1OpSxywvskOhw5LkiX7r2Q_8_3"/>
      <w:bookmarkStart w:id="1011" w:name="Tc_pqB9mELAmkOMbIOPoTOwuw_8_0"/>
      <w:bookmarkStart w:id="1012" w:name="Tc_ZagyFA9Y7Emnp7J5ftfePQ_7_3"/>
      <w:bookmarkStart w:id="1013" w:name="Tc_vnAaD1JEi0S3Zelo5XCMQw_7_0"/>
      <w:bookmarkStart w:id="1014" w:name="Tc_oB_6LP1xaE6Dyv9JUxQ_wg_6_6"/>
      <w:bookmarkStart w:id="1015" w:name="Tc_QL57lqoYHU6ipwdN7XcV8Q_6_3"/>
      <w:bookmarkStart w:id="1016" w:name="Tc_ZLUT1BqX9k2IOXFv8RSJqA_6_0"/>
      <w:bookmarkStart w:id="1017" w:name="Tc_RLGR5bx07UKRPyeX0NrPgw_5_6"/>
      <w:bookmarkStart w:id="1018" w:name="Tc_9KNlWXz7j06RRYtSNpZBpQ_5_3"/>
      <w:bookmarkStart w:id="1019" w:name="Tc_AaOGA2la4kuq8ZcO0jetXQ_5_0"/>
      <w:bookmarkStart w:id="1020" w:name="Tc_5Mk_EKyDl0SBUAJ4fWhGjQ_4_5"/>
      <w:bookmarkStart w:id="1021" w:name="Tc_JCUmd07MJU-TRBpxmZSqBQ_4_2"/>
      <w:bookmarkStart w:id="1022" w:name="Tc_PWnfRPPZB0uH6jz_Wsif5Q_4_0"/>
      <w:bookmarkStart w:id="1023" w:name="Tc_LG9WME_oJEKtI_o4E12_fQ_3_5"/>
      <w:bookmarkStart w:id="1024" w:name="Tc_d4v4yGa4mES8aksBQmp4CA_3_2"/>
      <w:bookmarkStart w:id="1025" w:name="Tc_75usgYNdaECfJNSYZZjw0w_2_2"/>
      <w:bookmarkStart w:id="1026" w:name="Tc_rVrLrXHkK0KOrGl77wBwzw_1_2"/>
      <w:bookmarkStart w:id="1027" w:name="_c63d5b6f_0d29_4e39_b0cc_583e195a680b"/>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r>
        <w:rPr>
          <w:rFonts w:ascii="Times New Roman;Times;serif" w:hAnsi="Times New Roman;Times;serif"/>
          <w:sz w:val="20"/>
        </w:rPr>
        <w:t>For performance-based awards granted during the nine months ended March 31, 2023 and 2022, the assumptions used in the Monte Carlo simulation valuations were as follows:</w:t>
      </w:r>
    </w:p>
    <w:p>
      <w:pPr>
        <w:pStyle w:val="TextBody"/>
        <w:bidi w:val="0"/>
        <w:spacing w:before="0" w:after="0"/>
        <w:ind w:left="0" w:right="0" w:hanging="0"/>
        <w:jc w:val="left"/>
        <w:rPr/>
      </w:pPr>
      <w:r>
        <w:rPr/>
        <w:t>​</w:t>
      </w:r>
    </w:p>
    <w:tbl>
      <w:tblPr>
        <w:tblW w:w="8412" w:type="dxa"/>
        <w:jc w:val="left"/>
        <w:tblInd w:w="0" w:type="dxa"/>
        <w:tblLayout w:type="fixed"/>
        <w:tblCellMar>
          <w:top w:w="0" w:type="dxa"/>
          <w:left w:w="0" w:type="dxa"/>
          <w:bottom w:w="0" w:type="dxa"/>
          <w:right w:w="0" w:type="dxa"/>
        </w:tblCellMar>
      </w:tblPr>
      <w:tblGrid>
        <w:gridCol w:w="4801"/>
        <w:gridCol w:w="326"/>
        <w:gridCol w:w="196"/>
        <w:gridCol w:w="1261"/>
        <w:gridCol w:w="326"/>
        <w:gridCol w:w="196"/>
        <w:gridCol w:w="1306"/>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048635" cy="175260"/>
                      <wp:effectExtent l="0" t="0" r="0" b="0"/>
                      <wp:wrapNone/>
                      <wp:docPr id="152" name="Frame151"/>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3"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4460" cy="175260"/>
                      <wp:effectExtent l="0" t="0" r="0" b="0"/>
                      <wp:wrapNone/>
                      <wp:docPr id="154" name="Frame1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800735" cy="175260"/>
                      <wp:effectExtent l="0" t="0" r="0" b="0"/>
                      <wp:wrapNone/>
                      <wp:docPr id="155" name="Frame154"/>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6"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24460" cy="175260"/>
                      <wp:effectExtent l="0" t="0" r="0" b="0"/>
                      <wp:wrapNone/>
                      <wp:docPr id="157" name="Frame1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829310" cy="175260"/>
                      <wp:effectExtent l="0" t="0" r="0" b="0"/>
                      <wp:wrapNone/>
                      <wp:docPr id="158" name="Frame157"/>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8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15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fair value of performance-based awards granted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3.10</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Risk-free interest rate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3.91% to 4.51%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0.53% to 0.60%</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term in years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18"/>
              </w:rPr>
              <w:t>2.36</w:t>
            </w:r>
            <w:r>
              <w:rPr>
                <w:rFonts w:ascii="Times New Roman;Times;serif" w:hAnsi="Times New Roman;Times;serif"/>
                <w:sz w:val="20"/>
              </w:rPr>
              <w:t xml:space="preserve"> </w:t>
            </w:r>
            <w:r>
              <w:rPr>
                <w:rFonts w:ascii="Times New Roman;Times;serif" w:hAnsi="Times New Roman;Times;serif"/>
                <w:sz w:val="18"/>
              </w:rPr>
              <w:t>to 2.78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18"/>
              </w:rPr>
              <w:t>2.64</w:t>
            </w:r>
            <w:r>
              <w:rPr>
                <w:rFonts w:ascii="Times New Roman;Times;serif" w:hAnsi="Times New Roman;Times;serif"/>
                <w:sz w:val="20"/>
              </w:rPr>
              <w:t xml:space="preserve"> </w:t>
            </w:r>
            <w:r>
              <w:rPr>
                <w:rFonts w:ascii="Times New Roman;Times;serif" w:hAnsi="Times New Roman;Times;serif"/>
                <w:sz w:val="18"/>
              </w:rPr>
              <w:t>to 2.79</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volatility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56.5% to 70.9%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64.7%</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 yield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 to 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4.8% to 6.3%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 awards as of March 31, 2023 consisted of the following:</w:t>
      </w:r>
    </w:p>
    <w:p>
      <w:pPr>
        <w:pStyle w:val="TextBody"/>
        <w:bidi w:val="0"/>
        <w:spacing w:before="0" w:after="240"/>
        <w:ind w:left="0" w:right="0" w:hanging="0"/>
        <w:jc w:val="left"/>
        <w:rPr/>
      </w:pPr>
      <w:r>
        <w:rPr/>
        <w:t>​</w:t>
      </w:r>
    </w:p>
    <w:tbl>
      <w:tblPr>
        <w:tblW w:w="4780" w:type="dxa"/>
        <w:jc w:val="left"/>
        <w:tblInd w:w="0" w:type="dxa"/>
        <w:tblLayout w:type="fixed"/>
        <w:tblCellMar>
          <w:top w:w="0" w:type="dxa"/>
          <w:left w:w="0" w:type="dxa"/>
          <w:bottom w:w="0" w:type="dxa"/>
          <w:right w:w="0" w:type="dxa"/>
        </w:tblCellMar>
      </w:tblPr>
      <w:tblGrid>
        <w:gridCol w:w="2146"/>
        <w:gridCol w:w="326"/>
        <w:gridCol w:w="946"/>
        <w:gridCol w:w="326"/>
        <w:gridCol w:w="280"/>
        <w:gridCol w:w="75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62710" cy="175260"/>
                      <wp:effectExtent l="0" t="0" r="0" b="0"/>
                      <wp:wrapNone/>
                      <wp:docPr id="159" name="Frame158"/>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0"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00710" cy="175260"/>
                      <wp:effectExtent l="0" t="0" r="0" b="0"/>
                      <wp:wrapNone/>
                      <wp:docPr id="161" name="Frame16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2"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77800" cy="175260"/>
                      <wp:effectExtent l="0" t="0" r="0" b="0"/>
                      <wp:wrapNone/>
                      <wp:docPr id="163" name="Frame162"/>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80060" cy="175260"/>
                      <wp:effectExtent l="0" t="0" r="0" b="0"/>
                      <wp:wrapNone/>
                      <wp:docPr id="164" name="Frame163"/>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2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r>
      <w:tr>
        <w:trPr/>
        <w:tc>
          <w:tcPr>
            <w:tcW w:w="21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Award Type</w:t>
            </w:r>
          </w:p>
        </w:tc>
        <w:tc>
          <w:tcPr>
            <w:tcW w:w="326" w:type="dxa"/>
            <w:tcBorders/>
            <w:shd w:fill="FFFFFF" w:val="cle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vAlign w:val="center"/>
          </w:tcPr>
          <w:p>
            <w:pPr>
              <w:pStyle w:val="TableContents"/>
              <w:bidi w:val="0"/>
              <w:spacing w:before="0" w:after="1"/>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Time-vested awards</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465,541</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6.63</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awards</w:t>
            </w:r>
          </w:p>
        </w:tc>
        <w:tc>
          <w:tcPr>
            <w:tcW w:w="32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192,789</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5.30</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March 31, 2023</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658,330</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6.24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restricted stock transactions for the nine months ended March 31, 2023:</w:t>
      </w:r>
    </w:p>
    <w:p>
      <w:pPr>
        <w:pStyle w:val="TextBody"/>
        <w:bidi w:val="0"/>
        <w:spacing w:before="0" w:after="240"/>
        <w:ind w:left="0" w:right="0" w:hanging="0"/>
        <w:jc w:val="left"/>
        <w:rPr/>
      </w:pPr>
      <w:r>
        <w:rPr/>
        <w:t>​</w:t>
      </w:r>
    </w:p>
    <w:tbl>
      <w:tblPr>
        <w:tblW w:w="8328" w:type="dxa"/>
        <w:jc w:val="left"/>
        <w:tblInd w:w="0" w:type="dxa"/>
        <w:tblLayout w:type="fixed"/>
        <w:tblCellMar>
          <w:top w:w="0" w:type="dxa"/>
          <w:left w:w="0" w:type="dxa"/>
          <w:bottom w:w="0" w:type="dxa"/>
          <w:right w:w="0" w:type="dxa"/>
        </w:tblCellMar>
      </w:tblPr>
      <w:tblGrid>
        <w:gridCol w:w="2551"/>
        <w:gridCol w:w="326"/>
        <w:gridCol w:w="946"/>
        <w:gridCol w:w="326"/>
        <w:gridCol w:w="314"/>
        <w:gridCol w:w="677"/>
        <w:gridCol w:w="326"/>
        <w:gridCol w:w="353"/>
        <w:gridCol w:w="922"/>
        <w:gridCol w:w="326"/>
        <w:gridCol w:w="1261"/>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619885" cy="175260"/>
                      <wp:effectExtent l="0" t="0" r="0" b="0"/>
                      <wp:wrapNone/>
                      <wp:docPr id="165" name="Frame164"/>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6"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00710" cy="175260"/>
                      <wp:effectExtent l="0" t="0" r="0" b="0"/>
                      <wp:wrapNone/>
                      <wp:docPr id="167" name="Frame16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68"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99390" cy="175260"/>
                      <wp:effectExtent l="0" t="0" r="0" b="0"/>
                      <wp:wrapNone/>
                      <wp:docPr id="169" name="Frame168"/>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9895" cy="175260"/>
                      <wp:effectExtent l="0" t="0" r="0" b="0"/>
                      <wp:wrapNone/>
                      <wp:docPr id="170" name="Frame169"/>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1"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24155" cy="175260"/>
                      <wp:effectExtent l="0" t="0" r="0" b="0"/>
                      <wp:wrapNone/>
                      <wp:docPr id="172" name="Frame171"/>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85470" cy="175260"/>
                      <wp:effectExtent l="0" t="0" r="0" b="0"/>
                      <wp:wrapNone/>
                      <wp:docPr id="173" name="Frame172"/>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4"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800735" cy="175260"/>
                      <wp:effectExtent l="0" t="0" r="0" b="0"/>
                      <wp:wrapNone/>
                      <wp:docPr id="175" name="Frame174"/>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Unamortized</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Compensation </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Remaining</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vAlign w:val="center"/>
          </w:tcPr>
          <w:p>
            <w:pPr>
              <w:pStyle w:val="TableContents"/>
              <w:bidi w:val="0"/>
              <w:spacing w:before="0" w:after="1"/>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26" w:type="dxa"/>
            <w:tcBorders/>
            <w:vAlign w:val="center"/>
          </w:tcPr>
          <w:p>
            <w:pPr>
              <w:pStyle w:val="TableContents"/>
              <w:bidi w:val="0"/>
              <w:spacing w:before="0" w:after="1"/>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326" w:type="dxa"/>
            <w:tcBorders/>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(Years)</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2022</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341,211</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4.54</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1,092</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Time-vested shares granted</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376,015</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7.18</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shares granted</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100,239</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7.39</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(133,515)</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5.37</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(25,620)</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6.51</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March 31, 2023</w:t>
            </w:r>
          </w:p>
        </w:tc>
        <w:tc>
          <w:tcPr>
            <w:tcW w:w="326" w:type="dxa"/>
            <w:tcBorders/>
            <w:vAlign w:val="center"/>
          </w:tcPr>
          <w:p>
            <w:pPr>
              <w:pStyle w:val="TableContents"/>
              <w:bidi w:val="0"/>
              <w:spacing w:before="0" w:after="1"/>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658,330</w:t>
            </w:r>
          </w:p>
        </w:tc>
        <w:tc>
          <w:tcPr>
            <w:tcW w:w="326" w:type="dxa"/>
            <w:tcBorders/>
            <w:vAlign w:val="center"/>
          </w:tcPr>
          <w:p>
            <w:pPr>
              <w:pStyle w:val="TableContents"/>
              <w:bidi w:val="0"/>
              <w:spacing w:before="0" w:after="1"/>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6.24</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3,279</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contingent restricted stock units table below consists solely of performance-based awards for the nine months ended March 31, 2023:</w:t>
      </w:r>
    </w:p>
    <w:tbl>
      <w:tblPr>
        <w:tblW w:w="8972" w:type="dxa"/>
        <w:jc w:val="left"/>
        <w:tblInd w:w="0" w:type="dxa"/>
        <w:tblLayout w:type="fixed"/>
        <w:tblCellMar>
          <w:top w:w="0" w:type="dxa"/>
          <w:left w:w="0" w:type="dxa"/>
          <w:bottom w:w="0" w:type="dxa"/>
          <w:right w:w="0" w:type="dxa"/>
        </w:tblCellMar>
      </w:tblPr>
      <w:tblGrid>
        <w:gridCol w:w="2611"/>
        <w:gridCol w:w="326"/>
        <w:gridCol w:w="1006"/>
        <w:gridCol w:w="326"/>
        <w:gridCol w:w="481"/>
        <w:gridCol w:w="1034"/>
        <w:gridCol w:w="326"/>
        <w:gridCol w:w="436"/>
        <w:gridCol w:w="839"/>
        <w:gridCol w:w="326"/>
        <w:gridCol w:w="1261"/>
      </w:tblGrid>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38810" cy="175260"/>
                      <wp:effectExtent l="0" t="0" r="0" b="0"/>
                      <wp:wrapNone/>
                      <wp:docPr id="176" name="Frame17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7"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05435" cy="175260"/>
                      <wp:effectExtent l="0" t="0" r="0" b="0"/>
                      <wp:wrapNone/>
                      <wp:docPr id="178" name="Frame17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56590" cy="175260"/>
                      <wp:effectExtent l="0" t="0" r="0" b="0"/>
                      <wp:wrapNone/>
                      <wp:docPr id="179" name="Frame178"/>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0"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76860" cy="175260"/>
                      <wp:effectExtent l="0" t="0" r="0" b="0"/>
                      <wp:wrapNone/>
                      <wp:docPr id="181" name="Frame18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32765" cy="175260"/>
                      <wp:effectExtent l="0" t="0" r="0" b="0"/>
                      <wp:wrapNone/>
                      <wp:docPr id="182" name="Frame181"/>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3"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800735" cy="175260"/>
                      <wp:effectExtent l="0" t="0" r="0" b="0"/>
                      <wp:wrapNone/>
                      <wp:docPr id="184" name="Frame183"/>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Weighted </w: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0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Unamortized </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 Average</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Compensation </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Remaining </w: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r>
      <w:tr>
        <w:trPr/>
        <w:tc>
          <w:tcPr>
            <w:tcW w:w="261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 Units</w:t>
            </w:r>
          </w:p>
        </w:tc>
        <w:tc>
          <w:tcPr>
            <w:tcW w:w="326" w:type="dxa"/>
            <w:tcBorders/>
            <w:vAlign w:val="center"/>
          </w:tcPr>
          <w:p>
            <w:pPr>
              <w:pStyle w:val="TableContents"/>
              <w:bidi w:val="0"/>
              <w:spacing w:before="0" w:after="1"/>
              <w:ind w:left="0" w:right="0" w:hanging="0"/>
              <w:jc w:val="left"/>
              <w:rPr/>
            </w:pPr>
            <w:r>
              <w:rPr/>
              <w:t>    </w:t>
            </w:r>
          </w:p>
        </w:tc>
        <w:tc>
          <w:tcPr>
            <w:tcW w:w="15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26" w:type="dxa"/>
            <w:tcBorders/>
            <w:vAlign w:val="center"/>
          </w:tcPr>
          <w:p>
            <w:pPr>
              <w:pStyle w:val="TableContents"/>
              <w:bidi w:val="0"/>
              <w:spacing w:before="0" w:after="1"/>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326" w:type="dxa"/>
            <w:tcBorders/>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(Years)</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2022</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50,062</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0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awards granted</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50,123</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0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4.79</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Vested </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0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pPr>
            <w:r>
              <w:rPr/>
              <w:t>​</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(3,787)</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0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Expired</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left"/>
              <w:rPr/>
            </w:pPr>
            <w:r>
              <w:rPr/>
              <w:t>​</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March 31, 2023</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96,398</w:t>
            </w:r>
          </w:p>
        </w:tc>
        <w:tc>
          <w:tcPr>
            <w:tcW w:w="326" w:type="dxa"/>
            <w:tcBorders/>
            <w:vAlign w:val="center"/>
          </w:tcPr>
          <w:p>
            <w:pPr>
              <w:pStyle w:val="TableContents"/>
              <w:bidi w:val="0"/>
              <w:spacing w:before="0" w:after="1"/>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1028" w:name="Tc_ACYrPcJaAUePCue-EVwUzQ_17_11"/>
      <w:bookmarkStart w:id="1029" w:name="Tc_yjJdDUPojk2QKhXOa5CFaQ_17_8"/>
      <w:bookmarkStart w:id="1030" w:name="Tc_ORMkzmUoSk2EHe53_Jp2qQ_17_5"/>
      <w:bookmarkStart w:id="1031" w:name="Tc_OVtICeSCU0G9nI3nzCLp0A_17_2"/>
      <w:bookmarkStart w:id="1032" w:name="Tc_XwV6-nGH-Umkx94wZuO9Pg_17_0"/>
      <w:bookmarkStart w:id="1033" w:name="Tc_kyb26FuWsEmfYC_6yZihmw_16_11"/>
      <w:bookmarkStart w:id="1034" w:name="Tc_rGdv0zN2XEy1yUfPdCDhow_16_8"/>
      <w:bookmarkStart w:id="1035" w:name="Tc_lJh8J2cJdUSPyzNUgnkphw_16_5"/>
      <w:bookmarkStart w:id="1036" w:name="Tc_Nr7JJCPapkegjUocxF4ZCg_16_2"/>
      <w:bookmarkStart w:id="1037" w:name="Tc_djxa-d3230yuoEetWHcK9A_16_0"/>
      <w:bookmarkStart w:id="1038" w:name="Tc_CbJc1eZ2CUKPWuBVm-0Hhw_14_0"/>
      <w:bookmarkStart w:id="1039" w:name="Tc__KY7e1MmV0OSnj6GLQTnPQ_13_12"/>
      <w:bookmarkStart w:id="1040" w:name="Tc_2tYBPv-gJ0GfXDaptwa6lA_13_6"/>
      <w:bookmarkStart w:id="1041" w:name="Tc_qGl6r829CEy4c-bqe1mV-Q_13_3"/>
      <w:bookmarkStart w:id="1042" w:name="Tc_C3_1x0LJIkyDsxOpxhpSWw_13_0"/>
      <w:bookmarkStart w:id="1043" w:name="Tc_ryoLrspUQ0iZObbk5Eglxg_12_0"/>
      <w:bookmarkStart w:id="1044" w:name="Tc_DaxOd9pCp0ybbxhP44Vlow_11_0"/>
      <w:bookmarkStart w:id="1045" w:name="Tc_VlU4TeBG30qkSfi0nKSfog_10_0"/>
      <w:bookmarkStart w:id="1046" w:name="Tc_TdvzwFa_e0qH7Rqi5Caxtg_9_0"/>
      <w:bookmarkStart w:id="1047" w:name="Tc_znBAItkq-k-tMBPZnB6Okw_7_11"/>
      <w:bookmarkStart w:id="1048" w:name="Tc_KUw5_32t1ke-jYq5zo5IVg_7_8"/>
      <w:bookmarkStart w:id="1049" w:name="Tc_d25rfT6zJUuLgCOWwt2Oqw_7_5"/>
      <w:bookmarkStart w:id="1050" w:name="Tc_R7rLrmf4D02L7NPnOrFtvQ_7_2"/>
      <w:bookmarkStart w:id="1051" w:name="Tc_qkMKlsVUIUqOPupNrMjVKw_7_0"/>
      <w:bookmarkStart w:id="1052" w:name="Tc_I7tZzVjxSUC2DGTNh0ghgQ_6_0"/>
      <w:bookmarkStart w:id="1053" w:name="Tc_mJzmleShTUe-hV18OY6anA_5_11"/>
      <w:bookmarkStart w:id="1054" w:name="Tc_RhQMF-96Fk-lTi3UMs1xuA_5_8"/>
      <w:bookmarkStart w:id="1055" w:name="Tc_3lBtCYGoqUmpEeFMoz1QJA_5_5"/>
      <w:bookmarkStart w:id="1056" w:name="Tc_ALfUCn3b1Ee529F4A6u82w_5_2"/>
      <w:bookmarkStart w:id="1057" w:name="Tc_UPCzTJ0FrkGENMY06MLu9A_5_0"/>
      <w:bookmarkStart w:id="1058" w:name="Tc_QWRD6SNfckuwGns9sKBCWQ_4_0"/>
      <w:bookmarkStart w:id="1059" w:name="Tc_jhfkJN1Es0WGd3btqb0PKg_3_11"/>
      <w:bookmarkStart w:id="1060" w:name="Tc_ktW2XoGV2U-IOQLf-docjg_3_8"/>
      <w:bookmarkStart w:id="1061" w:name="Tc_I152_Tn02Uyg8xXs2Porbw_3_5"/>
      <w:bookmarkStart w:id="1062" w:name="Tc_sunMTOk-9UWViVhify6o1Q_3_2"/>
      <w:bookmarkStart w:id="1063" w:name="Tc_c1uhL57WNUyFAFo0G2In5A_2_8"/>
      <w:bookmarkStart w:id="1064" w:name="Tc_QPhIPABrbEmI4bwFxsE-5A_2_2"/>
      <w:bookmarkStart w:id="1065" w:name="Tc_4zfNh0Pb5E64Gu8AF2riFQ_1_8"/>
      <w:bookmarkStart w:id="1066" w:name="Tc_ybS7ACp1tEuxxiIcUBRGZw_1_2"/>
      <w:bookmarkStart w:id="1067" w:name="_df994df1_7081_4b15_b377_b6bca88397c0"/>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r>
        <w:rPr>
          <w:rFonts w:ascii="Times New Roman;Times;serif" w:hAnsi="Times New Roman;Times;serif"/>
          <w:b/>
          <w:sz w:val="20"/>
        </w:rPr>
        <w:t>Note 12. Earnings (Loss) per Common Share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computation of basic and diluted earnings (loss) per common share, reflecting the application of the two-class method (in thousands, except per share amounts):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037"/>
        <w:gridCol w:w="326"/>
        <w:gridCol w:w="203"/>
        <w:gridCol w:w="623"/>
        <w:gridCol w:w="113"/>
        <w:gridCol w:w="203"/>
        <w:gridCol w:w="623"/>
        <w:gridCol w:w="109"/>
        <w:gridCol w:w="196"/>
        <w:gridCol w:w="601"/>
        <w:gridCol w:w="326"/>
        <w:gridCol w:w="196"/>
        <w:gridCol w:w="649"/>
      </w:tblGrid>
      <w:tr>
        <w:trPr/>
        <w:tc>
          <w:tcPr>
            <w:tcW w:w="6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833495" cy="175260"/>
                      <wp:effectExtent l="0" t="0" r="0" b="0"/>
                      <wp:wrapNone/>
                      <wp:docPr id="185" name="Frame184"/>
                      <a:graphic xmlns:a="http://schemas.openxmlformats.org/drawingml/2006/main">
                        <a:graphicData uri="http://schemas.microsoft.com/office/word/2010/wordprocessingShape">
                          <wps:wsp>
                            <wps:cNvSpPr txBox="1"/>
                            <wps:spPr>
                              <a:xfrm>
                                <a:off x="0" y="0"/>
                                <a:ext cx="3833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6"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8905" cy="175260"/>
                      <wp:effectExtent l="0" t="0" r="0" b="0"/>
                      <wp:wrapNone/>
                      <wp:docPr id="187" name="Frame186"/>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95605" cy="175260"/>
                      <wp:effectExtent l="0" t="0" r="0" b="0"/>
                      <wp:wrapNone/>
                      <wp:docPr id="188" name="Frame187"/>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71755" cy="175260"/>
                      <wp:effectExtent l="0" t="0" r="0" b="0"/>
                      <wp:wrapNone/>
                      <wp:docPr id="189" name="Frame188"/>
                      <a:graphic xmlns:a="http://schemas.openxmlformats.org/drawingml/2006/main">
                        <a:graphicData uri="http://schemas.microsoft.com/office/word/2010/wordprocessingShape">
                          <wps:wsp>
                            <wps:cNvSpPr txBox="1"/>
                            <wps:spPr>
                              <a:xfrm>
                                <a:off x="0" y="0"/>
                                <a:ext cx="71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28905" cy="175260"/>
                      <wp:effectExtent l="0" t="0" r="0" b="0"/>
                      <wp:wrapNone/>
                      <wp:docPr id="190" name="Frame189"/>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95605" cy="175260"/>
                      <wp:effectExtent l="0" t="0" r="0" b="0"/>
                      <wp:wrapNone/>
                      <wp:docPr id="191" name="Frame190"/>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2"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24460" cy="175260"/>
                      <wp:effectExtent l="0" t="0" r="0" b="0"/>
                      <wp:wrapNone/>
                      <wp:docPr id="193" name="Frame1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81635" cy="175260"/>
                      <wp:effectExtent l="0" t="0" r="0" b="0"/>
                      <wp:wrapNone/>
                      <wp:docPr id="194" name="Frame19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5"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24460" cy="175260"/>
                      <wp:effectExtent l="0" t="0" r="0" b="0"/>
                      <wp:wrapNone/>
                      <wp:docPr id="196" name="Frame1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12115" cy="175260"/>
                      <wp:effectExtent l="0" t="0" r="0" b="0"/>
                      <wp:wrapNone/>
                      <wp:docPr id="197" name="Frame196"/>
                      <a:graphic xmlns:a="http://schemas.openxmlformats.org/drawingml/2006/main">
                        <a:graphicData uri="http://schemas.microsoft.com/office/word/2010/wordprocessingShape">
                          <wps:wsp>
                            <wps:cNvSpPr txBox="1"/>
                            <wps:spPr>
                              <a:xfrm>
                                <a:off x="0" y="0"/>
                                <a:ext cx="412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37"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76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1968"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w:t>
            </w:r>
          </w:p>
        </w:tc>
      </w:tr>
      <w:tr>
        <w:trPr/>
        <w:tc>
          <w:tcPr>
            <w:tcW w:w="60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109" w:type="dxa"/>
            <w:tcBorders/>
            <w:vAlign w:val="center"/>
          </w:tcPr>
          <w:p>
            <w:pPr>
              <w:pStyle w:val="TableContents"/>
              <w:bidi w:val="0"/>
              <w:spacing w:before="0" w:after="1"/>
              <w:ind w:left="0" w:right="0" w:hanging="0"/>
              <w:jc w:val="left"/>
              <w:rPr/>
            </w:pPr>
            <w:r>
              <w:rPr/>
              <w:t>​</w:t>
            </w:r>
          </w:p>
        </w:tc>
        <w:tc>
          <w:tcPr>
            <w:tcW w:w="19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r>
      <w:tr>
        <w:trPr/>
        <w:tc>
          <w:tcPr>
            <w:tcW w:w="6037"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113"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6037" w:type="dxa"/>
            <w:tcBorders/>
            <w:shd w:fill="CCEEFF" w:val="clear"/>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Numerator</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left"/>
              <w:rPr/>
            </w:pPr>
            <w:r>
              <w:rPr/>
              <w:t> </w:t>
            </w:r>
          </w:p>
        </w:tc>
        <w:tc>
          <w:tcPr>
            <w:tcW w:w="113"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9" w:type="dxa"/>
            <w:tcBorders/>
            <w:shd w:fill="CCEEFF" w:val="clear"/>
            <w:vAlign w:val="center"/>
          </w:tcPr>
          <w:p>
            <w:pPr>
              <w:pStyle w:val="TableContents"/>
              <w:bidi w:val="0"/>
              <w:spacing w:before="0" w:after="1"/>
              <w:ind w:left="0" w:right="0" w:hanging="0"/>
              <w:jc w:val="left"/>
              <w:rPr/>
            </w:pPr>
            <w:r>
              <w:rPr/>
              <w:t> </w:t>
            </w:r>
          </w:p>
        </w:tc>
      </w:tr>
      <w:tr>
        <w:trPr/>
        <w:tc>
          <w:tcPr>
            <w:tcW w:w="60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13,957</w:t>
            </w:r>
          </w:p>
        </w:tc>
        <w:tc>
          <w:tcPr>
            <w:tcW w:w="113"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5,705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35,051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17,756</w:t>
            </w:r>
          </w:p>
        </w:tc>
      </w:tr>
      <w:tr>
        <w:trPr/>
        <w:tc>
          <w:tcPr>
            <w:tcW w:w="60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Undistributed earnings allocated to unvested restricted stock</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w:t>
            </w:r>
          </w:p>
        </w:tc>
        <w:tc>
          <w:tcPr>
            <w:tcW w:w="113"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w:t>
            </w:r>
          </w:p>
        </w:tc>
      </w:tr>
      <w:tr>
        <w:trPr/>
        <w:tc>
          <w:tcPr>
            <w:tcW w:w="60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for earnings per share calculation</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13,704</w:t>
            </w:r>
          </w:p>
        </w:tc>
        <w:tc>
          <w:tcPr>
            <w:tcW w:w="113" w:type="dxa"/>
            <w:tcBorders/>
            <w:vAlign w:val="center"/>
          </w:tcPr>
          <w:p>
            <w:pPr>
              <w:pStyle w:val="TableContents"/>
              <w:bidi w:val="0"/>
              <w:spacing w:before="0" w:after="1"/>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5,592</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34,536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17,397</w:t>
            </w:r>
          </w:p>
        </w:tc>
      </w:tr>
      <w:tr>
        <w:trPr/>
        <w:tc>
          <w:tcPr>
            <w:tcW w:w="603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left"/>
              <w:rPr/>
            </w:pPr>
            <w:r>
              <w:rPr/>
              <w:t> </w:t>
            </w:r>
          </w:p>
        </w:tc>
        <w:tc>
          <w:tcPr>
            <w:tcW w:w="113"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9" w:type="dxa"/>
            <w:tcBorders/>
            <w:shd w:fill="CCEEFF" w:val="clear"/>
            <w:vAlign w:val="center"/>
          </w:tcPr>
          <w:p>
            <w:pPr>
              <w:pStyle w:val="TableContents"/>
              <w:bidi w:val="0"/>
              <w:spacing w:before="0" w:after="1"/>
              <w:ind w:left="0" w:right="0" w:hanging="0"/>
              <w:jc w:val="left"/>
              <w:rPr/>
            </w:pPr>
            <w:r>
              <w:rPr/>
              <w:t> </w:t>
            </w:r>
          </w:p>
        </w:tc>
      </w:tr>
      <w:tr>
        <w:trPr/>
        <w:tc>
          <w:tcPr>
            <w:tcW w:w="6037"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Denominator</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left"/>
              <w:rPr/>
            </w:pPr>
            <w:r>
              <w:rPr/>
              <w:t>​</w:t>
            </w:r>
          </w:p>
        </w:tc>
        <w:tc>
          <w:tcPr>
            <w:tcW w:w="113"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9" w:type="dxa"/>
            <w:tcBorders/>
            <w:vAlign w:val="center"/>
          </w:tcPr>
          <w:p>
            <w:pPr>
              <w:pStyle w:val="TableContents"/>
              <w:bidi w:val="0"/>
              <w:spacing w:before="0" w:after="1"/>
              <w:ind w:left="0" w:right="0" w:hanging="0"/>
              <w:jc w:val="left"/>
              <w:rPr/>
            </w:pPr>
            <w:r>
              <w:rPr/>
              <w:t>​</w:t>
            </w:r>
          </w:p>
        </w:tc>
      </w:tr>
      <w:tr>
        <w:trPr/>
        <w:tc>
          <w:tcPr>
            <w:tcW w:w="60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 — Basic</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33,013</w:t>
            </w:r>
          </w:p>
        </w:tc>
        <w:tc>
          <w:tcPr>
            <w:tcW w:w="113" w:type="dxa"/>
            <w:tcBorders/>
            <w:shd w:fill="CCEEFF" w:val="clear"/>
            <w:vAlign w:val="center"/>
          </w:tcPr>
          <w:p>
            <w:pPr>
              <w:pStyle w:val="TableContents"/>
              <w:bidi w:val="0"/>
              <w:spacing w:before="0" w:after="1"/>
              <w:ind w:left="0" w:right="0" w:hanging="0"/>
              <w:jc w:val="righ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33,009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33,108</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32,933</w:t>
            </w:r>
          </w:p>
        </w:tc>
      </w:tr>
      <w:tr>
        <w:trPr/>
        <w:tc>
          <w:tcPr>
            <w:tcW w:w="60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left"/>
              <w:rPr/>
            </w:pPr>
            <w:r>
              <w:rPr/>
              <w:t>​</w:t>
            </w:r>
          </w:p>
        </w:tc>
        <w:tc>
          <w:tcPr>
            <w:tcW w:w="113"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9" w:type="dxa"/>
            <w:tcBorders/>
            <w:vAlign w:val="center"/>
          </w:tcPr>
          <w:p>
            <w:pPr>
              <w:pStyle w:val="TableContents"/>
              <w:bidi w:val="0"/>
              <w:spacing w:before="0" w:after="1"/>
              <w:ind w:left="0" w:right="0" w:hanging="0"/>
              <w:jc w:val="left"/>
              <w:rPr/>
            </w:pPr>
            <w:r>
              <w:rPr/>
              <w:t>​</w:t>
            </w:r>
          </w:p>
        </w:tc>
      </w:tr>
      <w:tr>
        <w:trPr/>
        <w:tc>
          <w:tcPr>
            <w:tcW w:w="60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restricted stock awards</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c>
          <w:tcPr>
            <w:tcW w:w="113" w:type="dxa"/>
            <w:tcBorders/>
            <w:shd w:fill="CCEEFF" w:val="clear"/>
            <w:vAlign w:val="center"/>
          </w:tcPr>
          <w:p>
            <w:pPr>
              <w:pStyle w:val="TableContents"/>
              <w:bidi w:val="0"/>
              <w:spacing w:before="0" w:after="1"/>
              <w:ind w:left="0" w:right="0" w:hanging="0"/>
              <w:jc w:val="righ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w:t>
            </w:r>
          </w:p>
        </w:tc>
      </w:tr>
      <w:tr>
        <w:trPr/>
        <w:tc>
          <w:tcPr>
            <w:tcW w:w="60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contingent restricted stock units</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3"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0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and dilutive potential common shares used in diluted earnings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33,156</w:t>
            </w:r>
          </w:p>
        </w:tc>
        <w:tc>
          <w:tcPr>
            <w:tcW w:w="113" w:type="dxa"/>
            <w:tcBorders/>
            <w:shd w:fill="CCEEFF" w:val="clear"/>
            <w:vAlign w:val="center"/>
          </w:tcPr>
          <w:p>
            <w:pPr>
              <w:pStyle w:val="TableContents"/>
              <w:bidi w:val="0"/>
              <w:spacing w:before="0" w:after="1"/>
              <w:ind w:left="0" w:right="0" w:hanging="0"/>
              <w:jc w:val="righ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33,388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33,291</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33,258</w:t>
            </w:r>
          </w:p>
        </w:tc>
      </w:tr>
      <w:tr>
        <w:trPr/>
        <w:tc>
          <w:tcPr>
            <w:tcW w:w="60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left"/>
              <w:rPr/>
            </w:pPr>
            <w:r>
              <w:rPr/>
              <w:t>​</w:t>
            </w:r>
          </w:p>
        </w:tc>
        <w:tc>
          <w:tcPr>
            <w:tcW w:w="113"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9" w:type="dxa"/>
            <w:tcBorders/>
            <w:vAlign w:val="center"/>
          </w:tcPr>
          <w:p>
            <w:pPr>
              <w:pStyle w:val="TableContents"/>
              <w:bidi w:val="0"/>
              <w:spacing w:before="0" w:after="1"/>
              <w:ind w:left="0" w:right="0" w:hanging="0"/>
              <w:jc w:val="left"/>
              <w:rPr/>
            </w:pPr>
            <w:r>
              <w:rPr/>
              <w:t>​</w:t>
            </w:r>
          </w:p>
        </w:tc>
      </w:tr>
      <w:tr>
        <w:trPr/>
        <w:tc>
          <w:tcPr>
            <w:tcW w:w="60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 — Basic</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0.42</w:t>
            </w:r>
          </w:p>
        </w:tc>
        <w:tc>
          <w:tcPr>
            <w:tcW w:w="113" w:type="dxa"/>
            <w:tcBorders/>
            <w:shd w:fill="CCEEFF" w:val="clear"/>
            <w:vAlign w:val="center"/>
          </w:tcPr>
          <w:p>
            <w:pPr>
              <w:pStyle w:val="TableContents"/>
              <w:bidi w:val="0"/>
              <w:spacing w:before="0" w:after="1"/>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0.53</w:t>
            </w:r>
          </w:p>
        </w:tc>
      </w:tr>
      <w:tr>
        <w:trPr/>
        <w:tc>
          <w:tcPr>
            <w:tcW w:w="60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 — Diluted</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0.41</w:t>
            </w:r>
          </w:p>
        </w:tc>
        <w:tc>
          <w:tcPr>
            <w:tcW w:w="113" w:type="dxa"/>
            <w:tcBorders/>
            <w:vAlign w:val="center"/>
          </w:tcPr>
          <w:p>
            <w:pPr>
              <w:pStyle w:val="TableContents"/>
              <w:bidi w:val="0"/>
              <w:spacing w:before="0" w:after="1"/>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0.17</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0.52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Unvested restricted stock awards (both time-vested and performance-based), totaling approximately 262,000 and 120,000 for the three and nine months ended March 31, 2023, respectively, were not included in the computation of diluted earnings per common share because the effect would have been anti-dilutive.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Unvested restricted stock awards (time-vested), totaling approximately 24,000 and 17,000 for the nine months ended March 31, 2022 were not included in the computation of diluted earnings per common share because the effect would have been anti-dilutive.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unvested performance-based restricted stock awards and unvested contingent restricted stock units that would not meet the performance criteria as of the period end are excluded from the computation of diluted earnings per common share.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rFonts w:ascii="Times New Roman;Times;serif" w:hAnsi="Times New Roman;Times;serif"/>
          <w:b/>
          <w:sz w:val="20"/>
        </w:rPr>
      </w:pPr>
      <w:bookmarkStart w:id="1068" w:name="Tc_N9kzBq0t6kWdwc3FEu7jJA_29_5"/>
      <w:bookmarkStart w:id="1069" w:name="Tc_AVS1VFICxkutO5QPja7f3g_29_2"/>
      <w:bookmarkStart w:id="1070" w:name="Tc_lmj6RB07t0u8OLnXl4HPiQ_29_0"/>
      <w:bookmarkStart w:id="1071" w:name="Tc_9Igle20sLUirhUiM-EjQHA_28_3"/>
      <w:bookmarkStart w:id="1072" w:name="Tc_5p_Pk6quP0eQIk2ZErl9lg_28_0"/>
      <w:bookmarkStart w:id="1073" w:name="Tc_ltaWpn9-vk2vcgwPEbzKDw_27_0"/>
      <w:bookmarkStart w:id="1074" w:name="Tc_rqRBDmJ9oEGh1Bu2rAsEkQ_26_0"/>
      <w:bookmarkStart w:id="1075" w:name="Tc_-Es5UnFm3EW4C9Y12mqKMA_25_3"/>
      <w:bookmarkStart w:id="1076" w:name="Tc_sTanduTey0GBFgIP-A_-Bg_25_0"/>
      <w:bookmarkStart w:id="1077" w:name="Tc_rHrGU5STcEypFsvnTkN8TA_24_0"/>
      <w:bookmarkStart w:id="1078" w:name="Tc_XgIAte_k-0WUfNNYNBMVbg_23_0"/>
      <w:bookmarkStart w:id="1079" w:name="Tc_rqBKzyJr7USP5R7TEZI48Q_22_0"/>
      <w:bookmarkStart w:id="1080" w:name="Tc_0_IMrGtGqEy7vsagsJOsJA_21_0"/>
      <w:bookmarkStart w:id="1081" w:name="Tc_MdzaLn_PSEuC4VkjyWWxaw_20_6"/>
      <w:bookmarkStart w:id="1082" w:name="Tc_XeeZnHy-EEWb5a7N-tcimQ_20_0"/>
      <w:bookmarkStart w:id="1083" w:name="Tc_E1LN7foj5ECv2QbZWAIERw_19_5"/>
      <w:bookmarkStart w:id="1084" w:name="Tc_cFiBIEHk2E6wU-28jPbhXw_19_2"/>
      <w:bookmarkStart w:id="1085" w:name="Tc_JC8gRLGCNUu8UGfnQMCRoQ_19_0"/>
      <w:bookmarkStart w:id="1086" w:name="Tc_qiypEYwoVUygVryEC9CrKA_18_0"/>
      <w:bookmarkStart w:id="1087" w:name="Tc_nOlzX8o9cUOST_7knc_4DA_16_5"/>
      <w:bookmarkStart w:id="1088" w:name="Tc_Sma4Tam8GEmYSm5739_CIQ_16_2"/>
      <w:bookmarkStart w:id="1089" w:name="Tc_87x3_XPEaky2pt_exnSt4w_16_0"/>
      <w:bookmarkStart w:id="1090" w:name="Tc_JBJusDLMDke5SD6b933b6A_15_0"/>
      <w:bookmarkStart w:id="1091" w:name="Tc_w7Qdod1GA0GbpvnPqXOFaA_14_5"/>
      <w:bookmarkStart w:id="1092" w:name="Tc_Rt1uRojLQ0mEWGTIZaASFg_14_2"/>
      <w:bookmarkStart w:id="1093" w:name="Tc_tN0cJG3sC0GX-djdzgXRvQ_14_0"/>
      <w:bookmarkStart w:id="1094" w:name="Tc_up0idXzrUEaEMY_dZqT8SQ_13_0"/>
      <w:bookmarkStart w:id="1095" w:name="Tc_JMIs8fKDgkmDgtlA9PP7Sw_11_5"/>
      <w:bookmarkStart w:id="1096" w:name="Tc_HbsTb0Ie6k-AXzJu2s1oIQ_11_2"/>
      <w:bookmarkStart w:id="1097" w:name="Tc_J5BIFRZqOESw66wY7p0l0A_11_0"/>
      <w:bookmarkStart w:id="1098" w:name="Tc_7NePx9V8OECXeZ2SbJiMug_10_0"/>
      <w:bookmarkStart w:id="1099" w:name="Tc_S6IKNd5c5UGsreGTbdVxKA_9_0"/>
      <w:bookmarkStart w:id="1100" w:name="Tc_PZPUO6Ip10ubOYanMX-g1g_8_0"/>
      <w:bookmarkStart w:id="1101" w:name="Tc_uaUZ56Ytl0eg6FOSBsVD0w_7_0"/>
      <w:bookmarkStart w:id="1102" w:name="Tc_Kfe-VwsdjUiiPx7TYHa27w_6_0"/>
      <w:bookmarkStart w:id="1103" w:name="Tc_Z56AKUdO0UC9FVRRoqVnSQ_5_0"/>
      <w:bookmarkStart w:id="1104" w:name="Tc_Hmqeo9M_wkCtBhafMy-Xww_4_6"/>
      <w:bookmarkStart w:id="1105" w:name="Tc_G_KO7heOxkOQyJlHxM7-ZA_4_0"/>
      <w:bookmarkStart w:id="1106" w:name="Tc_TJF85auXgU2f8EzNO_UdYQ_3_5"/>
      <w:bookmarkStart w:id="1107" w:name="Tc_y__JPofni0a1LGoQPbOVjg_3_3"/>
      <w:bookmarkStart w:id="1108" w:name="Tc_3UnHfBC-MUq1jtx99lAi2g_3_2"/>
      <w:bookmarkStart w:id="1109" w:name="Tc_s3HRORQPuUOCAwWDoE0QWw_3_0"/>
      <w:bookmarkStart w:id="1110" w:name="Tc_gfxTRhBDQEiXnu19bm9oaQ_2_0"/>
      <w:bookmarkStart w:id="1111" w:name="Tc_uG-7bATwLUyY-ZxiSr2hUg_1_5"/>
      <w:bookmarkStart w:id="1112" w:name="Tc_39kFYpbSW0iDBSMUT4l_vg_1_2"/>
      <w:bookmarkStart w:id="1113" w:name="_21080965_84d8_4292_b682_7df29f1ae308"/>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r>
        <w:rPr>
          <w:rFonts w:ascii="Times New Roman;Times;serif" w:hAnsi="Times New Roman;Times;serif"/>
          <w:b/>
          <w:sz w:val="20"/>
        </w:rPr>
        <w:t>Note 13. Additional Financial Statement Information</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Certain amounts on the unaudited condensed consolidated balance sheets are comprised of the following (in thousands):</w:t>
      </w:r>
    </w:p>
    <w:tbl>
      <w:tblPr>
        <w:tblW w:w="7150" w:type="dxa"/>
        <w:jc w:val="left"/>
        <w:tblInd w:w="0" w:type="dxa"/>
        <w:tblLayout w:type="fixed"/>
        <w:tblCellMar>
          <w:top w:w="0" w:type="dxa"/>
          <w:left w:w="0" w:type="dxa"/>
          <w:bottom w:w="0" w:type="dxa"/>
          <w:right w:w="0" w:type="dxa"/>
        </w:tblCellMar>
      </w:tblPr>
      <w:tblGrid>
        <w:gridCol w:w="4006"/>
        <w:gridCol w:w="326"/>
        <w:gridCol w:w="357"/>
        <w:gridCol w:w="934"/>
        <w:gridCol w:w="326"/>
        <w:gridCol w:w="260"/>
        <w:gridCol w:w="941"/>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543810" cy="175260"/>
                      <wp:effectExtent l="0" t="0" r="0" b="0"/>
                      <wp:wrapNone/>
                      <wp:docPr id="198" name="Frame197"/>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199"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26695" cy="175260"/>
                      <wp:effectExtent l="0" t="0" r="0" b="0"/>
                      <wp:wrapNone/>
                      <wp:docPr id="200" name="Frame199"/>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93090" cy="175260"/>
                      <wp:effectExtent l="0" t="0" r="0" b="0"/>
                      <wp:wrapNone/>
                      <wp:docPr id="201" name="Frame200"/>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2"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65100" cy="175260"/>
                      <wp:effectExtent l="0" t="0" r="0" b="0"/>
                      <wp:wrapNone/>
                      <wp:docPr id="203" name="Frame202"/>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97535" cy="175260"/>
                      <wp:effectExtent l="0" t="0" r="0" b="0"/>
                      <wp:wrapNone/>
                      <wp:docPr id="204" name="Frame203"/>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2023</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2022</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left"/>
              <w:rPr/>
            </w:pPr>
            <w:r>
              <w:rPr/>
              <w:t>​</w:t>
            </w:r>
          </w:p>
        </w:tc>
      </w:tr>
      <w:tr>
        <w:trPr/>
        <w:tc>
          <w:tcPr>
            <w:tcW w:w="400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Receivable for settlement proceeds from acquisitions</w:t>
            </w:r>
            <w:r>
              <w:rPr>
                <w:rFonts w:ascii="Times New Roman;Times;serif" w:hAnsi="Times New Roman;Times;serif"/>
                <w:i/>
                <w:sz w:val="14"/>
              </w:rPr>
              <w:t>(1)</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2,263</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Receivable for settlements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receivables</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insurance</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341</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743</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federal and state income taxes</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956</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subscription and licenses</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Carryback of EOR tax credit</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other</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844</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439</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2,765</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3,875</w:t>
            </w:r>
          </w:p>
        </w:tc>
      </w:tr>
      <w:tr>
        <w:trPr/>
        <w:tc>
          <w:tcPr>
            <w:tcW w:w="4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left"/>
              <w:rPr/>
            </w:pPr>
            <w:r>
              <w:rPr/>
              <w:t>​</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Other assets:</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left"/>
              <w:rPr/>
            </w:pPr>
            <w:r>
              <w:rPr/>
              <w:t>​</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Deposit</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1,158</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1,150</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Right of use asset under operating lease</w:t>
            </w:r>
          </w:p>
        </w:tc>
        <w:tc>
          <w:tcPr>
            <w:tcW w:w="326" w:type="dxa"/>
            <w:tcBorders/>
            <w:vAlign w:val="center"/>
          </w:tcPr>
          <w:p>
            <w:pPr>
              <w:pStyle w:val="TableContents"/>
              <w:bidi w:val="0"/>
              <w:spacing w:before="0" w:after="1"/>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1,353</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1,171</w:t>
            </w:r>
          </w:p>
        </w:tc>
      </w:tr>
      <w:tr>
        <w:trPr/>
        <w:tc>
          <w:tcPr>
            <w:tcW w:w="4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left"/>
              <w:rPr/>
            </w:pPr>
            <w:r>
              <w:rPr/>
              <w:t>​</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Accrued liabilities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left"/>
              <w:rPr/>
            </w:pPr>
            <w:r>
              <w:rPr/>
              <w:t>​</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payables</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6,013</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8,070</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capital expenditures</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454</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incentive and other compensation</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694</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626</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royalties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1,877</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1,517</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taxes other than income</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severance</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settlements on derivative contracts</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919</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due within one year</w:t>
            </w:r>
          </w:p>
        </w:tc>
        <w:tc>
          <w:tcPr>
            <w:tcW w:w="32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 other</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accrued liabilities and other</w:t>
            </w:r>
          </w:p>
        </w:tc>
        <w:tc>
          <w:tcPr>
            <w:tcW w:w="326" w:type="dxa"/>
            <w:tcBorders/>
            <w:vAlign w:val="center"/>
          </w:tcPr>
          <w:p>
            <w:pPr>
              <w:pStyle w:val="TableContents"/>
              <w:bidi w:val="0"/>
              <w:spacing w:before="0" w:after="1"/>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9,429</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11,893</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4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Receivables as of June 30, 2022 related to customary purchase adjustments of $1.6</w:t>
            </w:r>
            <w:r>
              <w:rPr>
                <w:caps w:val="false"/>
                <w:smallCaps w:val="false"/>
              </w:rPr>
              <w:t xml:space="preserve"> </w:t>
            </w:r>
            <w:r>
              <w:rPr>
                <w:rFonts w:ascii="Times New Roman;Times;serif" w:hAnsi="Times New Roman;Times;serif"/>
                <w:b w:val="false"/>
                <w:i w:val="false"/>
                <w:caps w:val="false"/>
                <w:smallCaps w:val="false"/>
                <w:sz w:val="20"/>
              </w:rPr>
              <w:t>million and $0.7</w:t>
            </w:r>
            <w:r>
              <w:rPr>
                <w:caps w:val="false"/>
                <w:smallCaps w:val="false"/>
              </w:rPr>
              <w:t xml:space="preserve"> </w:t>
            </w:r>
            <w:r>
              <w:rPr>
                <w:rFonts w:ascii="Times New Roman;Times;serif" w:hAnsi="Times New Roman;Times;serif"/>
                <w:b w:val="false"/>
                <w:i w:val="false"/>
                <w:caps w:val="false"/>
                <w:smallCaps w:val="false"/>
                <w:sz w:val="20"/>
              </w:rPr>
              <w:t xml:space="preserve">million related to the Jonah Field Acquisition and Williston Basin Acquisition, respectively. See Note 3, </w:t>
            </w:r>
            <w:r>
              <w:rPr/>
              <w:t>“</w:t>
            </w:r>
            <w:r>
              <w:rPr>
                <w:rFonts w:ascii="Times New Roman;Times;serif" w:hAnsi="Times New Roman;Times;serif"/>
                <w:b w:val="false"/>
                <w:i/>
                <w:sz w:val="20"/>
              </w:rPr>
              <w:t>Acquisitions”</w:t>
            </w:r>
            <w:r>
              <w:rPr>
                <w:caps w:val="false"/>
                <w:smallCaps w:val="false"/>
              </w:rPr>
              <w:t xml:space="preserve"> </w:t>
            </w:r>
            <w:r>
              <w:rPr>
                <w:rFonts w:ascii="Times New Roman;Times;serif" w:hAnsi="Times New Roman;Times;serif"/>
                <w:b w:val="false"/>
                <w:i w:val="false"/>
                <w:caps w:val="false"/>
                <w:smallCaps w:val="false"/>
                <w:sz w:val="20"/>
              </w:rPr>
              <w:t>for a further discussion.</w:t>
            </w:r>
          </w:p>
        </w:tc>
      </w:tr>
    </w:tbl>
    <w:p>
      <w:pPr>
        <w:pStyle w:val="TextBody"/>
        <w:bidi w:val="0"/>
        <w:spacing w:before="0" w:after="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14.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Operating leases are reflected as an operating lease right of use (“ROU”) asset included in “</w:t>
      </w:r>
      <w:r>
        <w:rPr>
          <w:rFonts w:ascii="Times New Roman;Times;serif" w:hAnsi="Times New Roman;Times;serif"/>
          <w:i/>
          <w:sz w:val="20"/>
        </w:rPr>
        <w:t>Other assets”</w:t>
      </w:r>
      <w:r>
        <w:rPr>
          <w:rFonts w:ascii="Times New Roman;Times;serif" w:hAnsi="Times New Roman;Times;serif"/>
          <w:sz w:val="20"/>
        </w:rPr>
        <w:t>, and as a ROU liability in “</w:t>
      </w:r>
      <w:r>
        <w:rPr>
          <w:rFonts w:ascii="Times New Roman;Times;serif" w:hAnsi="Times New Roman;Times;serif"/>
          <w:i/>
          <w:sz w:val="20"/>
        </w:rPr>
        <w:t>Accrued liabilities and other”</w:t>
      </w:r>
      <w:r>
        <w:rPr>
          <w:rFonts w:ascii="Times New Roman;Times;serif" w:hAnsi="Times New Roman;Times;serif"/>
          <w:sz w:val="20"/>
        </w:rPr>
        <w:t xml:space="preserve"> and “</w:t>
      </w:r>
      <w:r>
        <w:rPr>
          <w:rFonts w:ascii="Times New Roman;Times;serif" w:hAnsi="Times New Roman;Times;serif"/>
          <w:i/>
          <w:sz w:val="20"/>
        </w:rPr>
        <w:t>Operating lease liability”</w:t>
      </w:r>
      <w:r>
        <w:rPr>
          <w:rFonts w:ascii="Times New Roman;Times;serif" w:hAnsi="Times New Roman;Times;serif"/>
          <w:sz w:val="20"/>
        </w:rPr>
        <w:t xml:space="preserve"> on the Company’s unaudited condensed consolidated balance sheets. Operating lease ROU assets and liabilities are recognized at the commencement date of an arrangement based on the present value of lease payments over the lease term. In addition to the present value of lease payments, the operating lease ROU asset would also include any lease payments made to the lessor prior to lease commencement less any lease incentives and initial direct costs incurred, if any. Lease expense for operating lease payments is recognized on a straight-line basis over the lease term and are presented as “</w:t>
      </w:r>
      <w:r>
        <w:rPr>
          <w:rFonts w:ascii="Times New Roman;Times;serif" w:hAnsi="Times New Roman;Times;serif"/>
          <w:i/>
          <w:sz w:val="20"/>
        </w:rPr>
        <w:t>General and administrative expenses</w:t>
      </w:r>
      <w:r>
        <w:rPr>
          <w:rFonts w:ascii="Times New Roman;Times;serif" w:hAnsi="Times New Roman;Times;serif"/>
          <w:sz w:val="20"/>
        </w:rPr>
        <w:t>” in the unaudited condensed consolidated statements of operations. Certain leases have payment terms that vary based on the usage of the underlying assets. Variable lease payments are not included in ROU assets and lease liabilities. For all operating leases, lease and non-lease components are accounted for as a single lease component.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1114" w:name="Tc_vk3DJ4Jo80isYCb0P7_KcQ_5_7"/>
      <w:bookmarkStart w:id="1115" w:name="Tc_Xre332rkkU2H39z4RXCPsg_5_0"/>
      <w:bookmarkStart w:id="1116" w:name="Tc_ah15oS00A0ihZkxbDgP4Ug_4_0"/>
      <w:bookmarkStart w:id="1117" w:name="Tc_lvG6Ye-oQkWCnAQcXwu5nQ_3_6"/>
      <w:bookmarkStart w:id="1118" w:name="Tc_ynphJY-aR0CX3jIKqVYivQ_3_2"/>
      <w:bookmarkStart w:id="1119" w:name="Tc_TKpgY3NQ-EuURLDMR6-EKg_2_0"/>
      <w:bookmarkStart w:id="1120" w:name="Tc_0qRxHM2IGEKHeo9FfpGruw_1_6"/>
      <w:bookmarkStart w:id="1121" w:name="Tc_epTzP_aSJk6zNe2WAq66jg_1_2"/>
      <w:bookmarkStart w:id="1122" w:name="_f6f303b0_4d7e_42cf_a9af_1d3d1ddf36e0"/>
      <w:bookmarkStart w:id="1123" w:name="Tc_nkCdXQUMF02e_nV3Hv54kA_15_8"/>
      <w:bookmarkStart w:id="1124" w:name="Tc__0RMMRtHhEiGK6X5TdSzPw_15_4"/>
      <w:bookmarkStart w:id="1125" w:name="Tc_Y9MUGiAcr0qQjw0A0SmZKg_15_0"/>
      <w:bookmarkStart w:id="1126" w:name="Tc_Dtlxhtey3EWJfXqJvLAdhA_14_0"/>
      <w:bookmarkStart w:id="1127" w:name="Tc_uYvAXk-vl0WS_vxD38kCQg_13_7"/>
      <w:bookmarkStart w:id="1128" w:name="Tc_A5XXhfurUEanbBhjYmuayQ_13_6"/>
      <w:bookmarkStart w:id="1129" w:name="Tc_RsLm6dZG6k-ieNk3HZHEzA_13_2"/>
      <w:bookmarkStart w:id="1130" w:name="Tc__5cj1X7DRUiuEAkZinlbsA_13_0"/>
      <w:bookmarkStart w:id="1131" w:name="Tc_Xu7g67LrvkGhbtkLf2l76w_12_0"/>
      <w:bookmarkStart w:id="1132" w:name="Tc_rFqcxtayuUKawYbJprNeTg_10_6"/>
      <w:bookmarkStart w:id="1133" w:name="Tc_kdgkOFjw30SGEIt_Wy3Stg_10_2"/>
      <w:bookmarkStart w:id="1134" w:name="Tc_an6p2wnTC0KJySGFVQMi_A_10_0"/>
      <w:bookmarkStart w:id="1135" w:name="Tc_r3cNJu_9xEOTefmIwuYuXQ_9_0"/>
      <w:bookmarkStart w:id="1136" w:name="Tc_O1ZCcGAX10GpsGs1jEtDPA_8_0"/>
      <w:bookmarkStart w:id="1137" w:name="Tc_FFORP1rp-k-r4qHOC-XpXA_6_6"/>
      <w:bookmarkStart w:id="1138" w:name="Tc_OIQ0qUvEQka_-0ScNTccjg_6_2"/>
      <w:bookmarkStart w:id="1139" w:name="Tc_U7AJtjDCuk6UcWxr1f7Y2w_6_0"/>
      <w:bookmarkStart w:id="1140" w:name="Tc_ISiBGPVmfUmMyuDc0uvl3Q_5_0"/>
      <w:bookmarkStart w:id="1141" w:name="Tc_0sIHneptT0e6_oTkStU5oA_4_6"/>
      <w:bookmarkStart w:id="1142" w:name="Tc_OUoeEd5UjU6LCtzu_QodsQ_4_2"/>
      <w:bookmarkStart w:id="1143" w:name="Tc_gYHzBKMOWUi3ifA_kMuOPg_4_0"/>
      <w:bookmarkStart w:id="1144" w:name="Tc_AhqCMBwYl0O8g1rbnWIamg_3_0"/>
      <w:bookmarkStart w:id="1145" w:name="Tc_reCU3lKSlU-Y4po6ExfVzg_2_6"/>
      <w:bookmarkStart w:id="1146" w:name="Tc_TXQQ5MFh5U-BhJTMOs-xBA_2_2"/>
      <w:bookmarkStart w:id="1147" w:name="Tc_u6K2m81ikUWY7f57EJFyRw_1_2"/>
      <w:bookmarkStart w:id="1148" w:name="_787dfd7f_e098_4220_a139_ee8fa9377c72"/>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r>
        <w:rPr>
          <w:rFonts w:ascii="Times New Roman;Times;serif" w:hAnsi="Times New Roman;Times;serif"/>
          <w:sz w:val="20"/>
        </w:rPr>
        <w:t xml:space="preserve">As a non-operator and having adequate liquidity, the Company has generally not entered into lease transactions. The Company’s only operating lease is for corporate office space in Houston, Texas, effective May 1, 2019 and amended November 30, 2022 and set to expire September 30, 2026. The Company has no leases that meet the criteria for classification as a finance lease or a short-term lease.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makes certain assumptions and judgments when evaluating a contract that meets the definition of a lease under ASC 842, </w:t>
      </w:r>
      <w:r>
        <w:rPr>
          <w:rFonts w:ascii="Times New Roman;Times;serif" w:hAnsi="Times New Roman;Times;serif"/>
          <w:i/>
          <w:sz w:val="20"/>
        </w:rPr>
        <w:t>Leases</w:t>
      </w:r>
      <w:r>
        <w:rPr>
          <w:rFonts w:ascii="Times New Roman;Times;serif" w:hAnsi="Times New Roman;Times;serif"/>
          <w:sz w:val="20"/>
        </w:rPr>
        <w:t>. As the Company’s operating lease did not provide an implicit rate, an incremental borrowing rate was calculated using information available at the commencement date of the lease. The incremental borrowing rate for a lease is the rate of interest for which the Company would pay on a collateralized basis to borrow an amount equal to the lease payments under similar terms. The lease term was determined by considering any option available to extend or to early terminate the lease which the Company believed was reasonably certain to be exercised.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table below summarized the Company’s leases for the nine months ended March 31, 2023 and 2022 (in thousands, except years and discount rate):</w:t>
      </w:r>
    </w:p>
    <w:tbl>
      <w:tblPr>
        <w:tblW w:w="7989" w:type="dxa"/>
        <w:jc w:val="left"/>
        <w:tblInd w:w="0" w:type="dxa"/>
        <w:tblLayout w:type="fixed"/>
        <w:tblCellMar>
          <w:top w:w="0" w:type="dxa"/>
          <w:left w:w="0" w:type="dxa"/>
          <w:bottom w:w="0" w:type="dxa"/>
          <w:right w:w="0" w:type="dxa"/>
        </w:tblCellMar>
      </w:tblPr>
      <w:tblGrid>
        <w:gridCol w:w="5086"/>
        <w:gridCol w:w="326"/>
        <w:gridCol w:w="238"/>
        <w:gridCol w:w="513"/>
        <w:gridCol w:w="312"/>
        <w:gridCol w:w="397"/>
        <w:gridCol w:w="238"/>
        <w:gridCol w:w="513"/>
        <w:gridCol w:w="366"/>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229610" cy="175260"/>
                      <wp:effectExtent l="0" t="0" r="0" b="0"/>
                      <wp:wrapNone/>
                      <wp:docPr id="205" name="Frame204"/>
                      <a:graphic xmlns:a="http://schemas.openxmlformats.org/drawingml/2006/main">
                        <a:graphicData uri="http://schemas.microsoft.com/office/word/2010/wordprocessingShape">
                          <wps:wsp>
                            <wps:cNvSpPr txBox="1"/>
                            <wps:spPr>
                              <a:xfrm>
                                <a:off x="0" y="0"/>
                                <a:ext cx="3229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6"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51130" cy="175260"/>
                      <wp:effectExtent l="0" t="0" r="0" b="0"/>
                      <wp:wrapNone/>
                      <wp:docPr id="207" name="Frame20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25755" cy="175260"/>
                      <wp:effectExtent l="0" t="0" r="0" b="0"/>
                      <wp:wrapNone/>
                      <wp:docPr id="208" name="Frame207"/>
                      <a:graphic xmlns:a="http://schemas.openxmlformats.org/drawingml/2006/main">
                        <a:graphicData uri="http://schemas.microsoft.com/office/word/2010/wordprocessingShape">
                          <wps:wsp>
                            <wps:cNvSpPr txBox="1"/>
                            <wps:spPr>
                              <a:xfrm>
                                <a:off x="0" y="0"/>
                                <a:ext cx="325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98120" cy="175260"/>
                      <wp:effectExtent l="0" t="0" r="0" b="0"/>
                      <wp:wrapNone/>
                      <wp:docPr id="209" name="Frame208"/>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52095" cy="175260"/>
                      <wp:effectExtent l="0" t="0" r="0" b="0"/>
                      <wp:wrapNone/>
                      <wp:docPr id="210" name="Frame209"/>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51130" cy="175260"/>
                      <wp:effectExtent l="0" t="0" r="0" b="0"/>
                      <wp:wrapNone/>
                      <wp:docPr id="211" name="Frame210"/>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25755" cy="175260"/>
                      <wp:effectExtent l="0" t="0" r="0" b="0"/>
                      <wp:wrapNone/>
                      <wp:docPr id="212" name="Frame211"/>
                      <a:graphic xmlns:a="http://schemas.openxmlformats.org/drawingml/2006/main">
                        <a:graphicData uri="http://schemas.microsoft.com/office/word/2010/wordprocessingShape">
                          <wps:wsp>
                            <wps:cNvSpPr txBox="1"/>
                            <wps:spPr>
                              <a:xfrm>
                                <a:off x="0" y="0"/>
                                <a:ext cx="325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32410" cy="175260"/>
                      <wp:effectExtent l="0" t="0" r="0" b="0"/>
                      <wp:wrapNone/>
                      <wp:docPr id="213" name="Frame212"/>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7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 March 31, </w:t>
            </w:r>
          </w:p>
        </w:tc>
      </w:tr>
      <w:tr>
        <w:trPr/>
        <w:tc>
          <w:tcPr>
            <w:tcW w:w="508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06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97" w:type="dxa"/>
            <w:tcBorders/>
            <w:vAlign w:val="center"/>
          </w:tcPr>
          <w:p>
            <w:pPr>
              <w:pStyle w:val="TableContents"/>
              <w:bidi w:val="0"/>
              <w:spacing w:before="0" w:after="1"/>
              <w:ind w:left="0" w:right="0" w:hanging="0"/>
              <w:jc w:val="left"/>
              <w:rPr/>
            </w:pPr>
            <w:r>
              <w:rPr/>
              <w:t>    </w:t>
            </w:r>
          </w:p>
        </w:tc>
        <w:tc>
          <w:tcPr>
            <w:tcW w:w="1117"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xml:space="preserve">Statements of Operations: </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right"/>
              <w:rPr/>
            </w:pPr>
            <w:r>
              <w:rPr/>
              <w:t>​</w:t>
            </w:r>
          </w:p>
        </w:tc>
        <w:tc>
          <w:tcPr>
            <w:tcW w:w="312" w:type="dxa"/>
            <w:tcBorders/>
            <w:shd w:fill="CCEEFF" w:val="clear"/>
            <w:vAlign w:val="center"/>
          </w:tcPr>
          <w:p>
            <w:pPr>
              <w:pStyle w:val="TableContents"/>
              <w:bidi w:val="0"/>
              <w:spacing w:before="0" w:after="1"/>
              <w:ind w:left="0" w:right="0" w:hanging="0"/>
              <w:jc w:val="right"/>
              <w:rPr/>
            </w:pPr>
            <w:r>
              <w:rPr/>
              <w:t>​</w:t>
            </w:r>
          </w:p>
        </w:tc>
        <w:tc>
          <w:tcPr>
            <w:tcW w:w="397"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right"/>
              <w:rPr/>
            </w:pPr>
            <w:r>
              <w:rPr/>
              <w:t>​</w:t>
            </w:r>
          </w:p>
        </w:tc>
        <w:tc>
          <w:tcPr>
            <w:tcW w:w="366"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costs</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w:t>
            </w:r>
          </w:p>
        </w:tc>
        <w:tc>
          <w:tcPr>
            <w:tcW w:w="312" w:type="dxa"/>
            <w:tcBorders/>
            <w:vAlign w:val="center"/>
          </w:tcPr>
          <w:p>
            <w:pPr>
              <w:pStyle w:val="TableContents"/>
              <w:bidi w:val="0"/>
              <w:spacing w:before="0" w:after="1"/>
              <w:ind w:left="0" w:right="0" w:hanging="0"/>
              <w:jc w:val="right"/>
              <w:rPr/>
            </w:pPr>
            <w:r>
              <w:rPr/>
              <w:t>​</w:t>
            </w:r>
          </w:p>
        </w:tc>
        <w:tc>
          <w:tcPr>
            <w:tcW w:w="397"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w:t>
            </w:r>
          </w:p>
        </w:tc>
        <w:tc>
          <w:tcPr>
            <w:tcW w:w="366"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Variable lease costs</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w:t>
            </w:r>
          </w:p>
        </w:tc>
        <w:tc>
          <w:tcPr>
            <w:tcW w:w="312" w:type="dxa"/>
            <w:tcBorders/>
            <w:shd w:fill="CCEEFF" w:val="clear"/>
            <w:vAlign w:val="center"/>
          </w:tcPr>
          <w:p>
            <w:pPr>
              <w:pStyle w:val="TableContents"/>
              <w:bidi w:val="0"/>
              <w:spacing w:before="0" w:after="1"/>
              <w:ind w:left="0" w:right="0" w:hanging="0"/>
              <w:jc w:val="right"/>
              <w:rPr/>
            </w:pPr>
            <w:r>
              <w:rPr/>
              <w:t>​</w:t>
            </w:r>
          </w:p>
        </w:tc>
        <w:tc>
          <w:tcPr>
            <w:tcW w:w="397"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w:t>
            </w:r>
          </w:p>
        </w:tc>
        <w:tc>
          <w:tcPr>
            <w:tcW w:w="366"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lease costs</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w:t>
            </w:r>
          </w:p>
        </w:tc>
        <w:tc>
          <w:tcPr>
            <w:tcW w:w="312" w:type="dxa"/>
            <w:tcBorders/>
            <w:vAlign w:val="center"/>
          </w:tcPr>
          <w:p>
            <w:pPr>
              <w:pStyle w:val="TableContents"/>
              <w:bidi w:val="0"/>
              <w:spacing w:before="0" w:after="1"/>
              <w:ind w:left="0" w:right="0" w:hanging="0"/>
              <w:jc w:val="right"/>
              <w:rPr/>
            </w:pPr>
            <w:r>
              <w:rPr/>
              <w:t>​</w:t>
            </w:r>
          </w:p>
        </w:tc>
        <w:tc>
          <w:tcPr>
            <w:tcW w:w="397"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w:t>
            </w:r>
          </w:p>
        </w:tc>
        <w:tc>
          <w:tcPr>
            <w:tcW w:w="366"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right"/>
              <w:rPr/>
            </w:pPr>
            <w:r>
              <w:rPr/>
              <w:t>​</w:t>
            </w:r>
          </w:p>
        </w:tc>
        <w:tc>
          <w:tcPr>
            <w:tcW w:w="312" w:type="dxa"/>
            <w:tcBorders/>
            <w:shd w:fill="CCEEFF" w:val="clear"/>
            <w:vAlign w:val="center"/>
          </w:tcPr>
          <w:p>
            <w:pPr>
              <w:pStyle w:val="TableContents"/>
              <w:bidi w:val="0"/>
              <w:spacing w:before="0" w:after="1"/>
              <w:ind w:left="0" w:right="0" w:hanging="0"/>
              <w:jc w:val="right"/>
              <w:rPr/>
            </w:pPr>
            <w:r>
              <w:rPr/>
              <w:t>​</w:t>
            </w:r>
          </w:p>
        </w:tc>
        <w:tc>
          <w:tcPr>
            <w:tcW w:w="397"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right"/>
              <w:rPr/>
            </w:pPr>
            <w:r>
              <w:rPr/>
              <w:t>​</w:t>
            </w:r>
          </w:p>
        </w:tc>
        <w:tc>
          <w:tcPr>
            <w:tcW w:w="366"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Statements of Cash Flow:</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right"/>
              <w:rPr/>
            </w:pPr>
            <w:r>
              <w:rPr/>
              <w:t>​</w:t>
            </w:r>
          </w:p>
        </w:tc>
        <w:tc>
          <w:tcPr>
            <w:tcW w:w="312" w:type="dxa"/>
            <w:tcBorders/>
            <w:vAlign w:val="center"/>
          </w:tcPr>
          <w:p>
            <w:pPr>
              <w:pStyle w:val="TableContents"/>
              <w:bidi w:val="0"/>
              <w:spacing w:before="0" w:after="1"/>
              <w:ind w:left="0" w:right="0" w:hanging="0"/>
              <w:jc w:val="right"/>
              <w:rPr/>
            </w:pPr>
            <w:r>
              <w:rPr/>
              <w:t>​</w:t>
            </w:r>
          </w:p>
        </w:tc>
        <w:tc>
          <w:tcPr>
            <w:tcW w:w="397"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right"/>
              <w:rPr/>
            </w:pPr>
            <w:r>
              <w:rPr/>
              <w:t>​</w:t>
            </w:r>
          </w:p>
        </w:tc>
        <w:tc>
          <w:tcPr>
            <w:tcW w:w="366"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paid for amounts included in the measurement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right"/>
              <w:rPr/>
            </w:pPr>
            <w:r>
              <w:rPr/>
              <w:t>​</w:t>
            </w:r>
          </w:p>
        </w:tc>
        <w:tc>
          <w:tcPr>
            <w:tcW w:w="312" w:type="dxa"/>
            <w:tcBorders/>
            <w:shd w:fill="CCEEFF" w:val="clear"/>
            <w:vAlign w:val="center"/>
          </w:tcPr>
          <w:p>
            <w:pPr>
              <w:pStyle w:val="TableContents"/>
              <w:bidi w:val="0"/>
              <w:spacing w:before="0" w:after="1"/>
              <w:ind w:left="0" w:right="0" w:hanging="0"/>
              <w:jc w:val="right"/>
              <w:rPr/>
            </w:pPr>
            <w:r>
              <w:rPr/>
              <w:t>​</w:t>
            </w:r>
          </w:p>
        </w:tc>
        <w:tc>
          <w:tcPr>
            <w:tcW w:w="397"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right"/>
              <w:rPr/>
            </w:pPr>
            <w:r>
              <w:rPr/>
              <w:t>​</w:t>
            </w:r>
          </w:p>
        </w:tc>
        <w:tc>
          <w:tcPr>
            <w:tcW w:w="366"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cash flows from operating leases</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w:t>
            </w:r>
          </w:p>
        </w:tc>
        <w:tc>
          <w:tcPr>
            <w:tcW w:w="312" w:type="dxa"/>
            <w:tcBorders/>
            <w:vAlign w:val="center"/>
          </w:tcPr>
          <w:p>
            <w:pPr>
              <w:pStyle w:val="TableContents"/>
              <w:bidi w:val="0"/>
              <w:spacing w:before="0" w:after="1"/>
              <w:ind w:left="0" w:right="0" w:hanging="0"/>
              <w:jc w:val="right"/>
              <w:rPr/>
            </w:pPr>
            <w:r>
              <w:rPr/>
              <w:t>​</w:t>
            </w:r>
          </w:p>
        </w:tc>
        <w:tc>
          <w:tcPr>
            <w:tcW w:w="397"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w:t>
            </w:r>
          </w:p>
        </w:tc>
        <w:tc>
          <w:tcPr>
            <w:tcW w:w="366"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right"/>
              <w:rPr/>
            </w:pPr>
            <w:r>
              <w:rPr/>
              <w:t>​</w:t>
            </w:r>
          </w:p>
        </w:tc>
        <w:tc>
          <w:tcPr>
            <w:tcW w:w="312" w:type="dxa"/>
            <w:tcBorders/>
            <w:shd w:fill="CCEEFF" w:val="clear"/>
            <w:vAlign w:val="center"/>
          </w:tcPr>
          <w:p>
            <w:pPr>
              <w:pStyle w:val="TableContents"/>
              <w:bidi w:val="0"/>
              <w:spacing w:before="0" w:after="1"/>
              <w:ind w:left="0" w:right="0" w:hanging="0"/>
              <w:jc w:val="right"/>
              <w:rPr/>
            </w:pPr>
            <w:r>
              <w:rPr/>
              <w:t>​</w:t>
            </w:r>
          </w:p>
        </w:tc>
        <w:tc>
          <w:tcPr>
            <w:tcW w:w="397"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right"/>
              <w:rPr/>
            </w:pPr>
            <w:r>
              <w:rPr/>
              <w:t>​</w:t>
            </w:r>
          </w:p>
        </w:tc>
        <w:tc>
          <w:tcPr>
            <w:tcW w:w="366"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Other:</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right"/>
              <w:rPr/>
            </w:pPr>
            <w:r>
              <w:rPr/>
              <w:t>​</w:t>
            </w:r>
          </w:p>
        </w:tc>
        <w:tc>
          <w:tcPr>
            <w:tcW w:w="312" w:type="dxa"/>
            <w:tcBorders/>
            <w:vAlign w:val="center"/>
          </w:tcPr>
          <w:p>
            <w:pPr>
              <w:pStyle w:val="TableContents"/>
              <w:bidi w:val="0"/>
              <w:spacing w:before="0" w:after="1"/>
              <w:ind w:left="0" w:right="0" w:hanging="0"/>
              <w:jc w:val="right"/>
              <w:rPr/>
            </w:pPr>
            <w:r>
              <w:rPr/>
              <w:t>​</w:t>
            </w:r>
          </w:p>
        </w:tc>
        <w:tc>
          <w:tcPr>
            <w:tcW w:w="397"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right"/>
              <w:rPr/>
            </w:pPr>
            <w:r>
              <w:rPr/>
              <w:t>​</w:t>
            </w:r>
          </w:p>
        </w:tc>
        <w:tc>
          <w:tcPr>
            <w:tcW w:w="366"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ROU assets obtained in exchange for new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w:t>
            </w:r>
          </w:p>
        </w:tc>
        <w:tc>
          <w:tcPr>
            <w:tcW w:w="312" w:type="dxa"/>
            <w:tcBorders/>
            <w:shd w:fill="CCEEFF" w:val="clear"/>
            <w:vAlign w:val="center"/>
          </w:tcPr>
          <w:p>
            <w:pPr>
              <w:pStyle w:val="TableContents"/>
              <w:bidi w:val="0"/>
              <w:spacing w:before="0" w:after="1"/>
              <w:ind w:left="0" w:right="0" w:hanging="0"/>
              <w:jc w:val="right"/>
              <w:rPr/>
            </w:pPr>
            <w:r>
              <w:rPr/>
              <w:t>​</w:t>
            </w:r>
          </w:p>
        </w:tc>
        <w:tc>
          <w:tcPr>
            <w:tcW w:w="397"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3" w:type="dxa"/>
            <w:tcBorders/>
            <w:shd w:fill="CCEEFF" w:val="clear"/>
            <w:vAlign w:val="center"/>
          </w:tcPr>
          <w:p>
            <w:pPr>
              <w:pStyle w:val="TableContents"/>
              <w:bidi w:val="0"/>
              <w:spacing w:before="0" w:after="1"/>
              <w:ind w:left="0" w:right="0" w:hanging="0"/>
              <w:jc w:val="right"/>
              <w:rPr/>
            </w:pPr>
            <w:r>
              <w:rPr/>
              <w:t>—</w:t>
            </w:r>
          </w:p>
        </w:tc>
        <w:tc>
          <w:tcPr>
            <w:tcW w:w="366"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remaining lease term in years</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w:t>
            </w:r>
          </w:p>
        </w:tc>
        <w:tc>
          <w:tcPr>
            <w:tcW w:w="312" w:type="dxa"/>
            <w:tcBorders/>
            <w:vAlign w:val="center"/>
          </w:tcPr>
          <w:p>
            <w:pPr>
              <w:pStyle w:val="TableContents"/>
              <w:bidi w:val="0"/>
              <w:spacing w:before="0" w:after="1"/>
              <w:ind w:left="0" w:right="0" w:hanging="0"/>
              <w:jc w:val="right"/>
              <w:rPr/>
            </w:pPr>
            <w:r>
              <w:rPr/>
              <w:t>​</w:t>
            </w:r>
          </w:p>
        </w:tc>
        <w:tc>
          <w:tcPr>
            <w:tcW w:w="397"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5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0.67</w:t>
            </w:r>
          </w:p>
        </w:tc>
        <w:tc>
          <w:tcPr>
            <w:tcW w:w="366"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discount rate</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6.44</w:t>
            </w:r>
          </w:p>
        </w:tc>
        <w:tc>
          <w:tcPr>
            <w:tcW w:w="31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397"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5.15</w:t>
            </w:r>
          </w:p>
        </w:tc>
        <w:tc>
          <w:tcPr>
            <w:tcW w:w="36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ROU assets and lease liabilities (in thousands):</w:t>
      </w:r>
    </w:p>
    <w:p>
      <w:pPr>
        <w:pStyle w:val="TextBody"/>
        <w:bidi w:val="0"/>
        <w:spacing w:before="0" w:after="240"/>
        <w:ind w:left="0" w:right="0" w:hanging="0"/>
        <w:jc w:val="left"/>
        <w:rPr/>
      </w:pPr>
      <w:r>
        <w:rPr/>
        <w:t>​</w:t>
      </w:r>
    </w:p>
    <w:tbl>
      <w:tblPr>
        <w:tblW w:w="6675" w:type="dxa"/>
        <w:jc w:val="left"/>
        <w:tblInd w:w="0" w:type="dxa"/>
        <w:tblLayout w:type="fixed"/>
        <w:tblCellMar>
          <w:top w:w="0" w:type="dxa"/>
          <w:left w:w="0" w:type="dxa"/>
          <w:bottom w:w="0" w:type="dxa"/>
          <w:right w:w="0" w:type="dxa"/>
        </w:tblCellMar>
      </w:tblPr>
      <w:tblGrid>
        <w:gridCol w:w="3856"/>
        <w:gridCol w:w="109"/>
        <w:gridCol w:w="442"/>
        <w:gridCol w:w="849"/>
        <w:gridCol w:w="109"/>
        <w:gridCol w:w="109"/>
        <w:gridCol w:w="363"/>
        <w:gridCol w:w="838"/>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448560" cy="175260"/>
                      <wp:effectExtent l="0" t="0" r="0" b="0"/>
                      <wp:wrapNone/>
                      <wp:docPr id="214" name="Frame213"/>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5"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80670" cy="175260"/>
                      <wp:effectExtent l="0" t="0" r="0" b="0"/>
                      <wp:wrapNone/>
                      <wp:docPr id="216" name="Frame21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39115" cy="175260"/>
                      <wp:effectExtent l="0" t="0" r="0" b="0"/>
                      <wp:wrapNone/>
                      <wp:docPr id="217" name="Frame216"/>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18"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19"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30505" cy="175260"/>
                      <wp:effectExtent l="0" t="0" r="0" b="0"/>
                      <wp:wrapNone/>
                      <wp:docPr id="220" name="Frame219"/>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32130" cy="175260"/>
                      <wp:effectExtent l="0" t="0" r="0" b="0"/>
                      <wp:wrapNone/>
                      <wp:docPr id="221" name="Frame220"/>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2023</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2022</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Sheets:</w:t>
            </w:r>
          </w:p>
        </w:tc>
        <w:tc>
          <w:tcPr>
            <w:tcW w:w="10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Operating lease ROU asset (included in other assets)</w:t>
            </w:r>
          </w:p>
        </w:tc>
        <w:tc>
          <w:tcPr>
            <w:tcW w:w="10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liabilities and other - current</w:t>
            </w:r>
          </w:p>
        </w:tc>
        <w:tc>
          <w:tcPr>
            <w:tcW w:w="10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liability - long-term</w:t>
            </w:r>
          </w:p>
        </w:tc>
        <w:tc>
          <w:tcPr>
            <w:tcW w:w="10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rFonts w:ascii="Times New Roman;Times;serif" w:hAnsi="Times New Roman;Times;serif"/>
          <w:sz w:val="20"/>
        </w:rPr>
      </w:pPr>
      <w:bookmarkStart w:id="1149" w:name="Tc_NJgQrDIVJkaH7vn6ys1s3g_12_2"/>
      <w:bookmarkStart w:id="1150" w:name="Tc_FomVIGvpcUWrs7LF7CR2lA_12_0"/>
      <w:bookmarkStart w:id="1151" w:name="Tc_41ktr5rt20qzRgWnhWeutA_11_0"/>
      <w:bookmarkStart w:id="1152" w:name="Tc_MT4kVtCFmkOuPPgCW3bA9A_10_0"/>
      <w:bookmarkStart w:id="1153" w:name="Tc_RjxuU6P_ZEyzUcqD-E9Jrg_9_0"/>
      <w:bookmarkStart w:id="1154" w:name="Tc_WtCQkIArIkKiWxius19_gw_8_0"/>
      <w:bookmarkStart w:id="1155" w:name="Tc_2meoin2zQkmQw-8_7SJSbg_7_0"/>
      <w:bookmarkStart w:id="1156" w:name="Tc_UurMp8QFHkGoFby6OfunFg_6_0"/>
      <w:bookmarkStart w:id="1157" w:name="Tc_wjbzoYLW_0SuDiHCiR3vsA_5_0"/>
      <w:bookmarkStart w:id="1158" w:name="Tc_MefLS4sIpk23xsHSqhlv0Q_4_0"/>
      <w:bookmarkStart w:id="1159" w:name="Tc_1HGIrK8N6k-_99nLHqPKqA_3_0"/>
      <w:bookmarkStart w:id="1160" w:name="Tc_CMYpD3VjfE-cTg9H1mw08Q_2_2"/>
      <w:bookmarkStart w:id="1161" w:name="Tc_clcfqWbIiEeMx5fXioNTOg_2_0"/>
      <w:bookmarkStart w:id="1162" w:name="Tc_sJ6Ss95BV0GUhbVLX8dzwQ_1_2"/>
      <w:bookmarkStart w:id="1163" w:name="Tc_SzJXrd2L10e6_zzOBqUoYA_1_0"/>
      <w:bookmarkStart w:id="1164" w:name="_fa3ef174_b9ff_42fe_9995_64e966a5162c"/>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r>
        <w:rPr>
          <w:rFonts w:ascii="Times New Roman;Times;serif" w:hAnsi="Times New Roman;Times;serif"/>
          <w:sz w:val="20"/>
        </w:rPr>
        <w:t>As of March 31, 2023, the future minimum lease payments associated with the Company’s non-cancellable operating lease for office space are as follows (in thousands):</w:t>
      </w:r>
    </w:p>
    <w:p>
      <w:pPr>
        <w:pStyle w:val="TextBody"/>
        <w:bidi w:val="0"/>
        <w:spacing w:before="0" w:after="240"/>
        <w:ind w:left="0" w:right="0" w:hanging="0"/>
        <w:jc w:val="left"/>
        <w:rPr/>
      </w:pPr>
      <w:r>
        <w:rPr/>
        <w:t>​</w:t>
      </w:r>
    </w:p>
    <w:tbl>
      <w:tblPr>
        <w:tblW w:w="4468" w:type="dxa"/>
        <w:jc w:val="left"/>
        <w:tblInd w:w="0" w:type="dxa"/>
        <w:tblLayout w:type="fixed"/>
        <w:tblCellMar>
          <w:top w:w="0" w:type="dxa"/>
          <w:left w:w="0" w:type="dxa"/>
          <w:bottom w:w="0" w:type="dxa"/>
          <w:right w:w="0" w:type="dxa"/>
        </w:tblCellMar>
      </w:tblPr>
      <w:tblGrid>
        <w:gridCol w:w="2806"/>
        <w:gridCol w:w="326"/>
        <w:gridCol w:w="386"/>
        <w:gridCol w:w="950"/>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781810" cy="175260"/>
                      <wp:effectExtent l="0" t="0" r="0" b="0"/>
                      <wp:wrapNone/>
                      <wp:docPr id="222" name="Frame221"/>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3"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45110" cy="175260"/>
                      <wp:effectExtent l="0" t="0" r="0" b="0"/>
                      <wp:wrapNone/>
                      <wp:docPr id="224" name="Frame22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03250" cy="175260"/>
                      <wp:effectExtent l="0" t="0" r="0" b="0"/>
                      <wp:wrapNone/>
                      <wp:docPr id="225" name="Frame224"/>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Fiscal Year</w:t>
            </w:r>
          </w:p>
        </w:tc>
        <w:tc>
          <w:tcPr>
            <w:tcW w:w="326" w:type="dxa"/>
            <w:tcBorders/>
            <w:vAlign w:val="center"/>
          </w:tcPr>
          <w:p>
            <w:pPr>
              <w:pStyle w:val="TableContents"/>
              <w:bidi w:val="0"/>
              <w:spacing w:before="0" w:after="1"/>
              <w:ind w:left="0" w:right="0" w:hanging="0"/>
              <w:jc w:val="left"/>
              <w:rPr/>
            </w:pPr>
            <w:r>
              <w:rPr/>
              <w:t>    </w:t>
            </w:r>
          </w:p>
        </w:tc>
        <w:tc>
          <w:tcPr>
            <w:tcW w:w="13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2023</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Remaining in 2023</w:t>
            </w:r>
          </w:p>
        </w:tc>
        <w:tc>
          <w:tcPr>
            <w:tcW w:w="32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2024</w:t>
            </w:r>
          </w:p>
        </w:tc>
        <w:tc>
          <w:tcPr>
            <w:tcW w:w="326"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2026</w:t>
            </w:r>
          </w:p>
        </w:tc>
        <w:tc>
          <w:tcPr>
            <w:tcW w:w="326"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Thereafter</w:t>
            </w:r>
          </w:p>
        </w:tc>
        <w:tc>
          <w:tcPr>
            <w:tcW w:w="326" w:type="dxa"/>
            <w:tcBorders/>
            <w:vAlign w:val="center"/>
          </w:tcPr>
          <w:p>
            <w:pPr>
              <w:pStyle w:val="TableContents"/>
              <w:bidi w:val="0"/>
              <w:spacing w:before="0" w:after="1"/>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discount to present value</w:t>
            </w:r>
          </w:p>
        </w:tc>
        <w:tc>
          <w:tcPr>
            <w:tcW w:w="326" w:type="dxa"/>
            <w:tcBorders/>
            <w:vAlign w:val="center"/>
          </w:tcPr>
          <w:p>
            <w:pPr>
              <w:pStyle w:val="TableContents"/>
              <w:bidi w:val="0"/>
              <w:spacing w:before="0" w:after="1"/>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current operating lease liabilities</w:t>
            </w:r>
          </w:p>
        </w:tc>
        <w:tc>
          <w:tcPr>
            <w:tcW w:w="326" w:type="dxa"/>
            <w:tcBorders/>
            <w:vAlign w:val="center"/>
          </w:tcPr>
          <w:p>
            <w:pPr>
              <w:pStyle w:val="TableContents"/>
              <w:bidi w:val="0"/>
              <w:spacing w:before="0" w:after="1"/>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 current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137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15. Subsequent Events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Dividend Declaration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May 8, 2023, the Company declared a quarterly cash dividend of $0.120 per share of common stock to shareholders of record on June 15, 2023 and payable on June 30, 2023.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Senior Secured Credit Facility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5, 2023, the Company entered into the Tenth Amendment to the Senior Secured Credit Facility. This amendment, among </w:t>
      </w:r>
      <w:r>
        <w:rPr>
          <w:rFonts w:ascii="Times New Roman;Times;serif" w:hAnsi="Times New Roman;Times;serif"/>
          <w:sz w:val="20"/>
          <w:shd w:fill="FFFFFF" w:val="clear"/>
        </w:rPr>
        <w:t>other things, extends the maturity of the Senior Secured Credit Facility to April 9, 2026, converts the benchmark interest rate from LIBOR to SOFR plus a credit spread adjustment of 0.05%, and modifies the Margined Collateral Value, as defined in the Ninth Amendment to the Senior Secured Credit Facility, to $95.0 million.</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65" w:name="Item_2_MDA"/>
      <w:bookmarkStart w:id="1166" w:name="Item7ManagementsDiscussionandAnalysisofF"/>
      <w:bookmarkStart w:id="1167" w:name="_a9d5874b_9e7f_43e7_81ab_200551f06474"/>
      <w:bookmarkEnd w:id="1165"/>
      <w:bookmarkEnd w:id="1166"/>
      <w:bookmarkEnd w:id="1167"/>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720" w:right="0" w:hanging="0"/>
        <w:jc w:val="left"/>
        <w:rPr/>
      </w:pPr>
      <w:hyperlink w:anchor="ExecutiveOverview_460502">
        <w:r>
          <w:rPr>
            <w:rStyle w:val="InternetLink"/>
            <w:rFonts w:ascii="Times New Roman;Times;serif" w:hAnsi="Times New Roman;Times;serif"/>
            <w:b w:val="false"/>
            <w:i w:val="false"/>
            <w:caps w:val="false"/>
            <w:smallCaps w:val="false"/>
            <w:sz w:val="20"/>
          </w:rPr>
          <w:t>Executive Overview</w:t>
        </w:r>
      </w:hyperlink>
    </w:p>
    <w:p>
      <w:pPr>
        <w:pStyle w:val="TextBody"/>
        <w:bidi w:val="0"/>
        <w:spacing w:before="0" w:after="240"/>
        <w:ind w:left="720" w:right="0" w:hanging="0"/>
        <w:jc w:val="left"/>
        <w:rPr/>
      </w:pPr>
      <w:hyperlink w:anchor="LiquidityandCapitalResources">
        <w:r>
          <w:rPr>
            <w:rStyle w:val="InternetLink"/>
            <w:rFonts w:ascii="Times New Roman;Times;serif" w:hAnsi="Times New Roman;Times;serif"/>
            <w:b w:val="false"/>
            <w:i w:val="false"/>
            <w:caps w:val="false"/>
            <w:smallCaps w:val="false"/>
            <w:sz w:val="20"/>
          </w:rPr>
          <w:t>Liquidity and Capital Resources</w:t>
        </w:r>
      </w:hyperlink>
    </w:p>
    <w:p>
      <w:pPr>
        <w:pStyle w:val="TextBody"/>
        <w:bidi w:val="0"/>
        <w:spacing w:before="0" w:after="240"/>
        <w:ind w:left="720" w:right="0" w:hanging="0"/>
        <w:jc w:val="left"/>
        <w:rPr/>
      </w:pPr>
      <w:hyperlink w:anchor="ResultsofOperations">
        <w:bookmarkStart w:id="1168" w:name="_Results_of_Operations"/>
        <w:bookmarkEnd w:id="1168"/>
        <w:r>
          <w:rPr>
            <w:rStyle w:val="InternetLink"/>
            <w:rFonts w:ascii="Times New Roman;Times;serif" w:hAnsi="Times New Roman;Times;serif"/>
            <w:b w:val="false"/>
            <w:i w:val="false"/>
            <w:caps w:val="false"/>
            <w:smallCaps w:val="false"/>
            <w:sz w:val="20"/>
          </w:rPr>
          <w:t>Results of Operations</w:t>
        </w:r>
      </w:hyperlink>
    </w:p>
    <w:p>
      <w:pPr>
        <w:pStyle w:val="TextBody"/>
        <w:bidi w:val="0"/>
        <w:spacing w:before="0" w:after="240"/>
        <w:ind w:left="720" w:right="0" w:hanging="0"/>
        <w:jc w:val="left"/>
        <w:rPr/>
      </w:pPr>
      <w:hyperlink w:anchor="CriticalAccountingPoliciesandEstimates">
        <w:bookmarkStart w:id="1169" w:name="_Critical_Accounting_Policies"/>
        <w:bookmarkEnd w:id="1169"/>
        <w:r>
          <w:rPr>
            <w:rStyle w:val="InternetLink"/>
            <w:rFonts w:ascii="Times New Roman;Times;serif" w:hAnsi="Times New Roman;Times;serif"/>
            <w:b w:val="false"/>
            <w:i w:val="false"/>
            <w:caps w:val="false"/>
            <w:smallCaps w:val="false"/>
            <w:sz w:val="20"/>
          </w:rPr>
          <w:t>Critical Accounting Policies</w:t>
        </w:r>
      </w:hyperlink>
    </w:p>
    <w:p>
      <w:pPr>
        <w:pStyle w:val="TextBody"/>
        <w:bidi w:val="0"/>
        <w:spacing w:before="0" w:after="240"/>
        <w:ind w:left="765" w:right="0" w:hanging="0"/>
        <w:jc w:val="left"/>
        <w:rPr>
          <w:rFonts w:ascii="Times New Roman;Times;serif" w:hAnsi="Times New Roman;Times;serif"/>
          <w:b/>
          <w:sz w:val="20"/>
        </w:rPr>
      </w:pPr>
      <w:r>
        <w:rPr>
          <w:rFonts w:ascii="Times New Roman;Times;serif" w:hAnsi="Times New Roman;Times;serif"/>
          <w:b/>
          <w:sz w:val="20"/>
        </w:rPr>
        <w:t>Commonly Used Terms</w:t>
      </w:r>
    </w:p>
    <w:p>
      <w:pPr>
        <w:pStyle w:val="TextBody"/>
        <w:bidi w:val="0"/>
        <w:spacing w:before="0" w:after="240"/>
        <w:ind w:left="810" w:right="0" w:hanging="0"/>
        <w:jc w:val="left"/>
        <w:rPr/>
      </w:pPr>
      <w:r>
        <w:rPr/>
        <w:t>“</w:t>
      </w:r>
      <w:r>
        <w:rPr>
          <w:rFonts w:ascii="Times New Roman;Times;serif" w:hAnsi="Times New Roman;Times;serif"/>
          <w:i/>
          <w:sz w:val="20"/>
        </w:rPr>
        <w:t>Current quarter” refers to the three months ended March 31, 2023, our third quarter of fiscal year 2023.</w:t>
      </w:r>
    </w:p>
    <w:p>
      <w:pPr>
        <w:pStyle w:val="TextBody"/>
        <w:bidi w:val="0"/>
        <w:spacing w:before="0" w:after="240"/>
        <w:ind w:left="810" w:right="0" w:hanging="0"/>
        <w:jc w:val="left"/>
        <w:rPr/>
      </w:pPr>
      <w:r>
        <w:rPr/>
        <w:t>“</w:t>
      </w:r>
      <w:r>
        <w:rPr>
          <w:rFonts w:ascii="Times New Roman;Times;serif" w:hAnsi="Times New Roman;Times;serif"/>
          <w:i/>
          <w:sz w:val="20"/>
        </w:rPr>
        <w:t>Year-ago quarter” refers to the three months ended March 31, 2022, our third quarter of fiscal year 2022.</w:t>
      </w:r>
    </w:p>
    <w:p>
      <w:pPr>
        <w:pStyle w:val="TextBody"/>
        <w:bidi w:val="0"/>
        <w:spacing w:before="0" w:after="240"/>
        <w:ind w:left="0" w:right="0" w:hanging="0"/>
        <w:jc w:val="center"/>
        <w:rPr>
          <w:rFonts w:ascii="Times New Roman;Times;serif" w:hAnsi="Times New Roman;Times;serif"/>
          <w:b/>
          <w:sz w:val="20"/>
        </w:rPr>
      </w:pPr>
      <w:bookmarkStart w:id="1170" w:name="ExecutiveOverview_460502"/>
      <w:bookmarkEnd w:id="1170"/>
      <w:r>
        <w:rPr>
          <w:rFonts w:ascii="Times New Roman;Times;serif" w:hAnsi="Times New Roman;Times;serif"/>
          <w:b/>
          <w:sz w:val="20"/>
        </w:rPr>
        <w:t>Executive Overview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Evolution Petroleum Corporation is an independent energy company focused on maximizing total returns to its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enhancements, and other exploitation efforts on our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oil and natural gas properties consist of non-operated </w:t>
      </w:r>
      <w:r>
        <w:rPr>
          <w:rFonts w:ascii="Times New Roman;Times;serif" w:hAnsi="Times New Roman;Times;serif"/>
          <w:color w:val="333333"/>
          <w:sz w:val="20"/>
        </w:rPr>
        <w:t xml:space="preserve">interests in the following areas: the Jonah </w:t>
      </w:r>
      <w:r>
        <w:rPr>
          <w:rFonts w:ascii="Times New Roman;Times;serif" w:hAnsi="Times New Roman;Times;serif"/>
          <w:sz w:val="20"/>
        </w:rPr>
        <w:t>Field in Sublette County, Wyoming; the Williston Basin in North Dakota; the Barnett Shale located in North Texas; the Hamilton Dome Field located in Hot Springs County, Wyoming; the Delhi Holt-Bryant Unit in the Delhi Field in Northeast Louisiana; as well as small overriding royalty interests in four onshore central Texas wells.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interests in the Jonah Field, a natural gas and natural gas liquids producing property in Sublette County, Wyoming, consist of an approximately 20% average net working interest with an associated 15% average net revenue interest in 595 producing wells and 950 net acres. The properties are operated by Jonah Energy (“Jonah”), an established operator in the region.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interests in the Williston Basin, producing oil and natural gas properties, consist of an approximately 39% average net working interest with an associated 33% average net revenue interest in 73 producing wells located on approximately 45,000 net acres (approximately 90% held by production) across Billings, Golden Valley, and McKenzie Counties in North Dakota. The properties are primarily operated by Foundation Energy Management (“Foundation”), an established operator in the region.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interests in the Barnett Shale, natural gas and natural gas liquids producing properties, consist of an approximately 17% average net working interest with an associated 14% average net revenue interest (inclusive of small overriding royalty interests). The approximately 21,000 net acres are held by production across nine North Texas counties. The properties are primarily operated by Diversified Energy Company with approximately 10% of wells operated by seven other operators.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interests in the Hamilton Dome Field, a secondary oil recovery field utilizing water injection wells to pressurize the reservoir, consist of an approximately 24% average net working interest, with an associated 20% average net revenue interest (inclusive of a small overriding royalty interest). The approximately 5,900 gross acre unitized field, of which we hold approximately 1,400 net acres, is operated by Merit Energy Company (“Merit”), who owns the vast majority of the remaining working interest in the Hamilton Dome Field. The Hamilton Dome Field is located in the southwest region of the Big Horn Basin in northwest Wyoming.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interests in the Delhi Field, a CO</w:t>
      </w:r>
      <w:r>
        <w:rPr>
          <w:rFonts w:ascii="Times New Roman;Times;serif" w:hAnsi="Times New Roman;Times;serif"/>
          <w:sz w:val="15"/>
        </w:rPr>
        <w:t>2</w:t>
      </w:r>
      <w:r>
        <w:rPr>
          <w:rFonts w:ascii="Times New Roman;Times;serif" w:hAnsi="Times New Roman;Times;serif"/>
          <w:sz w:val="20"/>
        </w:rPr>
        <w:t>-EOR project, consist of approximately 24% average net working interest, with an associated 19% revenue interest and separate overriding royalty and mineral interests of approximately 7% yielding a total average net revenue interest of approximately 26%. The field is operated by Denbury Onshore LLC (“Denbury”). The Delhi Field is located in northeast Louisiana in Franklin, Madison, and Richland Parishes and encompasses approximately 14,000 gross unitized acres, or approximately 3,200 net acres.</w:t>
      </w:r>
    </w:p>
    <w:p>
      <w:pPr>
        <w:pStyle w:val="TextBody"/>
        <w:bidi w:val="0"/>
        <w:spacing w:lineRule="auto" w:line="343" w:before="0" w:after="0"/>
        <w:ind w:left="0" w:right="0" w:hanging="0"/>
        <w:jc w:val="both"/>
        <w:rPr>
          <w:rFonts w:ascii="Times New Roman;Times;serif" w:hAnsi="Times New Roman;Times;serif"/>
          <w:b/>
          <w:sz w:val="20"/>
        </w:rPr>
      </w:pPr>
      <w:bookmarkStart w:id="1171" w:name="_Hlk113686258"/>
      <w:bookmarkEnd w:id="1171"/>
      <w:r>
        <w:rPr>
          <w:rFonts w:ascii="Times New Roman;Times;serif" w:hAnsi="Times New Roman;Times;serif"/>
          <w:b/>
          <w:sz w:val="20"/>
        </w:rPr>
        <w:t>Recent Developments</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hanging="0"/>
        <w:jc w:val="both"/>
        <w:rPr>
          <w:rFonts w:ascii="Times New Roman;Times;serif" w:hAnsi="Times New Roman;Times;serif"/>
          <w:b/>
          <w:i/>
          <w:sz w:val="20"/>
        </w:rPr>
      </w:pPr>
      <w:bookmarkStart w:id="1172" w:name="_Hlk113687433"/>
      <w:bookmarkEnd w:id="1172"/>
      <w:r>
        <w:rPr>
          <w:rFonts w:ascii="Times New Roman;Times;serif" w:hAnsi="Times New Roman;Times;serif"/>
          <w:b/>
          <w:i/>
          <w:sz w:val="20"/>
        </w:rPr>
        <w:t>Senior Secured Credit Facility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5, 2023, we entered into the Tenth Amendment to the Senior Secured Credit Facility. This amendment, among </w:t>
      </w:r>
      <w:r>
        <w:rPr>
          <w:rFonts w:ascii="Times New Roman;Times;serif" w:hAnsi="Times New Roman;Times;serif"/>
          <w:sz w:val="20"/>
          <w:shd w:fill="FFFFFF" w:val="clear"/>
        </w:rPr>
        <w:t>other things, extends the maturity of our Senior Secured Credit Facility to April 9, 2026, converts our benchmark interest rate from London Interbank Offered Rate (LIBOR) to a Secured Overnight Financing Rate (SOFR) plus a credit spread adjustment of 0.05%, and modifies the Margined Collateral Value, as defined in the Ninth Amendment to the Senior Secured Credit Facility, to $95.0 million.</w:t>
      </w:r>
      <w:r>
        <w:rPr>
          <w:rFonts w:ascii="Times New Roman;Times;serif" w:hAnsi="Times New Roman;Times;serif"/>
          <w:sz w:val="20"/>
        </w:rPr>
        <w:t xml:space="preserve"> </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hanging="0"/>
        <w:jc w:val="both"/>
        <w:rPr>
          <w:rFonts w:ascii="Times New Roman;Times;serif" w:hAnsi="Times New Roman;Times;serif"/>
          <w:b/>
          <w:i/>
          <w:sz w:val="20"/>
        </w:rPr>
      </w:pPr>
      <w:r>
        <w:rPr>
          <w:rFonts w:ascii="Times New Roman;Times;serif" w:hAnsi="Times New Roman;Times;serif"/>
          <w:b/>
          <w:i/>
          <w:sz w:val="20"/>
        </w:rPr>
        <w:t>Appointment of Chief Operating Officer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February 23, 2023, we announced that the Board of Directors appointed </w:t>
      </w:r>
      <w:r>
        <w:rPr>
          <w:rFonts w:ascii="Times New Roman;Times;serif" w:hAnsi="Times New Roman;Times;serif"/>
          <w:sz w:val="20"/>
          <w:shd w:fill="FFFFFF" w:val="clear"/>
        </w:rPr>
        <w:t>J. Mark Bunch as Chief Operating Officer (“COO”)</w:t>
      </w:r>
      <w:r>
        <w:rPr>
          <w:rFonts w:ascii="Times New Roman;Times;serif" w:hAnsi="Times New Roman;Times;serif"/>
          <w:sz w:val="20"/>
        </w:rPr>
        <w:t xml:space="preserve">. Mr. Bunch had </w:t>
      </w:r>
      <w:r>
        <w:rPr>
          <w:rFonts w:ascii="Times New Roman;Times;serif" w:hAnsi="Times New Roman;Times;serif"/>
          <w:sz w:val="20"/>
          <w:shd w:fill="FFFFFF" w:val="clear"/>
        </w:rPr>
        <w:t>been providing consulting services to the Company since 2016</w:t>
      </w:r>
      <w:r>
        <w:rPr>
          <w:rFonts w:ascii="Times New Roman;Times;serif" w:hAnsi="Times New Roman;Times;serif"/>
          <w:sz w:val="20"/>
        </w:rPr>
        <w:t xml:space="preserve">. We entered into an offer letter with Mr. Bunch setting forth his compensation as COO on February 21, 2023. </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hanging="0"/>
        <w:jc w:val="both"/>
        <w:rPr>
          <w:rFonts w:ascii="Times New Roman;Times;serif" w:hAnsi="Times New Roman;Times;serif"/>
          <w:b/>
          <w:i/>
          <w:sz w:val="20"/>
        </w:rPr>
      </w:pPr>
      <w:r>
        <w:rPr>
          <w:rFonts w:ascii="Times New Roman;Times;serif" w:hAnsi="Times New Roman;Times;serif"/>
          <w:b/>
          <w:i/>
          <w:sz w:val="20"/>
        </w:rPr>
        <w:t>Appointment of Chief Executive Officer</w:t>
      </w:r>
    </w:p>
    <w:p>
      <w:pPr>
        <w:pStyle w:val="TextBody"/>
        <w:bidi w:val="0"/>
        <w:spacing w:lineRule="auto" w:line="343"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October 27, 2022, we announced that the Board of Directors selected Kelly W. Loyd as President and Chief Executive Officer (“CEO”). Mr. Loyd had been serving as Interim CEO since June 2022 and has served as a member of the Board of Directors since 2008. We entered into an offer letter with Mr. Loyd setting forth his compensation as CEO on October 25, 2022. Upon commencing employment, Mr. Loyd no longer receives compensation for his services as a member of the Board of Directors.</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hanging="0"/>
        <w:jc w:val="both"/>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8, 2022, the Board of Directors approved a share repurchase program under which we are authorized to repurchase up to $25.0 million of our common stock through December 31, 2024. We intend to fund repurchases from available working capital and cash provided by operating activities. As we continue to focus on our goal of maximizing total shareholder return, the Board of Directors and management team believe that a share repurchase program is complimentary to the existing dividend policy and is a tax efficient means to further improve shareholder return.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our shares, the market price of our common stock, our capital needs and resources, general market and economic conditions, and applicable legal requirements. The value of shares authorized for repurchase by our Board of Directors does not require us to repurchase such shares or guarantee that such shares will be repurchased, and the program may be suspended, modified, or discontinued at any time without prior notice.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Once we completed repayment of borrowings on our Senior Secured Credit Facility and emerged from our blackout period in December 2022, we entered into a Rule 10b5-1 plan that authorizes a broker to repurchase shares in the open market subject to pre-defined limitations on trading volume and price. The plan included a 30-day cooling off period that did not allow repurchases to commence until January 2023. The plan is effective until June 30, 2023, unless extended or renewed, and has a maximum authorized amount of $5.0 million over that period. We may alter the terms of the plan from time to time to the extent we determine changes are necessary to achieve the intended objectives of the repurchase program. During the three months ended March 31, 2023, 0.6 million shares of our common stock were repurchased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the plan at a total cost of approximately $3.9 million, including incremental direct transaction costs. These treasury shares were subsequently cancelled.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Highlights and Operations Update</w:t>
      </w:r>
    </w:p>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Generated revenue of $36.9 million and net income of $14.0 million.</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averaged 7,089 net barrels of oil equivalent per day (“BOEPD”).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Returned to shareholders $12.1 million in cash dividends during the nine months ended March 31, 2023 while repaying $21.3 million of borrowings on our Senior Secured Credit Facility incurred in calendar 2022 to acquire our Williston Basin and Jonah Field properties. We have paid out to shareholders more than $98.4 million in cash dividends since inception of the dividend program in December 2013.</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0.6 million shares of common stock for approximately $3.9 million under our repurchase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to fund all operations, development capital expenditures, dividends and repurchase of shares out of operating cash flow.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Ended the third quarter of fiscal 2023 with $18.4 million in cash and cash equivalents</w:t>
            </w:r>
            <w:r>
              <w:rPr>
                <w:caps w:val="false"/>
                <w:smallCaps w:val="false"/>
              </w:rPr>
              <w:t xml:space="preserve"> </w:t>
            </w:r>
            <w:r>
              <w:rPr>
                <w:rFonts w:ascii="Times New Roman;Times;serif" w:hAnsi="Times New Roman;Times;serif"/>
                <w:b w:val="false"/>
                <w:i w:val="false"/>
                <w:caps w:val="false"/>
                <w:smallCaps w:val="false"/>
                <w:sz w:val="20"/>
              </w:rPr>
              <w:t>and no outstanding borrowings under our Senior Secured Credit Facility.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and uncertainties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global economy was deeply impacted by the effects of the novel coronavirus (“COVID-19”) pandemic and related efforts to mitigate the spread of the disease. These events led to crude oil prices falling to historic lows during the second quarter of 2020 and remaining depressed through much of 2020.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Beginning in 2021, the demand for oil and natural gas started to recover primarily as a result of the roll-out of the COVID-19 vaccine and lessening of pandemic related government restrictions on individuals and businesses. In addition, the military activities of Russia into Ukraine and the subsequent sanctions imposed on Russia and other actions have created significant market uncertainties, including uncertainties around potential supply disruptions for oil and natural gas, which further enhanced volatility in global commodity prices in the first half of 2022.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Additionally, during the quarter ended March 31, 2023, the closures of Silicon Valley Bank and Signature Bank and their placement into receivership with the Federal Deposit Insurance Corporation (FDIC) created broad uncertainty around world-wide financial institutions and liquidity risk. While we do not have exposure to these banks, we do maintain cash balances in excess of FDIC insurance protections at banks we believe to be financially sound. We also utilize insured cash sweep deposits to maximize the amount of our cash that is protected by FDIC insurance.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also rely heavily on our third-party operators who manage their own liquidity with various financial institutions.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Given the dynamic nature of these events, we cannot reasonably estimate the period of time that these market conditions will persist; predict the broader impact of liquidity concerns around financial institutions; or the impact on the commodity prices that we realize.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Currently, our oil and natural gas properties are operated by third-party operators and involve other third-party working interest owners. As a result, we have limited ability to influence the operation or future development of such properties. Despite these uncertainties, we remain focused on our long-term objectives and continue to be proactive with our third-party operators to review capital expenditures and present alternative plans as necessary.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73" w:name="LiquidityandCapitalResources"/>
      <w:bookmarkEnd w:id="1173"/>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31, 2023, we had no borrowings outstanding on our Senior Secured Credit Facility and $18.4 million in cash and cash equivalents compared to $21.3 million of borrowings drawn on our Senior Secured Credit Facility and $8.3 million in cash and cash equivalents at June 30, 2022. Our primary sources of liquidity and capital resources during the nine months ended March 31, 2023 were cash provided by operations and the unused portion of our credit facility. Our primary uses of liquidity and capital resources for the nine months ended March 31, 2023 were repayments on our Senior Secured Credit Facility, cash dividend payments to our common stockholders, common stock repurchases, and capital expenditures on our existing oil and natural gas properties. As of March 31, 2023, working capital was $10.7 million, an increase of $4.6 million from working capital of $6.1 million as of June 30,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Senior Secured Credit Facility has a maximum capacity of $50.0 million subject to a borrowing base determined by the lender based on the value of our oil and natural gas properties. The Senior Secured Credit Facility has a current borrowing base of $50.0 million. The Senior Secured Credit Facility is secured by substantially all of our oil and natural gas properties and matures on April 9,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Borrowings bear interest, at our option, at either the LIBOR plus 2.75% or the Prime Rate, as defined under the Senior Secured Credit Facility, plus 1.0%. On May 5, 2023, our benchmark interest rate was converted to SOFR plus 2.80%, which includes a 0.05% credit spread adjustment from LIBOR. For the nine months ended March 31, 2023, the weighted average interest on our borrowings was 5.25%. The Senior Secured Credit Facility contains covenants requiring the maintenance of (i) a total leverage ratio of not more than 3.00 to 1.00, (ii) a current ratio of not less than 1.00 to 1.00, and (iii) a consolidated tangible net worth of not less than $40.0 million, each as defined in the Senior Secured Credit Facility. It also contains other customary affirmative and negative covenants, including a hedging covenant discussed below, and events of default. As of March 31, 2023, we were in compliance with all covenants under the Senior Secured Credit Facility.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5, 2023, we entered into the Tenth Amendment to the Senior Secured Credit Facility. This amendment, among </w:t>
      </w:r>
      <w:r>
        <w:rPr>
          <w:rFonts w:ascii="Times New Roman;Times;serif" w:hAnsi="Times New Roman;Times;serif"/>
          <w:sz w:val="20"/>
          <w:shd w:fill="FFFFFF" w:val="clear"/>
        </w:rPr>
        <w:t>other things, extends the maturity of our Senior Secured Credit Facility to April 9, 2026, converts our benchmark interest rate from LIBOR to SOFR plus a credit spread adjustment of 0.05%, and modifies the Margined Collateral Value, as defined in the Ninth Amendment to the Senior Secured Credit Facility, to $95.0 million.</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7, 2022, we entered into the Ninth Amendment to the Senior Secured Credit Facility. This amendment, among other things, modified the definition of utilization percentage related to the required hedging covenant such that for the purposes of determining the amount of future production to hedge, the utilization of the Senior Secured Credit Facility will be based on the Margined Collateral Value, as amended above, to the extent it exceeds the borrowing base then in effect. This amendment also required us to enter into hedges for the 12-month period ending February 2023, covering 25% of expected oil and natural gas production over that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9, 2021, we entered into the Eighth Amendment to the Senior Secured Credit Facility. This amendment, among other things, increased the borrowing base to $50.0 million and added a hedging covenant whereby we must hedge a certain amount of our future production on a rolling 12-month basis when 25% or more of the borrowing base is utilized. The hedging covenant was amended in the Ninth Amendment, as discussed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5, 2021, we entered into the Seventh Amendment of our Senior Secured Credit Facility which, among other things, added definitions for the terms “Acquired Entity or Mineral Interests” and “Acquired Entity or Mineral Interests EBITDA Adjustment.” Additionally, the consolidated tangible net worth covenant level was reduced to $40.0 million from $50.0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historically funded operations through cash from operations and working capital. Our primary source of cash is the sale of produced crude oil, natural gas, and NGLs. A portion of these cash flows is used to fund capital expenditures and pay cash dividends to shareholders. We expect to fund near-future capital development activities for our properties with cash flows from operating activities and existing working capital.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pursuing new growth opportunities through acquisitions and other transactions. In addition to cash on hand, we have access to the undrawn portion of the borrowing base available under our Senior Secured Credit Facility, totaling $50.0 million as of March 31, 2023. We also have an effective shelf registration statement with the SEC under which we may issue up to $500.0 million of new debt or equity securities.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Board of Directors instituted a cash dividend on common stock in December 2013. We have since paid 38 consecutive quarterly dividends. Distribution of a substantial portion of free cash flow in excess of operating and capital requirements through cash dividends remains a priority of our financial strategy, and it is our long-term goal to increase dividends over time, as appropriate. In light of our improving financial performance and industry outlook, the Board of Directors has increased the dividend rate over the past two years, with the most recent increase occurring on September 12, 2022, when the Board of Directors declared a dividend of $0.12 per share that was paid on September 30, 2022. On May 8, 2023, the Board of Directors declared a quarterly cash dividend of $0.12 per share of common stock to shareholders of record on June 15, 2023 and payable on June 30, 2023.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8, 2022, our Board of Directors approved a share repurchase program, under which we are authorized to repurchase up to $25.0 million of our common stock through December 31, 2024. We intend to fund any repurchases from working capital and cash provided by operating activities. As we continue to focus on our goal of maximizing total shareholder return, the Board of Directors along with the management team believe that a share repurchase program is complimentary to the existing dividend policy and is a tax efficient means to further improve shareholder return.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Once we completed the repayment of borrowings on our Senior Secured Credit Facility and emerged from our blackout period in December 2022, we entered into a Rule 10b5-1 plan that authorizes a broker to repurchase shares in the open market subject to pre-defined limitations on trading volume and price. The plan included a 30-day cooling off period that did not allow repurchases to commence until January 2023. The plan is effective until June 30, 2023, unless extended, renewed or terminated, and has a maximum authorized amount of $5.0 million over that period. We may alter the terms of the plan from time to time to the extent we determine changes are necessary to achieve the intended objectives of the repurchase program. During the three months ended March 31, 2023, 0.6 million shares of our common stock were repurchased under the plan at a total cost of approximately $3.9 million, including incremental direct transaction costs. These treasury shares were subsequently cancelled.</w:t>
      </w:r>
    </w:p>
    <w:p>
      <w:pPr>
        <w:pStyle w:val="TextBody"/>
        <w:bidi w:val="0"/>
        <w:spacing w:lineRule="auto" w:line="343"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bookmarkStart w:id="1174" w:name="_Hlk117670278"/>
      <w:bookmarkEnd w:id="1174"/>
      <w:r>
        <w:rPr>
          <w:rFonts w:ascii="Times New Roman;Times;serif" w:hAnsi="Times New Roman;Times;serif"/>
          <w:b/>
          <w:i/>
          <w:sz w:val="20"/>
        </w:rPr>
        <w:t>Capital Expenditures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nine months ended March 31, 2023, we incurred $4.4 million on development capital expenditures and $0.1 million for plugging and abandoning costs in the Jonah Field, Williston Basin, Barnett Shale and Hamilton Dome Field. During the current quarter, we participated in the completion and fracture stimulation of a vertical Bakken well and are waiting on results.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Based on discussions with our operators, we expect capital workover projects to continue in all the fields. Overall, for fiscal year 2023, we expect budgeted capital expenditures to be in the range of $6.0 million to $7.0 million, which excludes any potential acquisitions. These expenditures include anticipated capital costs at Delhi field for an NGL plant heat exchanger project, projected to improve operational efficiency throughout the year, which is currently underway and expected to be online before our fiscal year-end. As of March 31, 2023, we have incurred approximately $0.6 million related to this project. Our expected capital expenditures for fiscal year 2023 also include participating in another vertical recompletion in the Williston Basin. The timing of the two sidetrack locations targeting the Birdbear formation has been pushed to fiscal year 2024 due to delays in obtaining pooling and spacing orders with the state of North Dakota. We anticipate this permitting to be completed in the first fiscal quarter of 2024.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Funding for our anticipated capital expenditures over the near-term is expected to be met from cash flows from operations and current working capital, and as needed from borrowings under our Senior Secured Credit Facility.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Full Cost Pool Ceiling Test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Under the full cost method of accounting, capitalized costs of oil and natural gas properties, net of accumulated depletion, depreciation, and amortization and related deferred taxes, are limited to the estimated future net cash flows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from proved oil and natural gas reserves, discounted at 10%, plus the lower of cost or fair value of unproved properties, as adjusted for related income tax effects (the valuation “ceiling”). If capitalized costs exceed the full cost ceiling, the excess would be charged to expense as a write-down of oil and natural gas properties in the quarter in which the excess occurred. The quarterly ceiling test calculation requires that we use the average first day of the month price for our petroleum products during the 12-month period ending with the balance sheet date. The prices used in calculating our ceiling test as of March 31, 2023 were $91.38 per barrel of oil, $5.97 per MMBtu of natural gas and $47.07 per barrel of NGLs. As of March 31, 2023, our capitalized costs of oil and natural gas properties were below the full cost valuation ceiling. If commodity price levels were to substantially decline from the 12-month average first day of the month pricing levels as of March 31, 2023 and remain down for a prolonged period of time, our valuation ceiling over our capitalized costs may be reduced and adversely impact our ceiling tests in future quarters. We cannot give assurance that a write-down of capitalized oil and natural gas properties will not be required in the future. </w:t>
      </w:r>
      <w:r>
        <w:rPr>
          <w:rFonts w:ascii="Times New Roman;Times;serif" w:hAnsi="Times New Roman;Times;serif"/>
          <w:sz w:val="20"/>
          <w:shd w:fill="FFFFFF" w:val="clear"/>
        </w:rPr>
        <w:t xml:space="preserve">Using the April 2023 </w:t>
      </w:r>
      <w:r>
        <w:rPr>
          <w:rFonts w:ascii="Times New Roman;Times;serif" w:hAnsi="Times New Roman;Times;serif"/>
          <w:sz w:val="20"/>
        </w:rPr>
        <w:t>West Texas Intermediate</w:t>
      </w:r>
      <w:r>
        <w:rPr>
          <w:rFonts w:ascii="Times New Roman;Times;serif" w:hAnsi="Times New Roman;Times;serif"/>
          <w:sz w:val="20"/>
          <w:shd w:fill="FFFFFF" w:val="clear"/>
        </w:rPr>
        <w:t xml:space="preserve"> (“WTI”) price of $75.68 per barrel of oil and the Henry Hub price of $2.10 per MMBtu of natural gas and holding these prices constant for two months to create a trailing 12-month period of average prices that is more reflective of recent price trends, our ceiling test calculation would not have generated an impairment, holding all other inputs and factors constant.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 of Cash Flow Activities</w:t>
      </w:r>
    </w:p>
    <w:tbl>
      <w:tblPr>
        <w:tblW w:w="8019" w:type="dxa"/>
        <w:jc w:val="left"/>
        <w:tblInd w:w="0" w:type="dxa"/>
        <w:tblLayout w:type="fixed"/>
        <w:tblCellMar>
          <w:top w:w="0" w:type="dxa"/>
          <w:left w:w="0" w:type="dxa"/>
          <w:bottom w:w="0" w:type="dxa"/>
          <w:right w:w="0" w:type="dxa"/>
        </w:tblCellMar>
      </w:tblPr>
      <w:tblGrid>
        <w:gridCol w:w="3871"/>
        <w:gridCol w:w="326"/>
        <w:gridCol w:w="230"/>
        <w:gridCol w:w="846"/>
        <w:gridCol w:w="382"/>
        <w:gridCol w:w="230"/>
        <w:gridCol w:w="846"/>
        <w:gridCol w:w="326"/>
        <w:gridCol w:w="196"/>
        <w:gridCol w:w="766"/>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458085" cy="175260"/>
                      <wp:effectExtent l="0" t="0" r="0" b="0"/>
                      <wp:wrapNone/>
                      <wp:docPr id="226" name="Frame225"/>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7"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46050" cy="175260"/>
                      <wp:effectExtent l="0" t="0" r="0" b="0"/>
                      <wp:wrapNone/>
                      <wp:docPr id="228" name="Frame22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37210" cy="175260"/>
                      <wp:effectExtent l="0" t="0" r="0" b="0"/>
                      <wp:wrapNone/>
                      <wp:docPr id="229" name="Frame228"/>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42570" cy="175260"/>
                      <wp:effectExtent l="0" t="0" r="0" b="0"/>
                      <wp:wrapNone/>
                      <wp:docPr id="230" name="Frame229"/>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46050" cy="175260"/>
                      <wp:effectExtent l="0" t="0" r="0" b="0"/>
                      <wp:wrapNone/>
                      <wp:docPr id="231" name="Frame23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37210" cy="175260"/>
                      <wp:effectExtent l="0" t="0" r="0" b="0"/>
                      <wp:wrapNone/>
                      <wp:docPr id="232" name="Frame231"/>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3"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24460" cy="175260"/>
                      <wp:effectExtent l="0" t="0" r="0" b="0"/>
                      <wp:wrapNone/>
                      <wp:docPr id="234" name="Frame2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86410" cy="175260"/>
                      <wp:effectExtent l="0" t="0" r="0" b="0"/>
                      <wp:wrapNone/>
                      <wp:docPr id="235" name="Frame23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 March 31,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82" w:type="dxa"/>
            <w:tcBorders/>
            <w:vAlign w:val="center"/>
          </w:tcPr>
          <w:p>
            <w:pPr>
              <w:pStyle w:val="TableContents"/>
              <w:bidi w:val="0"/>
              <w:spacing w:before="0" w:after="1"/>
              <w:ind w:left="0" w:right="0" w:hanging="0"/>
              <w:jc w:val="left"/>
              <w:rPr/>
            </w:pPr>
            <w:r>
              <w:rPr/>
              <w:t>    </w:t>
            </w:r>
          </w:p>
        </w:tc>
        <w:tc>
          <w:tcPr>
            <w:tcW w:w="10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1"/>
              <w:ind w:left="0" w:right="0" w:hanging="0"/>
              <w:jc w:val="left"/>
              <w:rPr/>
            </w:pPr>
            <w:r>
              <w:rPr/>
              <w:t>    </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51,719</w:t>
            </w:r>
          </w:p>
        </w:tc>
        <w:tc>
          <w:tcPr>
            <w:tcW w:w="382"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28,691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23,028</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used in investing activities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(4,265)</w:t>
            </w:r>
          </w:p>
        </w:tc>
        <w:tc>
          <w:tcPr>
            <w:tcW w:w="382"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(28,140)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23,875</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(used in)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(37,347)</w:t>
            </w:r>
          </w:p>
        </w:tc>
        <w:tc>
          <w:tcPr>
            <w:tcW w:w="382"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7,541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(44,888)</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10,107</w:t>
            </w:r>
          </w:p>
        </w:tc>
        <w:tc>
          <w:tcPr>
            <w:tcW w:w="382"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8,092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2,015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provided by operating activities for the nine months ended March 31, 2023 increased $23.0 million from the nine months ended March 31, 2022 primarily d</w:t>
      </w:r>
      <w:r>
        <w:rPr>
          <w:rFonts w:ascii="Times New Roman;Times;serif" w:hAnsi="Times New Roman;Times;serif"/>
          <w:sz w:val="20"/>
          <w:shd w:fill="FFFFFF" w:val="clear"/>
        </w:rPr>
        <w:t>ue to an increase in revenues. Total revenues increased $43.4 million as compared to the prior year period driven by an increase in our average realized price per barrel of oil equivalent (“BOE”) and an increase in our average daily production primarily due to our acquisition of non-operated working interests in the Williston Basin and Jonah Field in January 2022 and April 2022,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used in investing activities for the nine months ended March 31, 2023 decreased $23.9 million from the nine months ended March 31, 2022 primarily due the $25.7 million acquisition of our Williston Basin properties in January 2022 and a $1.5 million deposit made in February 2022 for our acquisition in the Jonah Field partially offset by an increase in development capital expenditures in the current fiscal year.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flows used in financing activities for the nine months ended March 31, 2023 were $37.3 million which included the repayment of $21.3 million of borrowings outstanding under our Senior Secured Credit Facility, $12.1 million in dividends paid to our common stockholders, and $3.9 million paid to repurchase shares of common stock under our share repurchase program. Net cash flows provided by financing activities for the nine months ended March 31, 2022 were $7.5 million which primarily included $16.0 million in net borrowings under our Senior Secured Credit Facility offset by $8.4 million in dividends paid to our common stockholders.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75" w:name="ResultsofOperations"/>
      <w:bookmarkStart w:id="1176" w:name="ResultsofOperations_203032"/>
      <w:bookmarkEnd w:id="1175"/>
      <w:bookmarkEnd w:id="1176"/>
      <w:r>
        <w:rPr>
          <w:rFonts w:ascii="Times New Roman;Times;serif" w:hAnsi="Times New Roman;Times;serif"/>
          <w:b/>
          <w:sz w:val="20"/>
        </w:rPr>
        <w:t>Results of Operations</w:t>
      </w:r>
    </w:p>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Three Months Ended March 31, 2023 and 2022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reported net income of $14.0 million and $5.7 million for the three months ended March 31, 2023 and 2022, respectively. The following table summarizes the comparison of financial information for the periods presented:</w:t>
      </w:r>
    </w:p>
    <w:p>
      <w:pPr>
        <w:pStyle w:val="TextBody"/>
        <w:bidi w:val="0"/>
        <w:spacing w:before="0" w:after="240"/>
        <w:ind w:left="0" w:right="0" w:hanging="0"/>
        <w:jc w:val="left"/>
        <w:rPr/>
      </w:pPr>
      <w:r>
        <w:rPr/>
        <w:t>​</w:t>
      </w:r>
    </w:p>
    <w:tbl>
      <w:tblPr>
        <w:tblW w:w="8811" w:type="dxa"/>
        <w:jc w:val="left"/>
        <w:tblInd w:w="0" w:type="dxa"/>
        <w:tblLayout w:type="fixed"/>
        <w:tblCellMar>
          <w:top w:w="0" w:type="dxa"/>
          <w:left w:w="0" w:type="dxa"/>
          <w:bottom w:w="0" w:type="dxa"/>
          <w:right w:w="0" w:type="dxa"/>
        </w:tblCellMar>
      </w:tblPr>
      <w:tblGrid>
        <w:gridCol w:w="4186"/>
        <w:gridCol w:w="326"/>
        <w:gridCol w:w="200"/>
        <w:gridCol w:w="644"/>
        <w:gridCol w:w="111"/>
        <w:gridCol w:w="200"/>
        <w:gridCol w:w="644"/>
        <w:gridCol w:w="326"/>
        <w:gridCol w:w="196"/>
        <w:gridCol w:w="631"/>
        <w:gridCol w:w="326"/>
        <w:gridCol w:w="680"/>
        <w:gridCol w:w="341"/>
      </w:tblGrid>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6"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27000" cy="175260"/>
                      <wp:effectExtent l="0" t="0" r="0" b="0"/>
                      <wp:wrapNone/>
                      <wp:docPr id="237" name="Frame236"/>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08940" cy="175260"/>
                      <wp:effectExtent l="0" t="0" r="0" b="0"/>
                      <wp:wrapNone/>
                      <wp:docPr id="238" name="Frame237"/>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70485" cy="175260"/>
                      <wp:effectExtent l="0" t="0" r="0" b="0"/>
                      <wp:wrapNone/>
                      <wp:docPr id="239" name="Frame238"/>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27000" cy="175260"/>
                      <wp:effectExtent l="0" t="0" r="0" b="0"/>
                      <wp:wrapNone/>
                      <wp:docPr id="240" name="Frame239"/>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08940" cy="175260"/>
                      <wp:effectExtent l="0" t="0" r="0" b="0"/>
                      <wp:wrapNone/>
                      <wp:docPr id="241" name="Frame240"/>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2"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24460" cy="175260"/>
                      <wp:effectExtent l="0" t="0" r="0" b="0"/>
                      <wp:wrapNone/>
                      <wp:docPr id="243" name="Frame2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00685" cy="175260"/>
                      <wp:effectExtent l="0" t="0" r="0" b="0"/>
                      <wp:wrapNone/>
                      <wp:docPr id="244" name="Frame24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5"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31800" cy="175260"/>
                      <wp:effectExtent l="0" t="0" r="0" b="0"/>
                      <wp:wrapNone/>
                      <wp:docPr id="246" name="Frame245"/>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6535" cy="175260"/>
                      <wp:effectExtent l="0" t="0" r="0" b="0"/>
                      <wp:wrapNone/>
                      <wp:docPr id="247" name="Frame246"/>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799"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26" w:type="dxa"/>
            <w:tcBorders/>
            <w:vAlign w:val="center"/>
          </w:tcPr>
          <w:p>
            <w:pPr>
              <w:pStyle w:val="TableContents"/>
              <w:bidi w:val="0"/>
              <w:spacing w:before="0" w:after="1"/>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111" w:type="dxa"/>
            <w:tcBorders/>
            <w:vAlign w:val="center"/>
          </w:tcPr>
          <w:p>
            <w:pPr>
              <w:pStyle w:val="TableContents"/>
              <w:bidi w:val="0"/>
              <w:spacing w:before="0" w:after="1"/>
              <w:ind w:left="0" w:right="0" w:hanging="0"/>
              <w:jc w:val="left"/>
              <w:rPr/>
            </w:pPr>
            <w:r>
              <w:rPr/>
              <w:t>​</w:t>
            </w:r>
          </w:p>
        </w:tc>
        <w:tc>
          <w:tcPr>
            <w:tcW w:w="8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13,957</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5,705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8,252</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144.6</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Revenues:</w:t>
            </w:r>
          </w:p>
        </w:tc>
        <w:tc>
          <w:tcPr>
            <w:tcW w:w="32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w:t>
            </w:r>
          </w:p>
        </w:tc>
        <w:tc>
          <w:tcPr>
            <w:tcW w:w="326"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11,799</w:t>
            </w:r>
          </w:p>
        </w:tc>
        <w:tc>
          <w:tcPr>
            <w:tcW w:w="111"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14,868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(3,069)</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w:t>
            </w:r>
          </w:p>
        </w:tc>
        <w:tc>
          <w:tcPr>
            <w:tcW w:w="326"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21,598</w:t>
            </w:r>
          </w:p>
        </w:tc>
        <w:tc>
          <w:tcPr>
            <w:tcW w:w="111"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6,070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15,528</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255.8</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w:t>
            </w:r>
          </w:p>
        </w:tc>
        <w:tc>
          <w:tcPr>
            <w:tcW w:w="326" w:type="dxa"/>
            <w:tcBorders/>
            <w:shd w:fill="CCEEFF" w:val="clear"/>
            <w:vAlign w:val="center"/>
          </w:tcPr>
          <w:p>
            <w:pPr>
              <w:pStyle w:val="TableContents"/>
              <w:bidi w:val="0"/>
              <w:spacing w:before="0" w:after="1"/>
              <w:ind w:left="0" w:right="0" w:hanging="0"/>
              <w:jc w:val="righ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3,470</w:t>
            </w:r>
          </w:p>
        </w:tc>
        <w:tc>
          <w:tcPr>
            <w:tcW w:w="111" w:type="dxa"/>
            <w:tcBorders/>
            <w:shd w:fill="CCEEFF" w:val="clear"/>
            <w:vAlign w:val="center"/>
          </w:tcPr>
          <w:p>
            <w:pPr>
              <w:pStyle w:val="TableContents"/>
              <w:bidi w:val="0"/>
              <w:spacing w:before="0" w:after="1"/>
              <w:ind w:left="0" w:right="0" w:hanging="0"/>
              <w:jc w:val="righ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(1,280)</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(26.9)</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revenues</w:t>
            </w:r>
          </w:p>
        </w:tc>
        <w:tc>
          <w:tcPr>
            <w:tcW w:w="326"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36,867</w:t>
            </w:r>
          </w:p>
        </w:tc>
        <w:tc>
          <w:tcPr>
            <w:tcW w:w="111"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25,688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11,179</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43.5</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26"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111"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26"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111"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w:t>
            </w:r>
            <w:r>
              <w:rPr>
                <w:rFonts w:ascii="Times New Roman;Times;serif" w:hAnsi="Times New Roman;Times;serif"/>
                <w:sz w:val="12"/>
              </w:rPr>
              <w:t>2</w:t>
            </w:r>
            <w:r>
              <w:rPr>
                <w:rFonts w:ascii="Times New Roman;Times;serif" w:hAnsi="Times New Roman;Times;serif"/>
                <w:sz w:val="16"/>
              </w:rPr>
              <w:t xml:space="preserve"> costs</w:t>
            </w:r>
          </w:p>
        </w:tc>
        <w:tc>
          <w:tcPr>
            <w:tcW w:w="326"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1,821</w:t>
            </w:r>
          </w:p>
        </w:tc>
        <w:tc>
          <w:tcPr>
            <w:tcW w:w="111"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2,321</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26"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1,642</w:t>
            </w:r>
          </w:p>
        </w:tc>
        <w:tc>
          <w:tcPr>
            <w:tcW w:w="111"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1,449</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26"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10,107</w:t>
            </w:r>
          </w:p>
        </w:tc>
        <w:tc>
          <w:tcPr>
            <w:tcW w:w="111"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8,314</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1,793</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depreciation, and accretion:</w:t>
            </w:r>
          </w:p>
        </w:tc>
        <w:tc>
          <w:tcPr>
            <w:tcW w:w="326"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111"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26"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3,098</w:t>
            </w:r>
          </w:p>
        </w:tc>
        <w:tc>
          <w:tcPr>
            <w:tcW w:w="111"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1,496</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93.4</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asset retirement obligations</w:t>
            </w:r>
          </w:p>
        </w:tc>
        <w:tc>
          <w:tcPr>
            <w:tcW w:w="32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111.1</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26"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111"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26"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1,814</w:t>
            </w:r>
          </w:p>
        </w:tc>
        <w:tc>
          <w:tcPr>
            <w:tcW w:w="111"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639</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54.4</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453</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26"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111"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gain (loss) on derivative contracts</w:t>
            </w:r>
          </w:p>
        </w:tc>
        <w:tc>
          <w:tcPr>
            <w:tcW w:w="326"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w:t>
            </w:r>
          </w:p>
        </w:tc>
        <w:tc>
          <w:tcPr>
            <w:tcW w:w="111"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2,861</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(110.4)</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and other income</w:t>
            </w:r>
          </w:p>
        </w:tc>
        <w:tc>
          <w:tcPr>
            <w:tcW w:w="326"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c>
          <w:tcPr>
            <w:tcW w:w="111"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550.0</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26"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w:t>
            </w:r>
          </w:p>
        </w:tc>
        <w:tc>
          <w:tcPr>
            <w:tcW w:w="111"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(81.2)</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(3,941)</w:t>
            </w:r>
          </w:p>
        </w:tc>
        <w:tc>
          <w:tcPr>
            <w:tcW w:w="111"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(2,053)</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108.7</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111"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Production: </w:t>
            </w:r>
          </w:p>
        </w:tc>
        <w:tc>
          <w:tcPr>
            <w:tcW w:w="32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(MBBL)</w:t>
            </w:r>
          </w:p>
        </w:tc>
        <w:tc>
          <w:tcPr>
            <w:tcW w:w="326"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w:t>
            </w:r>
          </w:p>
        </w:tc>
        <w:tc>
          <w:tcPr>
            <w:tcW w:w="111"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(MMCF)</w:t>
            </w:r>
          </w:p>
        </w:tc>
        <w:tc>
          <w:tcPr>
            <w:tcW w:w="326"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2,204</w:t>
            </w:r>
          </w:p>
        </w:tc>
        <w:tc>
          <w:tcPr>
            <w:tcW w:w="111"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775</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54.2</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 (MBBL)</w:t>
            </w:r>
          </w:p>
        </w:tc>
        <w:tc>
          <w:tcPr>
            <w:tcW w:w="32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w:t>
            </w:r>
          </w:p>
        </w:tc>
        <w:tc>
          <w:tcPr>
            <w:tcW w:w="111"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Equivalent (MBOE)</w:t>
            </w:r>
            <w:r>
              <w:rPr>
                <w:rFonts w:ascii="Times New Roman;Times;serif" w:hAnsi="Times New Roman;Times;serif"/>
                <w:i/>
                <w:sz w:val="12"/>
              </w:rPr>
              <w:t>(1)</w:t>
            </w:r>
          </w:p>
        </w:tc>
        <w:tc>
          <w:tcPr>
            <w:tcW w:w="32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638</w:t>
            </w:r>
          </w:p>
        </w:tc>
        <w:tc>
          <w:tcPr>
            <w:tcW w:w="111" w:type="dxa"/>
            <w:tcBorders/>
            <w:vAlign w:val="center"/>
          </w:tcPr>
          <w:p>
            <w:pPr>
              <w:pStyle w:val="TableContents"/>
              <w:bidi w:val="0"/>
              <w:spacing w:before="0" w:after="1"/>
              <w:ind w:left="0" w:right="0" w:hanging="0"/>
              <w:jc w:val="righ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Average daily production (BOEPD)</w:t>
            </w:r>
            <w:r>
              <w:rPr>
                <w:rFonts w:ascii="Times New Roman;Times;serif" w:hAnsi="Times New Roman;Times;serif"/>
                <w:i/>
                <w:sz w:val="12"/>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7,089</w:t>
            </w:r>
          </w:p>
        </w:tc>
        <w:tc>
          <w:tcPr>
            <w:tcW w:w="111"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5,567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1,522</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Average price per unit</w:t>
            </w:r>
            <w:r>
              <w:rPr>
                <w:rFonts w:ascii="Times New Roman;Times;serif" w:hAnsi="Times New Roman;Times;serif"/>
                <w:i/>
                <w:sz w:val="12"/>
              </w:rPr>
              <w:t>(2)</w:t>
            </w:r>
            <w:r>
              <w:rPr>
                <w:rFonts w:ascii="Times New Roman;Times;serif" w:hAnsi="Times New Roman;Times;serif"/>
                <w:b/>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(BBL)</w:t>
            </w:r>
          </w:p>
        </w:tc>
        <w:tc>
          <w:tcPr>
            <w:tcW w:w="32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70.65</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91.21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(20.56)</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(MCF)</w:t>
            </w:r>
          </w:p>
        </w:tc>
        <w:tc>
          <w:tcPr>
            <w:tcW w:w="32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9.80</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5.55</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130.6</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 (BBL)</w:t>
            </w:r>
          </w:p>
        </w:tc>
        <w:tc>
          <w:tcPr>
            <w:tcW w:w="32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33.37</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(14.13)</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Equivalent (BOE)</w:t>
            </w:r>
            <w:r>
              <w:rPr>
                <w:rFonts w:ascii="Times New Roman;Times;serif" w:hAnsi="Times New Roman;Times;serif"/>
                <w:i/>
                <w:sz w:val="12"/>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57.79</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51.27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6.52</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Average cost per unit:</w:t>
            </w:r>
          </w:p>
        </w:tc>
        <w:tc>
          <w:tcPr>
            <w:tcW w:w="32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2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2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w:t>
            </w:r>
            <w:r>
              <w:rPr>
                <w:rFonts w:ascii="Times New Roman;Times;serif" w:hAnsi="Times New Roman;Times;serif"/>
                <w:sz w:val="12"/>
              </w:rPr>
              <w:t>2</w:t>
            </w:r>
            <w:r>
              <w:rPr>
                <w:rFonts w:ascii="Times New Roman;Times;serif" w:hAnsi="Times New Roman;Times;serif"/>
                <w:sz w:val="16"/>
              </w:rPr>
              <w:t xml:space="preserve"> costs</w:t>
            </w:r>
          </w:p>
        </w:tc>
        <w:tc>
          <w:tcPr>
            <w:tcW w:w="32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2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(0.32)</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2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15.84</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(0.75)</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4.86</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51.9</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2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0.49</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0.71</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0.68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0.03</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(1)</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(2)</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exclude the impact of cash paid or received on the settlement of derivative contracts since we did not elect to apply hedge accounting.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Crude oil, natural gas and NGL revenues were $36.9 million and $25.7 million for the three months ended March 31, 2023 and 2022, respectively. The increase in revenue is primarily due to an increase in production coupled with an increase in our average realized price per BOE. Average daily equivalent production increased 27.3% from 5,567 BOEPD to 7,089 BOEPD due to the acquisitions of non-operated working interests in the Jonah Field and Williston Basin in the second half of fiscal year 2022, which collectively increased current quarter production by approximately 1,913 BOEPD. In total, our average realized commodity price (excluding the impact of derivative contracts) increased approximately $6.52 per BOE, or 12.7%, over the year-ago quarter, primarily due to 130.6% increase in our realized natural gas prices from the year-ago quarter. This was attributed to the benefit of strong natural gas price differentials received at the Jonah Field where we realized an average natural gas price of $20.31 per MCF for the current quarter. This increase was offset by decreases in realized crude oil and NGL prices of 22.5% and 29.7%, respectively, from the year-ago quarter, primarily as a result of the decline in WTI pricing.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Lease Operating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 valorem and production taxes were $1.6 million and $1.4 million for the three months ended March 31, 2023 and 2022, respectively. The increase in taxes is primarily due to increased production volumes and the increase in natural gas pricing described above as production taxes are based on sales at the wellhead. On a per unit basis, ad valorem and production taxes were $2.57 per BOE and $2.89 per BOE for the three months ended March 31, 2023 and 2022, respectively. The decrease on a per BOE basis is due to an increase in production volumes related to our acquisition of interests in the Williston Basin where we do not incur Ad valorem taxes.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CO</w:t>
      </w:r>
      <w:r>
        <w:rPr>
          <w:rFonts w:ascii="Times New Roman;Times;serif" w:hAnsi="Times New Roman;Times;serif"/>
          <w:sz w:val="15"/>
        </w:rPr>
        <w:t xml:space="preserve">2 </w:t>
      </w:r>
      <w:r>
        <w:rPr>
          <w:rFonts w:ascii="Times New Roman;Times;serif" w:hAnsi="Times New Roman;Times;serif"/>
          <w:sz w:val="20"/>
        </w:rPr>
        <w:t>costs per MCF and CO</w:t>
      </w:r>
      <w:r>
        <w:rPr>
          <w:rFonts w:ascii="Times New Roman;Times;serif" w:hAnsi="Times New Roman;Times;serif"/>
          <w:sz w:val="15"/>
        </w:rPr>
        <w:t xml:space="preserve">2 </w:t>
      </w:r>
      <w:r>
        <w:rPr>
          <w:rFonts w:ascii="Times New Roman;Times;serif" w:hAnsi="Times New Roman;Times;serif"/>
          <w:sz w:val="20"/>
        </w:rPr>
        <w:t>volumes for the three months ended March 31, 2023 and 2022. CO</w:t>
      </w:r>
      <w:r>
        <w:rPr>
          <w:rFonts w:ascii="Times New Roman;Times;serif" w:hAnsi="Times New Roman;Times;serif"/>
          <w:sz w:val="15"/>
        </w:rPr>
        <w:t>2</w:t>
      </w:r>
      <w:r>
        <w:rPr>
          <w:rFonts w:ascii="Times New Roman;Times;serif" w:hAnsi="Times New Roman;Times;serif"/>
          <w:sz w:val="20"/>
        </w:rPr>
        <w:t xml:space="preserve"> purchase costs are for the Delhi Field. Under our contract with the Delhi Field operator, purchased CO</w:t>
      </w:r>
      <w:r>
        <w:rPr>
          <w:rFonts w:ascii="Times New Roman;Times;serif" w:hAnsi="Times New Roman;Times;serif"/>
          <w:sz w:val="15"/>
        </w:rPr>
        <w:t>2</w:t>
      </w:r>
      <w:r>
        <w:rPr>
          <w:rFonts w:ascii="Times New Roman;Times;serif" w:hAnsi="Times New Roman;Times;serif"/>
          <w:sz w:val="20"/>
        </w:rPr>
        <w:t xml:space="preserve"> is priced at 1% of the realized oil price in the field per MCF, plus sales taxes and transportation costs as per contract terms.</w:t>
      </w:r>
    </w:p>
    <w:p>
      <w:pPr>
        <w:pStyle w:val="TextBody"/>
        <w:bidi w:val="0"/>
        <w:spacing w:before="0" w:after="240"/>
        <w:ind w:left="0" w:right="0" w:hanging="0"/>
        <w:jc w:val="left"/>
        <w:rPr/>
      </w:pPr>
      <w:r>
        <w:rPr/>
        <w:t>​</w:t>
      </w:r>
    </w:p>
    <w:tbl>
      <w:tblPr>
        <w:tblW w:w="7281" w:type="dxa"/>
        <w:jc w:val="left"/>
        <w:tblInd w:w="0" w:type="dxa"/>
        <w:tblLayout w:type="fixed"/>
        <w:tblCellMar>
          <w:top w:w="0" w:type="dxa"/>
          <w:left w:w="0" w:type="dxa"/>
          <w:bottom w:w="0" w:type="dxa"/>
          <w:right w:w="0" w:type="dxa"/>
        </w:tblCellMar>
      </w:tblPr>
      <w:tblGrid>
        <w:gridCol w:w="2716"/>
        <w:gridCol w:w="326"/>
        <w:gridCol w:w="226"/>
        <w:gridCol w:w="486"/>
        <w:gridCol w:w="376"/>
        <w:gridCol w:w="226"/>
        <w:gridCol w:w="486"/>
        <w:gridCol w:w="326"/>
        <w:gridCol w:w="221"/>
        <w:gridCol w:w="545"/>
        <w:gridCol w:w="326"/>
        <w:gridCol w:w="640"/>
        <w:gridCol w:w="381"/>
      </w:tblGrid>
      <w:tr>
        <w:trPr/>
        <w:tc>
          <w:tcPr>
            <w:tcW w:w="27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48"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43510" cy="175260"/>
                      <wp:effectExtent l="0" t="0" r="0" b="0"/>
                      <wp:wrapNone/>
                      <wp:docPr id="249" name="Frame2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08610" cy="175260"/>
                      <wp:effectExtent l="0" t="0" r="0" b="0"/>
                      <wp:wrapNone/>
                      <wp:docPr id="250" name="Frame249"/>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38760" cy="175260"/>
                      <wp:effectExtent l="0" t="0" r="0" b="0"/>
                      <wp:wrapNone/>
                      <wp:docPr id="251" name="Frame250"/>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43510" cy="175260"/>
                      <wp:effectExtent l="0" t="0" r="0" b="0"/>
                      <wp:wrapNone/>
                      <wp:docPr id="252" name="Frame25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08610" cy="175260"/>
                      <wp:effectExtent l="0" t="0" r="0" b="0"/>
                      <wp:wrapNone/>
                      <wp:docPr id="253" name="Frame252"/>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4"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40335" cy="175260"/>
                      <wp:effectExtent l="0" t="0" r="0" b="0"/>
                      <wp:wrapNone/>
                      <wp:docPr id="255" name="Frame25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46075" cy="175260"/>
                      <wp:effectExtent l="0" t="0" r="0" b="0"/>
                      <wp:wrapNone/>
                      <wp:docPr id="256" name="Frame255"/>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7"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06400" cy="175260"/>
                      <wp:effectExtent l="0" t="0" r="0" b="0"/>
                      <wp:wrapNone/>
                      <wp:docPr id="258" name="Frame257"/>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41935" cy="175260"/>
                      <wp:effectExtent l="0" t="0" r="0" b="0"/>
                      <wp:wrapNone/>
                      <wp:docPr id="259" name="Frame258"/>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80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27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27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76" w:type="dxa"/>
            <w:tcBorders/>
            <w:vAlign w:val="center"/>
          </w:tcPr>
          <w:p>
            <w:pPr>
              <w:pStyle w:val="TableContents"/>
              <w:bidi w:val="0"/>
              <w:spacing w:before="0" w:after="1"/>
              <w:ind w:left="0" w:right="0" w:hanging="0"/>
              <w:jc w:val="left"/>
              <w:rPr/>
            </w:pPr>
            <w:r>
              <w:rPr/>
              <w:t>    </w:t>
            </w:r>
          </w:p>
        </w:tc>
        <w:tc>
          <w:tcPr>
            <w:tcW w:w="7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w:t>
            </w:r>
            <w:r>
              <w:rPr>
                <w:rFonts w:ascii="Times New Roman;Times;serif" w:hAnsi="Times New Roman;Times;serif"/>
                <w:sz w:val="12"/>
              </w:rPr>
              <w:t>2</w:t>
            </w:r>
            <w:r>
              <w:rPr>
                <w:rFonts w:ascii="Times New Roman;Times;serif" w:hAnsi="Times New Roman;Times;serif"/>
                <w:sz w:val="16"/>
              </w:rPr>
              <w:t xml:space="preserve"> costs per MCF</w:t>
            </w:r>
          </w:p>
        </w:tc>
        <w:tc>
          <w:tcPr>
            <w:tcW w:w="32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0.92</w:t>
            </w:r>
          </w:p>
        </w:tc>
        <w:tc>
          <w:tcPr>
            <w:tcW w:w="37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(0.20)</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w:t>
            </w:r>
            <w:r>
              <w:rPr>
                <w:rFonts w:ascii="Times New Roman;Times;serif" w:hAnsi="Times New Roman;Times;serif"/>
                <w:sz w:val="12"/>
              </w:rPr>
              <w:t>2</w:t>
            </w:r>
            <w:r>
              <w:rPr>
                <w:rFonts w:ascii="Times New Roman;Times;serif" w:hAnsi="Times New Roman;Times;serif"/>
                <w:sz w:val="16"/>
              </w:rPr>
              <w:t xml:space="preserve"> volumes (MMCF per day, gross)</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91.7</w:t>
            </w:r>
          </w:p>
        </w:tc>
        <w:tc>
          <w:tcPr>
            <w:tcW w:w="37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96.0</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$0.5 million decrease in CO</w:t>
      </w:r>
      <w:r>
        <w:rPr>
          <w:rFonts w:ascii="Times New Roman;Times;serif" w:hAnsi="Times New Roman;Times;serif"/>
          <w:sz w:val="15"/>
        </w:rPr>
        <w:t xml:space="preserve">2 </w:t>
      </w:r>
      <w:r>
        <w:rPr>
          <w:rFonts w:ascii="Times New Roman;Times;serif" w:hAnsi="Times New Roman;Times;serif"/>
          <w:sz w:val="20"/>
        </w:rPr>
        <w:t>costs for the current quarter was primarily due to a 17.9% decrease in CO</w:t>
      </w:r>
      <w:r>
        <w:rPr>
          <w:rFonts w:ascii="Times New Roman;Times;serif" w:hAnsi="Times New Roman;Times;serif"/>
          <w:sz w:val="15"/>
        </w:rPr>
        <w:t>2</w:t>
      </w:r>
      <w:r>
        <w:rPr>
          <w:rFonts w:ascii="Times New Roman;Times;serif" w:hAnsi="Times New Roman;Times;serif"/>
          <w:sz w:val="20"/>
        </w:rPr>
        <w:t xml:space="preserve"> costs per MCF, which was driven by a decrease in our average realized oil price in addition to a 4.5% decrease in purchased CO</w:t>
      </w:r>
      <w:r>
        <w:rPr>
          <w:rFonts w:ascii="Times New Roman;Times;serif" w:hAnsi="Times New Roman;Times;serif"/>
          <w:sz w:val="15"/>
        </w:rPr>
        <w:t xml:space="preserve">2 </w:t>
      </w:r>
      <w:r>
        <w:rPr>
          <w:rFonts w:ascii="Times New Roman;Times;serif" w:hAnsi="Times New Roman;Times;serif"/>
          <w:sz w:val="20"/>
        </w:rPr>
        <w:t>volumes. In the current quarter, the decrease in volumes is due to Denbury’s reduced allocation of CO</w:t>
      </w:r>
      <w:r>
        <w:rPr>
          <w:rFonts w:ascii="Times New Roman;Times;serif" w:hAnsi="Times New Roman;Times;serif"/>
          <w:sz w:val="15"/>
        </w:rPr>
        <w:t>2</w:t>
      </w:r>
      <w:r>
        <w:rPr>
          <w:rFonts w:ascii="Times New Roman;Times;serif" w:hAnsi="Times New Roman;Times;serif"/>
          <w:sz w:val="20"/>
        </w:rPr>
        <w:t xml:space="preserve"> to the Delhi Field. CO</w:t>
      </w:r>
      <w:r>
        <w:rPr>
          <w:rFonts w:ascii="Times New Roman;Times;serif" w:hAnsi="Times New Roman;Times;serif"/>
          <w:sz w:val="15"/>
        </w:rPr>
        <w:t>2</w:t>
      </w:r>
      <w:r>
        <w:rPr>
          <w:rFonts w:ascii="Times New Roman;Times;serif" w:hAnsi="Times New Roman;Times;serif"/>
          <w:sz w:val="20"/>
        </w:rPr>
        <w:t xml:space="preserve"> purchases provide approximately 20% of the injected volumes in the field and the field’s recycle facilities provide the other 80%. We do not have any ownership in the CO</w:t>
      </w:r>
      <w:r>
        <w:rPr>
          <w:rFonts w:ascii="Times New Roman;Times;serif" w:hAnsi="Times New Roman;Times;serif"/>
          <w:sz w:val="15"/>
        </w:rPr>
        <w:t>2</w:t>
      </w:r>
      <w:r>
        <w:rPr>
          <w:rFonts w:ascii="Times New Roman;Times;serif" w:hAnsi="Times New Roman;Times;serif"/>
          <w:sz w:val="20"/>
        </w:rPr>
        <w:t xml:space="preserve"> pipeline which is owned and operated by Denbury. On a per unit basis, CO</w:t>
      </w:r>
      <w:r>
        <w:rPr>
          <w:rFonts w:ascii="Times New Roman;Times;serif" w:hAnsi="Times New Roman;Times;serif"/>
          <w:sz w:val="15"/>
        </w:rPr>
        <w:t>2</w:t>
      </w:r>
      <w:r>
        <w:rPr>
          <w:rFonts w:ascii="Times New Roman;Times;serif" w:hAnsi="Times New Roman;Times;serif"/>
          <w:sz w:val="20"/>
        </w:rPr>
        <w:t xml:space="preserve"> costs were $2.85 per BOE and $4.63 per BOE for the three months ended March 31, 2023 and 2022, respectively. This decrease was due to the aforementioned decrease in the average realized oil price in the field as well as an increase in our total production since the year-ago quarter due to our acquisitions in the Jonah Field and Williston Basin in the second half of fiscal year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lease operating costs included remedial workover costs and gathering and transportation costs for our oil and natural gas production. Compared to the year-ago quarter, other lease operating costs increased approximately $1.8 million, or 21.6% in the current quarter primarily due to our acquisitions in the Jonah Field and Williston Basin in April 2022 and January 2022, respectively. Other lease operating costs on a per BOE basis decreased to $15.84 per BOE from $16.59 per BOE in the year-ago quarter.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Depletion of Full Cost Proved Oil and Natural Gas Properties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Depletion expense increased $1.5 million or 93.4% from the year-ago quarter of $1.6 million to $3.1 million for the current quarter primarily due to an increase in production. </w:t>
      </w:r>
      <w:r>
        <w:rPr>
          <w:rFonts w:ascii="Times New Roman;Times;serif" w:hAnsi="Times New Roman;Times;serif"/>
          <w:sz w:val="20"/>
          <w:shd w:fill="FFFFFF" w:val="clear"/>
        </w:rPr>
        <w:t xml:space="preserve">On a per unit basis, depletion expense was $4.86 per BOE and $3.20 per BOE for the three months ended March 31, 2023 and 2022, respectively. The depletable base of our unit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production calculation increased due to our acquisitions in fiscal year 2022 and increases in our future development costs associated with our proved undeveloped reserve additions at fiscal year-end 2022. These increases were partially offset by an increase in proved reserve volumes.</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expenses for the current quarter increased $0.6 million, or 54.4%, to $1.8 million compared to $1.2 million for the year-ago quarter. The increase is primarily due to approximately $0.3 million for salary and employee benefits due to additional personnel and $0.2 million for professional fees related to accounting and audit-related services. </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Stock-based Compensation Expense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Stock-based compensation expense for the current quarter increased $0.1 million, or 33.2%, to $0.5 million compared to $0.3 million for the year-ago quarter. The increase is primarily due to the addition of new personnel, including our new COO, and the associated new awards granted during the current year period.</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Net Gain (Loss) on Derivative Contracts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Periodically, we utilize commodity derivative financial instruments to reduce our exposure to fluctuations in oil and natural gas prices.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As a result of our acquisitions during fiscal year 2022 and the corresponding borrowings on our Senior Secured Credit Facility, we were required by terms set in the Senior Secured Credit Facility to hedge a portion of our production. The increase in commodity prices since entering into the hedges and the subsequent decline in commodity prices resulted in a realized loss on derivative contracts for the year-ago quarter and a realized gain on derivative assets for the current quarter. As of March 31, 2023, we did not have any open crude oil or natural gas derivative contracts. </w:t>
      </w:r>
    </w:p>
    <w:tbl>
      <w:tblPr>
        <w:tblW w:w="9487" w:type="dxa"/>
        <w:jc w:val="left"/>
        <w:tblInd w:w="0" w:type="dxa"/>
        <w:tblLayout w:type="fixed"/>
        <w:tblCellMar>
          <w:top w:w="0" w:type="dxa"/>
          <w:left w:w="0" w:type="dxa"/>
          <w:bottom w:w="0" w:type="dxa"/>
          <w:right w:w="0" w:type="dxa"/>
        </w:tblCellMar>
      </w:tblPr>
      <w:tblGrid>
        <w:gridCol w:w="4801"/>
        <w:gridCol w:w="326"/>
        <w:gridCol w:w="196"/>
        <w:gridCol w:w="511"/>
        <w:gridCol w:w="326"/>
        <w:gridCol w:w="196"/>
        <w:gridCol w:w="631"/>
        <w:gridCol w:w="326"/>
        <w:gridCol w:w="196"/>
        <w:gridCol w:w="631"/>
        <w:gridCol w:w="326"/>
        <w:gridCol w:w="680"/>
        <w:gridCol w:w="341"/>
      </w:tblGrid>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0"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24460" cy="175260"/>
                      <wp:effectExtent l="0" t="0" r="0" b="0"/>
                      <wp:wrapNone/>
                      <wp:docPr id="261" name="Frame2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24485" cy="175260"/>
                      <wp:effectExtent l="0" t="0" r="0" b="0"/>
                      <wp:wrapNone/>
                      <wp:docPr id="262" name="Frame26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3"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24460" cy="175260"/>
                      <wp:effectExtent l="0" t="0" r="0" b="0"/>
                      <wp:wrapNone/>
                      <wp:docPr id="264" name="Frame2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00685" cy="175260"/>
                      <wp:effectExtent l="0" t="0" r="0" b="0"/>
                      <wp:wrapNone/>
                      <wp:docPr id="265" name="Frame26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6"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24460" cy="175260"/>
                      <wp:effectExtent l="0" t="0" r="0" b="0"/>
                      <wp:wrapNone/>
                      <wp:docPr id="267" name="Frame2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00685" cy="175260"/>
                      <wp:effectExtent l="0" t="0" r="0" b="0"/>
                      <wp:wrapNone/>
                      <wp:docPr id="268" name="Frame26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69"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31800" cy="175260"/>
                      <wp:effectExtent l="0" t="0" r="0" b="0"/>
                      <wp:wrapNone/>
                      <wp:docPr id="270" name="Frame269"/>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6535" cy="175260"/>
                      <wp:effectExtent l="0" t="0" r="0" b="0"/>
                      <wp:wrapNone/>
                      <wp:docPr id="271" name="Frame270"/>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6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Realized gain (loss)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658</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(340.9)</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2,203</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(91.9)</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2,861</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(110.4)</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crude oil price per BBL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70.65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91.21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(20.56)</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oil derivative contracts per BBL</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price per Bbl (including impact of realized 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70.65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(19.38)</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natural gas price per MCF</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5.55</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130.6</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natural gas derivative contracts per MCF</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0.21</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price per Mcf (including impact of realized 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5.76</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135.5</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Interest expense decreased $0.1 million compared to the year-ago quarter primarily due to no borrowings outstanding on our Senior Secured Credit Facility during the current quarter.</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Income Tax (Expense)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three months ended March 31, 2023, we recognized income tax expense of $3.9 million on net income before income taxes of $17.9 million compared to income tax expense of $1.9 million on net income before income taxes of $7.6 million for the three months ended March 31, 2022. Our effective tax rates for current quarter is 22.0% compared to 24.9% in the year-ago quarter.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Nine Months Ended March 31, 2023 and 2022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reported net income of $35.1 million and $17.8 million for the nine months ended March 31, 2023 and 2022, respectively. The following table summarizes the comparison of financial information for the periods presented:</w:t>
      </w:r>
    </w:p>
    <w:p>
      <w:pPr>
        <w:pStyle w:val="TextBody"/>
        <w:bidi w:val="0"/>
        <w:spacing w:before="0" w:after="240"/>
        <w:ind w:left="0" w:right="0" w:hanging="0"/>
        <w:jc w:val="left"/>
        <w:rPr/>
      </w:pPr>
      <w:r>
        <w:rPr/>
        <w:t>​</w:t>
      </w:r>
    </w:p>
    <w:tbl>
      <w:tblPr>
        <w:tblW w:w="9052" w:type="dxa"/>
        <w:jc w:val="left"/>
        <w:tblInd w:w="0" w:type="dxa"/>
        <w:tblLayout w:type="fixed"/>
        <w:tblCellMar>
          <w:top w:w="0" w:type="dxa"/>
          <w:left w:w="0" w:type="dxa"/>
          <w:bottom w:w="0" w:type="dxa"/>
          <w:right w:w="0" w:type="dxa"/>
        </w:tblCellMar>
      </w:tblPr>
      <w:tblGrid>
        <w:gridCol w:w="4186"/>
        <w:gridCol w:w="326"/>
        <w:gridCol w:w="196"/>
        <w:gridCol w:w="691"/>
        <w:gridCol w:w="326"/>
        <w:gridCol w:w="196"/>
        <w:gridCol w:w="631"/>
        <w:gridCol w:w="326"/>
        <w:gridCol w:w="196"/>
        <w:gridCol w:w="631"/>
        <w:gridCol w:w="326"/>
        <w:gridCol w:w="680"/>
        <w:gridCol w:w="341"/>
      </w:tblGrid>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2"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24460" cy="175260"/>
                      <wp:effectExtent l="0" t="0" r="0" b="0"/>
                      <wp:wrapNone/>
                      <wp:docPr id="273" name="Frame2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38785" cy="175260"/>
                      <wp:effectExtent l="0" t="0" r="0" b="0"/>
                      <wp:wrapNone/>
                      <wp:docPr id="274" name="Frame27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5"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24460" cy="175260"/>
                      <wp:effectExtent l="0" t="0" r="0" b="0"/>
                      <wp:wrapNone/>
                      <wp:docPr id="276" name="Frame2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00685" cy="175260"/>
                      <wp:effectExtent l="0" t="0" r="0" b="0"/>
                      <wp:wrapNone/>
                      <wp:docPr id="277" name="Frame27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78"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24460" cy="175260"/>
                      <wp:effectExtent l="0" t="0" r="0" b="0"/>
                      <wp:wrapNone/>
                      <wp:docPr id="279" name="Frame2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00685" cy="175260"/>
                      <wp:effectExtent l="0" t="0" r="0" b="0"/>
                      <wp:wrapNone/>
                      <wp:docPr id="280" name="Frame27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1"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31800" cy="175260"/>
                      <wp:effectExtent l="0" t="0" r="0" b="0"/>
                      <wp:wrapNone/>
                      <wp:docPr id="282" name="Frame281"/>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6535" cy="175260"/>
                      <wp:effectExtent l="0" t="0" r="0" b="0"/>
                      <wp:wrapNone/>
                      <wp:docPr id="283" name="Frame282"/>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204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35,051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17,295</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97.4</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Revenues: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40,062</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34,309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5,753</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58,816</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20,698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38,118</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184.2</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11,462</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11,899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(437)</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revenues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110,340</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66,906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43,434</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64.9</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w:t>
            </w:r>
            <w:r>
              <w:rPr>
                <w:rFonts w:ascii="Times New Roman;Times;serif" w:hAnsi="Times New Roman;Times;serif"/>
                <w:sz w:val="12"/>
              </w:rPr>
              <w:t>2</w:t>
            </w:r>
            <w:r>
              <w:rPr>
                <w:rFonts w:ascii="Times New Roman;Times;serif" w:hAnsi="Times New Roman;Times;serif"/>
                <w:sz w:val="16"/>
              </w:rPr>
              <w:t xml:space="preserve"> costs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6,027</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5,135</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892</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7,001</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3,968</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3,033</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76.4</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34,699</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22,277</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12,422</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55.8</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depreciation, and accretion:</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9,598</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4,146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5,452</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131.5</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of other property and equipment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asset retirement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502</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148.1</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6,165</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4,410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1,755</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39.8</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287</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33.1</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gain (loss) on derivative contracts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513</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3,104</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(119.8)</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and other income</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116.7</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(404)</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48.5</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(9,938)</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(4,786)</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92.9</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Production: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(MBBL)</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501</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(MMCF)</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7,065</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2,337</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49.4</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 (MBBL)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Equivalent (MBOE)</w:t>
            </w:r>
            <w:r>
              <w:rPr>
                <w:rFonts w:ascii="Times New Roman;Times;serif" w:hAnsi="Times New Roman;Times;serif"/>
                <w:i/>
                <w:sz w:val="12"/>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2,004</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509</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Average daily production (BOEPD)</w:t>
            </w:r>
            <w:r>
              <w:rPr>
                <w:rFonts w:ascii="Times New Roman;Times;serif" w:hAnsi="Times New Roman;Times;serif"/>
                <w:i/>
                <w:sz w:val="12"/>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7,314</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5,456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1,858</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34.1</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Average price per unit</w:t>
            </w:r>
            <w:r>
              <w:rPr>
                <w:rFonts w:ascii="Times New Roman;Times;serif" w:hAnsi="Times New Roman;Times;serif"/>
                <w:i/>
                <w:sz w:val="12"/>
              </w:rPr>
              <w:t>(2)</w:t>
            </w: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(BBL)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76.75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(MCF)</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3.94</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 (BBL)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35.27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45.77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(10.50)</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Equivalent (BOE)</w:t>
            </w:r>
            <w:r>
              <w:rPr>
                <w:rFonts w:ascii="Times New Roman;Times;serif" w:hAnsi="Times New Roman;Times;serif"/>
                <w:i/>
                <w:sz w:val="12"/>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55.06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44.75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10.31</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Average cost per unit: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w:t>
            </w:r>
            <w:r>
              <w:rPr>
                <w:rFonts w:ascii="Times New Roman;Times;serif" w:hAnsi="Times New Roman;Times;serif"/>
                <w:sz w:val="12"/>
              </w:rPr>
              <w:t>2</w:t>
            </w:r>
            <w:r>
              <w:rPr>
                <w:rFonts w:ascii="Times New Roman;Times;serif" w:hAnsi="Times New Roman;Times;serif"/>
                <w:sz w:val="16"/>
              </w:rPr>
              <w:t xml:space="preserve"> costs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(0.42)</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0.84</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72.9</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0.13</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0.58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0.58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(1)</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(2)</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exclude the impact of cash paid or received on the settlement of derivative contracts since we did not elect to apply hedge accounting.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Crude oil, natural gas and NGL revenues were $110.3 million and $66.9 million for the nine months ended March 31, 2023 and 2022, respectively. The increase in revenue is primarily due to our acquisitions of non-operated working interests in the Jonah Field and Williston Basin in the second half of fiscal year 2022. Average daily equivalent production increased 34.1% from 5,456 BOEPD in the prior year period to 7,314 BOEPD in the current period. Production increases were driven by our acquisitions of non-operated working interests in the Jonah Field and Williston Basin in the second half of fiscal year 2022, which increased the current nine months ended production by approximately 2,253 BOEPD. Our average realized commodity price (excluding the impact of derivative contracts) for the nine months ended March 31, 2023 increased approximately $10.31 per BOE, or 23.0%, over the prior year period. Realized oil and natural gas prices increased approximately 4.2% and 90.0%, respectively, over the prior year period. The increase in realized natural gas prices is primarily attributed to the benefit of strong natural gas price differentials received at the Jonah Field where our realized price for natural gas for the current year period was $12.99 per MCF. This increase is offset by a 23% decrease in realized NGL prices from the prior year period.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Lease Operating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 valorem and production taxes were $7.0 million and $4.0 million for the nine months ended March 31, 2023 and 2022, respectively. On a per unit basis, ad valorem and production taxes were $3.49 per BOE and $2.65 per BOE for the nine months ended March 31, 2023 and 2022, respectively. The increase in ad valorem and production taxes is primarily due to increases in oil and natural gas prices and increased production volumes described above as production taxes are based on sales at the wellhead.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CO</w:t>
      </w:r>
      <w:r>
        <w:rPr>
          <w:rFonts w:ascii="Times New Roman;Times;serif" w:hAnsi="Times New Roman;Times;serif"/>
          <w:sz w:val="15"/>
        </w:rPr>
        <w:t xml:space="preserve">2 </w:t>
      </w:r>
      <w:r>
        <w:rPr>
          <w:rFonts w:ascii="Times New Roman;Times;serif" w:hAnsi="Times New Roman;Times;serif"/>
          <w:sz w:val="20"/>
        </w:rPr>
        <w:t>costs per Mcf and CO</w:t>
      </w:r>
      <w:r>
        <w:rPr>
          <w:rFonts w:ascii="Times New Roman;Times;serif" w:hAnsi="Times New Roman;Times;serif"/>
          <w:sz w:val="15"/>
        </w:rPr>
        <w:t xml:space="preserve">2 </w:t>
      </w:r>
      <w:r>
        <w:rPr>
          <w:rFonts w:ascii="Times New Roman;Times;serif" w:hAnsi="Times New Roman;Times;serif"/>
          <w:sz w:val="20"/>
        </w:rPr>
        <w:t>volumes for the nine months ended March 31, 2023 and 2022. CO</w:t>
      </w:r>
      <w:r>
        <w:rPr>
          <w:rFonts w:ascii="Times New Roman;Times;serif" w:hAnsi="Times New Roman;Times;serif"/>
          <w:sz w:val="15"/>
        </w:rPr>
        <w:t>2</w:t>
      </w:r>
      <w:r>
        <w:rPr>
          <w:rFonts w:ascii="Times New Roman;Times;serif" w:hAnsi="Times New Roman;Times;serif"/>
          <w:sz w:val="20"/>
        </w:rPr>
        <w:t xml:space="preserve"> purchase costs are for the Delhi Field. Under our contract with the Delhi Field operator, purchased CO</w:t>
      </w:r>
      <w:r>
        <w:rPr>
          <w:rFonts w:ascii="Times New Roman;Times;serif" w:hAnsi="Times New Roman;Times;serif"/>
          <w:sz w:val="15"/>
        </w:rPr>
        <w:t>2</w:t>
      </w:r>
      <w:r>
        <w:rPr>
          <w:rFonts w:ascii="Times New Roman;Times;serif" w:hAnsi="Times New Roman;Times;serif"/>
          <w:sz w:val="20"/>
        </w:rPr>
        <w:t xml:space="preserve"> is priced at 1% of the realized oil price in the field per MCF, plus sales taxes and transportation costs as per contract terms.</w:t>
      </w:r>
    </w:p>
    <w:p>
      <w:pPr>
        <w:pStyle w:val="TextBody"/>
        <w:bidi w:val="0"/>
        <w:spacing w:before="0" w:after="240"/>
        <w:ind w:left="0" w:right="0" w:hanging="0"/>
        <w:jc w:val="left"/>
        <w:rPr/>
      </w:pPr>
      <w:r>
        <w:rPr/>
        <w:t>​</w:t>
      </w:r>
    </w:p>
    <w:tbl>
      <w:tblPr>
        <w:tblW w:w="7145" w:type="dxa"/>
        <w:jc w:val="left"/>
        <w:tblInd w:w="0" w:type="dxa"/>
        <w:tblLayout w:type="fixed"/>
        <w:tblCellMar>
          <w:top w:w="0" w:type="dxa"/>
          <w:left w:w="0" w:type="dxa"/>
          <w:bottom w:w="0" w:type="dxa"/>
          <w:right w:w="0" w:type="dxa"/>
        </w:tblCellMar>
      </w:tblPr>
      <w:tblGrid>
        <w:gridCol w:w="2716"/>
        <w:gridCol w:w="326"/>
        <w:gridCol w:w="209"/>
        <w:gridCol w:w="449"/>
        <w:gridCol w:w="348"/>
        <w:gridCol w:w="209"/>
        <w:gridCol w:w="449"/>
        <w:gridCol w:w="326"/>
        <w:gridCol w:w="243"/>
        <w:gridCol w:w="523"/>
        <w:gridCol w:w="326"/>
        <w:gridCol w:w="607"/>
        <w:gridCol w:w="414"/>
      </w:tblGrid>
      <w:tr>
        <w:trPr/>
        <w:tc>
          <w:tcPr>
            <w:tcW w:w="27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4"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2715" cy="175260"/>
                      <wp:effectExtent l="0" t="0" r="0" b="0"/>
                      <wp:wrapNone/>
                      <wp:docPr id="285" name="Frame284"/>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85115" cy="175260"/>
                      <wp:effectExtent l="0" t="0" r="0" b="0"/>
                      <wp:wrapNone/>
                      <wp:docPr id="286" name="Frame285"/>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20980" cy="175260"/>
                      <wp:effectExtent l="0" t="0" r="0" b="0"/>
                      <wp:wrapNone/>
                      <wp:docPr id="287" name="Frame286"/>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2715" cy="175260"/>
                      <wp:effectExtent l="0" t="0" r="0" b="0"/>
                      <wp:wrapNone/>
                      <wp:docPr id="288" name="Frame287"/>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85115" cy="175260"/>
                      <wp:effectExtent l="0" t="0" r="0" b="0"/>
                      <wp:wrapNone/>
                      <wp:docPr id="289" name="Frame288"/>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0"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54305" cy="175260"/>
                      <wp:effectExtent l="0" t="0" r="0" b="0"/>
                      <wp:wrapNone/>
                      <wp:docPr id="291" name="Frame290"/>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32105" cy="175260"/>
                      <wp:effectExtent l="0" t="0" r="0" b="0"/>
                      <wp:wrapNone/>
                      <wp:docPr id="292" name="Frame291"/>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3"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85445" cy="175260"/>
                      <wp:effectExtent l="0" t="0" r="0" b="0"/>
                      <wp:wrapNone/>
                      <wp:docPr id="294" name="Frame293"/>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62890" cy="175260"/>
                      <wp:effectExtent l="0" t="0" r="0" b="0"/>
                      <wp:wrapNone/>
                      <wp:docPr id="295" name="Frame294"/>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664"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center"/>
              <w:rPr/>
            </w:pPr>
            <w:r>
              <w:rPr/>
              <w:t>​</w:t>
            </w:r>
          </w:p>
        </w:tc>
      </w:tr>
      <w:tr>
        <w:trPr/>
        <w:tc>
          <w:tcPr>
            <w:tcW w:w="27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6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center"/>
              <w:rPr/>
            </w:pPr>
            <w:r>
              <w:rPr/>
              <w:t>​</w:t>
            </w:r>
          </w:p>
        </w:tc>
      </w:tr>
      <w:tr>
        <w:trPr/>
        <w:tc>
          <w:tcPr>
            <w:tcW w:w="27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48" w:type="dxa"/>
            <w:tcBorders/>
            <w:vAlign w:val="center"/>
          </w:tcPr>
          <w:p>
            <w:pPr>
              <w:pStyle w:val="TableContents"/>
              <w:bidi w:val="0"/>
              <w:spacing w:before="0" w:after="1"/>
              <w:ind w:left="0" w:right="0" w:hanging="0"/>
              <w:jc w:val="left"/>
              <w:rPr/>
            </w:pPr>
            <w:r>
              <w:rPr/>
              <w:t>    </w:t>
            </w:r>
          </w:p>
        </w:tc>
        <w:tc>
          <w:tcPr>
            <w:tcW w:w="6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w:t>
            </w:r>
            <w:r>
              <w:rPr>
                <w:rFonts w:ascii="Times New Roman;Times;serif" w:hAnsi="Times New Roman;Times;serif"/>
                <w:sz w:val="12"/>
              </w:rPr>
              <w:t>2</w:t>
            </w:r>
            <w:r>
              <w:rPr>
                <w:rFonts w:ascii="Times New Roman;Times;serif" w:hAnsi="Times New Roman;Times;serif"/>
                <w:sz w:val="16"/>
              </w:rPr>
              <w:t xml:space="preserve"> costs per MCF</w:t>
            </w:r>
          </w:p>
        </w:tc>
        <w:tc>
          <w:tcPr>
            <w:tcW w:w="326" w:type="dxa"/>
            <w:tcBorders/>
            <w:shd w:fill="CCEEFF" w:val="clear"/>
            <w:vAlign w:val="center"/>
          </w:tcPr>
          <w:p>
            <w:pPr>
              <w:pStyle w:val="TableContents"/>
              <w:bidi w:val="0"/>
              <w:spacing w:before="0" w:after="1"/>
              <w:ind w:left="0" w:right="0" w:hanging="0"/>
              <w:jc w:val="right"/>
              <w:rPr/>
            </w:pPr>
            <w:r>
              <w:rPr/>
              <w:t>​</w:t>
            </w:r>
          </w:p>
        </w:tc>
        <w:tc>
          <w:tcPr>
            <w:tcW w:w="2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w:t>
            </w:r>
          </w:p>
        </w:tc>
        <w:tc>
          <w:tcPr>
            <w:tcW w:w="348" w:type="dxa"/>
            <w:tcBorders/>
            <w:shd w:fill="CCEEFF" w:val="clear"/>
            <w:vAlign w:val="center"/>
          </w:tcPr>
          <w:p>
            <w:pPr>
              <w:pStyle w:val="TableContents"/>
              <w:bidi w:val="0"/>
              <w:spacing w:before="0" w:after="1"/>
              <w:ind w:left="0" w:right="0" w:hanging="0"/>
              <w:jc w:val="right"/>
              <w:rPr/>
            </w:pPr>
            <w:r>
              <w:rPr/>
              <w:t>​</w:t>
            </w:r>
          </w:p>
        </w:tc>
        <w:tc>
          <w:tcPr>
            <w:tcW w:w="2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0.99</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0.02</w:t>
            </w:r>
          </w:p>
        </w:tc>
        <w:tc>
          <w:tcPr>
            <w:tcW w:w="326" w:type="dxa"/>
            <w:tcBorders/>
            <w:shd w:fill="CCEEFF" w:val="clear"/>
            <w:vAlign w:val="center"/>
          </w:tcPr>
          <w:p>
            <w:pPr>
              <w:pStyle w:val="TableContents"/>
              <w:bidi w:val="0"/>
              <w:spacing w:before="0" w:after="1"/>
              <w:ind w:left="0" w:right="0" w:hanging="0"/>
              <w:jc w:val="left"/>
              <w:rPr/>
            </w:pPr>
            <w:r>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4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w:t>
            </w:r>
            <w:r>
              <w:rPr>
                <w:rFonts w:ascii="Times New Roman;Times;serif" w:hAnsi="Times New Roman;Times;serif"/>
                <w:sz w:val="12"/>
              </w:rPr>
              <w:t>2</w:t>
            </w:r>
            <w:r>
              <w:rPr>
                <w:rFonts w:ascii="Times New Roman;Times;serif" w:hAnsi="Times New Roman;Times;serif"/>
                <w:sz w:val="16"/>
              </w:rPr>
              <w:t xml:space="preserve"> volumes (MMCF per day, gross)</w:t>
            </w:r>
          </w:p>
        </w:tc>
        <w:tc>
          <w:tcPr>
            <w:tcW w:w="32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90.8</w:t>
            </w:r>
          </w:p>
        </w:tc>
        <w:tc>
          <w:tcPr>
            <w:tcW w:w="348"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4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79.6</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w:t>
            </w:r>
          </w:p>
        </w:tc>
        <w:tc>
          <w:tcPr>
            <w:tcW w:w="326"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w:t>
            </w:r>
          </w:p>
        </w:tc>
        <w:tc>
          <w:tcPr>
            <w:tcW w:w="4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$0.9 million increase in CO</w:t>
      </w:r>
      <w:r>
        <w:rPr>
          <w:rFonts w:ascii="Times New Roman;Times;serif" w:hAnsi="Times New Roman;Times;serif"/>
          <w:sz w:val="15"/>
        </w:rPr>
        <w:t xml:space="preserve">2 </w:t>
      </w:r>
      <w:r>
        <w:rPr>
          <w:rFonts w:ascii="Times New Roman;Times;serif" w:hAnsi="Times New Roman;Times;serif"/>
          <w:sz w:val="20"/>
        </w:rPr>
        <w:t>costs for the nine months ended March 31, 2023 was primarily due to a 14.1% increase in purchased CO</w:t>
      </w:r>
      <w:r>
        <w:rPr>
          <w:rFonts w:ascii="Times New Roman;Times;serif" w:hAnsi="Times New Roman;Times;serif"/>
          <w:sz w:val="15"/>
        </w:rPr>
        <w:t xml:space="preserve">2 </w:t>
      </w:r>
      <w:r>
        <w:rPr>
          <w:rFonts w:ascii="Times New Roman;Times;serif" w:hAnsi="Times New Roman;Times;serif"/>
          <w:sz w:val="20"/>
        </w:rPr>
        <w:t>volumes combined with a 2.0% increase in CO</w:t>
      </w:r>
      <w:r>
        <w:rPr>
          <w:rFonts w:ascii="Times New Roman;Times;serif" w:hAnsi="Times New Roman;Times;serif"/>
          <w:sz w:val="15"/>
        </w:rPr>
        <w:t>2</w:t>
      </w:r>
      <w:r>
        <w:rPr>
          <w:rFonts w:ascii="Times New Roman;Times;serif" w:hAnsi="Times New Roman;Times;serif"/>
          <w:sz w:val="20"/>
        </w:rPr>
        <w:t xml:space="preserve"> costs per MCF, which was driven by an increase in our average realized oil price. CO</w:t>
      </w:r>
      <w:r>
        <w:rPr>
          <w:rFonts w:ascii="Times New Roman;Times;serif" w:hAnsi="Times New Roman;Times;serif"/>
          <w:sz w:val="15"/>
        </w:rPr>
        <w:t>2</w:t>
      </w:r>
      <w:r>
        <w:rPr>
          <w:rFonts w:ascii="Times New Roman;Times;serif" w:hAnsi="Times New Roman;Times;serif"/>
          <w:sz w:val="20"/>
        </w:rPr>
        <w:t xml:space="preserve"> purchases were temporarily suspended throughout the prior year period due to preventative maintenance on the pipeline that supplies newly purchased CO</w:t>
      </w:r>
      <w:r>
        <w:rPr>
          <w:rFonts w:ascii="Times New Roman;Times;serif" w:hAnsi="Times New Roman;Times;serif"/>
          <w:sz w:val="15"/>
        </w:rPr>
        <w:t>2</w:t>
      </w:r>
      <w:r>
        <w:rPr>
          <w:rFonts w:ascii="Times New Roman;Times;serif" w:hAnsi="Times New Roman;Times;serif"/>
          <w:sz w:val="20"/>
        </w:rPr>
        <w:t xml:space="preserve"> to the Delhi Field. Additionally, CO</w:t>
      </w:r>
      <w:r>
        <w:rPr>
          <w:rFonts w:ascii="Times New Roman;Times;serif" w:hAnsi="Times New Roman;Times;serif"/>
          <w:sz w:val="15"/>
        </w:rPr>
        <w:t>2</w:t>
      </w:r>
      <w:r>
        <w:rPr>
          <w:rFonts w:ascii="Times New Roman;Times;serif" w:hAnsi="Times New Roman;Times;serif"/>
          <w:sz w:val="20"/>
        </w:rPr>
        <w:t xml:space="preserve"> purchase nominations increased from the prior year period to compensate for reduced reservoir pressure. CO</w:t>
      </w:r>
      <w:r>
        <w:rPr>
          <w:rFonts w:ascii="Times New Roman;Times;serif" w:hAnsi="Times New Roman;Times;serif"/>
          <w:sz w:val="15"/>
        </w:rPr>
        <w:t>2</w:t>
      </w:r>
      <w:r>
        <w:rPr>
          <w:rFonts w:ascii="Times New Roman;Times;serif" w:hAnsi="Times New Roman;Times;serif"/>
          <w:sz w:val="20"/>
        </w:rPr>
        <w:t xml:space="preserve"> purchases provide approximately 20% of the injected volumes in the field and the field’s recycle facilities provide the other 80%. We do not have any ownership in the CO</w:t>
      </w:r>
      <w:r>
        <w:rPr>
          <w:rFonts w:ascii="Times New Roman;Times;serif" w:hAnsi="Times New Roman;Times;serif"/>
          <w:sz w:val="15"/>
        </w:rPr>
        <w:t>2</w:t>
      </w:r>
      <w:r>
        <w:rPr>
          <w:rFonts w:ascii="Times New Roman;Times;serif" w:hAnsi="Times New Roman;Times;serif"/>
          <w:sz w:val="20"/>
        </w:rPr>
        <w:t xml:space="preserve"> pipeline which is owned and operated by Denbury. On a per unit basis, CO</w:t>
      </w:r>
      <w:r>
        <w:rPr>
          <w:rFonts w:ascii="Times New Roman;Times;serif" w:hAnsi="Times New Roman;Times;serif"/>
          <w:sz w:val="15"/>
        </w:rPr>
        <w:t>2</w:t>
      </w:r>
      <w:r>
        <w:rPr>
          <w:rFonts w:ascii="Times New Roman;Times;serif" w:hAnsi="Times New Roman;Times;serif"/>
          <w:sz w:val="20"/>
        </w:rPr>
        <w:t xml:space="preserve"> costs were $3.01 per BOE and $3.43 per BOE for the nine months ended March 31, 2023 and 2022, respectively. The decrease on a per BOE basis is due to the increase in total production since the prior year period, from our acquisitions in the Jonah Field and Williston Basin in the second half of fiscal year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Other lease operating costs include remedial workover costs and gathering and transportation costs for our oil and natural gas production. Compared to the prior year period, other lease operating costs increased 55.8% in the nine months ended March 31, 2023 primarily due to the acquisitions in the Jonah Field and Williston Basin in April 2022 and January 2022, respectively. Discussed further below, other lease operating costs on a per BOE basis increased to $17.31 per BOE from $14.90 per BOE in the year-ago quarter. Other lease operating costs per BOE for our Jonah Field were approximately $10.69 per BOE for the nine months ended March 31, 2023. Other lease operating costs per BOE for the Williston Basin were approximately $26.34 per BOE for the nine months ended March 31, 2023, an increase of approximately $6.11 per BOE from the prior year period, primarily as a result of increased remedial workovers. Other lease operating costs per BOE for the Barnett Shale were approximately $17.77 for the nine months ended March 31, 2023, an increase of approximately $4.50 per BOE from the prior year period, due to higher gathering, transportation and other expenses as a result of higher commodity prices through the first half of fiscal year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Depletion of Full Cost Proved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Depletion expense increased $5.5 million or 131.5% from $4.1 million to $9.6 million for the nine months ended March 31, 2023 primarily due to an increase in production. </w:t>
      </w:r>
      <w:r>
        <w:rPr>
          <w:rFonts w:ascii="Times New Roman;Times;serif" w:hAnsi="Times New Roman;Times;serif"/>
          <w:sz w:val="20"/>
          <w:shd w:fill="FFFFFF" w:val="clear"/>
        </w:rPr>
        <w:t>On a per unit basis, depletion expense was $4.79 per BOE and $2.77 per BOE for the nine months ended March 31, 2023 and 2022, respectively. The depletable base of our unit of production calculation increased due to our acquisitions in fiscal year 2022 and increases in our future development costs associated with our proved undeveloped reserve additions at fiscal year-end 2022. These increases were partially offset by an increase in proved reserve volumes.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expenses for the nine months ended March 31, 2023 increased $1.8 million, or 39.8%, to $6.2 million compared to $4.4 million for the prior year period. The increase is primarily due to approximately $0.7 million for salary and employee benefits due to additional personnel added since the prior year period and $0.3 million in professional fees associated with our search for a CEO. The remaining increase is associated with fees for accounting and audit-related services and public reporting expenses.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Stock-based Compensation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Stock-based compensation expense for the nine months ended March 31, 2023 increased $0.3 million, or 33.1%, to $1.2 million compared to $0.9 million for the prior year period. The increase is primarily due to the addition of new personnel, including our new COO, and the associated new awards granted during the current year period. Approximately $0.1 million of the current year period increase related to a one-time share award granted in November 2022, which vested and was fully expensed immediately.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Gain (Loss) on Derivative Contracts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Periodically, we utilize commodity derivative financial instruments to reduce our exposure to fluctuations in oil and natural gas prices.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As a result of our acquisitions during fiscal year 2022 and the corresponding borrowings on our Senior Secured Credit Facility, we were required by terms set in the Senior Secured Credit Facility to hedge a portion of our production. The increase in commodity prices since entering into the hedges resulted in realized losses on derivative contracts for the current year and prior year periods. As of March 31, 2023, we did not have any open crude oil or natural gas derivative contracts. </w:t>
      </w:r>
    </w:p>
    <w:p>
      <w:pPr>
        <w:pStyle w:val="TextBody"/>
        <w:bidi w:val="0"/>
        <w:spacing w:before="0" w:after="240"/>
        <w:ind w:left="0" w:right="0" w:hanging="0"/>
        <w:jc w:val="left"/>
        <w:rPr/>
      </w:pPr>
      <w:r>
        <w:rPr/>
        <w:t>​</w:t>
      </w:r>
    </w:p>
    <w:tbl>
      <w:tblPr>
        <w:tblW w:w="9607" w:type="dxa"/>
        <w:jc w:val="left"/>
        <w:tblInd w:w="0" w:type="dxa"/>
        <w:tblLayout w:type="fixed"/>
        <w:tblCellMar>
          <w:top w:w="0" w:type="dxa"/>
          <w:left w:w="0" w:type="dxa"/>
          <w:bottom w:w="0" w:type="dxa"/>
          <w:right w:w="0" w:type="dxa"/>
        </w:tblCellMar>
      </w:tblPr>
      <w:tblGrid>
        <w:gridCol w:w="4801"/>
        <w:gridCol w:w="326"/>
        <w:gridCol w:w="196"/>
        <w:gridCol w:w="631"/>
        <w:gridCol w:w="326"/>
        <w:gridCol w:w="196"/>
        <w:gridCol w:w="631"/>
        <w:gridCol w:w="326"/>
        <w:gridCol w:w="196"/>
        <w:gridCol w:w="631"/>
        <w:gridCol w:w="326"/>
        <w:gridCol w:w="680"/>
        <w:gridCol w:w="341"/>
      </w:tblGrid>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6"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24460" cy="175260"/>
                      <wp:effectExtent l="0" t="0" r="0" b="0"/>
                      <wp:wrapNone/>
                      <wp:docPr id="297" name="Frame2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00685" cy="175260"/>
                      <wp:effectExtent l="0" t="0" r="0" b="0"/>
                      <wp:wrapNone/>
                      <wp:docPr id="298" name="Frame29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299"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24460" cy="175260"/>
                      <wp:effectExtent l="0" t="0" r="0" b="0"/>
                      <wp:wrapNone/>
                      <wp:docPr id="300" name="Frame2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00685" cy="175260"/>
                      <wp:effectExtent l="0" t="0" r="0" b="0"/>
                      <wp:wrapNone/>
                      <wp:docPr id="301" name="Frame30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2"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24460" cy="175260"/>
                      <wp:effectExtent l="0" t="0" r="0" b="0"/>
                      <wp:wrapNone/>
                      <wp:docPr id="303" name="Frame3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00685" cy="175260"/>
                      <wp:effectExtent l="0" t="0" r="0" b="0"/>
                      <wp:wrapNone/>
                      <wp:docPr id="304" name="Frame30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5"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31800" cy="175260"/>
                      <wp:effectExtent l="0" t="0" r="0" b="0"/>
                      <wp:wrapNone/>
                      <wp:docPr id="306" name="Frame305"/>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6535" cy="175260"/>
                      <wp:effectExtent l="0" t="0" r="0" b="0"/>
                      <wp:wrapNone/>
                      <wp:docPr id="307" name="Frame306"/>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8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Realized gain (loss)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(1,288)</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667.4</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4,392</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(183.2)</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3,104</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(119.8)</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crude oil price per BBL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76.75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oil derivative contracts per BBL</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(0.06)</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price per Bbl (including impact of realized 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79.47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76.32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3.15</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natural gas price per MCF</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3.94</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natural gas derivative contracts per MCF</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(0.17)</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price per Mcf (including impact of realized 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3.77</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86.1</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increased $0.1 million for the nine months ended March 31, 2023 compared to the prior year period primarily due to increased borrowings outstanding on our Senior Secured Credit Facility used to acquire interests in the Williston Basin and Jonah Field during the second half of fiscal year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(Expense)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nine months ended March 31, 2023, we recognized income tax expense of $9.9 million on net income before income taxes of $45.0 million compared to income tax expense of $5.2 million on net income before income taxes of $22.9 million for the nine months ended March 31, 2022. The effective tax rates were 22.1% and 22.5% for nine months ended March 31, 2023 and 2022, respectively. </w:t>
      </w:r>
    </w:p>
    <w:p>
      <w:pPr>
        <w:pStyle w:val="TextBody"/>
        <w:bidi w:val="0"/>
        <w:spacing w:before="0" w:after="240"/>
        <w:ind w:left="0" w:right="0" w:hanging="0"/>
        <w:jc w:val="center"/>
        <w:rPr>
          <w:rFonts w:ascii="Times New Roman;Times;serif" w:hAnsi="Times New Roman;Times;serif"/>
          <w:b/>
          <w:sz w:val="20"/>
        </w:rPr>
      </w:pPr>
      <w:bookmarkStart w:id="1177" w:name="CriticalAccountingPoliciesandEstimates"/>
      <w:bookmarkStart w:id="1178" w:name="CriticalAccountingPoliciesandEstimates_6"/>
      <w:bookmarkEnd w:id="1177"/>
      <w:bookmarkEnd w:id="1178"/>
      <w:r>
        <w:rPr>
          <w:rFonts w:ascii="Times New Roman;Times;serif" w:hAnsi="Times New Roman;Times;serif"/>
          <w:b/>
          <w:sz w:val="20"/>
        </w:rPr>
        <w:t>Critical Accounting Policies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discussion and analysis of our financial condition and results of operations are based upon the unaudited condensed consolidated financial statements. 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and liabilities as of the date of the balance sheet as well as the reported amounts of revenues and expenses during the reporting period. These policies, together with our estimates, have a significant effect on our unaudited condensed consolidated financial statements. There have been no material changes to our critical accounting policies from those described in our Annual Report on Form 10-K for the fiscal year ended June 30, 2022.</w:t>
      </w:r>
    </w:p>
    <w:p>
      <w:pPr>
        <w:pStyle w:val="TextBody"/>
        <w:bidi w:val="0"/>
        <w:spacing w:before="0" w:after="240"/>
        <w:ind w:left="0" w:right="0" w:hanging="0"/>
        <w:jc w:val="left"/>
        <w:rPr>
          <w:rFonts w:ascii="Times New Roman;Times;serif" w:hAnsi="Times New Roman;Times;serif"/>
          <w:b/>
          <w:sz w:val="20"/>
        </w:rPr>
      </w:pPr>
      <w:bookmarkStart w:id="1179" w:name="Item_3_Quantitative"/>
      <w:bookmarkStart w:id="1180" w:name="Item7AQuantitativeandQualitativeDisclosu"/>
      <w:bookmarkStart w:id="1181" w:name="_b703a72e_24b1_46c1_b374_eccfeb45e6a5"/>
      <w:bookmarkEnd w:id="1179"/>
      <w:bookmarkEnd w:id="1180"/>
      <w:bookmarkEnd w:id="1181"/>
      <w:r>
        <w:rPr>
          <w:rFonts w:ascii="Times New Roman;Times;serif" w:hAnsi="Times New Roman;Times;serif"/>
          <w:b/>
          <w:sz w:val="20"/>
        </w:rPr>
        <w:t>Item 3.   Quantitative and Qualitative Disclosures About Market Risks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Derivative Instruments and Hedging Activity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exposed to various risks, including energy commodity price risk, such as price differentials between the NYMEX commodity price and the index price at the location where our production is sold. When oil, natural gas, and natural gas liquids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and natural gas prices. We do not enter into derivative contracts for speculative trading purposes.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For the derivative contracts settled during fiscal 2023 and 2022, we did not post collateral. We account for our derivative activities under the provisions of ASC 815, </w:t>
      </w:r>
      <w:r>
        <w:rPr>
          <w:rFonts w:ascii="Times New Roman;Times;serif" w:hAnsi="Times New Roman;Times;serif"/>
          <w:i/>
          <w:sz w:val="20"/>
        </w:rPr>
        <w:t>Derivatives and Hedging</w:t>
      </w:r>
      <w:r>
        <w:rPr>
          <w:rFonts w:ascii="Times New Roman;Times;serif" w:hAnsi="Times New Roman;Times;serif"/>
          <w:sz w:val="20"/>
        </w:rPr>
        <w:t>, (“ASC 815”). ASC 815 establishes accounting and reporting that every derivative instrument be recorded on the balance sheet as either an asset or liability measured at fair value. See Note 7, “</w:t>
      </w:r>
      <w:r>
        <w:rPr>
          <w:rFonts w:ascii="Times New Roman;Times;serif" w:hAnsi="Times New Roman;Times;serif"/>
          <w:i/>
          <w:sz w:val="20"/>
        </w:rPr>
        <w:t xml:space="preserve">Derivatives” </w:t>
      </w:r>
      <w:r>
        <w:rPr>
          <w:rFonts w:ascii="Times New Roman;Times;serif" w:hAnsi="Times New Roman;Times;serif"/>
          <w:sz w:val="20"/>
        </w:rPr>
        <w:t>to our unaudited condensed consolidated financial statements for more details.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exposed to changes in interest rates. Changes in interest rates affect the interest earned on our cash and cash equivalents. Additionally, any borrowings under the Senior Secured Credit Facility will bear interest, at our option, at either SOFR plus 2.80%, which includes a 0.05% credit spread adjustment from LIBOR, subject to a minimum SOFR of 0.50%, or the Prime Rate, as defined under the Senior Secured Credit Facility, plus 1.00%. SOFR rates are sensitive to the period of contract and market volatility, as well as changes in forward interest rate yields. Under our current practices, we do not use interest rate derivative instruments to manage exposure to interest rate changes.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82" w:name="Item4ControlsandProcedures"/>
      <w:bookmarkStart w:id="1183" w:name="_74323fd1_66f7_46cb_a69f_ab4121f8a502"/>
      <w:bookmarkEnd w:id="1182"/>
      <w:bookmarkEnd w:id="1183"/>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maintain disclosure controls and procedures that are designed to ensure that information required to be disclosed in our Exchange Act reports is recorded, processed, summarized, and reported within the time periods specified in the Securities and Exchange Commission’s (“SEC”) rules and forms and that such information is accumulated and communicated to our management, including our Principal Executive Officer and Principal Financial Officer, as appropriate, to allow for timely decisions regarding required disclosure.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defined in Exchange Act Rules 13a-15(c) and 15(d)-15(e)) as of the end of the quarter covered by this report. In designing and evaluating our disclosure controls and procedures, our management recognizes that controls and procedures, no matter how well designed and operated, can provide only reasonable assurance of achieving desired control objectives. Based on the foregoing, our Principal Executive Officer and Principal Financial Officer concluded that as of March 31, 2023 our disclosure controls and procedures are effective in ensuring that the information required to be disclosed in our reports filed or submitted under the Exchange Act is recorded, processed, summarized, and reported within the time periods specified in the SEC rules and forms.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Principal Executive Officer and Principal Financial Officer, during the quarter ended March 31, 2023, we have determined that there have been no changes in our internal control over financial reporting that have materially affected, or are reasonably likely to materially affect, our internal controls over financial reporting.</w:t>
      </w:r>
    </w:p>
    <w:p>
      <w:pPr>
        <w:pStyle w:val="TextBody"/>
        <w:bidi w:val="0"/>
        <w:spacing w:before="0" w:after="240"/>
        <w:ind w:left="0" w:right="0" w:hanging="0"/>
        <w:jc w:val="left"/>
        <w:rPr>
          <w:rFonts w:ascii="Times New Roman;Times;serif" w:hAnsi="Times New Roman;Times;serif"/>
          <w:b/>
          <w:sz w:val="20"/>
        </w:rPr>
      </w:pPr>
      <w:bookmarkStart w:id="1184" w:name="Part_II_OTHER_INFORMATION"/>
      <w:bookmarkEnd w:id="1184"/>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185" w:name="Item1LegalProceedings"/>
      <w:bookmarkStart w:id="1186" w:name="_a9c66d23_1675_4374_8c58_5b3d076ece5a"/>
      <w:bookmarkEnd w:id="1185"/>
      <w:bookmarkEnd w:id="1186"/>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See Note 10, “</w:t>
      </w:r>
      <w:r>
        <w:rPr>
          <w:rFonts w:ascii="Times New Roman;Times;serif" w:hAnsi="Times New Roman;Times;serif"/>
          <w:i/>
          <w:sz w:val="20"/>
        </w:rPr>
        <w:t>Commitments and Contingencies”</w:t>
      </w:r>
      <w:r>
        <w:rPr>
          <w:rFonts w:ascii="Times New Roman;Times;serif" w:hAnsi="Times New Roman;Times;serif"/>
          <w:sz w:val="20"/>
        </w:rPr>
        <w:t xml:space="preserve"> to our unaudited condensed consolidated financial statements in Item 1. </w:t>
      </w:r>
      <w:r>
        <w:rPr>
          <w:rFonts w:ascii="Times New Roman;Times;serif" w:hAnsi="Times New Roman;Times;serif"/>
          <w:i/>
          <w:sz w:val="20"/>
        </w:rPr>
        <w:t xml:space="preserve">Condensed Consolidated Financial Statements (Unaudited) </w:t>
      </w:r>
      <w:r>
        <w:rPr>
          <w:rFonts w:ascii="Times New Roman;Times;serif" w:hAnsi="Times New Roman;Times;serif"/>
          <w:sz w:val="20"/>
        </w:rPr>
        <w:t>for a description of any legal proceedings, which is incorporated herein by reference.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87" w:name="Item1ARiskFactors_401633"/>
      <w:bookmarkStart w:id="1188" w:name="_Supplemental_Disclosure_about"/>
      <w:bookmarkStart w:id="1189" w:name="_cb3c4aa1_5104_4119_858c_decc8e8bcb4c"/>
      <w:bookmarkEnd w:id="1187"/>
      <w:bookmarkEnd w:id="1188"/>
      <w:bookmarkEnd w:id="1189"/>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Our Annual Report on Form 10-K for the year ended June 30, 2022 includes a detailed description of our risk factors. </w:t>
      </w:r>
    </w:p>
    <w:p>
      <w:pPr>
        <w:pStyle w:val="TextBody"/>
        <w:bidi w:val="0"/>
        <w:spacing w:before="0" w:after="240"/>
        <w:ind w:left="0" w:right="0" w:hanging="0"/>
        <w:jc w:val="left"/>
        <w:rPr>
          <w:rFonts w:ascii="Times New Roman;Times;serif" w:hAnsi="Times New Roman;Times;serif"/>
          <w:b/>
          <w:sz w:val="20"/>
        </w:rPr>
      </w:pPr>
      <w:bookmarkStart w:id="1190" w:name="Item2UnregisteredSalesofEquitySecurities"/>
      <w:bookmarkStart w:id="1191" w:name="_e4397fd2_1c46_48c4_a7f8_9e70b6d28610"/>
      <w:bookmarkEnd w:id="1190"/>
      <w:bookmarkEnd w:id="1191"/>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table below summarizes information about the Company's purchases of its equity securities during the three months ended March 31, 2023.</w:t>
      </w:r>
    </w:p>
    <w:tbl>
      <w:tblPr>
        <w:tblW w:w="8314" w:type="dxa"/>
        <w:jc w:val="left"/>
        <w:tblInd w:w="0" w:type="dxa"/>
        <w:tblLayout w:type="fixed"/>
        <w:tblCellMar>
          <w:top w:w="0" w:type="dxa"/>
          <w:left w:w="0" w:type="dxa"/>
          <w:bottom w:w="0" w:type="dxa"/>
          <w:right w:w="0" w:type="dxa"/>
        </w:tblCellMar>
      </w:tblPr>
      <w:tblGrid>
        <w:gridCol w:w="1171"/>
        <w:gridCol w:w="109"/>
        <w:gridCol w:w="1426"/>
        <w:gridCol w:w="109"/>
        <w:gridCol w:w="452"/>
        <w:gridCol w:w="973"/>
        <w:gridCol w:w="109"/>
        <w:gridCol w:w="1696"/>
        <w:gridCol w:w="109"/>
        <w:gridCol w:w="469"/>
        <w:gridCol w:w="1691"/>
      </w:tblGrid>
      <w:tr>
        <w:trPr/>
        <w:tc>
          <w:tcPr>
            <w:tcW w:w="11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905510" cy="175260"/>
                      <wp:effectExtent l="0" t="0" r="0" b="0"/>
                      <wp:wrapNone/>
                      <wp:docPr id="308" name="Frame307"/>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17855" cy="175260"/>
                      <wp:effectExtent l="0" t="0" r="0" b="0"/>
                      <wp:wrapNone/>
                      <wp:docPr id="309" name="Frame308"/>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076960" cy="175260"/>
                      <wp:effectExtent l="0" t="0" r="0" b="0"/>
                      <wp:wrapNone/>
                      <wp:docPr id="310" name="Frame309"/>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469" w:type="dxa"/>
            <w:tcBorders/>
            <w:vAlign w:val="center"/>
          </w:tcPr>
          <w:p>
            <w:pPr>
              <w:pStyle w:val="TableContents"/>
              <w:bidi w:val="0"/>
              <w:spacing w:before="0" w:after="1"/>
              <w:ind w:left="0" w:right="0" w:hanging="0"/>
              <w:jc w:val="left"/>
              <w:rPr/>
            </w:pPr>
            <w:r>
              <w:rPr/>
              <w:t>​</w:t>
            </w:r>
          </w:p>
        </w:tc>
        <w:tc>
          <w:tcPr>
            <w:tcW w:w="1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073785" cy="175260"/>
                      <wp:effectExtent l="0" t="0" r="0" b="0"/>
                      <wp:wrapNone/>
                      <wp:docPr id="311" name="Frame310"/>
                      <a:graphic xmlns:a="http://schemas.openxmlformats.org/drawingml/2006/main">
                        <a:graphicData uri="http://schemas.microsoft.com/office/word/2010/wordprocessingShape">
                          <wps:wsp>
                            <wps:cNvSpPr txBox="1"/>
                            <wps:spPr>
                              <a:xfrm>
                                <a:off x="0" y="0"/>
                                <a:ext cx="1073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 Total number </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 Maximum dollar value</w:t>
            </w:r>
          </w:p>
        </w:tc>
      </w:tr>
      <w:tr>
        <w:trPr/>
        <w:tc>
          <w:tcPr>
            <w:tcW w:w="11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 Total number</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 that may yet be</w:t>
            </w:r>
          </w:p>
        </w:tc>
      </w:tr>
      <w:tr>
        <w:trPr/>
        <w:tc>
          <w:tcPr>
            <w:tcW w:w="11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 as part</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purchased under the </w:t>
            </w:r>
          </w:p>
        </w:tc>
      </w:tr>
      <w:tr>
        <w:trPr/>
        <w:tc>
          <w:tcPr>
            <w:tcW w:w="11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 and</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 Average price</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public announced</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plans or programs</w:t>
            </w:r>
          </w:p>
        </w:tc>
      </w:tr>
      <w:tr>
        <w:trPr/>
        <w:tc>
          <w:tcPr>
            <w:tcW w:w="11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Period</w:t>
            </w:r>
          </w:p>
        </w:tc>
        <w:tc>
          <w:tcPr>
            <w:tcW w:w="109" w:type="dxa"/>
            <w:tcBorders/>
            <w:vAlign w:val="center"/>
          </w:tcPr>
          <w:p>
            <w:pPr>
              <w:pStyle w:val="TableContents"/>
              <w:bidi w:val="0"/>
              <w:spacing w:before="0" w:after="1"/>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received </w:t>
            </w:r>
            <w:r>
              <w:rPr>
                <w:rFonts w:ascii="Times New Roman;Times;serif" w:hAnsi="Times New Roman;Times;serif"/>
                <w:b/>
                <w:sz w:val="14"/>
              </w:rPr>
              <w:t>(1)</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paid per share </w:t>
            </w:r>
            <w:r>
              <w:rPr>
                <w:rFonts w:ascii="Times New Roman;Times;serif" w:hAnsi="Times New Roman;Times;serif"/>
                <w:b/>
                <w:sz w:val="14"/>
              </w:rPr>
              <w:t>(1)</w:t>
            </w:r>
          </w:p>
        </w:tc>
        <w:tc>
          <w:tcPr>
            <w:tcW w:w="109" w:type="dxa"/>
            <w:tcBorders/>
            <w:vAlign w:val="center"/>
          </w:tcPr>
          <w:p>
            <w:pPr>
              <w:pStyle w:val="TableContents"/>
              <w:bidi w:val="0"/>
              <w:spacing w:before="0" w:after="1"/>
              <w:ind w:left="0" w:right="0" w:hanging="0"/>
              <w:jc w:val="left"/>
              <w:rPr/>
            </w:pPr>
            <w:r>
              <w:rPr/>
              <w:t>​</w:t>
            </w:r>
          </w:p>
        </w:tc>
        <w:tc>
          <w:tcPr>
            <w:tcW w:w="169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plans or programs</w:t>
            </w:r>
            <w:r>
              <w:rPr>
                <w:rFonts w:ascii="Times New Roman;Times;serif" w:hAnsi="Times New Roman;Times;serif"/>
                <w:b/>
                <w:sz w:val="14"/>
              </w:rPr>
              <w:t>(2)</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(in thousands)</w:t>
            </w:r>
            <w:r>
              <w:rPr>
                <w:rFonts w:ascii="Times New Roman;Times;serif" w:hAnsi="Times New Roman;Times;serif"/>
                <w:b/>
                <w:sz w:val="14"/>
              </w:rPr>
              <w:t>(2)</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January 2023</w:t>
            </w:r>
          </w:p>
        </w:tc>
        <w:tc>
          <w:tcPr>
            <w:tcW w:w="109"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80,733</w:t>
            </w:r>
          </w:p>
        </w:tc>
        <w:tc>
          <w:tcPr>
            <w:tcW w:w="1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6.46</w:t>
            </w:r>
          </w:p>
        </w:tc>
        <w:tc>
          <w:tcPr>
            <w:tcW w:w="109" w:type="dxa"/>
            <w:tcBorders/>
            <w:shd w:fill="CCEEFF" w:val="clear"/>
            <w:vAlign w:val="center"/>
          </w:tcPr>
          <w:p>
            <w:pPr>
              <w:pStyle w:val="TableContents"/>
              <w:bidi w:val="0"/>
              <w:spacing w:before="0" w:after="1"/>
              <w:ind w:left="0" w:right="0" w:hanging="0"/>
              <w:jc w:val="left"/>
              <w:rPr/>
            </w:pPr>
            <w:r>
              <w:rPr/>
              <w:t>​</w:t>
            </w:r>
          </w:p>
        </w:tc>
        <w:tc>
          <w:tcPr>
            <w:tcW w:w="16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80,733</w:t>
            </w:r>
          </w:p>
        </w:tc>
        <w:tc>
          <w:tcPr>
            <w:tcW w:w="109" w:type="dxa"/>
            <w:tcBorders/>
            <w:shd w:fill="CCEEFF" w:val="clear"/>
            <w:vAlign w:val="center"/>
          </w:tcPr>
          <w:p>
            <w:pPr>
              <w:pStyle w:val="TableContents"/>
              <w:bidi w:val="0"/>
              <w:spacing w:before="0" w:after="1"/>
              <w:ind w:left="0" w:right="0" w:hanging="0"/>
              <w:jc w:val="left"/>
              <w:rPr/>
            </w:pPr>
            <w:r>
              <w:rPr/>
              <w:t>​</w:t>
            </w:r>
          </w:p>
        </w:tc>
        <w:tc>
          <w:tcPr>
            <w:tcW w:w="46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24,479</w:t>
            </w:r>
          </w:p>
        </w:tc>
      </w:tr>
      <w:tr>
        <w:trPr/>
        <w:tc>
          <w:tcPr>
            <w:tcW w:w="11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February 2023</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255,981</w:t>
            </w:r>
          </w:p>
        </w:tc>
        <w:tc>
          <w:tcPr>
            <w:tcW w:w="1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6.32</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252,125</w:t>
            </w:r>
          </w:p>
        </w:tc>
        <w:tc>
          <w:tcPr>
            <w:tcW w:w="109" w:type="dxa"/>
            <w:tcBorders/>
            <w:vAlign w:val="center"/>
          </w:tcPr>
          <w:p>
            <w:pPr>
              <w:pStyle w:val="TableContents"/>
              <w:bidi w:val="0"/>
              <w:spacing w:before="0" w:after="1"/>
              <w:ind w:left="0" w:right="0" w:hanging="0"/>
              <w:jc w:val="left"/>
              <w:rPr/>
            </w:pPr>
            <w:r>
              <w:rPr/>
              <w:t>​</w:t>
            </w:r>
          </w:p>
        </w:tc>
        <w:tc>
          <w:tcPr>
            <w:tcW w:w="469" w:type="dxa"/>
            <w:tcBorders/>
            <w:vAlign w:val="center"/>
          </w:tcPr>
          <w:p>
            <w:pPr>
              <w:pStyle w:val="TableContents"/>
              <w:bidi w:val="0"/>
              <w:spacing w:before="0" w:after="1"/>
              <w:ind w:left="0" w:right="0" w:hanging="0"/>
              <w:jc w:val="left"/>
              <w:rPr/>
            </w:pPr>
            <w:r>
              <w:rPr/>
              <w:t>​</w:t>
            </w:r>
          </w:p>
        </w:tc>
        <w:tc>
          <w:tcPr>
            <w:tcW w:w="1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22,885</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March 2023</w:t>
            </w:r>
          </w:p>
        </w:tc>
        <w:tc>
          <w:tcPr>
            <w:tcW w:w="109"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301,672</w:t>
            </w:r>
          </w:p>
        </w:tc>
        <w:tc>
          <w:tcPr>
            <w:tcW w:w="1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5.76</w:t>
            </w:r>
          </w:p>
        </w:tc>
        <w:tc>
          <w:tcPr>
            <w:tcW w:w="109" w:type="dxa"/>
            <w:tcBorders/>
            <w:shd w:fill="CCEEFF" w:val="clear"/>
            <w:vAlign w:val="center"/>
          </w:tcPr>
          <w:p>
            <w:pPr>
              <w:pStyle w:val="TableContents"/>
              <w:bidi w:val="0"/>
              <w:spacing w:before="0" w:after="1"/>
              <w:ind w:left="0" w:right="0" w:hanging="0"/>
              <w:jc w:val="left"/>
              <w:rPr/>
            </w:pPr>
            <w:r>
              <w:rPr/>
              <w:t>​</w:t>
            </w:r>
          </w:p>
        </w:tc>
        <w:tc>
          <w:tcPr>
            <w:tcW w:w="16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300,931</w:t>
            </w:r>
          </w:p>
        </w:tc>
        <w:tc>
          <w:tcPr>
            <w:tcW w:w="109" w:type="dxa"/>
            <w:tcBorders/>
            <w:shd w:fill="CCEEFF" w:val="clear"/>
            <w:vAlign w:val="center"/>
          </w:tcPr>
          <w:p>
            <w:pPr>
              <w:pStyle w:val="TableContents"/>
              <w:bidi w:val="0"/>
              <w:spacing w:before="0" w:after="1"/>
              <w:ind w:left="0" w:right="0" w:hanging="0"/>
              <w:jc w:val="left"/>
              <w:rPr/>
            </w:pPr>
            <w:r>
              <w:rPr/>
              <w:t>​</w:t>
            </w:r>
          </w:p>
        </w:tc>
        <w:tc>
          <w:tcPr>
            <w:tcW w:w="469" w:type="dxa"/>
            <w:tcBorders/>
            <w:shd w:fill="CCEEFF" w:val="clear"/>
            <w:vAlign w:val="center"/>
          </w:tcPr>
          <w:p>
            <w:pPr>
              <w:pStyle w:val="TableContents"/>
              <w:bidi w:val="0"/>
              <w:spacing w:before="0" w:after="1"/>
              <w:ind w:left="0" w:right="0" w:hanging="0"/>
              <w:jc w:val="left"/>
              <w:rPr/>
            </w:pPr>
            <w:r>
              <w:rPr/>
              <w:t>​</w:t>
            </w:r>
          </w:p>
        </w:tc>
        <w:tc>
          <w:tcPr>
            <w:tcW w:w="1691"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21,152</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4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During the three months ended March 31, 2023, </w:t>
            </w:r>
            <w:r>
              <w:rPr>
                <w:rFonts w:ascii="Times New Roman;Times;serif" w:hAnsi="Times New Roman;Times;serif"/>
                <w:b w:val="false"/>
                <w:i w:val="false"/>
                <w:caps w:val="false"/>
                <w:smallCaps w:val="false"/>
                <w:sz w:val="20"/>
                <w:shd w:fill="FFFFFF" w:val="clear"/>
              </w:rPr>
              <w:t>all of the shares received outside of publicly announced plans or programs were surrendered by employees in exchange for the payment of tax withholding upon the vesting of restricted stock awards.</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(2)</w:t>
            </w:r>
          </w:p>
        </w:tc>
        <w:tc>
          <w:tcPr>
            <w:tcW w:w="99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2022, the Company’s Board of Directors approved a share repurchase program, under which the Company is authorized to repurchase up to $25.0 million of its common stock through December 31, 2024.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our capital needs and resources,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 In December 2022, the Company entered into a Rule 10b5-1 plan that authorizes a broker to repurchase shares in the open market subject to pre-defined limitations on trading volume and price. The plan included a 30-day cooling off period that did not allow repurchases to commence until January 2023. The plan is effective until June 30, 2023, unless extended, renewed or terminated by the Company, and has a maximum authorized amount of $5.0 million over that period. The Company may alter the terms of the plan from time to time to the extent it determines changes are necessary to achieve the intended objectives of the repurchase program.</w:t>
            </w:r>
          </w:p>
        </w:tc>
      </w:tr>
    </w:tbl>
    <w:p>
      <w:pPr>
        <w:pStyle w:val="TextBody"/>
        <w:bidi w:val="0"/>
        <w:spacing w:before="0" w:after="24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92" w:name="Item3DefaultsUponSeniorSecurities"/>
      <w:bookmarkStart w:id="1193" w:name="_7ee229bd_867e_47cb_b535_8f029f08d0fd"/>
      <w:bookmarkEnd w:id="1192"/>
      <w:bookmarkEnd w:id="1193"/>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194" w:name="Item4MineSafetyDisclosures_798178"/>
      <w:bookmarkStart w:id="1195" w:name="_bfe590ff_8264_499d_8996_263aefaecc48"/>
      <w:bookmarkEnd w:id="1194"/>
      <w:bookmarkEnd w:id="1195"/>
      <w:r>
        <w:rPr>
          <w:rFonts w:ascii="Times New Roman;Times;serif" w:hAnsi="Times New Roman;Times;serif"/>
          <w:b/>
          <w:sz w:val="20"/>
        </w:rPr>
        <w:t>Item 4. Mine Safety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96" w:name="Item5OtherInformation"/>
      <w:bookmarkStart w:id="1197" w:name="_50f53a6f_64b3_4332_9618_2c39fa2235f6"/>
      <w:bookmarkEnd w:id="1196"/>
      <w:bookmarkEnd w:id="1197"/>
      <w:r>
        <w:rPr>
          <w:rFonts w:ascii="Times New Roman;Times;serif" w:hAnsi="Times New Roman;Times;serif"/>
          <w:b/>
          <w:sz w:val="20"/>
        </w:rPr>
        <w:t>Item 5. Other Information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198" w:name="Item6Exhibits"/>
      <w:bookmarkStart w:id="1199" w:name="_bac37e29_2b48_48cc_88b2_7969cfe211fc"/>
      <w:bookmarkEnd w:id="1198"/>
      <w:bookmarkEnd w:id="1199"/>
      <w:r>
        <w:rPr>
          <w:rFonts w:ascii="Times New Roman;Times;serif" w:hAnsi="Times New Roman;Times;serif"/>
          <w:b/>
          <w:sz w:val="20"/>
        </w:rPr>
        <w:t>Item 6.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documents are included as exhibits to the Quarterly Report on Form 10-Q. Those exhibits incorporated by reference are so indicated by the information supplied with respect thereto. Those exhibits which are not incorporated by reference are attached hereto.</w:t>
      </w:r>
    </w:p>
    <w:tbl>
      <w:tblPr>
        <w:tblW w:w="10205" w:type="dxa"/>
        <w:jc w:val="left"/>
        <w:tblInd w:w="0" w:type="dxa"/>
        <w:tblLayout w:type="fixed"/>
        <w:tblCellMar>
          <w:top w:w="0" w:type="dxa"/>
          <w:left w:w="0" w:type="dxa"/>
          <w:bottom w:w="0" w:type="dxa"/>
          <w:right w:w="0" w:type="dxa"/>
        </w:tblCellMar>
      </w:tblPr>
      <w:tblGrid>
        <w:gridCol w:w="866"/>
        <w:gridCol w:w="109"/>
        <w:gridCol w:w="9230"/>
      </w:tblGrid>
      <w:tr>
        <w:trPr/>
        <w:tc>
          <w:tcPr>
            <w:tcW w:w="866"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230" w:type="dxa"/>
            <w:tcBorders/>
            <w:vAlign w:val="center"/>
          </w:tcPr>
          <w:p>
            <w:pPr>
              <w:pStyle w:val="TableHeading"/>
              <w:bidi w:val="0"/>
              <w:spacing w:before="0" w:after="0"/>
              <w:ind w:left="0" w:right="0" w:hanging="0"/>
              <w:jc w:val="left"/>
              <w:rPr/>
            </w:pPr>
            <w:r>
              <w:rPr/>
              <w:t>​</w:t>
            </w:r>
          </w:p>
        </w:tc>
      </w:tr>
      <w:tr>
        <w:trPr/>
        <w:tc>
          <w:tcPr>
            <w:tcW w:w="866"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230" w:type="dxa"/>
            <w:tcBorders/>
            <w:vAlign w:val="center"/>
          </w:tcPr>
          <w:p>
            <w:pPr>
              <w:pStyle w:val="TableHeading"/>
              <w:bidi w:val="0"/>
              <w:spacing w:before="0" w:after="0"/>
              <w:ind w:left="0" w:right="0" w:hanging="0"/>
              <w:jc w:val="left"/>
              <w:rPr/>
            </w:pPr>
            <w:r>
              <w:rPr/>
              <w:t>​</w:t>
            </w:r>
          </w:p>
        </w:tc>
      </w:tr>
      <w:tr>
        <w:trPr/>
        <w:tc>
          <w:tcPr>
            <w:tcW w:w="866"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230" w:type="dxa"/>
            <w:tcBorders/>
            <w:vAlign w:val="center"/>
          </w:tcPr>
          <w:p>
            <w:pPr>
              <w:pStyle w:val="TableHeading"/>
              <w:bidi w:val="0"/>
              <w:spacing w:before="0" w:after="0"/>
              <w:ind w:left="0" w:right="0" w:hanging="0"/>
              <w:jc w:val="left"/>
              <w:rPr/>
            </w:pPr>
            <w:r>
              <w:rPr/>
              <w:t>​</w:t>
            </w:r>
          </w:p>
        </w:tc>
      </w:tr>
      <w:tr>
        <w:trPr/>
        <w:tc>
          <w:tcPr>
            <w:tcW w:w="866"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230" w:type="dxa"/>
            <w:tcBorders/>
            <w:vAlign w:val="center"/>
          </w:tcPr>
          <w:p>
            <w:pPr>
              <w:pStyle w:val="TableHeading"/>
              <w:bidi w:val="0"/>
              <w:spacing w:before="0" w:after="0"/>
              <w:ind w:left="0" w:right="0" w:hanging="0"/>
              <w:jc w:val="left"/>
              <w:rPr/>
            </w:pPr>
            <w:r>
              <w:rPr/>
              <w:t>​</w:t>
            </w:r>
          </w:p>
        </w:tc>
      </w:tr>
      <w:tr>
        <w:trPr/>
        <w:tc>
          <w:tcPr>
            <w:tcW w:w="866"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230" w:type="dxa"/>
            <w:tcBorders/>
            <w:vAlign w:val="center"/>
          </w:tcPr>
          <w:p>
            <w:pPr>
              <w:pStyle w:val="TableHeading"/>
              <w:bidi w:val="0"/>
              <w:spacing w:before="0" w:after="0"/>
              <w:ind w:left="0" w:right="0" w:hanging="0"/>
              <w:jc w:val="left"/>
              <w:rPr/>
            </w:pPr>
            <w:r>
              <w:rPr/>
              <w:t>​</w:t>
            </w:r>
          </w:p>
        </w:tc>
      </w:tr>
      <w:tr>
        <w:trPr/>
        <w:tc>
          <w:tcPr>
            <w:tcW w:w="866"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230" w:type="dxa"/>
            <w:tcBorders/>
            <w:vAlign w:val="center"/>
          </w:tcPr>
          <w:p>
            <w:pPr>
              <w:pStyle w:val="TableHeading"/>
              <w:bidi w:val="0"/>
              <w:spacing w:before="0" w:after="0"/>
              <w:ind w:left="0" w:right="0" w:hanging="0"/>
              <w:jc w:val="left"/>
              <w:rPr/>
            </w:pPr>
            <w:r>
              <w:rPr/>
              <w:t>​</w:t>
            </w:r>
          </w:p>
        </w:tc>
      </w:tr>
      <w:tr>
        <w:trPr/>
        <w:tc>
          <w:tcPr>
            <w:tcW w:w="866"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230" w:type="dxa"/>
            <w:tcBorders/>
            <w:vAlign w:val="center"/>
          </w:tcPr>
          <w:p>
            <w:pPr>
              <w:pStyle w:val="TableHeading"/>
              <w:bidi w:val="0"/>
              <w:spacing w:before="0" w:after="0"/>
              <w:ind w:left="0" w:right="0" w:hanging="0"/>
              <w:jc w:val="left"/>
              <w:rPr/>
            </w:pPr>
            <w:r>
              <w:rPr/>
              <w:t>​</w:t>
            </w:r>
          </w:p>
        </w:tc>
      </w:tr>
      <w:tr>
        <w:trPr/>
        <w:tc>
          <w:tcPr>
            <w:tcW w:w="866"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230" w:type="dxa"/>
            <w:tcBorders/>
            <w:vAlign w:val="center"/>
          </w:tcPr>
          <w:p>
            <w:pPr>
              <w:pStyle w:val="TableHeading"/>
              <w:bidi w:val="0"/>
              <w:spacing w:before="0" w:after="0"/>
              <w:ind w:left="0" w:right="0" w:hanging="0"/>
              <w:jc w:val="left"/>
              <w:rPr/>
            </w:pPr>
            <w:r>
              <w:rPr/>
              <w:t>​</w:t>
            </w:r>
          </w:p>
        </w:tc>
      </w:tr>
      <w:tr>
        <w:trPr/>
        <w:tc>
          <w:tcPr>
            <w:tcW w:w="866"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9230" w:type="dxa"/>
            <w:tcBorders/>
            <w:shd w:fill="CCEEFF" w:val="clear"/>
            <w:vAlign w:val="center"/>
          </w:tcPr>
          <w:p>
            <w:pPr>
              <w:pStyle w:val="TableContents"/>
              <w:bidi w:val="0"/>
              <w:spacing w:before="0" w:after="30"/>
              <w:ind w:left="0" w:right="0" w:hanging="0"/>
              <w:jc w:val="left"/>
              <w:rPr/>
            </w:pPr>
            <w:hyperlink r:id="rId3">
              <w:r>
                <w:rPr>
                  <w:rStyle w:val="InternetLink"/>
                  <w:rFonts w:ascii="Times New Roman;Times;serif" w:hAnsi="Times New Roman;Times;serif"/>
                  <w:b w:val="false"/>
                  <w:i w:val="false"/>
                  <w:caps w:val="false"/>
                  <w:smallCaps w:val="false"/>
                  <w:sz w:val="20"/>
                </w:rPr>
                <w:t>Restated Articles of Incorporation (incorporated by reference to Exhibit 3.1 of our Quarterly Report on Form 10-Q filed February 8, 2023).</w:t>
              </w:r>
            </w:hyperlink>
          </w:p>
        </w:tc>
      </w:tr>
      <w:tr>
        <w:trPr/>
        <w:tc>
          <w:tcPr>
            <w:tcW w:w="866"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30"/>
              <w:ind w:left="0" w:right="0" w:hanging="0"/>
              <w:jc w:val="left"/>
              <w:rPr/>
            </w:pPr>
            <w:r>
              <w:rPr/>
              <w:t>​</w:t>
            </w:r>
          </w:p>
        </w:tc>
        <w:tc>
          <w:tcPr>
            <w:tcW w:w="9230" w:type="dxa"/>
            <w:tcBorders/>
            <w:vAlign w:val="center"/>
          </w:tcPr>
          <w:p>
            <w:pPr>
              <w:pStyle w:val="TableContents"/>
              <w:bidi w:val="0"/>
              <w:spacing w:before="0" w:after="30"/>
              <w:ind w:left="0" w:right="0" w:hanging="0"/>
              <w:jc w:val="left"/>
              <w:rPr/>
            </w:pPr>
            <w:hyperlink r:id="rId4">
              <w:r>
                <w:rPr>
                  <w:rStyle w:val="InternetLink"/>
                  <w:rFonts w:ascii="Times New Roman;Times;serif" w:hAnsi="Times New Roman;Times;serif"/>
                  <w:b w:val="false"/>
                  <w:i w:val="false"/>
                  <w:caps w:val="false"/>
                  <w:smallCaps w:val="false"/>
                  <w:sz w:val="20"/>
                </w:rPr>
                <w:t>Amended Bylaws (incorporated by reference to Exhibit 2.1 of our Annual Report on Form 10-KSB filed March 31, 2004)</w:t>
              </w:r>
            </w:hyperlink>
          </w:p>
        </w:tc>
      </w:tr>
      <w:tr>
        <w:trPr/>
        <w:tc>
          <w:tcPr>
            <w:tcW w:w="866"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10.2.10*</w:t>
            </w:r>
          </w:p>
        </w:tc>
        <w:tc>
          <w:tcPr>
            <w:tcW w:w="109" w:type="dxa"/>
            <w:tcBorders/>
            <w:shd w:fill="CCEEFF" w:val="clear"/>
            <w:vAlign w:val="center"/>
          </w:tcPr>
          <w:p>
            <w:pPr>
              <w:pStyle w:val="TableContents"/>
              <w:bidi w:val="0"/>
              <w:spacing w:before="0" w:after="30"/>
              <w:ind w:left="0" w:right="0" w:hanging="0"/>
              <w:jc w:val="left"/>
              <w:rPr/>
            </w:pPr>
            <w:r>
              <w:rPr/>
              <w:t>​</w:t>
            </w:r>
          </w:p>
        </w:tc>
        <w:tc>
          <w:tcPr>
            <w:tcW w:w="9230" w:type="dxa"/>
            <w:tcBorders/>
            <w:shd w:fill="CCEEFF" w:val="clear"/>
            <w:vAlign w:val="center"/>
          </w:tcPr>
          <w:p>
            <w:pPr>
              <w:pStyle w:val="TableContents"/>
              <w:bidi w:val="0"/>
              <w:spacing w:before="0" w:after="30"/>
              <w:ind w:left="0" w:right="0" w:hanging="0"/>
              <w:jc w:val="left"/>
              <w:rPr/>
            </w:pPr>
            <w:hyperlink w:anchor="epm-20230331xex10d210.htm">
              <w:r>
                <w:rPr>
                  <w:rStyle w:val="InternetLink"/>
                  <w:rFonts w:ascii="Times New Roman;Times;serif" w:hAnsi="Times New Roman;Times;serif"/>
                  <w:b w:val="false"/>
                  <w:i w:val="false"/>
                  <w:caps w:val="false"/>
                  <w:smallCaps w:val="false"/>
                  <w:sz w:val="20"/>
                </w:rPr>
                <w:t>Tenth Amendment to the Credit Agreement dated May 5, 2023, between Evolution Petroleum Corporation and MidFirst Bank</w:t>
              </w:r>
            </w:hyperlink>
            <w:r>
              <w:rPr>
                <w:rFonts w:ascii="Times New Roman;Times;serif" w:hAnsi="Times New Roman;Times;serif"/>
                <w:sz w:val="20"/>
              </w:rPr>
              <w:t xml:space="preserve"> </w:t>
            </w:r>
          </w:p>
        </w:tc>
      </w:tr>
      <w:tr>
        <w:trPr/>
        <w:tc>
          <w:tcPr>
            <w:tcW w:w="866"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10.10†</w:t>
            </w:r>
            <w:r>
              <w:rPr>
                <w:rFonts w:ascii="Times New Roman;Times;serif" w:hAnsi="Times New Roman;Times;serif"/>
                <w:i/>
                <w:sz w:val="20"/>
              </w:rPr>
              <w:t>*</w:t>
            </w:r>
          </w:p>
        </w:tc>
        <w:tc>
          <w:tcPr>
            <w:tcW w:w="109" w:type="dxa"/>
            <w:tcBorders/>
            <w:vAlign w:val="center"/>
          </w:tcPr>
          <w:p>
            <w:pPr>
              <w:pStyle w:val="TableContents"/>
              <w:bidi w:val="0"/>
              <w:spacing w:before="0" w:after="0"/>
              <w:ind w:left="0" w:right="0" w:hanging="0"/>
              <w:jc w:val="left"/>
              <w:rPr/>
            </w:pPr>
            <w:r>
              <w:rPr/>
              <w:t>​</w:t>
            </w:r>
          </w:p>
        </w:tc>
        <w:tc>
          <w:tcPr>
            <w:tcW w:w="9230" w:type="dxa"/>
            <w:tcBorders/>
            <w:vAlign w:val="center"/>
          </w:tcPr>
          <w:p>
            <w:pPr>
              <w:pStyle w:val="TableContents"/>
              <w:bidi w:val="0"/>
              <w:spacing w:before="0" w:after="30"/>
              <w:ind w:left="0" w:right="0" w:hanging="0"/>
              <w:jc w:val="left"/>
              <w:rPr/>
            </w:pPr>
            <w:hyperlink w:anchor="epm-20230331xex10d10.htm">
              <w:r>
                <w:rPr>
                  <w:rStyle w:val="InternetLink"/>
                  <w:rFonts w:ascii="Times New Roman;Times;serif" w:hAnsi="Times New Roman;Times;serif"/>
                  <w:b w:val="false"/>
                  <w:i w:val="false"/>
                  <w:caps w:val="false"/>
                  <w:smallCaps w:val="false"/>
                  <w:sz w:val="20"/>
                </w:rPr>
                <w:t>Employment Offer Letter to J. Mark Bunch dated February 21, 2023.</w:t>
              </w:r>
            </w:hyperlink>
          </w:p>
        </w:tc>
      </w:tr>
      <w:tr>
        <w:trPr/>
        <w:tc>
          <w:tcPr>
            <w:tcW w:w="866"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31.1**</w:t>
            </w:r>
          </w:p>
        </w:tc>
        <w:tc>
          <w:tcPr>
            <w:tcW w:w="109" w:type="dxa"/>
            <w:tcBorders/>
            <w:shd w:fill="CCEEFF" w:val="clear"/>
            <w:vAlign w:val="center"/>
          </w:tcPr>
          <w:p>
            <w:pPr>
              <w:pStyle w:val="TableContents"/>
              <w:bidi w:val="0"/>
              <w:spacing w:before="0" w:after="0"/>
              <w:ind w:left="0" w:right="0" w:hanging="0"/>
              <w:jc w:val="left"/>
              <w:rPr/>
            </w:pPr>
            <w:r>
              <w:rPr/>
              <w:t>​</w:t>
            </w:r>
          </w:p>
        </w:tc>
        <w:tc>
          <w:tcPr>
            <w:tcW w:w="9230" w:type="dxa"/>
            <w:tcBorders/>
            <w:shd w:fill="CCEEFF" w:val="clear"/>
            <w:vAlign w:val="center"/>
          </w:tcPr>
          <w:p>
            <w:pPr>
              <w:pStyle w:val="TableContents"/>
              <w:bidi w:val="0"/>
              <w:spacing w:before="0" w:after="30"/>
              <w:ind w:left="0" w:right="0" w:hanging="0"/>
              <w:jc w:val="left"/>
              <w:rPr/>
            </w:pPr>
            <w:hyperlink w:anchor="epm-20230331xex31d1.htm">
              <w:r>
                <w:rPr>
                  <w:rStyle w:val="InternetLink"/>
                  <w:rFonts w:ascii="Times New Roman;Times;serif" w:hAnsi="Times New Roman;Times;serif"/>
                  <w:b w:val="false"/>
                  <w:i w:val="false"/>
                  <w:caps w:val="false"/>
                  <w:smallCaps w:val="false"/>
                  <w:sz w:val="20"/>
                </w:rPr>
                <w:t>Certification of Principal Executive Officer Pursuant to Rule 15D-14 of the Securities Exchange Act of 1934, as Amended as Adopted Pursuant to Section 302 of the Sarbanes-Oxley Act of 2002</w:t>
              </w:r>
            </w:hyperlink>
          </w:p>
        </w:tc>
      </w:tr>
      <w:tr>
        <w:trPr/>
        <w:tc>
          <w:tcPr>
            <w:tcW w:w="866"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9230" w:type="dxa"/>
            <w:tcBorders/>
            <w:vAlign w:val="center"/>
          </w:tcPr>
          <w:p>
            <w:pPr>
              <w:pStyle w:val="TableContents"/>
              <w:bidi w:val="0"/>
              <w:spacing w:before="0" w:after="30"/>
              <w:ind w:left="0" w:right="0" w:hanging="0"/>
              <w:jc w:val="left"/>
              <w:rPr/>
            </w:pPr>
            <w:hyperlink w:anchor="epm-20230331xex31d2.htm">
              <w:r>
                <w:rPr>
                  <w:rStyle w:val="InternetLink"/>
                  <w:rFonts w:ascii="Times New Roman;Times;serif" w:hAnsi="Times New Roman;Times;serif"/>
                  <w:b w:val="false"/>
                  <w:i w:val="false"/>
                  <w:caps w:val="false"/>
                  <w:smallCaps w:val="false"/>
                  <w:sz w:val="20"/>
                </w:rPr>
                <w:t>Certification of Principal Financial Officer Pursuant to Rule 15D-14 of the Securities Exchange Act of 1934, as Amended as Adopted Pursuant to Section 302 of the Sarbanes-Oxley Act of 2002</w:t>
              </w:r>
            </w:hyperlink>
          </w:p>
        </w:tc>
      </w:tr>
      <w:tr>
        <w:trPr/>
        <w:tc>
          <w:tcPr>
            <w:tcW w:w="866"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32.1**</w:t>
            </w:r>
          </w:p>
        </w:tc>
        <w:tc>
          <w:tcPr>
            <w:tcW w:w="109" w:type="dxa"/>
            <w:tcBorders/>
            <w:shd w:fill="CCEEFF" w:val="clear"/>
            <w:vAlign w:val="center"/>
          </w:tcPr>
          <w:p>
            <w:pPr>
              <w:pStyle w:val="TableContents"/>
              <w:bidi w:val="0"/>
              <w:spacing w:before="0" w:after="0"/>
              <w:ind w:left="0" w:right="0" w:hanging="0"/>
              <w:jc w:val="left"/>
              <w:rPr/>
            </w:pPr>
            <w:r>
              <w:rPr/>
              <w:t>​</w:t>
            </w:r>
          </w:p>
        </w:tc>
        <w:tc>
          <w:tcPr>
            <w:tcW w:w="9230" w:type="dxa"/>
            <w:tcBorders/>
            <w:shd w:fill="CCEEFF" w:val="clear"/>
            <w:vAlign w:val="center"/>
          </w:tcPr>
          <w:p>
            <w:pPr>
              <w:pStyle w:val="TableContents"/>
              <w:bidi w:val="0"/>
              <w:spacing w:before="0" w:after="30"/>
              <w:ind w:left="0" w:right="0" w:hanging="0"/>
              <w:jc w:val="left"/>
              <w:rPr/>
            </w:pPr>
            <w:hyperlink w:anchor="epm-2023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866"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9230" w:type="dxa"/>
            <w:tcBorders/>
            <w:vAlign w:val="center"/>
          </w:tcPr>
          <w:p>
            <w:pPr>
              <w:pStyle w:val="TableContents"/>
              <w:bidi w:val="0"/>
              <w:spacing w:before="0" w:after="30"/>
              <w:ind w:left="0" w:right="0" w:hanging="0"/>
              <w:jc w:val="left"/>
              <w:rPr/>
            </w:pPr>
            <w:hyperlink w:anchor="epm-2023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866"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101.INS*</w:t>
            </w:r>
          </w:p>
        </w:tc>
        <w:tc>
          <w:tcPr>
            <w:tcW w:w="109" w:type="dxa"/>
            <w:tcBorders/>
            <w:shd w:fill="CCEEFF" w:val="clear"/>
            <w:vAlign w:val="center"/>
          </w:tcPr>
          <w:p>
            <w:pPr>
              <w:pStyle w:val="TableContents"/>
              <w:bidi w:val="0"/>
              <w:spacing w:before="0" w:after="0"/>
              <w:ind w:left="0" w:right="0" w:hanging="0"/>
              <w:jc w:val="left"/>
              <w:rPr/>
            </w:pPr>
            <w:r>
              <w:rPr/>
              <w:t>​</w:t>
            </w:r>
          </w:p>
        </w:tc>
        <w:tc>
          <w:tcPr>
            <w:tcW w:w="9230"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66"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230"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66"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101.CAL*</w:t>
            </w:r>
          </w:p>
        </w:tc>
        <w:tc>
          <w:tcPr>
            <w:tcW w:w="109" w:type="dxa"/>
            <w:tcBorders/>
            <w:shd w:fill="CCEEFF" w:val="clear"/>
            <w:vAlign w:val="center"/>
          </w:tcPr>
          <w:p>
            <w:pPr>
              <w:pStyle w:val="TableContents"/>
              <w:bidi w:val="0"/>
              <w:spacing w:before="0" w:after="0"/>
              <w:ind w:left="0" w:right="0" w:hanging="0"/>
              <w:jc w:val="left"/>
              <w:rPr/>
            </w:pPr>
            <w:r>
              <w:rPr/>
              <w:t>​</w:t>
            </w:r>
          </w:p>
        </w:tc>
        <w:tc>
          <w:tcPr>
            <w:tcW w:w="9230"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66"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230"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66"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101.LAB*</w:t>
            </w:r>
          </w:p>
        </w:tc>
        <w:tc>
          <w:tcPr>
            <w:tcW w:w="109" w:type="dxa"/>
            <w:tcBorders/>
            <w:shd w:fill="CCEEFF" w:val="clear"/>
            <w:vAlign w:val="center"/>
          </w:tcPr>
          <w:p>
            <w:pPr>
              <w:pStyle w:val="TableContents"/>
              <w:bidi w:val="0"/>
              <w:spacing w:before="0" w:after="0"/>
              <w:ind w:left="0" w:right="0" w:hanging="0"/>
              <w:jc w:val="left"/>
              <w:rPr/>
            </w:pPr>
            <w:r>
              <w:rPr/>
              <w:t>​</w:t>
            </w:r>
          </w:p>
        </w:tc>
        <w:tc>
          <w:tcPr>
            <w:tcW w:w="9230"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66"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230"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66"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shd w:fill="CCEEFF" w:val="clear"/>
            <w:vAlign w:val="center"/>
          </w:tcPr>
          <w:p>
            <w:pPr>
              <w:pStyle w:val="TableContents"/>
              <w:bidi w:val="0"/>
              <w:spacing w:before="0" w:after="0"/>
              <w:ind w:left="0" w:right="0" w:hanging="0"/>
              <w:jc w:val="left"/>
              <w:rPr/>
            </w:pPr>
            <w:r>
              <w:rPr/>
              <w:t>​</w:t>
            </w:r>
          </w:p>
        </w:tc>
        <w:tc>
          <w:tcPr>
            <w:tcW w:w="9230"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Attached hereto.</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Furnished herewith.</w:t>
      </w:r>
    </w:p>
    <w:p>
      <w:pPr>
        <w:pStyle w:val="TextBody"/>
        <w:bidi w:val="0"/>
        <w:spacing w:before="0" w:after="240"/>
        <w:ind w:left="0" w:right="0" w:hanging="0"/>
        <w:jc w:val="left"/>
        <w:rPr/>
      </w:pPr>
      <w:r>
        <w:rPr/>
        <w:t xml:space="preserve">† </w:t>
      </w:r>
      <w:r>
        <w:rPr>
          <w:rFonts w:ascii="Times New Roman;Times;serif" w:hAnsi="Times New Roman;Times;serif"/>
          <w:i/>
          <w:sz w:val="20"/>
        </w:rPr>
        <w:t>Indicates management contract or compensatory plan or arrangement.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00" w:name="SIGNATURES_679961"/>
      <w:bookmarkStart w:id="1201" w:name="_2a5378ae_be60_4079_8ab8_012ddfb4079e"/>
      <w:bookmarkEnd w:id="1200"/>
      <w:bookmarkEnd w:id="1201"/>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0" w:type="dxa"/>
          <w:left w:w="0" w:type="dxa"/>
          <w:bottom w:w="0" w:type="dxa"/>
          <w:right w:w="0" w:type="dxa"/>
        </w:tblCellMar>
      </w:tblPr>
      <w:tblGrid>
        <w:gridCol w:w="1722"/>
        <w:gridCol w:w="326"/>
        <w:gridCol w:w="405"/>
        <w:gridCol w:w="7752"/>
      </w:tblGrid>
      <w:tr>
        <w:trPr/>
        <w:tc>
          <w:tcPr>
            <w:tcW w:w="1722" w:type="dxa"/>
            <w:tcBorders/>
            <w:vAlign w:val="center"/>
          </w:tcPr>
          <w:p>
            <w:pPr>
              <w:pStyle w:val="TableContents"/>
              <w:bidi w:val="0"/>
              <w:spacing w:before="0" w:after="3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157" w:type="dxa"/>
            <w:gridSpan w:val="2"/>
            <w:tcBorders/>
            <w:vAlign w:val="center"/>
          </w:tcPr>
          <w:p>
            <w:pPr>
              <w:pStyle w:val="TableContents"/>
              <w:bidi w:val="0"/>
              <w:spacing w:before="0" w:after="30"/>
              <w:ind w:left="0" w:right="0" w:hanging="0"/>
              <w:jc w:val="left"/>
              <w:rPr>
                <w:rFonts w:ascii="Times New Roman;Times;serif" w:hAnsi="Times New Roman;Times;serif"/>
                <w:b/>
                <w:sz w:val="20"/>
              </w:rPr>
            </w:pPr>
            <w:r>
              <w:rPr>
                <w:rFonts w:ascii="Times New Roman;Times;serif" w:hAnsi="Times New Roman;Times;serif"/>
                <w:b/>
                <w:sz w:val="20"/>
              </w:rPr>
              <w:t>Evolution Petroleum Corporation</w:t>
            </w:r>
          </w:p>
        </w:tc>
      </w:tr>
      <w:tr>
        <w:trPr/>
        <w:tc>
          <w:tcPr>
            <w:tcW w:w="1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10, 2023</w:t>
            </w:r>
          </w:p>
        </w:tc>
        <w:tc>
          <w:tcPr>
            <w:tcW w:w="326" w:type="dxa"/>
            <w:tcBorders/>
            <w:vAlign w:val="center"/>
          </w:tcPr>
          <w:p>
            <w:pPr>
              <w:pStyle w:val="TableContents"/>
              <w:bidi w:val="0"/>
              <w:spacing w:before="0" w:after="0"/>
              <w:ind w:left="0" w:right="0" w:hanging="0"/>
              <w:jc w:val="center"/>
              <w:rPr/>
            </w:pPr>
            <w:r>
              <w:rPr/>
              <w:t>​</w:t>
            </w:r>
          </w:p>
        </w:tc>
        <w:tc>
          <w:tcPr>
            <w:tcW w:w="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752"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tc>
      </w:tr>
      <w:tr>
        <w:trPr/>
        <w:tc>
          <w:tcPr>
            <w:tcW w:w="17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5" w:type="dxa"/>
            <w:tcBorders/>
            <w:vAlign w:val="center"/>
          </w:tcPr>
          <w:p>
            <w:pPr>
              <w:pStyle w:val="TableContents"/>
              <w:bidi w:val="0"/>
              <w:spacing w:before="0" w:after="0"/>
              <w:ind w:left="0" w:right="0" w:hanging="0"/>
              <w:jc w:val="left"/>
              <w:rPr/>
            </w:pPr>
            <w:r>
              <w:rPr/>
              <w:t>​</w:t>
            </w:r>
          </w:p>
        </w:tc>
        <w:tc>
          <w:tcPr>
            <w:tcW w:w="7752"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Kelly W. Loyd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President and Chief Executive Officer (Principal Executive Officer) and Director</w:t>
            </w:r>
            <w:r>
              <w:rPr>
                <w:rFonts w:ascii="Times New Roman;Times;serif" w:hAnsi="Times New Roman;Times;serif"/>
                <w:sz w:val="20"/>
              </w:rPr>
              <w:br/>
              <w:t>​</w:t>
            </w:r>
          </w:p>
          <w:p>
            <w:pPr>
              <w:pStyle w:val="TableContents"/>
              <w:bidi w:val="0"/>
              <w:spacing w:before="0" w:after="0"/>
              <w:ind w:left="0" w:right="0" w:hanging="0"/>
              <w:jc w:val="center"/>
              <w:rPr/>
            </w:pPr>
            <w:r>
              <w:rPr/>
              <w:t>​</w:t>
            </w:r>
          </w:p>
        </w:tc>
      </w:tr>
      <w:tr>
        <w:trPr/>
        <w:tc>
          <w:tcPr>
            <w:tcW w:w="17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7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c>
      </w:tr>
      <w:tr>
        <w:trPr/>
        <w:tc>
          <w:tcPr>
            <w:tcW w:w="17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5" w:type="dxa"/>
            <w:tcBorders/>
            <w:vAlign w:val="center"/>
          </w:tcPr>
          <w:p>
            <w:pPr>
              <w:pStyle w:val="TableContents"/>
              <w:bidi w:val="0"/>
              <w:spacing w:before="0" w:after="0"/>
              <w:ind w:left="0" w:right="0" w:hanging="0"/>
              <w:jc w:val="left"/>
              <w:rPr/>
            </w:pPr>
            <w:r>
              <w:rPr/>
              <w:t>​</w:t>
            </w:r>
          </w:p>
        </w:tc>
        <w:tc>
          <w:tcPr>
            <w:tcW w:w="7752"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Ryan Stash</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and Chief Financial Officer (Principal Financial Officer) and Treasurer</w:t>
            </w:r>
          </w:p>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0"/>
        <w:ind w:left="0" w:right="0" w:hanging="0"/>
        <w:jc w:val="right"/>
        <w:rPr>
          <w:rFonts w:ascii="Times New Roman;Times;serif" w:hAnsi="Times New Roman;Times;serif"/>
          <w:b/>
          <w:sz w:val="20"/>
        </w:rPr>
      </w:pPr>
      <w:bookmarkStart w:id="1202" w:name="epm-20230331xex10d10.htm"/>
      <w:bookmarkStart w:id="1203" w:name="ksepm20230331xex10d10"/>
      <w:bookmarkEnd w:id="1202"/>
      <w:bookmarkEnd w:id="1203"/>
      <w:r>
        <w:rPr>
          <w:rFonts w:ascii="Times New Roman;Times;serif" w:hAnsi="Times New Roman;Times;serif"/>
          <w:b/>
          <w:sz w:val="20"/>
        </w:rPr>
        <w:t>EXHIBIT 10.10</w:t>
      </w:r>
      <w:r>
        <w:br w:type="page"/>
      </w:r>
    </w:p>
    <w:p>
      <w:pPr>
        <w:pStyle w:val="TextBody"/>
        <w:bidi w:val="0"/>
        <w:spacing w:before="0" w:after="0"/>
        <w:ind w:left="0" w:right="0" w:hanging="0"/>
        <w:jc w:val="center"/>
        <w:rPr/>
      </w:pPr>
      <w:r>
        <w:rPr/>
        <w:drawing>
          <wp:inline distT="0" distB="0" distL="0" distR="0">
            <wp:extent cx="2494280" cy="680085"/>
            <wp:effectExtent l="0" t="0" r="0" b="0"/>
            <wp:docPr id="3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 descr=""/>
                    <pic:cNvPicPr>
                      <a:picLocks noChangeAspect="1" noChangeArrowheads="1"/>
                    </pic:cNvPicPr>
                  </pic:nvPicPr>
                  <pic:blipFill>
                    <a:blip r:embed="rId5"/>
                    <a:stretch>
                      <a:fillRect/>
                    </a:stretch>
                  </pic:blipFill>
                  <pic:spPr bwMode="auto">
                    <a:xfrm>
                      <a:off x="0" y="0"/>
                      <a:ext cx="2494280" cy="68008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February 21, 2023</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Mr. J. Mark Bunch</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Houston, TX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Dear Mark,</w:t>
      </w:r>
    </w:p>
    <w:p>
      <w:pPr>
        <w:pStyle w:val="TextBody"/>
        <w:bidi w:val="0"/>
        <w:spacing w:before="0" w:after="0"/>
        <w:ind w:left="0" w:right="0" w:hanging="0"/>
        <w:jc w:val="both"/>
        <w:rPr/>
      </w:pPr>
      <w:r>
        <w:rPr/>
        <w:t>​</w:t>
      </w:r>
    </w:p>
    <w:p>
      <w:pPr>
        <w:pStyle w:val="TextBody"/>
        <w:bidi w:val="0"/>
        <w:spacing w:before="0" w:after="0"/>
        <w:ind w:left="0" w:right="0" w:firstLine="648"/>
        <w:jc w:val="both"/>
        <w:rPr>
          <w:rFonts w:ascii="Times New Roman;Times;serif" w:hAnsi="Times New Roman;Times;serif"/>
          <w:sz w:val="22"/>
        </w:rPr>
      </w:pPr>
      <w:r>
        <w:rPr>
          <w:rFonts w:ascii="Times New Roman;Times;serif" w:hAnsi="Times New Roman;Times;serif"/>
          <w:sz w:val="22"/>
        </w:rPr>
        <w:t xml:space="preserve">On behalf of Evolution Petroleum (the “Company”), I am pleased to offer you employment with the Company to serve as the Chief Operating Officer (“COO”) of the Company and its subsidiaries on the following terms and conditions.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Details of the offer are as follows:</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In your capacity as the COO, you would report directly to the Chief Executive Officer and the Board of Directors of the Company and would be based in Houston at the Company’s principal corporate office subject to required travel for business. Our offer and your employment are contingent upon a satisfactory background investigation, your ability to establish your eligibility to work in the United States and, as we have discussed, mutually satisfactory arrangements of your outside business activities so as to avoid any potential for conflicts of interest to arise in the future. Assuming these matters are resolved and you agree to the matters set forth herein, we anticipate your employment will commence on or about February 21, 2023 (the “Effective Date”).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As of Effective Date, your annual base salary will be $305,000, payable in accordance with the Company’s normal payroll policies and procedures that may be changed from time to time. You will also be reimbursed for reasonable business expenses in accordance with the Company’s policies and procedures as in effect from time to time. You also agree to serve on the board of directors of any of the Company’s subsidiaries as requested by the Board from time to time, which service will be without additional compensation.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On or about your Effective Date, the Board will award you, as a sign-on bonus, 80,000 shares of restricted common stock of the Company which will vest in four equal installments on each anniversary of the Effective Date, subject to your continuous employment through such anniversary dates and the other terms and conditions that will be set forth in the award agreement.  Dividends on such shares will accrue and be paid as set forth in the award agreement, which will be issued pursuant to, and governed by, the Company’s 2016 Equity Incentive Plan. Please note that dividends paid on unvested shares are considered earned income for tax purposes.</w:t>
      </w:r>
    </w:p>
    <w:p>
      <w:pPr>
        <w:pStyle w:val="TextBody"/>
        <w:bidi w:val="0"/>
        <w:spacing w:before="0" w:after="0"/>
        <w:ind w:left="0" w:right="0" w:hanging="0"/>
        <w:jc w:val="left"/>
        <w:rPr/>
      </w:pPr>
      <w:r>
        <w:rPr/>
        <w:t>​</w:t>
      </w:r>
    </w:p>
    <w:p>
      <w:pPr>
        <w:pStyle w:val="TextBody"/>
        <w:bidi w:val="0"/>
        <w:spacing w:before="0" w:after="0"/>
        <w:ind w:left="0" w:right="0" w:firstLine="648"/>
        <w:jc w:val="both"/>
        <w:rPr>
          <w:rFonts w:ascii="Times New Roman;Times;serif" w:hAnsi="Times New Roman;Times;serif"/>
          <w:sz w:val="22"/>
        </w:rPr>
      </w:pPr>
      <w:r>
        <w:rPr>
          <w:rFonts w:ascii="Times New Roman;Times;serif" w:hAnsi="Times New Roman;Times;serif"/>
          <w:sz w:val="22"/>
        </w:rPr>
        <w:t>In addition to your base salary and the sign-on bonus award, you will be eligible to participate in the Company’s annual short-term incentive plan (STIP) and long-term incentive plan (LTIP) as follows (eligibility for fiscal 2023 will be prorated for from the Effective Date):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Your STIP award target will be 75% of your base salary. STIP awards will be subject to the achievement of certain individual and audited corporate performance goals. </w:t>
            </w:r>
          </w:p>
        </w:tc>
      </w:tr>
    </w:tbl>
    <w:p>
      <w:pPr>
        <w:pStyle w:val="TextBody"/>
        <w:bidi w:val="0"/>
        <w:spacing w:before="0" w:after="600"/>
        <w:jc w:val="left"/>
        <w:rPr/>
      </w:pPr>
      <w:r>
        <w:rPr/>
        <w:drawing>
          <wp:inline distT="0" distB="0" distL="0" distR="0">
            <wp:extent cx="6743700" cy="14605"/>
            <wp:effectExtent l="0" t="0" r="0" b="0"/>
            <wp:docPr id="3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3" descr=""/>
                    <pic:cNvPicPr>
                      <a:picLocks noChangeAspect="1" noChangeArrowheads="1"/>
                    </pic:cNvPicPr>
                  </pic:nvPicPr>
                  <pic:blipFill>
                    <a:blip r:embed="rId6"/>
                    <a:stretch>
                      <a:fillRect/>
                    </a:stretch>
                  </pic:blipFill>
                  <pic:spPr bwMode="auto">
                    <a:xfrm>
                      <a:off x="0" y="0"/>
                      <a:ext cx="6743700" cy="14605"/>
                    </a:xfrm>
                    <a:prstGeom prst="rect">
                      <a:avLst/>
                    </a:prstGeom>
                  </pic:spPr>
                </pic:pic>
              </a:graphicData>
            </a:graphic>
          </wp:inline>
        </w:drawing>
      </w:r>
    </w:p>
    <w:p>
      <w:pPr>
        <w:pStyle w:val="TextBody"/>
        <w:bidi w:val="0"/>
        <w:spacing w:before="0" w:after="120"/>
        <w:ind w:left="0" w:right="0" w:hanging="0"/>
        <w:jc w:val="left"/>
        <w:rPr/>
      </w:pPr>
      <w:r>
        <w:rPr/>
        <w:t>​</w:t>
      </w:r>
    </w:p>
    <w:p>
      <w:pPr>
        <w:pStyle w:val="TextBody"/>
        <w:bidi w:val="0"/>
        <w:spacing w:lineRule="auto" w:line="429" w:before="0" w:after="0"/>
        <w:ind w:left="0" w:right="0" w:hanging="0"/>
        <w:jc w:val="center"/>
        <w:rPr>
          <w:rFonts w:ascii="Times New Roman;Times;serif" w:hAnsi="Times New Roman;Times;serif"/>
          <w:sz w:val="20"/>
        </w:rPr>
      </w:pPr>
      <w:r>
        <w:rPr>
          <w:rFonts w:ascii="Times New Roman;Times;serif" w:hAnsi="Times New Roman;Times;serif"/>
          <w:sz w:val="20"/>
        </w:rPr>
        <w:t>1155 Dairy Ashford Rd. ▪ Suite 425 ▪ Houston, Texas 77079</w:t>
      </w:r>
    </w:p>
    <w:p>
      <w:pPr>
        <w:pStyle w:val="TextBody"/>
        <w:bidi w:val="0"/>
        <w:spacing w:lineRule="auto" w:line="429" w:before="0" w:after="0"/>
        <w:ind w:left="0" w:right="0" w:hanging="0"/>
        <w:jc w:val="center"/>
        <w:rPr>
          <w:rFonts w:ascii="Times New Roman;Times;serif" w:hAnsi="Times New Roman;Times;serif"/>
          <w:sz w:val="20"/>
        </w:rPr>
      </w:pPr>
      <w:r>
        <w:rPr>
          <w:rFonts w:ascii="Times New Roman;Times;serif" w:hAnsi="Times New Roman;Times;serif"/>
          <w:sz w:val="20"/>
        </w:rPr>
        <w:t>Tel: (713) 935-0122 Fax: (713) 935-0199</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www.evolutionpetroleum.com</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Any discretionary component will be determined by the Board upon recommendation of the Compensation Committee of the Board in its sole discretion. STIP awards are paid in cash and/or stock as determined by the Board. Your eligibility for an annual STIP award will commence with the current fiscal year (i.e., FY 2023) and is subject to your continuous employment through the end of the fiscal year.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Your annual LTIP award will be determined by the Board in its sole discretion. The aggregate of the targets for the LTIP award for your</w:t>
            </w:r>
            <w:r>
              <w:rPr>
                <w:caps w:val="false"/>
                <w:smallCaps w:val="false"/>
              </w:rPr>
              <w:t xml:space="preserve"> </w:t>
            </w:r>
            <w:r>
              <w:rPr>
                <w:rFonts w:ascii="Times New Roman;Times;serif" w:hAnsi="Times New Roman;Times;serif"/>
                <w:b w:val="false"/>
                <w:i w:val="false"/>
                <w:caps w:val="false"/>
                <w:smallCaps w:val="false"/>
                <w:sz w:val="22"/>
              </w:rPr>
              <w:t xml:space="preserve">position shall be set at 100% of your base salary, subject to the sole discretion of the Board both as to the amount and type of awards. LTIP awards will be subject to time vesting and achievement of certain corporate performance goals. Your eligibility for an annual LTIP award will commence with the current fiscal year, and any LTIP performance or service vesting is subject to your continuous employment through the complete vesting period of the LTIP award. </w:t>
            </w:r>
          </w:p>
        </w:tc>
      </w:tr>
    </w:tbl>
    <w:p>
      <w:pPr>
        <w:pStyle w:val="TextBody"/>
        <w:bidi w:val="0"/>
        <w:spacing w:before="0" w:after="0"/>
        <w:ind w:left="0" w:right="0" w:hanging="36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Your STIP and LTIP awards for future fiscal years will be determined by the Board in its sole discretion. </w:t>
      </w:r>
    </w:p>
    <w:p>
      <w:pPr>
        <w:pStyle w:val="TextBody"/>
        <w:bidi w:val="0"/>
        <w:spacing w:before="0" w:after="0"/>
        <w:ind w:left="0" w:right="0" w:firstLine="648"/>
        <w:jc w:val="both"/>
        <w:rPr/>
      </w:pPr>
      <w:r>
        <w:rPr/>
        <w:t>​</w:t>
      </w:r>
    </w:p>
    <w:p>
      <w:pPr>
        <w:pStyle w:val="TextBody"/>
        <w:bidi w:val="0"/>
        <w:spacing w:before="0" w:after="0"/>
        <w:ind w:left="0" w:right="0" w:firstLine="648"/>
        <w:jc w:val="both"/>
        <w:rPr>
          <w:rFonts w:ascii="Times New Roman;Times;serif" w:hAnsi="Times New Roman;Times;serif"/>
          <w:sz w:val="22"/>
        </w:rPr>
      </w:pPr>
      <w:r>
        <w:rPr>
          <w:rFonts w:ascii="Times New Roman;Times;serif" w:hAnsi="Times New Roman;Times;serif"/>
          <w:sz w:val="22"/>
        </w:rPr>
        <w:t>You will be eligible for unlimited vacation. You will also be eligible for any other benefits offered by the Company to its executives, including subsidized health insurance and participation in qualified retirement plans.   All benefit plans are subject to change from time to time.</w:t>
      </w:r>
    </w:p>
    <w:p>
      <w:pPr>
        <w:pStyle w:val="TextBody"/>
        <w:bidi w:val="0"/>
        <w:spacing w:before="0" w:after="0"/>
        <w:ind w:left="0" w:right="0" w:firstLine="648"/>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As an executive officer of the Company, you will also be covered by the Company's Director and Officer insurance policy.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You will be required to adhere to all policies of the Company, as the same may be modified from time to time, including retention of a substantial portion of stock awards in accordance with the Company’s Stock Retention Policy, as it may be amended from time to time.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You will be granted access to the Company’s most sensitive confidential and proprietary information. As a condition of your employment, you will be required to enter into a standard agreement as to confidentiality and noncompetition.</w:t>
      </w:r>
    </w:p>
    <w:p>
      <w:pPr>
        <w:pStyle w:val="TextBody"/>
        <w:bidi w:val="0"/>
        <w:spacing w:before="0" w:after="0"/>
        <w:ind w:left="0" w:right="0" w:firstLine="720"/>
        <w:jc w:val="both"/>
        <w:rPr/>
      </w:pPr>
      <w:r>
        <w:rPr/>
        <w:t>​</w:t>
      </w:r>
    </w:p>
    <w:p>
      <w:pPr>
        <w:pStyle w:val="TextBody"/>
        <w:bidi w:val="0"/>
        <w:spacing w:before="0" w:after="0"/>
        <w:ind w:left="0" w:right="0" w:firstLine="648"/>
        <w:jc w:val="both"/>
        <w:rPr>
          <w:rFonts w:ascii="Times New Roman;Times;serif" w:hAnsi="Times New Roman;Times;serif"/>
          <w:sz w:val="22"/>
        </w:rPr>
      </w:pPr>
      <w:r>
        <w:rPr>
          <w:rFonts w:ascii="Times New Roman;Times;serif" w:hAnsi="Times New Roman;Times;serif"/>
          <w:sz w:val="22"/>
        </w:rPr>
        <w:t xml:space="preserve">We believe these positions with our Company offers significant challenge and growth opportunities for you and believe you have the skills and experience to be successful. We look forward to your acceptance of this offer. In accepting our offer of employment, you understand that your employment will be on an at-will basis, and that neither you nor any Company representative has entered into a contract regarding the terms or the duration of your employment. As an at-will employee, you will be free to terminate your employment at any time, with or without cause or advance notice. Likewise, the Company will have the right to reassign you, change your compensation, or terminate your employment at any time, with or without cause or advance notice. Further, by signing this letter agreement you warrant that you do not have any agreements that may restrict your ability to perform the duties of the position that you are being offered, including, without limitation, any agreements with respect to non-disclosure of confidential information, non-competition, customer non-solicitation or employee non-solicitation. If you have any such agreement, you must immediately provide a copy to the Company, and this offer is contingent on the Company’s review, evaluation and acceptance of such agreement. You are further directed, should you accept this offer, that you are not to use any trade secret or confidential information of any former employment in connection with your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0"/>
        <w:ind w:left="0" w:right="0" w:hanging="0"/>
        <w:jc w:val="center"/>
        <w:rPr>
          <w:color w:val="3366FF"/>
        </w:rPr>
      </w:pPr>
      <w:r>
        <w:rPr>
          <w:color w:val="3366FF"/>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employment with the Company. You may not bring any such information onto Company premises, and you may not transfer any such information to any Company devices, computer networks, or information systems.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 accept this offer, subject to the conditions noted above, please sign and date in the space below and return the executed copy to 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Please call with any questions.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Regards,</w:t>
      </w:r>
    </w:p>
    <w:p>
      <w:pPr>
        <w:pStyle w:val="TextBody"/>
        <w:bidi w:val="0"/>
        <w:spacing w:before="0" w:after="120"/>
        <w:ind w:left="0" w:right="0" w:hanging="0"/>
        <w:jc w:val="left"/>
        <w:rPr/>
      </w:pPr>
      <w:r>
        <w:rPr/>
        <w:t>​</w:t>
      </w:r>
    </w:p>
    <w:tbl>
      <w:tblPr>
        <w:tblW w:w="3706" w:type="dxa"/>
        <w:jc w:val="left"/>
        <w:tblInd w:w="0" w:type="dxa"/>
        <w:tblLayout w:type="fixed"/>
        <w:tblCellMar>
          <w:top w:w="0" w:type="dxa"/>
          <w:left w:w="0" w:type="dxa"/>
          <w:bottom w:w="28" w:type="dxa"/>
          <w:right w:w="0" w:type="dxa"/>
        </w:tblCellMar>
      </w:tblPr>
      <w:tblGrid>
        <w:gridCol w:w="3706"/>
      </w:tblGrid>
      <w:tr>
        <w:trPr/>
        <w:tc>
          <w:tcPr>
            <w:tcW w:w="3706"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KELLY W. LOYD</w:t>
            </w:r>
          </w:p>
        </w:tc>
      </w:tr>
      <w:tr>
        <w:trPr/>
        <w:tc>
          <w:tcPr>
            <w:tcW w:w="3706" w:type="dxa"/>
            <w:tcBorders>
              <w:top w:val="single" w:sz="2" w:space="0" w:color="000000"/>
            </w:tcBorders>
            <w:tcMar>
              <w:top w:w="28" w:type="dxa"/>
              <w:bottom w:w="0"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Kelly W. Loyd</w:t>
            </w:r>
          </w:p>
        </w:tc>
      </w:tr>
      <w:tr>
        <w:trPr/>
        <w:tc>
          <w:tcPr>
            <w:tcW w:w="3706"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I accept the above terms of employment as stated:</w:t>
      </w:r>
    </w:p>
    <w:p>
      <w:pPr>
        <w:pStyle w:val="TextBody"/>
        <w:bidi w:val="0"/>
        <w:spacing w:before="0" w:after="120"/>
        <w:ind w:left="0" w:right="0" w:hanging="0"/>
        <w:jc w:val="both"/>
        <w:rPr/>
      </w:pPr>
      <w:r>
        <w:rPr/>
        <w:t>​</w:t>
      </w:r>
    </w:p>
    <w:tbl>
      <w:tblPr>
        <w:tblW w:w="3351" w:type="dxa"/>
        <w:jc w:val="left"/>
        <w:tblInd w:w="0" w:type="dxa"/>
        <w:tblLayout w:type="fixed"/>
        <w:tblCellMar>
          <w:top w:w="0" w:type="dxa"/>
          <w:left w:w="0" w:type="dxa"/>
          <w:bottom w:w="28" w:type="dxa"/>
          <w:right w:w="0" w:type="dxa"/>
        </w:tblCellMar>
      </w:tblPr>
      <w:tblGrid>
        <w:gridCol w:w="2131"/>
        <w:gridCol w:w="109"/>
        <w:gridCol w:w="1111"/>
      </w:tblGrid>
      <w:tr>
        <w:trPr/>
        <w:tc>
          <w:tcPr>
            <w:tcW w:w="2131"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J. MARK BUNCH</w:t>
            </w:r>
          </w:p>
        </w:tc>
        <w:tc>
          <w:tcPr>
            <w:tcW w:w="109" w:type="dxa"/>
            <w:tcBorders/>
            <w:tcMar>
              <w:bottom w:w="0" w:type="dxa"/>
            </w:tcMar>
            <w:vAlign w:val="center"/>
          </w:tcPr>
          <w:p>
            <w:pPr>
              <w:pStyle w:val="TableContents"/>
              <w:bidi w:val="0"/>
              <w:spacing w:before="0" w:after="0"/>
              <w:ind w:left="0" w:right="0" w:hanging="0"/>
              <w:jc w:val="both"/>
              <w:rPr/>
            </w:pPr>
            <w:r>
              <w:rPr/>
              <w:t>​</w:t>
            </w:r>
          </w:p>
        </w:tc>
        <w:tc>
          <w:tcPr>
            <w:tcW w:w="1111"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2/21/2023</w:t>
            </w:r>
          </w:p>
        </w:tc>
      </w:tr>
      <w:tr>
        <w:trPr/>
        <w:tc>
          <w:tcPr>
            <w:tcW w:w="21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J. Mark Bunch</w:t>
            </w:r>
          </w:p>
        </w:tc>
        <w:tc>
          <w:tcPr>
            <w:tcW w:w="109" w:type="dxa"/>
            <w:tcBorders/>
            <w:tcMar>
              <w:bottom w:w="0" w:type="dxa"/>
            </w:tcMar>
            <w:vAlign w:val="center"/>
          </w:tcPr>
          <w:p>
            <w:pPr>
              <w:pStyle w:val="TableContents"/>
              <w:bidi w:val="0"/>
              <w:spacing w:before="0" w:after="0"/>
              <w:ind w:left="0" w:right="0" w:hanging="0"/>
              <w:jc w:val="both"/>
              <w:rPr/>
            </w:pPr>
            <w:r>
              <w:rPr/>
              <w:t>​</w:t>
            </w:r>
          </w:p>
        </w:tc>
        <w:tc>
          <w:tcPr>
            <w:tcW w:w="1111" w:type="dxa"/>
            <w:tcBorders>
              <w:top w:val="single" w:sz="2" w:space="0" w:color="000000"/>
            </w:tcBorders>
            <w:tcMar>
              <w:top w:w="28" w:type="dxa"/>
              <w:bottom w:w="0"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Date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0"/>
        <w:ind w:left="0" w:right="0" w:hanging="0"/>
        <w:jc w:val="center"/>
        <w:rPr>
          <w:color w:val="3366FF"/>
        </w:rPr>
      </w:pPr>
      <w:r>
        <w:rPr>
          <w:color w:val="3366FF"/>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2"/>
        </w:rPr>
      </w:pPr>
      <w:bookmarkStart w:id="1204" w:name="epm-20230331xex10d210.htm"/>
      <w:bookmarkStart w:id="1205" w:name="ksepm20230331xex10d210"/>
      <w:bookmarkEnd w:id="1204"/>
      <w:bookmarkEnd w:id="1205"/>
      <w:r>
        <w:rPr>
          <w:rFonts w:ascii="Times New Roman;Times;serif" w:hAnsi="Times New Roman;Times;serif"/>
          <w:b/>
          <w:sz w:val="22"/>
        </w:rPr>
        <w:t>EXHIBIT 10.2.10</w:t>
      </w:r>
      <w:r>
        <w:br w:type="page"/>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TENTH AMENDMENT TO CREDIT AGREEMENT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THIS TENTH AMENDMENT TO CREDIT AGREEMENT (this "Amendment"), is made and entered into effective as of May 5th, 2023 (the "Effective Date"), by and between </w:t>
      </w:r>
      <w:r>
        <w:rPr>
          <w:rFonts w:ascii="Times New Roman;Times;serif" w:hAnsi="Times New Roman;Times;serif"/>
          <w:b/>
          <w:sz w:val="22"/>
        </w:rPr>
        <w:t>EVOLUTION PETROLEUM CORPORATION</w:t>
      </w:r>
      <w:r>
        <w:rPr>
          <w:rFonts w:ascii="Times New Roman;Times;serif" w:hAnsi="Times New Roman;Times;serif"/>
          <w:sz w:val="22"/>
        </w:rPr>
        <w:t>, a Nevada corporation (</w:t>
      </w:r>
      <w:r>
        <w:rPr>
          <w:rFonts w:ascii="Times New Roman;Times;serif" w:hAnsi="Times New Roman;Times;serif"/>
          <w:b/>
          <w:i/>
          <w:sz w:val="22"/>
        </w:rPr>
        <w:t>"EPC"</w:t>
      </w:r>
      <w:r>
        <w:rPr>
          <w:rFonts w:ascii="Times New Roman;Times;serif" w:hAnsi="Times New Roman;Times;serif"/>
          <w:sz w:val="22"/>
        </w:rPr>
        <w:t xml:space="preserve">), </w:t>
      </w:r>
      <w:r>
        <w:rPr>
          <w:rFonts w:ascii="Times New Roman;Times;serif" w:hAnsi="Times New Roman;Times;serif"/>
          <w:b/>
          <w:sz w:val="22"/>
        </w:rPr>
        <w:t>EVOLUTION PETROLEUM OK, INC</w:t>
      </w:r>
      <w:r>
        <w:rPr>
          <w:rFonts w:ascii="Times New Roman;Times;serif" w:hAnsi="Times New Roman;Times;serif"/>
          <w:sz w:val="22"/>
        </w:rPr>
        <w:t xml:space="preserve">., a Texas corporation (“Evolution Texas”), </w:t>
      </w:r>
      <w:r>
        <w:rPr>
          <w:rFonts w:ascii="Times New Roman;Times;serif" w:hAnsi="Times New Roman;Times;serif"/>
          <w:b/>
          <w:sz w:val="22"/>
        </w:rPr>
        <w:t>NGS TECHNOLOGIES, INC</w:t>
      </w:r>
      <w:r>
        <w:rPr>
          <w:rFonts w:ascii="Times New Roman;Times;serif" w:hAnsi="Times New Roman;Times;serif"/>
          <w:sz w:val="22"/>
        </w:rPr>
        <w:t xml:space="preserve">., a Delaware corporation (“NGS”), </w:t>
      </w:r>
      <w:r>
        <w:rPr>
          <w:rFonts w:ascii="Times New Roman;Times;serif" w:hAnsi="Times New Roman;Times;serif"/>
          <w:b/>
          <w:sz w:val="22"/>
        </w:rPr>
        <w:t>EVOLUTION ROYALTIES, INC</w:t>
      </w:r>
      <w:r>
        <w:rPr>
          <w:rFonts w:ascii="Times New Roman;Times;serif" w:hAnsi="Times New Roman;Times;serif"/>
          <w:sz w:val="22"/>
        </w:rPr>
        <w:t xml:space="preserve">., a Delaware corporation (“Evolution Royalties”), </w:t>
      </w:r>
      <w:r>
        <w:rPr>
          <w:rFonts w:ascii="Times New Roman;Times;serif" w:hAnsi="Times New Roman;Times;serif"/>
          <w:b/>
          <w:sz w:val="22"/>
        </w:rPr>
        <w:t>EVOLUTION PETROLEUM WEST, INC</w:t>
      </w:r>
      <w:r>
        <w:rPr>
          <w:rFonts w:ascii="Times New Roman;Times;serif" w:hAnsi="Times New Roman;Times;serif"/>
          <w:sz w:val="22"/>
        </w:rPr>
        <w:t>., a Delaware corporation (“Evolution West”; EPC, Evolution Texas, NGS, Evolution Royalties, and Evolution West are collectively referred to herein as the “</w:t>
      </w:r>
      <w:r>
        <w:rPr>
          <w:rFonts w:ascii="Times New Roman;Times;serif" w:hAnsi="Times New Roman;Times;serif"/>
          <w:b/>
          <w:i/>
          <w:sz w:val="22"/>
        </w:rPr>
        <w:t>Borrowers</w:t>
      </w:r>
      <w:r>
        <w:rPr>
          <w:rFonts w:ascii="Times New Roman;Times;serif" w:hAnsi="Times New Roman;Times;serif"/>
          <w:sz w:val="22"/>
        </w:rPr>
        <w:t xml:space="preserve">”) and </w:t>
      </w:r>
      <w:r>
        <w:rPr>
          <w:rFonts w:ascii="Times New Roman;Times;serif" w:hAnsi="Times New Roman;Times;serif"/>
          <w:b/>
          <w:sz w:val="22"/>
        </w:rPr>
        <w:t xml:space="preserve">MIDFIRST BANK, </w:t>
      </w:r>
      <w:r>
        <w:rPr>
          <w:rFonts w:ascii="Times New Roman;Times;serif" w:hAnsi="Times New Roman;Times;serif"/>
          <w:sz w:val="22"/>
        </w:rPr>
        <w:t>a federally chartered savings association ("</w:t>
      </w:r>
      <w:r>
        <w:rPr>
          <w:rFonts w:ascii="Times New Roman;Times;serif" w:hAnsi="Times New Roman;Times;serif"/>
          <w:b/>
          <w:i/>
          <w:sz w:val="22"/>
        </w:rPr>
        <w:t>Lender</w:t>
      </w:r>
      <w:r>
        <w:rPr>
          <w:rFonts w:ascii="Times New Roman;Times;serif" w:hAnsi="Times New Roman;Times;serif"/>
          <w:sz w:val="22"/>
        </w:rPr>
        <w:t>").</w:t>
      </w:r>
    </w:p>
    <w:p>
      <w:pPr>
        <w:pStyle w:val="TextBody"/>
        <w:bidi w:val="0"/>
        <w:spacing w:before="0" w:after="240"/>
        <w:ind w:left="0" w:right="0" w:hanging="0"/>
        <w:jc w:val="center"/>
        <w:rPr>
          <w:rFonts w:ascii="Times New Roman;Times;serif" w:hAnsi="Times New Roman;Times;serif"/>
          <w:spacing w:val="-1"/>
          <w:sz w:val="22"/>
          <w:u w:val="single"/>
        </w:rPr>
      </w:pPr>
      <w:r>
        <w:rPr>
          <w:rFonts w:ascii="Times New Roman;Times;serif" w:hAnsi="Times New Roman;Times;serif"/>
          <w:spacing w:val="-1"/>
          <w:sz w:val="22"/>
          <w:u w:val="single"/>
        </w:rPr>
        <w:t>RECITALS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A.</w:t>
      </w:r>
      <w:r>
        <w:rPr>
          <w:rFonts w:ascii="Times New Roman;Times;serif" w:hAnsi="Times New Roman;Times;serif"/>
          <w:sz w:val="22"/>
        </w:rPr>
        <w:t>Borrowers and Lender are parties to that certain Credit Agreement dated as of April 11, 2016, as amended by that certain First Amendment to Credit Agreement dated as of October 18, 2017, and as further amended by that certain Second Amendment to Credit Agreement dated as of February 1, 2018, and as further amended by that certain Third Amendment to Credit Agreement dated as of May 25, 2018, and as further amended by that certain Fourth Amendment to Credit Agreement dated as of December 31, 2018, and as further amended by that certain Fifth Amendment to Credit Agreement dated as of November 2, 2020, and as further amended by that certain Sixth Amendment to Credit Agreement dated as of December 28, 2020, and as further amended by that certain Seventh Amendment to Credit Agreement dated as of August 5, 2021, and as further amended by that certain Eighth Amendment to Credit Agreement dated as of November 9, 2021, and as further amended by that certain Ninth Amendment to Credit Agreement dated as of February 4, 2022  (the "Existing Credit Agreement"). Capitalized terms used in this Amendment and not otherwise defined herein have the respective meanings assigned to them in the Existing Credit Agreement.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B.</w:t>
      </w:r>
      <w:r>
        <w:rPr>
          <w:rFonts w:ascii="Times New Roman;Times;serif" w:hAnsi="Times New Roman;Times;serif"/>
          <w:sz w:val="22"/>
        </w:rPr>
        <w:t>The Loan is currently evidenced by that certain Amended and Restated Promissory Note in the face amount of $50,000,000.00 dated as of February 1, 2018 (the “Existing Note”).</w:t>
      </w:r>
    </w:p>
    <w:p>
      <w:pPr>
        <w:pStyle w:val="TextBody"/>
        <w:bidi w:val="0"/>
        <w:ind w:left="0" w:right="0" w:hanging="0"/>
        <w:jc w:val="both"/>
        <w:rPr>
          <w:rFonts w:ascii="Times New Roman;Times;serif" w:hAnsi="Times New Roman;Times;serif"/>
          <w:sz w:val="22"/>
        </w:rPr>
      </w:pPr>
      <w:r>
        <w:rPr>
          <w:rFonts w:ascii="Times New Roman;Times;serif" w:hAnsi="Times New Roman;Times;serif"/>
          <w:sz w:val="24"/>
        </w:rPr>
        <w:t>C.</w:t>
      </w:r>
      <w:r>
        <w:rPr>
          <w:rFonts w:ascii="Times New Roman;Times;serif" w:hAnsi="Times New Roman;Times;serif"/>
          <w:sz w:val="22"/>
        </w:rPr>
        <w:t>The Borrowers and the Lender have agreed to the modifications as set forth herein.</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NOW, THEREFORE, in consideration of the premises and the mutual covenants and agreements herein contained, and for other good and valuable consideration, the receipt and adequacy of which are hereby acknowledged, the parties agree as follows: </w:t>
      </w:r>
    </w:p>
    <w:p>
      <w:pPr>
        <w:pStyle w:val="TextBody"/>
        <w:bidi w:val="0"/>
        <w:spacing w:before="0" w:after="240"/>
        <w:ind w:left="0" w:right="0" w:hanging="0"/>
        <w:jc w:val="center"/>
        <w:rPr>
          <w:rFonts w:ascii="Times New Roman;Times;serif" w:hAnsi="Times New Roman;Times;serif"/>
          <w:caps/>
          <w:sz w:val="24"/>
        </w:rPr>
      </w:pPr>
      <w:r>
        <w:rPr>
          <w:rFonts w:ascii="Times New Roman;Times;serif" w:hAnsi="Times New Roman;Times;serif"/>
          <w:caps/>
          <w:sz w:val="24"/>
        </w:rPr>
        <w:t>ARTICLE I.</w:t>
      </w:r>
      <w:r>
        <w:rPr>
          <w:rFonts w:ascii="Times New Roman;Times;serif" w:hAnsi="Times New Roman;Times;serif"/>
          <w:caps/>
          <w:sz w:val="24"/>
          <w:u w:val="single"/>
        </w:rPr>
        <w:t>​</w:t>
      </w:r>
      <w:r>
        <w:rPr>
          <w:rFonts w:ascii="Times New Roman;Times;serif" w:hAnsi="Times New Roman;Times;serif"/>
          <w:caps/>
          <w:sz w:val="22"/>
          <w:u w:val="single"/>
        </w:rPr>
        <w:br/>
        <w:t>​</w:t>
        <w:br/>
        <w:t>Definitions and References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1.1</w:t>
      </w:r>
      <w:r>
        <w:rPr>
          <w:rFonts w:ascii="Times New Roman;Times;serif" w:hAnsi="Times New Roman;Times;serif"/>
          <w:sz w:val="22"/>
          <w:u w:val="single"/>
        </w:rPr>
        <w:t>Terms Defined in the Existing Credit Agreement</w:t>
      </w:r>
      <w:r>
        <w:rPr>
          <w:rFonts w:ascii="Times New Roman;Times;serif" w:hAnsi="Times New Roman;Times;serif"/>
          <w:sz w:val="22"/>
        </w:rPr>
        <w:t>.  Unless the context otherwise requires or unless otherwise expressly defined herein, the terms defined in the Existing Credit Agreement shall have the same meanings whenever used in this Amendment.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1.2</w:t>
      </w:r>
      <w:r>
        <w:rPr>
          <w:rFonts w:ascii="Times New Roman;Times;serif" w:hAnsi="Times New Roman;Times;serif"/>
          <w:sz w:val="22"/>
          <w:u w:val="single"/>
        </w:rPr>
        <w:t>Other Defined Terms</w:t>
      </w:r>
      <w:r>
        <w:rPr>
          <w:rFonts w:ascii="Times New Roman;Times;serif" w:hAnsi="Times New Roman;Times;serif"/>
          <w:sz w:val="22"/>
        </w:rPr>
        <w:t>.  Unless the context otherwise requires, the following terms when used in this Amendment shall have the meanings assigned to them in this Section 1.2.</w:t>
      </w:r>
    </w:p>
    <w:p>
      <w:pPr>
        <w:pStyle w:val="TextBody"/>
        <w:bidi w:val="0"/>
        <w:spacing w:before="0" w:after="240"/>
        <w:ind w:left="720" w:right="0" w:firstLine="720"/>
        <w:jc w:val="both"/>
        <w:rPr/>
      </w:pPr>
      <w:r>
        <w:rPr/>
        <w:t>“</w:t>
      </w:r>
      <w:r>
        <w:rPr>
          <w:rFonts w:ascii="Times New Roman;Times;serif" w:hAnsi="Times New Roman;Times;serif"/>
          <w:sz w:val="22"/>
          <w:u w:val="single"/>
        </w:rPr>
        <w:t>Amendment</w:t>
      </w:r>
      <w:r>
        <w:rPr>
          <w:rFonts w:ascii="Times New Roman;Times;serif" w:hAnsi="Times New Roman;Times;serif"/>
          <w:sz w:val="22"/>
        </w:rPr>
        <w:t>” means this Tenth Amendment to Credit Agreement.</w:t>
      </w:r>
    </w:p>
    <w:p>
      <w:pPr>
        <w:pStyle w:val="TextBody"/>
        <w:bidi w:val="0"/>
        <w:spacing w:before="0" w:after="240"/>
        <w:ind w:left="720" w:right="0" w:firstLine="720"/>
        <w:jc w:val="both"/>
        <w:rPr/>
      </w:pPr>
      <w:r>
        <w:rPr/>
        <w:t>“</w:t>
      </w:r>
      <w:r>
        <w:rPr>
          <w:rFonts w:ascii="Times New Roman;Times;serif" w:hAnsi="Times New Roman;Times;serif"/>
          <w:sz w:val="22"/>
          <w:u w:val="single"/>
        </w:rPr>
        <w:t>Amendment Documents</w:t>
      </w:r>
      <w:r>
        <w:rPr>
          <w:rFonts w:ascii="Times New Roman;Times;serif" w:hAnsi="Times New Roman;Times;serif"/>
          <w:sz w:val="22"/>
        </w:rPr>
        <w:t>” means this Amendment, and all other Loan Documents executed and delivered in connection herewith.</w:t>
      </w:r>
    </w:p>
    <w:p>
      <w:pPr>
        <w:pStyle w:val="HorizontalLine"/>
        <w:pBdr>
          <w:bottom w:val="double" w:sz="2" w:space="0" w:color="808080"/>
        </w:pBdr>
        <w:bidi w:val="0"/>
        <w:spacing w:before="0" w:after="283"/>
        <w:jc w:val="left"/>
        <w:rPr/>
      </w:pPr>
      <w:r>
        <w:rPr/>
      </w:r>
    </w:p>
    <w:p>
      <w:pPr>
        <w:pStyle w:val="TextBody"/>
        <w:bidi w:val="0"/>
        <w:spacing w:before="0" w:after="240"/>
        <w:ind w:left="720" w:right="0" w:firstLine="720"/>
        <w:jc w:val="both"/>
        <w:rPr/>
      </w:pPr>
      <w:r>
        <w:rPr/>
        <w:t>“</w:t>
      </w:r>
      <w:r>
        <w:rPr>
          <w:rFonts w:ascii="Times New Roman;Times;serif" w:hAnsi="Times New Roman;Times;serif"/>
          <w:sz w:val="22"/>
          <w:u w:val="single"/>
        </w:rPr>
        <w:t>Credit Agreement</w:t>
      </w:r>
      <w:r>
        <w:rPr>
          <w:rFonts w:ascii="Times New Roman;Times;serif" w:hAnsi="Times New Roman;Times;serif"/>
          <w:sz w:val="22"/>
        </w:rPr>
        <w:t>” means the Existing Credit Agreement as amended hereby.</w:t>
      </w:r>
    </w:p>
    <w:p>
      <w:pPr>
        <w:pStyle w:val="TextBody"/>
        <w:bidi w:val="0"/>
        <w:spacing w:before="0" w:after="240"/>
        <w:ind w:left="0" w:right="0" w:hanging="0"/>
        <w:jc w:val="center"/>
        <w:rPr>
          <w:rFonts w:ascii="Times New Roman;Times;serif" w:hAnsi="Times New Roman;Times;serif"/>
          <w:caps/>
          <w:sz w:val="24"/>
        </w:rPr>
      </w:pPr>
      <w:r>
        <w:rPr>
          <w:rFonts w:ascii="Times New Roman;Times;serif" w:hAnsi="Times New Roman;Times;serif"/>
          <w:caps/>
          <w:sz w:val="24"/>
        </w:rPr>
        <w:t>ARTICLE II.</w:t>
      </w:r>
      <w:r>
        <w:rPr>
          <w:rFonts w:ascii="Times New Roman;Times;serif" w:hAnsi="Times New Roman;Times;serif"/>
          <w:caps/>
          <w:sz w:val="24"/>
          <w:u w:val="single"/>
        </w:rPr>
        <w:t>​</w:t>
      </w:r>
      <w:r>
        <w:rPr>
          <w:rFonts w:ascii="Times New Roman;Times;serif" w:hAnsi="Times New Roman;Times;serif"/>
          <w:caps/>
          <w:sz w:val="22"/>
          <w:u w:val="single"/>
        </w:rPr>
        <w:br/>
        <w:t>​</w:t>
        <w:br/>
        <w:t>Amendments TO CREDIT AGREEMENT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2.1</w:t>
      </w:r>
      <w:r>
        <w:rPr>
          <w:rFonts w:ascii="Times New Roman;Times;serif" w:hAnsi="Times New Roman;Times;serif"/>
          <w:sz w:val="22"/>
          <w:u w:val="single"/>
        </w:rPr>
        <w:t>Amendments to Article 1 of the Existing Credit Agreement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following defined terms are hereby deleted from Section 1.01 of the Existing Credit Agreement:  “Eurodollar Rate”, “Eurodollar Rate Loan”, “IBA”, “ICE”, “LIBOR”, “LIBOR Business Day”, “LIBOR Index” and “Reserve Requirement”.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 following definitions set forth in Section 1.01 of the Existing Credit Agreement are hereby amended and restated in their entirety:</w:t>
      </w:r>
    </w:p>
    <w:p>
      <w:pPr>
        <w:pStyle w:val="TextBody"/>
        <w:bidi w:val="0"/>
        <w:spacing w:before="0" w:after="240"/>
        <w:ind w:left="1440" w:right="720" w:firstLine="720"/>
        <w:jc w:val="both"/>
        <w:rPr>
          <w:rFonts w:ascii="Times New Roman;Times;serif" w:hAnsi="Times New Roman;Times;serif"/>
          <w:sz w:val="22"/>
        </w:rPr>
      </w:pPr>
      <w:bookmarkStart w:id="1206" w:name="_Toc276718060"/>
      <w:bookmarkEnd w:id="1206"/>
      <w:r>
        <w:rPr>
          <w:rFonts w:ascii="Times New Roman;Times;serif" w:hAnsi="Times New Roman;Times;serif"/>
          <w:b/>
          <w:i/>
          <w:sz w:val="22"/>
        </w:rPr>
        <w:t>"</w:t>
      </w:r>
      <w:r>
        <w:rPr>
          <w:rFonts w:ascii="Times New Roman;Times;serif" w:hAnsi="Times New Roman;Times;serif"/>
          <w:b/>
          <w:sz w:val="22"/>
        </w:rPr>
        <w:t>Business Day</w:t>
      </w:r>
      <w:r>
        <w:rPr>
          <w:rFonts w:ascii="Times New Roman;Times;serif" w:hAnsi="Times New Roman;Times;serif"/>
          <w:b/>
          <w:i/>
          <w:sz w:val="22"/>
        </w:rPr>
        <w:t>"</w:t>
      </w:r>
      <w:r>
        <w:rPr>
          <w:rFonts w:ascii="Times New Roman;Times;serif" w:hAnsi="Times New Roman;Times;serif"/>
          <w:sz w:val="22"/>
        </w:rPr>
        <w:t xml:space="preserve"> means any day other than a Saturday, Sunday or a day on which commercial banks in New York, New York are authorized to close under the Laws of, or are in fact closed in, the state where Lender’s Office is located and if such day relates to any SOFR Loan, an SOFR Business Day.</w:t>
      </w:r>
    </w:p>
    <w:p>
      <w:pPr>
        <w:pStyle w:val="TextBody"/>
        <w:bidi w:val="0"/>
        <w:spacing w:before="0" w:after="240"/>
        <w:ind w:left="1440" w:right="720" w:firstLine="720"/>
        <w:jc w:val="both"/>
        <w:rPr>
          <w:rFonts w:ascii="Times New Roman;Times;serif" w:hAnsi="Times New Roman;Times;serif"/>
          <w:sz w:val="22"/>
        </w:rPr>
      </w:pPr>
      <w:r>
        <w:rPr>
          <w:rFonts w:ascii="Times New Roman;Times;serif" w:hAnsi="Times New Roman;Times;serif"/>
          <w:b/>
          <w:i/>
          <w:sz w:val="22"/>
        </w:rPr>
        <w:t>"</w:t>
      </w:r>
      <w:r>
        <w:rPr>
          <w:rFonts w:ascii="Times New Roman;Times;serif" w:hAnsi="Times New Roman;Times;serif"/>
          <w:b/>
          <w:sz w:val="22"/>
        </w:rPr>
        <w:t>Interest Period</w:t>
      </w:r>
      <w:r>
        <w:rPr>
          <w:rFonts w:ascii="Times New Roman;Times;serif" w:hAnsi="Times New Roman;Times;serif"/>
          <w:b/>
          <w:i/>
          <w:sz w:val="22"/>
        </w:rPr>
        <w:t>"</w:t>
      </w:r>
      <w:r>
        <w:rPr>
          <w:rFonts w:ascii="Times New Roman;Times;serif" w:hAnsi="Times New Roman;Times;serif"/>
          <w:sz w:val="22"/>
        </w:rPr>
        <w:t xml:space="preserve"> means, as to each SOFR Loan, the period commencing on the date such SOFR Loan is disbursed or converted to or continued as a SOFR Loan and ending on the date one month thereafter, as selected by Borrowers in the Loan Notice; </w:t>
      </w:r>
      <w:r>
        <w:rPr>
          <w:rFonts w:ascii="Times New Roman;Times;serif" w:hAnsi="Times New Roman;Times;serif"/>
          <w:i/>
          <w:sz w:val="22"/>
        </w:rPr>
        <w:t>provided</w:t>
      </w:r>
      <w:r>
        <w:rPr>
          <w:rFonts w:ascii="Times New Roman;Times;serif" w:hAnsi="Times New Roman;Times;serif"/>
          <w:sz w:val="22"/>
        </w:rPr>
        <w:t xml:space="preserve"> that:</w:t>
      </w:r>
    </w:p>
    <w:p>
      <w:pPr>
        <w:pStyle w:val="TextBody"/>
        <w:bidi w:val="0"/>
        <w:spacing w:before="0" w:after="240"/>
        <w:ind w:left="1440" w:right="72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w:t>
      </w:r>
      <w:r>
        <w:rPr>
          <w:rFonts w:ascii="Times New Roman;Times;serif" w:hAnsi="Times New Roman;Times;serif"/>
          <w:sz w:val="22"/>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pStyle w:val="TextBody"/>
        <w:bidi w:val="0"/>
        <w:spacing w:before="0" w:after="240"/>
        <w:ind w:left="1440" w:right="72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(ii)</w:t>
      </w:r>
      <w:r>
        <w:rPr>
          <w:rFonts w:ascii="Times New Roman;Times;serif" w:hAnsi="Times New Roman;Times;serif"/>
          <w:sz w:val="22"/>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before="0" w:after="240"/>
        <w:ind w:left="1440" w:right="72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(iii)</w:t>
      </w:r>
      <w:r>
        <w:rPr>
          <w:rFonts w:ascii="Times New Roman;Times;serif" w:hAnsi="Times New Roman;Times;serif"/>
          <w:sz w:val="22"/>
        </w:rPr>
        <w:t>no Interest Period shall extend beyond the Maturity Date.</w:t>
      </w:r>
    </w:p>
    <w:p>
      <w:pPr>
        <w:pStyle w:val="TextBody"/>
        <w:bidi w:val="0"/>
        <w:spacing w:before="0" w:after="240"/>
        <w:ind w:left="1440" w:right="720" w:firstLine="720"/>
        <w:jc w:val="both"/>
        <w:rPr>
          <w:rFonts w:ascii="Times New Roman;Times;serif" w:hAnsi="Times New Roman;Times;serif"/>
          <w:sz w:val="22"/>
        </w:rPr>
      </w:pPr>
      <w:r>
        <w:rPr>
          <w:rFonts w:ascii="Times New Roman;Times;serif" w:hAnsi="Times New Roman;Times;serif"/>
          <w:b/>
          <w:i/>
          <w:sz w:val="22"/>
        </w:rPr>
        <w:t>"</w:t>
      </w:r>
      <w:r>
        <w:rPr>
          <w:rFonts w:ascii="Times New Roman;Times;serif" w:hAnsi="Times New Roman;Times;serif"/>
          <w:b/>
          <w:sz w:val="22"/>
        </w:rPr>
        <w:t>Loan Notice</w:t>
      </w:r>
      <w:r>
        <w:rPr>
          <w:rFonts w:ascii="Times New Roman;Times;serif" w:hAnsi="Times New Roman;Times;serif"/>
          <w:b/>
          <w:i/>
          <w:sz w:val="22"/>
        </w:rPr>
        <w:t xml:space="preserve">" </w:t>
      </w:r>
      <w:r>
        <w:rPr>
          <w:rFonts w:ascii="Times New Roman;Times;serif" w:hAnsi="Times New Roman;Times;serif"/>
          <w:sz w:val="22"/>
        </w:rPr>
        <w:t>means a notice of (a) a Borrowing, or (b) a continuation of SOFR Loans, pursuant to Section 2.02(a), which, if in writing, shall be substantially in the form of Exhibit A.</w:t>
      </w:r>
    </w:p>
    <w:p>
      <w:pPr>
        <w:pStyle w:val="TextBody"/>
        <w:bidi w:val="0"/>
        <w:spacing w:before="0" w:after="240"/>
        <w:ind w:left="1440" w:right="720" w:firstLine="720"/>
        <w:jc w:val="both"/>
        <w:rPr>
          <w:rFonts w:ascii="Times New Roman;Times;serif" w:hAnsi="Times New Roman;Times;serif"/>
          <w:sz w:val="22"/>
        </w:rPr>
      </w:pPr>
      <w:r>
        <w:rPr>
          <w:rFonts w:ascii="Times New Roman;Times;serif" w:hAnsi="Times New Roman;Times;serif"/>
          <w:b/>
          <w:i/>
          <w:sz w:val="22"/>
        </w:rPr>
        <w:t>"</w:t>
      </w:r>
      <w:r>
        <w:rPr>
          <w:rFonts w:ascii="Times New Roman;Times;serif" w:hAnsi="Times New Roman;Times;serif"/>
          <w:b/>
          <w:sz w:val="22"/>
        </w:rPr>
        <w:t>Maturity Date</w:t>
      </w:r>
      <w:r>
        <w:rPr>
          <w:rFonts w:ascii="Times New Roman;Times;serif" w:hAnsi="Times New Roman;Times;serif"/>
          <w:b/>
          <w:i/>
          <w:sz w:val="22"/>
        </w:rPr>
        <w:t xml:space="preserve">" </w:t>
      </w:r>
      <w:r>
        <w:rPr>
          <w:rFonts w:ascii="Times New Roman;Times;serif" w:hAnsi="Times New Roman;Times;serif"/>
          <w:sz w:val="22"/>
        </w:rPr>
        <w:t>means April 9, 2026; provided however that, if such date is not a Business Day, the Maturity Date shall be the next preceding Business Day.</w:t>
      </w:r>
    </w:p>
    <w:p>
      <w:pPr>
        <w:pStyle w:val="TextBody"/>
        <w:bidi w:val="0"/>
        <w:spacing w:before="0" w:after="0"/>
        <w:ind w:left="1440" w:right="720" w:firstLine="720"/>
        <w:jc w:val="both"/>
        <w:rPr>
          <w:rFonts w:ascii="Times New Roman;Times;serif" w:hAnsi="Times New Roman;Times;serif"/>
          <w:sz w:val="22"/>
        </w:rPr>
      </w:pPr>
      <w:r>
        <w:rPr>
          <w:rFonts w:ascii="Times New Roman;Times;serif" w:hAnsi="Times New Roman;Times;serif"/>
          <w:sz w:val="22"/>
        </w:rPr>
        <w:t>"</w:t>
      </w:r>
      <w:r>
        <w:rPr>
          <w:rFonts w:ascii="Times New Roman;Times;serif" w:hAnsi="Times New Roman;Times;serif"/>
          <w:b/>
          <w:sz w:val="22"/>
        </w:rPr>
        <w:t>Suspension Notice</w:t>
      </w:r>
      <w:r>
        <w:rPr>
          <w:rFonts w:ascii="Times New Roman;Times;serif" w:hAnsi="Times New Roman;Times;serif"/>
          <w:sz w:val="22"/>
        </w:rPr>
        <w:t xml:space="preserve">" means the notice from the Lender to Borrowers setting forth Lender’s good faith determination that (A) the Prime Rate or SOFR Index, as applicable, is not reported, or (B) (as a result of changes to Applicable Law) it has become unlawful or discouraged for Lender to make or maintain the Loan at the Prime Rate or SOF Rate, as applicable, or (C) the Prime Rate or SOFR Index, as applicable (1) is unreliable or impractical to use for loans tied to </w:t>
      </w:r>
    </w:p>
    <w:p>
      <w:pPr>
        <w:pStyle w:val="HorizontalLine"/>
        <w:pBdr>
          <w:bottom w:val="double" w:sz="2" w:space="0" w:color="808080"/>
        </w:pBdr>
        <w:bidi w:val="0"/>
        <w:spacing w:before="0" w:after="283"/>
        <w:jc w:val="left"/>
        <w:rPr/>
      </w:pPr>
      <w:r>
        <w:rPr/>
      </w:r>
    </w:p>
    <w:p>
      <w:pPr>
        <w:pStyle w:val="TextBody"/>
        <w:bidi w:val="0"/>
        <w:spacing w:before="0" w:after="240"/>
        <w:ind w:left="1440" w:right="720" w:hanging="0"/>
        <w:jc w:val="both"/>
        <w:rPr>
          <w:rFonts w:ascii="Times New Roman;Times;serif" w:hAnsi="Times New Roman;Times;serif"/>
          <w:sz w:val="22"/>
        </w:rPr>
      </w:pPr>
      <w:r>
        <w:rPr>
          <w:rFonts w:ascii="Times New Roman;Times;serif" w:hAnsi="Times New Roman;Times;serif"/>
          <w:sz w:val="22"/>
        </w:rPr>
        <w:t>the Prime Rate or any SOFR Index, as applicable, or for Lender’s risk management or hedging related to any such loans, or (2) is no longer the predominant index for variable rate loans made by the Lender or its competitors, or (3) no longer permits Lender to achieve (in all material respects) the return on the Loan as the Lender modeled at the time it approved the Loan.</w:t>
      </w:r>
    </w:p>
    <w:p>
      <w:pPr>
        <w:pStyle w:val="TextBody"/>
        <w:bidi w:val="0"/>
        <w:spacing w:before="0" w:after="240"/>
        <w:ind w:left="1440" w:right="720" w:firstLine="720"/>
        <w:jc w:val="both"/>
        <w:rPr>
          <w:rFonts w:ascii="Times New Roman;Times;serif" w:hAnsi="Times New Roman;Times;serif"/>
          <w:sz w:val="22"/>
        </w:rPr>
      </w:pPr>
      <w:r>
        <w:rPr>
          <w:rFonts w:ascii="Times New Roman;Times;serif" w:hAnsi="Times New Roman;Times;serif"/>
          <w:b/>
          <w:i/>
          <w:sz w:val="22"/>
        </w:rPr>
        <w:t>"Type"</w:t>
      </w:r>
      <w:r>
        <w:rPr>
          <w:rFonts w:ascii="Times New Roman;Times;serif" w:hAnsi="Times New Roman;Times;serif"/>
          <w:sz w:val="22"/>
        </w:rPr>
        <w:t xml:space="preserve"> means, with respect to a Loan, its character as a Base Rate Loan or a SOFR Loan.</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Additional definitions for the terms “CME”, “Credit Spread Adjustment”, “SOFR”, “SOFR Business Day”, “SOFR Index”, “SOFR Loan”, “SOF Rate” and “Tenth Amendment Effective Date” shall be added to Section 1.01 of the Existing Credit Agreement, </w:t>
      </w:r>
      <w:r>
        <w:rPr>
          <w:rFonts w:ascii="Times New Roman;Times;serif" w:hAnsi="Times New Roman;Times;serif"/>
          <w:sz w:val="22"/>
          <w:u w:val="single"/>
        </w:rPr>
        <w:t>Defined Terms</w:t>
      </w:r>
      <w:r>
        <w:rPr>
          <w:rFonts w:ascii="Times New Roman;Times;serif" w:hAnsi="Times New Roman;Times;serif"/>
          <w:sz w:val="22"/>
        </w:rPr>
        <w:t>, to be inserted in their appropriate alphabetical location and to state as follows:</w:t>
      </w:r>
    </w:p>
    <w:p>
      <w:pPr>
        <w:pStyle w:val="TextBody"/>
        <w:bidi w:val="0"/>
        <w:spacing w:before="0" w:after="240"/>
        <w:ind w:left="1440" w:right="720" w:firstLine="720"/>
        <w:jc w:val="both"/>
        <w:rPr>
          <w:rFonts w:ascii="Times New Roman;Times;serif" w:hAnsi="Times New Roman;Times;serif"/>
          <w:sz w:val="22"/>
        </w:rPr>
      </w:pPr>
      <w:r>
        <w:rPr>
          <w:rFonts w:ascii="Times New Roman;Times;serif" w:hAnsi="Times New Roman;Times;serif"/>
          <w:b/>
          <w:sz w:val="22"/>
        </w:rPr>
        <w:t xml:space="preserve">"CME" </w:t>
      </w:r>
      <w:r>
        <w:rPr>
          <w:rFonts w:ascii="Times New Roman;Times;serif" w:hAnsi="Times New Roman;Times;serif"/>
          <w:sz w:val="22"/>
        </w:rPr>
        <w:t>means Chicago Mercantile Exchange, Inc., CME Group Inc. and their affiliates or their successor as the administrator for the term SOFR reference rate.</w:t>
      </w:r>
    </w:p>
    <w:p>
      <w:pPr>
        <w:pStyle w:val="TextBody"/>
        <w:bidi w:val="0"/>
        <w:spacing w:before="0" w:after="240"/>
        <w:ind w:left="1440" w:right="720" w:firstLine="720"/>
        <w:jc w:val="left"/>
        <w:rPr>
          <w:rFonts w:ascii="Times New Roman;Times;serif" w:hAnsi="Times New Roman;Times;serif"/>
          <w:sz w:val="22"/>
        </w:rPr>
      </w:pPr>
      <w:r>
        <w:rPr>
          <w:rFonts w:ascii="Times New Roman;Times;serif" w:hAnsi="Times New Roman;Times;serif"/>
          <w:b/>
          <w:sz w:val="22"/>
        </w:rPr>
        <w:t>"Credit Spread Adjustment"</w:t>
      </w:r>
      <w:r>
        <w:rPr>
          <w:rFonts w:ascii="Times New Roman;Times;serif" w:hAnsi="Times New Roman;Times;serif"/>
          <w:sz w:val="22"/>
        </w:rPr>
        <w:t xml:space="preserve"> means a percentage equal to 0.05% per annum.</w:t>
      </w:r>
    </w:p>
    <w:p>
      <w:pPr>
        <w:pStyle w:val="TextBody"/>
        <w:bidi w:val="0"/>
        <w:spacing w:before="0" w:after="240"/>
        <w:ind w:left="1440" w:right="720" w:firstLine="720"/>
        <w:jc w:val="left"/>
        <w:rPr>
          <w:rFonts w:ascii="Times New Roman;Times;serif" w:hAnsi="Times New Roman;Times;serif"/>
          <w:sz w:val="22"/>
        </w:rPr>
      </w:pPr>
      <w:r>
        <w:rPr>
          <w:rFonts w:ascii="Times New Roman;Times;serif" w:hAnsi="Times New Roman;Times;serif"/>
          <w:b/>
          <w:sz w:val="22"/>
        </w:rPr>
        <w:t xml:space="preserve">"SOFR" </w:t>
      </w:r>
      <w:r>
        <w:rPr>
          <w:rFonts w:ascii="Times New Roman;Times;serif" w:hAnsi="Times New Roman;Times;serif"/>
          <w:sz w:val="22"/>
        </w:rPr>
        <w:t>means the Secured Overnight Financing Rate.</w:t>
      </w:r>
    </w:p>
    <w:p>
      <w:pPr>
        <w:pStyle w:val="TextBody"/>
        <w:bidi w:val="0"/>
        <w:spacing w:before="0" w:after="240"/>
        <w:ind w:left="1440" w:right="720" w:firstLine="720"/>
        <w:jc w:val="both"/>
        <w:rPr>
          <w:rFonts w:ascii="Times New Roman;Times;serif" w:hAnsi="Times New Roman;Times;serif"/>
          <w:sz w:val="22"/>
        </w:rPr>
      </w:pPr>
      <w:r>
        <w:rPr>
          <w:rFonts w:ascii="Times New Roman;Times;serif" w:hAnsi="Times New Roman;Times;serif"/>
          <w:b/>
          <w:sz w:val="22"/>
        </w:rPr>
        <w:t xml:space="preserve">"SOFR Business Day" </w:t>
      </w:r>
      <w:r>
        <w:rPr>
          <w:rFonts w:ascii="Times New Roman;Times;serif" w:hAnsi="Times New Roman;Times;serif"/>
          <w:sz w:val="22"/>
        </w:rPr>
        <w:t>means each day on which CME publishes the SOFR Index.</w:t>
      </w:r>
    </w:p>
    <w:p>
      <w:pPr>
        <w:pStyle w:val="TextBody"/>
        <w:bidi w:val="0"/>
        <w:spacing w:before="0" w:after="240"/>
        <w:ind w:left="1440" w:right="720" w:firstLine="720"/>
        <w:jc w:val="both"/>
        <w:rPr>
          <w:rFonts w:ascii="Times New Roman;Times;serif" w:hAnsi="Times New Roman;Times;serif"/>
          <w:sz w:val="22"/>
        </w:rPr>
      </w:pPr>
      <w:r>
        <w:rPr>
          <w:rFonts w:ascii="Times New Roman;Times;serif" w:hAnsi="Times New Roman;Times;serif"/>
          <w:b/>
          <w:sz w:val="22"/>
        </w:rPr>
        <w:t xml:space="preserve">"SOFR Index" </w:t>
      </w:r>
      <w:r>
        <w:rPr>
          <w:rFonts w:ascii="Times New Roman;Times;serif" w:hAnsi="Times New Roman;Times;serif"/>
          <w:sz w:val="22"/>
        </w:rPr>
        <w:t>means the rate equal to the term SOFR reference rate for the period equivalent to the Interest Period, as published by the CME two SOFR Business Days before the beginning of the applicable Interest Period.  At no time will the SOFR Index ever be less than 0.50%.</w:t>
      </w:r>
    </w:p>
    <w:p>
      <w:pPr>
        <w:pStyle w:val="TextBody"/>
        <w:bidi w:val="0"/>
        <w:spacing w:before="0" w:after="240"/>
        <w:ind w:left="1440" w:right="720" w:firstLine="720"/>
        <w:jc w:val="both"/>
        <w:rPr>
          <w:rFonts w:ascii="Times New Roman;Times;serif" w:hAnsi="Times New Roman;Times;serif"/>
          <w:sz w:val="22"/>
        </w:rPr>
      </w:pPr>
      <w:r>
        <w:rPr>
          <w:rFonts w:ascii="Times New Roman;Times;serif" w:hAnsi="Times New Roman;Times;serif"/>
          <w:b/>
          <w:i/>
          <w:sz w:val="22"/>
        </w:rPr>
        <w:t>"</w:t>
      </w:r>
      <w:r>
        <w:rPr>
          <w:rFonts w:ascii="Times New Roman;Times;serif" w:hAnsi="Times New Roman;Times;serif"/>
          <w:b/>
          <w:sz w:val="22"/>
        </w:rPr>
        <w:t>SOFR Loan</w:t>
      </w:r>
      <w:r>
        <w:rPr>
          <w:rFonts w:ascii="Times New Roman;Times;serif" w:hAnsi="Times New Roman;Times;serif"/>
          <w:b/>
          <w:i/>
          <w:sz w:val="22"/>
        </w:rPr>
        <w:t xml:space="preserve">" </w:t>
      </w:r>
      <w:r>
        <w:rPr>
          <w:rFonts w:ascii="Times New Roman;Times;serif" w:hAnsi="Times New Roman;Times;serif"/>
          <w:sz w:val="22"/>
        </w:rPr>
        <w:t>means a Loan that bears interest at a rate based on the SOF Rate.</w:t>
      </w:r>
    </w:p>
    <w:p>
      <w:pPr>
        <w:pStyle w:val="TextBody"/>
        <w:bidi w:val="0"/>
        <w:spacing w:before="0" w:after="240"/>
        <w:ind w:left="1440" w:right="720" w:firstLine="720"/>
        <w:jc w:val="both"/>
        <w:rPr>
          <w:rFonts w:ascii="Times New Roman;Times;serif" w:hAnsi="Times New Roman;Times;serif"/>
          <w:sz w:val="22"/>
        </w:rPr>
      </w:pPr>
      <w:r>
        <w:rPr>
          <w:rFonts w:ascii="Times New Roman;Times;serif" w:hAnsi="Times New Roman;Times;serif"/>
          <w:b/>
          <w:sz w:val="22"/>
        </w:rPr>
        <w:t xml:space="preserve">"SOF Rate" </w:t>
      </w:r>
      <w:r>
        <w:rPr>
          <w:rFonts w:ascii="Times New Roman;Times;serif" w:hAnsi="Times New Roman;Times;serif"/>
          <w:sz w:val="22"/>
        </w:rPr>
        <w:t>means the lesser of (i) the Maximum Rate, and (ii) the rate per annum equal to the sum of (a) the SOFR Index, (b) the Credit Spread Adjustment, and (c) 2.75%.</w:t>
      </w:r>
    </w:p>
    <w:p>
      <w:pPr>
        <w:pStyle w:val="TextBody"/>
        <w:bidi w:val="0"/>
        <w:spacing w:before="0" w:after="240"/>
        <w:ind w:left="1440" w:right="720" w:firstLine="720"/>
        <w:jc w:val="both"/>
        <w:rPr>
          <w:rFonts w:ascii="Times New Roman;Times;serif" w:hAnsi="Times New Roman;Times;serif"/>
          <w:sz w:val="22"/>
        </w:rPr>
      </w:pPr>
      <w:r>
        <w:rPr>
          <w:rFonts w:ascii="Times New Roman;Times;serif" w:hAnsi="Times New Roman;Times;serif"/>
          <w:b/>
          <w:sz w:val="22"/>
        </w:rPr>
        <w:t>"Tenth Amendment Effective Date"</w:t>
      </w:r>
      <w:r>
        <w:rPr>
          <w:rFonts w:ascii="Times New Roman;Times;serif" w:hAnsi="Times New Roman;Times;serif"/>
          <w:sz w:val="22"/>
        </w:rPr>
        <w:t xml:space="preserve"> means May 5th, 2023.</w:t>
      </w:r>
    </w:p>
    <w:p>
      <w:pPr>
        <w:pStyle w:val="TextBody"/>
        <w:bidi w:val="0"/>
        <w:spacing w:before="0" w:after="240"/>
        <w:ind w:left="0" w:right="72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2.2</w:t>
      </w:r>
      <w:r>
        <w:rPr>
          <w:rFonts w:ascii="Times New Roman;Times;serif" w:hAnsi="Times New Roman;Times;serif"/>
          <w:sz w:val="22"/>
          <w:u w:val="single"/>
        </w:rPr>
        <w:t>Amendments to Article II of the Existing Credit Agreement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All references to “Eurodollar Rate Loans” in Section 2.01 of the Existing Credit Agreement are deleted and replaced with “SOFR Loans”.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All references to “Eurodollar Rate Loans” in Section 2.02 of the Existing Credit Agreement are deleted and replaced with “SOFR Loans” and all references to “Eurodollar Rate Loan” in Section 2.02 of the Existing Credit Agreement are deleted and replaced with “SOFR Loan”.</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All references to “Eurodollar Rate Loans” in Section 2.04 of the Existing Credit Agreement are deleted and replaced with “SOFR Loans” and all references to “Eurodollar Rate Loan” in Section 2.04 of the Existing Credit Agreement are deleted and replaced with “SOFR Loan”.</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rPr>
        <w:t>Provision “(a)” of Section 2.07 of the Existing Credit Agreement is hereby amended and restated in its entirety as follows:</w:t>
      </w:r>
    </w:p>
    <w:p>
      <w:pPr>
        <w:pStyle w:val="TextBody"/>
        <w:bidi w:val="0"/>
        <w:spacing w:before="0" w:after="240"/>
        <w:ind w:left="1440" w:right="720" w:firstLine="720"/>
        <w:jc w:val="both"/>
        <w:rPr>
          <w:rFonts w:ascii="Times New Roman;Times;serif" w:hAnsi="Times New Roman;Times;serif"/>
          <w:sz w:val="22"/>
        </w:rPr>
      </w:pPr>
      <w:r>
        <w:rPr>
          <w:rFonts w:ascii="Times New Roman;Times;serif" w:hAnsi="Times New Roman;Times;serif"/>
          <w:sz w:val="22"/>
        </w:rPr>
        <w:t>(a) Subject to the provisions of subsection (b) below, (i) each SOFR Loan shall bear interest on the outstanding principal amount thereof for each Interest Period at a rate per annum equal to the lesser of (1) the SOF Rate or (2) the Maximum Rate; and (ii) each Base Rate Loan shall bear interest on the outstanding principal amount thereof from the applicable borrowing date at a rate per annum equal to the lesser of (1) the Prime Rate plus 100 basis points or (2) the Maximum Rate.</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w:t>
      </w:r>
      <w:r>
        <w:rPr>
          <w:rFonts w:ascii="Times New Roman;Times;serif" w:hAnsi="Times New Roman;Times;serif"/>
          <w:sz w:val="22"/>
        </w:rPr>
        <w:t>Paragraph “(d)” of Section 2.07 of the Existing Credit Agreement is hereby amended and restated in its entirety as follows:</w:t>
      </w:r>
    </w:p>
    <w:p>
      <w:pPr>
        <w:pStyle w:val="TextBody"/>
        <w:bidi w:val="0"/>
        <w:spacing w:before="0" w:after="240"/>
        <w:ind w:left="1440" w:right="720" w:firstLine="720"/>
        <w:jc w:val="both"/>
        <w:rPr>
          <w:rFonts w:ascii="Times New Roman;Times;serif" w:hAnsi="Times New Roman;Times;serif"/>
          <w:sz w:val="22"/>
        </w:rPr>
      </w:pPr>
      <w:r>
        <w:rPr>
          <w:rFonts w:ascii="Times New Roman;Times;serif" w:hAnsi="Times New Roman;Times;serif"/>
          <w:sz w:val="22"/>
        </w:rPr>
        <w:t>(d)</w:t>
      </w:r>
      <w:r>
        <w:rPr>
          <w:rFonts w:ascii="Times New Roman;Times;serif" w:hAnsi="Times New Roman;Times;serif"/>
          <w:sz w:val="21"/>
        </w:rPr>
        <w:t>Immediately after the Lender gives a Suspension Notice to Borrowers, Lender's obligation to make or maintain the Loan at the Prime Rate or SOF Rate will be suspended and all interest payable at the Prime Rate and/or SOF Rate will automatically convert to a rate of interest determined by Lender based on an index and spread that is reasonably equivalent to the most recent, reliable Prime Rate and/or SOF Rate (as applicable), as determined in good faith by Lender, prior to the date of the Suspension Notice. Lender may only issue a Suspension Notice to Borrowers under (C) of the definition of Suspension Notice if Lender issues a similar notice to its other borrowers with loans of similar maturities which are tied to the Prime Rate or SOFR Index and for which Lender has the right to issue such a Suspension Notice.  If circumstances further change and nullify the basis on which the Suspension Notice was given, then Lender will advise Borrowers of the change and thereafter the outstanding principal balance of the Loan will automatically bear interest at the Prime Rate or SOF Rate, as applicable.</w:t>
      </w:r>
    </w:p>
    <w:p>
      <w:pPr>
        <w:pStyle w:val="TextBody"/>
        <w:bidi w:val="0"/>
        <w:spacing w:before="0" w:after="240"/>
        <w:ind w:left="0" w:right="72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2.3</w:t>
      </w:r>
      <w:r>
        <w:rPr>
          <w:rFonts w:ascii="Times New Roman;Times;serif" w:hAnsi="Times New Roman;Times;serif"/>
          <w:sz w:val="22"/>
          <w:u w:val="single"/>
        </w:rPr>
        <w:t>Amendments to Article III of the Existing Credit Agreement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All references to “Eurodollar Rate” in Section 3.01 of the Existing Credit Agreement are deleted and replaced with “SOF Rate”.</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All references to “Eurodollar Rate Loans” in Section 3.03 of the Existing Credit Agreement are deleted and replaced with “SOFR Loans”.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All references to “Eurodollar Rate Loans” in Section 3.04 of the Existing Credit Agreement are deleted and replaced with “SOFR Loans”.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rPr>
        <w:t>In addition to the modification referenced in 2.3(c) above, the last sentence of Section 3.04 of the Existing Credit Agreement is hereby deleted and replaced with the following:</w:t>
      </w:r>
    </w:p>
    <w:p>
      <w:pPr>
        <w:pStyle w:val="TextBody"/>
        <w:bidi w:val="0"/>
        <w:spacing w:before="0" w:after="240"/>
        <w:ind w:left="1440" w:right="720" w:firstLine="720"/>
        <w:jc w:val="both"/>
        <w:rPr>
          <w:rFonts w:ascii="Times New Roman;Times;serif" w:hAnsi="Times New Roman;Times;serif"/>
          <w:sz w:val="22"/>
        </w:rPr>
      </w:pPr>
      <w:r>
        <w:rPr>
          <w:rFonts w:ascii="Times New Roman;Times;serif" w:hAnsi="Times New Roman;Times;serif"/>
          <w:sz w:val="22"/>
        </w:rPr>
        <w:t xml:space="preserve">For purposes of calculating amounts payable by Borrowers to Lender under this </w:t>
      </w:r>
      <w:r>
        <w:rPr>
          <w:rFonts w:ascii="Times New Roman;Times;serif" w:hAnsi="Times New Roman;Times;serif"/>
          <w:sz w:val="22"/>
          <w:u w:val="single"/>
        </w:rPr>
        <w:t>Section 3.04</w:t>
      </w:r>
      <w:r>
        <w:rPr>
          <w:rFonts w:ascii="Times New Roman;Times;serif" w:hAnsi="Times New Roman;Times;serif"/>
          <w:sz w:val="22"/>
        </w:rPr>
        <w:t>, Lender shall be deemed to have funded each SOFR Loan made by it at the SOF Rate for such Loan in accordance with the methodology described in Section 2.07(d) above.</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w:t>
      </w:r>
      <w:r>
        <w:rPr>
          <w:rFonts w:ascii="Times New Roman;Times;serif" w:hAnsi="Times New Roman;Times;serif"/>
          <w:sz w:val="22"/>
        </w:rPr>
        <w:t>The caption and text of Section 3.05 of the Existing Credit Agreement is hereby deleted and replaced with “[INTENTIONALLY DELETED]”.</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(f)</w:t>
      </w:r>
      <w:r>
        <w:rPr>
          <w:rFonts w:ascii="Times New Roman;Times;serif" w:hAnsi="Times New Roman;Times;serif"/>
          <w:sz w:val="22"/>
        </w:rPr>
        <w:t>The caption and text of Section 3.06 of the Existing Credit Agreement is hereby deleted and replaced with “[INTENTIONALLY DELETED]”.</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2.4</w:t>
      </w:r>
      <w:r>
        <w:rPr>
          <w:rFonts w:ascii="Times New Roman;Times;serif" w:hAnsi="Times New Roman;Times;serif"/>
          <w:sz w:val="22"/>
          <w:u w:val="single"/>
        </w:rPr>
        <w:t>Amendments to Article V of the Existing Credit Agreement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All references to “Eurodollar Rate Loans” in Section 5.02 of the Existing Credit Agreement are deleted and replaced with “SOFR Loans”.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2.5</w:t>
      </w:r>
      <w:r>
        <w:rPr>
          <w:rFonts w:ascii="Times New Roman;Times;serif" w:hAnsi="Times New Roman;Times;serif"/>
          <w:sz w:val="22"/>
          <w:u w:val="single"/>
        </w:rPr>
        <w:t>Amendments to Article VIII of the Existing Credit Agreement</w:t>
      </w:r>
      <w:r>
        <w:rPr>
          <w:rFonts w:ascii="Times New Roman;Times;serif" w:hAnsi="Times New Roman;Times;serif"/>
          <w:sz w:val="22"/>
        </w:rPr>
        <w:t xml:space="preserve">. </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All references to “eurodollar” in Section 8.02(d) of the Existing Credit Agreement are deleted and replaced with “SOFR”.</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2.6</w:t>
      </w:r>
      <w:r>
        <w:rPr>
          <w:rFonts w:ascii="Times New Roman;Times;serif" w:hAnsi="Times New Roman;Times;serif"/>
          <w:sz w:val="22"/>
          <w:u w:val="single"/>
        </w:rPr>
        <w:t>Amendments to Exhibits and Schedule to the Existing Credit Agreement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reference to “Eurodollar Rate Loans” in Exhibit A to the Existing Credit Agreement is hereby deleted and replaced with “SOFR Loans”.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2.7</w:t>
      </w:r>
      <w:r>
        <w:rPr>
          <w:rFonts w:ascii="Times New Roman;Times;serif" w:hAnsi="Times New Roman;Times;serif"/>
          <w:sz w:val="22"/>
          <w:u w:val="single"/>
        </w:rPr>
        <w:t>LIBOR Discontinuance</w:t>
      </w:r>
      <w:r>
        <w:rPr>
          <w:rFonts w:ascii="Times New Roman;Times;serif" w:hAnsi="Times New Roman;Times;serif"/>
          <w:sz w:val="22"/>
        </w:rPr>
        <w:t>.  Notwithstanding any provision of the Existing Credit Agreement or any other Loan Document to the contrary and in addition to those modifications referenced in Sections 2.1 through 2.5 above, regardless of whether the London interbank offered rate for U.S. Dollars (“LIBOR”) is operational, reported, published on a synthetic basis, offered or otherwise available in the market as of the Tenth Amendment Effective Date:  (a) no “Eurodollar Rate Loan” (as defined in the Existing Credit Agreement) shall be available, requested or made thereunder, (b) any request to convert an existing Loan to a Eurodollar Rate Loan shall be ineffective and (c) any request for a new Eurodollar Rate Loan, or to continue, renew, extend, reinstate or increase an existing Eurodollar Rate Loan as a Eurodollar Rate Loan, shall be ineffective for all intents and purposes.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2.8</w:t>
      </w:r>
      <w:r>
        <w:rPr>
          <w:rFonts w:ascii="Times New Roman;Times;serif" w:hAnsi="Times New Roman;Times;serif"/>
          <w:sz w:val="22"/>
          <w:u w:val="single"/>
        </w:rPr>
        <w:t>Amendment to Notes and Other Loan Documents</w:t>
      </w:r>
      <w:r>
        <w:rPr>
          <w:rFonts w:ascii="Times New Roman;Times;serif" w:hAnsi="Times New Roman;Times;serif"/>
          <w:sz w:val="22"/>
        </w:rPr>
        <w:t>.  The terms of the other Loan Documents are hereby modified to reflect the modifications described in Section 2.1 through 2.6 above.  Except as modified by paragraphs 2.1 through 2.6 above, the Existing Credit Agreement, Existing Note, and other Loan Documents continue in full force and effect and are hereby ratified and confirmed by Borrowers.  Hereafter, references to the Agreement, Note, and Loan Documents in the Loan Documents shall be deemed to be references to the Existing Credit Agreement, Existing Notes, and Loan Documents as amended and modified by this Modification.  </w:t>
      </w:r>
      <w:r>
        <w:rPr>
          <w:rFonts w:ascii="Times New Roman;Times;serif" w:hAnsi="Times New Roman;Times;serif"/>
          <w:b/>
          <w:i/>
          <w:sz w:val="22"/>
          <w:u w:val="single"/>
        </w:rPr>
        <w:t>Further, this Modification constitutes an amendment of and not a replacement or payment of the Existing Note.</w:t>
      </w:r>
    </w:p>
    <w:p>
      <w:pPr>
        <w:pStyle w:val="TextBody"/>
        <w:bidi w:val="0"/>
        <w:spacing w:before="0" w:after="240"/>
        <w:ind w:left="0" w:right="0" w:hanging="0"/>
        <w:jc w:val="center"/>
        <w:rPr>
          <w:rFonts w:ascii="Times New Roman;Times;serif" w:hAnsi="Times New Roman;Times;serif"/>
          <w:caps/>
          <w:sz w:val="24"/>
        </w:rPr>
      </w:pPr>
      <w:r>
        <w:rPr>
          <w:rFonts w:ascii="Times New Roman;Times;serif" w:hAnsi="Times New Roman;Times;serif"/>
          <w:caps/>
          <w:sz w:val="24"/>
        </w:rPr>
        <w:t>ARTICLE III.</w:t>
      </w:r>
      <w:r>
        <w:rPr>
          <w:rFonts w:ascii="Times New Roman;Times;serif" w:hAnsi="Times New Roman;Times;serif"/>
          <w:caps/>
          <w:sz w:val="24"/>
          <w:u w:val="single"/>
        </w:rPr>
        <w:t>​</w:t>
      </w:r>
      <w:r>
        <w:rPr>
          <w:rFonts w:ascii="Times New Roman;Times;serif" w:hAnsi="Times New Roman;Times;serif"/>
          <w:caps/>
          <w:sz w:val="22"/>
          <w:u w:val="single"/>
        </w:rPr>
        <w:br/>
        <w:t>​</w:t>
        <w:br/>
        <w:t>Conditions of Effectiveness</w:t>
      </w:r>
    </w:p>
    <w:p>
      <w:pPr>
        <w:pStyle w:val="TextBody"/>
        <w:bidi w:val="0"/>
        <w:spacing w:before="0" w:after="12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3.1</w:t>
      </w:r>
      <w:r>
        <w:rPr>
          <w:rFonts w:ascii="Times New Roman;Times;serif" w:hAnsi="Times New Roman;Times;serif"/>
          <w:sz w:val="22"/>
          <w:u w:val="single"/>
        </w:rPr>
        <w:t>Effective Date</w:t>
      </w:r>
      <w:r>
        <w:rPr>
          <w:rFonts w:ascii="Times New Roman;Times;serif" w:hAnsi="Times New Roman;Times;serif"/>
          <w:sz w:val="22"/>
        </w:rPr>
        <w:t>.  This Amendment shall become effective as of the date first above written when and only when:</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Amendment Documents</w:t>
      </w:r>
      <w:r>
        <w:rPr>
          <w:rFonts w:ascii="Times New Roman;Times;serif" w:hAnsi="Times New Roman;Times;serif"/>
          <w:sz w:val="22"/>
        </w:rPr>
        <w:t>.  Lender shall have received duly executed and delivered counterparts of each Amendment Document (i) in form, substance and date satisfactory to Lender, and (ii) in such numbers as Lender or its counsel may reasonably request.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Certificate</w:t>
      </w:r>
      <w:r>
        <w:rPr>
          <w:rFonts w:ascii="Times New Roman;Times;serif" w:hAnsi="Times New Roman;Times;serif"/>
          <w:sz w:val="22"/>
        </w:rPr>
        <w:t>.  Lender shall have received a certificate of a Responsible Officer of each Borrower certifying as of the date of this Amendment (i) that there have been no changes to its Organizational Documents since the Closing Date, and (ii) that there are no resolutions or other action of each Borrower prohibiting the transactions described in this Amendment.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Other Documentation</w:t>
      </w:r>
      <w:r>
        <w:rPr>
          <w:rFonts w:ascii="Times New Roman;Times;serif" w:hAnsi="Times New Roman;Times;serif"/>
          <w:sz w:val="22"/>
        </w:rPr>
        <w:t xml:space="preserve">.  Lender shall have received all documents and instruments which Lender has then reasonably requested, in addition to those described in this Section 4.1.  All such additional documents and instruments shall be reasonably satisfactory to Lender in form, substance and date. </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No Default</w:t>
      </w:r>
      <w:r>
        <w:rPr>
          <w:rFonts w:ascii="Times New Roman;Times;serif" w:hAnsi="Times New Roman;Times;serif"/>
          <w:sz w:val="22"/>
        </w:rPr>
        <w:t>.  No event shall have occurred and be continuing that would constitute an Event of Default or a Default.</w:t>
      </w:r>
    </w:p>
    <w:p>
      <w:pPr>
        <w:pStyle w:val="TextBody"/>
        <w:bidi w:val="0"/>
        <w:spacing w:before="0" w:after="240"/>
        <w:ind w:left="0" w:right="0" w:hanging="0"/>
        <w:jc w:val="center"/>
        <w:rPr>
          <w:rFonts w:ascii="Times New Roman;Times;serif" w:hAnsi="Times New Roman;Times;serif"/>
          <w:caps/>
          <w:sz w:val="24"/>
        </w:rPr>
      </w:pPr>
      <w:r>
        <w:rPr>
          <w:rFonts w:ascii="Times New Roman;Times;serif" w:hAnsi="Times New Roman;Times;serif"/>
          <w:caps/>
          <w:sz w:val="24"/>
        </w:rPr>
        <w:t>ARTICLE IV.</w:t>
      </w:r>
      <w:r>
        <w:rPr>
          <w:rFonts w:ascii="Times New Roman;Times;serif" w:hAnsi="Times New Roman;Times;serif"/>
          <w:caps/>
          <w:sz w:val="24"/>
          <w:u w:val="single"/>
        </w:rPr>
        <w:t>​</w:t>
      </w:r>
      <w:r>
        <w:rPr>
          <w:rFonts w:ascii="Times New Roman;Times;serif" w:hAnsi="Times New Roman;Times;serif"/>
          <w:caps/>
          <w:sz w:val="22"/>
          <w:u w:val="single"/>
        </w:rPr>
        <w:br/>
        <w:t>​</w:t>
        <w:br/>
        <w:t>Representations and Warranties</w:t>
      </w:r>
    </w:p>
    <w:p>
      <w:pPr>
        <w:pStyle w:val="TextBody"/>
        <w:bidi w:val="0"/>
        <w:spacing w:before="0" w:after="12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4.1</w:t>
      </w:r>
      <w:r>
        <w:rPr>
          <w:rFonts w:ascii="Times New Roman;Times;serif" w:hAnsi="Times New Roman;Times;serif"/>
          <w:sz w:val="22"/>
          <w:u w:val="single"/>
        </w:rPr>
        <w:t>Representations and Warranties of Borrowers</w:t>
      </w:r>
      <w:r>
        <w:rPr>
          <w:rFonts w:ascii="Times New Roman;Times;serif" w:hAnsi="Times New Roman;Times;serif"/>
          <w:sz w:val="22"/>
        </w:rPr>
        <w:t>.  In order to induce Lender to enter into this Amendment, each Borrower represents and warrants to Lender that: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All representations and warranties made by each Borrower in any Loan Document are true and correct in all </w:t>
      </w:r>
      <w:bookmarkStart w:id="1207" w:name="OLE_LINK4"/>
      <w:bookmarkEnd w:id="1207"/>
      <w:r>
        <w:rPr>
          <w:rFonts w:ascii="Times New Roman;Times;serif" w:hAnsi="Times New Roman;Times;serif"/>
          <w:sz w:val="22"/>
        </w:rPr>
        <w:t>material respects (without duplication of any materiality qualifier contained therein) on and as of time of the effectiveness hereof as if such representations and warranties had been made as of the time of the effectiveness hereof (except to the extent that such representation or warranty was made as of a specific date, in which case such representation or warranty shall be true and correct in all material respects (without duplication of any materiality qualifier contained therein) as of such specific date).</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Each Borrower has duly taken all corporate action necessary to authorize the execution and delivery by it of the Amendment Documents to which it is a party and to authorize the consummation of the transactions contemplated thereby and the performance of its obligations thereunder and will provide Lender with any approval thereof at the next scheduled meeting of any such Borrower’s board of directors.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The execution and delivery by each Borrower of the Amendment Documents to which it is a party, the performance by each Borrower of its obligations under such Amendment Documents, and the consummation of the transactions contemplated by such Amendment Documents, do not and will not (a) conflict with, violate or result in a breach of any provision of (i) to any Borrower’s knowledge, any Law, (ii) any Borrower’s Organization Documents, or (iii) any material agreement, judgment, license, order or permit applicable to or binding upon any Borrower, (b) result in the acceleration of any Indebtedness owed by any Borrower, or (c) result in or require the creation of any Lien upon the assets or properties of any Borrower except as expressly contemplated or permitted in the Loan Documents.  Except (x) as expressly contemplated in the Amendment Documents and (y) such as have been obtained or made and are in full force and effect, to each Borrower’s knowledge, no permit, consent, approval, authorization or order of, and no notice to or filing with, any Governmental Authority or third party is required on the part of or in respect of any Borrower in connection with the execution, delivery or performance by each Borrower of any Amendment Document or to consummate any transactions contemplated by the Amendment Documents.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This Amendment is, and the other Amendment Documents when duly executed and delivered will be, legal, valid and binding obligations of each Borrower, enforceable against each Borrower in accordance with their terms except as such enforcement may be limited by bankruptcy,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insolvency or similar Laws of general application relating to the enforcement of creditors’ rights and by general principles of equity. </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w:t>
      </w:r>
      <w:r>
        <w:rPr>
          <w:rFonts w:ascii="Times New Roman;Times;serif" w:hAnsi="Times New Roman;Times;serif"/>
          <w:sz w:val="22"/>
        </w:rPr>
        <w:t>As of the Effective Date, the following individuals directly or indirectly, through any contract, arrangement, understanding, relationship or otherwise, own 25% or more of the equity interests of each of the Borrowers:  NONE.  As of the Effective Date, the following individual has significant responsibility to control, manage, or direct each Borrower:  __________________________.</w:t>
      </w:r>
    </w:p>
    <w:p>
      <w:pPr>
        <w:pStyle w:val="TextBody"/>
        <w:bidi w:val="0"/>
        <w:spacing w:before="0" w:after="240"/>
        <w:ind w:left="0" w:right="0" w:hanging="0"/>
        <w:jc w:val="center"/>
        <w:rPr>
          <w:rFonts w:ascii="Times New Roman;Times;serif" w:hAnsi="Times New Roman;Times;serif"/>
          <w:caps/>
          <w:sz w:val="24"/>
        </w:rPr>
      </w:pPr>
      <w:r>
        <w:rPr>
          <w:rFonts w:ascii="Times New Roman;Times;serif" w:hAnsi="Times New Roman;Times;serif"/>
          <w:caps/>
          <w:sz w:val="24"/>
        </w:rPr>
        <w:t>ARTICLE V.</w:t>
      </w:r>
      <w:r>
        <w:rPr>
          <w:rFonts w:ascii="Times New Roman;Times;serif" w:hAnsi="Times New Roman;Times;serif"/>
          <w:caps/>
          <w:sz w:val="24"/>
          <w:u w:val="single"/>
        </w:rPr>
        <w:t>​</w:t>
      </w:r>
      <w:r>
        <w:rPr>
          <w:rFonts w:ascii="Times New Roman;Times;serif" w:hAnsi="Times New Roman;Times;serif"/>
          <w:caps/>
          <w:sz w:val="22"/>
          <w:u w:val="single"/>
        </w:rPr>
        <w:br/>
        <w:t>​</w:t>
        <w:br/>
        <w:t>Miscellaneous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5.1</w:t>
      </w:r>
      <w:r>
        <w:rPr>
          <w:rFonts w:ascii="Times New Roman;Times;serif" w:hAnsi="Times New Roman;Times;serif"/>
          <w:sz w:val="22"/>
          <w:u w:val="single"/>
        </w:rPr>
        <w:t>Borrowing Base</w:t>
      </w:r>
      <w:r>
        <w:rPr>
          <w:rFonts w:ascii="Times New Roman;Times;serif" w:hAnsi="Times New Roman;Times;serif"/>
          <w:sz w:val="22"/>
        </w:rPr>
        <w:t>.  Pursuant to Section 4.02 of the Existing Credit Agreement, Lender hereby notifies the Borrowers that the Borrowing Base is hereby reaffirmed at $50,000,000.00 and the MFB Margined Collateral Value shall be reduced to $95,000,000.00, effective from the Tenth Amendment Effective Date until but not including the next adjustment to the Borrowing Base in accordance with the terms of the Credit Agreement. Each party hereto hereby agrees that the redetermination of the Borrowing Base provided for herein constitutes the scheduled determination to occur on or about May 15, 2023, pursuant to Section 4.02 of the Existing Credit Agreement and shall not be construed or deemed to be a special determination for purposes of Section 4.03 of the Existing Credit Agreement.</w:t>
      </w:r>
    </w:p>
    <w:p>
      <w:pPr>
        <w:pStyle w:val="TextBody"/>
        <w:bidi w:val="0"/>
        <w:spacing w:before="0" w:after="12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5.2</w:t>
      </w:r>
      <w:r>
        <w:rPr>
          <w:rFonts w:ascii="Times New Roman;Times;serif" w:hAnsi="Times New Roman;Times;serif"/>
          <w:sz w:val="22"/>
          <w:u w:val="single"/>
        </w:rPr>
        <w:t>Ratification of Agreements</w:t>
      </w:r>
      <w:r>
        <w:rPr>
          <w:rFonts w:ascii="Times New Roman;Times;serif" w:hAnsi="Times New Roman;Times;serif"/>
          <w:sz w:val="22"/>
        </w:rPr>
        <w:t>.  The Existing Credit Agreement as hereby amended is hereby ratified and confirmed in all respects.  The Loan Documents, as they may be amended or affected by the various Amendment Documents, are hereby ratified and confirmed in all respects.  Any reference to the Credit Agreement in any Loan Document shall be deemed to be a reference to the Existing Credit Agreement as hereby amended.  The execution, delivery and effectiveness of this Amendment and the other Amendment Documents shall not, except as expressly provided herein or therein, operate as a waiver of any right, power or remedy of Lender under the Credit Agreement, the Note, or any other Loan Document nor constitute a waiver of any provision of the Credit Agreement, the Note or any other Loan Document.</w:t>
      </w:r>
    </w:p>
    <w:p>
      <w:pPr>
        <w:pStyle w:val="TextBody"/>
        <w:bidi w:val="0"/>
        <w:spacing w:before="0" w:after="12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5.3</w:t>
      </w:r>
      <w:r>
        <w:rPr>
          <w:rFonts w:ascii="Times New Roman;Times;serif" w:hAnsi="Times New Roman;Times;serif"/>
          <w:sz w:val="22"/>
          <w:u w:val="single"/>
        </w:rPr>
        <w:t>Survival of Agreements</w:t>
      </w:r>
      <w:r>
        <w:rPr>
          <w:rFonts w:ascii="Times New Roman;Times;serif" w:hAnsi="Times New Roman;Times;serif"/>
          <w:sz w:val="22"/>
        </w:rPr>
        <w:t>.  All of each Borrower’s various representations, warranties, covenants and agreements in the Amendment Documents shall survive the execution and delivery thereof and the performance thereof, including the making or granting of the Loans and the delivery of the other Loan Documents, and shall further survive until all of the Obligations are paid in full to Lender and all of Lender’s obligations to Borrowers are terminated.  </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5.4</w:t>
      </w:r>
      <w:bookmarkStart w:id="1208" w:name="_Toc152490200"/>
      <w:bookmarkEnd w:id="1208"/>
      <w:r>
        <w:rPr>
          <w:rFonts w:ascii="Times New Roman;Times;serif" w:hAnsi="Times New Roman;Times;serif"/>
          <w:sz w:val="22"/>
          <w:u w:val="single"/>
        </w:rPr>
        <w:t>Waiver of Jury Trial</w:t>
      </w:r>
      <w:r>
        <w:rPr>
          <w:rFonts w:ascii="Times New Roman;Times;serif" w:hAnsi="Times New Roman;Times;serif"/>
          <w:sz w:val="22"/>
        </w:rPr>
        <w:t>.  EACH OF THE BORROWERS AND LENDER (BY THEIR ACCEPTANCE HEREOF) HEREBY VOLUNTARILY, KNOWINGLY, IRREVOCABLY AND UNCONDITIONALLY WAIVE ANY RIGHT TO HAVE A JURY PARTICIPATE IN RESOLVING ANY DISPUTE (WHETHER BASED UPON CONTRACT, TORT OR OTHERWISE) BETWEEN OR AMONG THE BORROWERS AND THE LENDER, ARISING OUT OF OR IN ANY WAY RELATED TO THIS DOCUMENT, ANY OTHER RELATED DOCUMENT, OR ANY RELATIONSHIP BETWEEN THE LENDER AND THE BORROWERS OR ANY BORROWER.  THIS PROVISION IS A MATERIAL INDUCEMENT TO THE LENDER TO PROVIDE THE FINANCING DESCRIBED HEREIN.</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5.5</w:t>
      </w:r>
      <w:r>
        <w:rPr>
          <w:rFonts w:ascii="Times New Roman;Times;serif" w:hAnsi="Times New Roman;Times;serif"/>
          <w:sz w:val="22"/>
          <w:u w:val="single"/>
        </w:rPr>
        <w:t>Interpretive Provisions</w:t>
      </w:r>
      <w:r>
        <w:rPr>
          <w:rFonts w:ascii="Times New Roman;Times;serif" w:hAnsi="Times New Roman;Times;serif"/>
          <w:sz w:val="22"/>
        </w:rPr>
        <w:t>.  Section 1.2 of the Existing Credit Agreement is incorporated herein by reference herein as if fully set forth. Unless the context clearly indicates otherwise, all references to "</w:t>
      </w:r>
      <w:r>
        <w:rPr>
          <w:rFonts w:ascii="Times New Roman;Times;serif" w:hAnsi="Times New Roman;Times;serif"/>
          <w:i/>
          <w:sz w:val="22"/>
        </w:rPr>
        <w:t>Borrower</w:t>
      </w:r>
      <w:r>
        <w:rPr>
          <w:rFonts w:ascii="Times New Roman;Times;serif" w:hAnsi="Times New Roman;Times;serif"/>
          <w:sz w:val="22"/>
        </w:rPr>
        <w:t xml:space="preserve">" mean either or any </w:t>
      </w:r>
      <w:r>
        <w:rPr>
          <w:rFonts w:ascii="Times New Roman;Times;serif" w:hAnsi="Times New Roman;Times;serif"/>
          <w:i/>
          <w:sz w:val="22"/>
        </w:rPr>
        <w:t>Borrower</w:t>
      </w:r>
      <w:r>
        <w:rPr>
          <w:rFonts w:ascii="Times New Roman;Times;serif" w:hAnsi="Times New Roman;Times;serif"/>
          <w:sz w:val="22"/>
        </w:rPr>
        <w:t xml:space="preserve">.  Each Borrower is jointly and severally liable for the Obligations.  Lender may sue any Borrower, jointly or individually, without impairing Lender's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rights against any other Borrower.  Lender may compromise with any Borrower or any other Person for any sum Lender sees fit.  Lender may release any Borrower or any other Person from any liability for the Obligations without impairing Lender's right to demand and collect the balance of the Obligations from any Borrower or other Person.  No compromise or release will, except as specifically set forth in the Agreement, impair Borrowers’ rights amongst themselves.</w:t>
      </w:r>
    </w:p>
    <w:p>
      <w:pPr>
        <w:pStyle w:val="TextBody"/>
        <w:bidi w:val="0"/>
        <w:spacing w:before="0" w:after="12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5.6</w:t>
      </w:r>
      <w:r>
        <w:rPr>
          <w:rFonts w:ascii="Times New Roman;Times;serif" w:hAnsi="Times New Roman;Times;serif"/>
          <w:sz w:val="22"/>
          <w:u w:val="single"/>
        </w:rPr>
        <w:t>Loan Documents</w:t>
      </w:r>
      <w:r>
        <w:rPr>
          <w:rFonts w:ascii="Times New Roman;Times;serif" w:hAnsi="Times New Roman;Times;serif"/>
          <w:sz w:val="22"/>
        </w:rPr>
        <w:t>.  The Amendment Documents are each a Loan Document, and all provisions in the Existing Credit Agreement pertaining to Loan Documents apply thereto.</w:t>
      </w:r>
    </w:p>
    <w:p>
      <w:pPr>
        <w:pStyle w:val="TextBody"/>
        <w:bidi w:val="0"/>
        <w:spacing w:before="0" w:after="12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5.7</w:t>
      </w:r>
      <w:r>
        <w:rPr>
          <w:rFonts w:ascii="Times New Roman;Times;serif" w:hAnsi="Times New Roman;Times;serif"/>
          <w:sz w:val="22"/>
          <w:u w:val="single"/>
        </w:rPr>
        <w:t>Governing Law</w:t>
      </w:r>
      <w:r>
        <w:rPr>
          <w:rFonts w:ascii="Times New Roman;Times;serif" w:hAnsi="Times New Roman;Times;serif"/>
          <w:sz w:val="22"/>
        </w:rPr>
        <w:t>.  This Amendment shall be governed by, and construed in accordance with, the Laws of the State of Texas.</w:t>
      </w:r>
    </w:p>
    <w:p>
      <w:pPr>
        <w:pStyle w:val="TextBody"/>
        <w:bidi w:val="0"/>
        <w:spacing w:before="0" w:after="12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Section 5.8</w:t>
      </w:r>
      <w:r>
        <w:rPr>
          <w:rFonts w:ascii="Times New Roman;Times;serif" w:hAnsi="Times New Roman;Times;serif"/>
          <w:sz w:val="22"/>
          <w:u w:val="single"/>
        </w:rPr>
        <w:t>Counterparts; Fax</w:t>
      </w:r>
      <w:r>
        <w:rPr>
          <w:rFonts w:ascii="Times New Roman;Times;serif" w:hAnsi="Times New Roman;Times;serif"/>
          <w:sz w:val="22"/>
        </w:rPr>
        <w:t>.  This Amendment may be separately executed in counterparts and by the different parties hereto in separate counterparts, each of which when so executed shall be deemed to constitute one and the same Amendment.  The Amendment Documents may be validly executed by facsimile or other electronic transmission.</w:t>
      </w:r>
    </w:p>
    <w:p>
      <w:pPr>
        <w:pStyle w:val="TextBody"/>
        <w:bidi w:val="0"/>
        <w:spacing w:before="0" w:after="120"/>
        <w:ind w:left="0" w:right="0" w:firstLine="210"/>
        <w:jc w:val="both"/>
        <w:rPr>
          <w:rFonts w:ascii="Times New Roman;Times;serif" w:hAnsi="Times New Roman;Times;serif"/>
          <w:b/>
          <w:sz w:val="22"/>
        </w:rPr>
      </w:pPr>
      <w:r>
        <w:rPr>
          <w:rFonts w:ascii="Times New Roman;Times;serif" w:hAnsi="Times New Roman;Times;serif"/>
          <w:b/>
          <w:sz w:val="22"/>
        </w:rPr>
        <w:t>THIS AMENDMENT AND THE OTHER AMENDMENT DOCUMENTS REPRESENT THE FINAL AGREEMENT AMONG THE PARTIES AND MAY NOT BE CONTRADICTED BY EVIDENCE OF PRIOR, CONTEMPORANEOUS, OR SUBSEQUENT ORAL AGREEMENTS OF THE PARTIES.  THERE ARE NO UNWRITTEN ORAL AGREEMENTS OF THE PARTIES.</w:t>
      </w:r>
    </w:p>
    <w:p>
      <w:pPr>
        <w:pStyle w:val="TextBody"/>
        <w:bidi w:val="0"/>
        <w:spacing w:before="0" w:after="120"/>
        <w:ind w:left="0" w:right="0" w:firstLine="720"/>
        <w:jc w:val="both"/>
        <w:rPr>
          <w:rFonts w:ascii="Times New Roman;Times;serif" w:hAnsi="Times New Roman;Times;serif"/>
          <w:sz w:val="22"/>
        </w:rPr>
      </w:pPr>
      <w:r>
        <w:rPr>
          <w:rFonts w:ascii="Times New Roman;Times;serif" w:hAnsi="Times New Roman;Times;serif"/>
          <w:sz w:val="22"/>
        </w:rPr>
        <w:t>IN WITNESS WHEREOF, the parties hereto have caused this Amendment to be duly executed as of the date first above written.</w:t>
      </w:r>
    </w:p>
    <w:p>
      <w:pPr>
        <w:pStyle w:val="TextBody"/>
        <w:bidi w:val="0"/>
        <w:spacing w:before="0" w:after="120"/>
        <w:ind w:left="0" w:right="0" w:firstLine="210"/>
        <w:jc w:val="both"/>
        <w:rPr/>
      </w:pPr>
      <w:r>
        <w:rPr/>
        <w:t>​</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w:t>
      </w:r>
      <w:r>
        <w:rPr>
          <w:rFonts w:ascii="Times New Roman;Times;serif" w:hAnsi="Times New Roman;Times;serif"/>
          <w:i/>
          <w:sz w:val="22"/>
        </w:rPr>
        <w:t>The remainder of this page has been intentionally left blank.</w:t>
      </w:r>
      <w:r>
        <w:rPr>
          <w:rFonts w:ascii="Times New Roman;Times;serif" w:hAnsi="Times New Roman;Times;serif"/>
          <w:sz w:val="22"/>
        </w:rPr>
        <w:t>]</w:t>
      </w:r>
    </w:p>
    <w:p>
      <w:pPr>
        <w:pStyle w:val="TextBody"/>
        <w:bidi w:val="0"/>
        <w:spacing w:before="0" w:after="24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Signature Page to Tenth Amendment to Credit Agreement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IN WITNESS WHEREOF, the parties hereto have caused this Amendment to be duly executed as of the date first above written.</w:t>
      </w:r>
    </w:p>
    <w:tbl>
      <w:tblPr>
        <w:tblW w:w="8493" w:type="dxa"/>
        <w:jc w:val="left"/>
        <w:tblInd w:w="0" w:type="dxa"/>
        <w:tblLayout w:type="fixed"/>
        <w:tblCellMar>
          <w:top w:w="0" w:type="dxa"/>
          <w:left w:w="0" w:type="dxa"/>
          <w:bottom w:w="0" w:type="dxa"/>
          <w:right w:w="0" w:type="dxa"/>
        </w:tblCellMar>
      </w:tblPr>
      <w:tblGrid>
        <w:gridCol w:w="23"/>
        <w:gridCol w:w="1595"/>
        <w:gridCol w:w="6875"/>
      </w:tblGrid>
      <w:tr>
        <w:trPr/>
        <w:tc>
          <w:tcPr>
            <w:tcW w:w="23"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0"/>
              <w:jc w:val="left"/>
              <w:rPr>
                <w:rFonts w:ascii="Times New Roman;Times;serif" w:hAnsi="Times New Roman;Times;serif"/>
                <w:b/>
                <w:sz w:val="22"/>
              </w:rPr>
            </w:pPr>
            <w:r>
              <w:rPr>
                <w:rFonts w:ascii="Times New Roman;Times;serif" w:hAnsi="Times New Roman;Times;serif"/>
                <w:b/>
                <w:sz w:val="22"/>
              </w:rPr>
              <w:t>BORROWERS:</w:t>
            </w:r>
          </w:p>
        </w:tc>
        <w:tc>
          <w:tcPr>
            <w:tcW w:w="687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EVOLUTION PETROLEUM CORPORATION</w:t>
            </w:r>
            <w:r>
              <w:rPr>
                <w:rFonts w:ascii="Times New Roman;Times;serif" w:hAnsi="Times New Roman;Times;serif"/>
                <w:sz w:val="22"/>
              </w:rPr>
              <w:t>, a Nevada corporation</w:t>
              <w:br/>
              <w:t>​</w:t>
            </w:r>
          </w:p>
        </w:tc>
      </w:tr>
    </w:tbl>
    <w:p>
      <w:pPr>
        <w:pStyle w:val="TextBody"/>
        <w:pBdr/>
        <w:bidi w:val="0"/>
        <w:spacing w:before="0" w:after="0"/>
        <w:ind w:left="720" w:right="0" w:hanging="4320"/>
        <w:jc w:val="left"/>
        <w:rPr/>
      </w:pPr>
      <w:r>
        <w:rPr/>
        <w:t>​</w:t>
      </w:r>
    </w:p>
    <w:tbl>
      <w:tblPr>
        <w:tblW w:w="4427" w:type="dxa"/>
        <w:jc w:val="left"/>
        <w:tblInd w:w="0" w:type="dxa"/>
        <w:tblLayout w:type="fixed"/>
        <w:tblCellMar>
          <w:top w:w="0" w:type="dxa"/>
          <w:left w:w="0" w:type="dxa"/>
          <w:bottom w:w="0" w:type="dxa"/>
          <w:right w:w="0" w:type="dxa"/>
        </w:tblCellMar>
      </w:tblPr>
      <w:tblGrid>
        <w:gridCol w:w="736"/>
        <w:gridCol w:w="3691"/>
      </w:tblGrid>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6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Executive Officer and President</w:t>
            </w:r>
          </w:p>
        </w:tc>
      </w:tr>
    </w:tbl>
    <w:p>
      <w:pPr>
        <w:pStyle w:val="TextBody"/>
        <w:pBdr/>
        <w:bidi w:val="0"/>
        <w:spacing w:before="0" w:after="0"/>
        <w:ind w:left="720" w:right="0" w:hanging="4320"/>
        <w:jc w:val="left"/>
        <w:rPr/>
      </w:pPr>
      <w:r>
        <w:rPr/>
        <w:t>​</w:t>
      </w:r>
    </w:p>
    <w:p>
      <w:pPr>
        <w:pStyle w:val="TextBody"/>
        <w:pBdr/>
        <w:bidi w:val="0"/>
        <w:spacing w:before="0" w:after="0"/>
        <w:ind w:left="720" w:right="0" w:hanging="4320"/>
        <w:jc w:val="left"/>
        <w:rPr/>
      </w:pPr>
      <w:r>
        <w:rPr/>
        <w:t>​</w:t>
      </w:r>
    </w:p>
    <w:p>
      <w:pPr>
        <w:pStyle w:val="TextBody"/>
        <w:pBdr/>
        <w:bidi w:val="0"/>
        <w:spacing w:before="0" w:after="0"/>
        <w:ind w:left="720" w:right="0" w:hanging="4320"/>
        <w:jc w:val="left"/>
        <w:rPr>
          <w:rFonts w:ascii="Times New Roman;Times;serif" w:hAnsi="Times New Roman;Times;serif"/>
          <w:sz w:val="22"/>
        </w:rPr>
      </w:pPr>
      <w:r>
        <w:rPr>
          <w:rFonts w:ascii="Times New Roman;Times;serif" w:hAnsi="Times New Roman;Times;serif"/>
          <w:b/>
          <w:sz w:val="22"/>
        </w:rPr>
        <w:t>EVOLUTION PETROLEUM OK, INC</w:t>
      </w:r>
      <w:r>
        <w:rPr>
          <w:rFonts w:ascii="Times New Roman;Times;serif" w:hAnsi="Times New Roman;Times;serif"/>
          <w:sz w:val="22"/>
        </w:rPr>
        <w:t>., a Texas corporation</w:t>
        <w:br/>
        <w:br/>
        <w:t>​</w:t>
      </w:r>
    </w:p>
    <w:tbl>
      <w:tblPr>
        <w:tblW w:w="4427" w:type="dxa"/>
        <w:jc w:val="left"/>
        <w:tblInd w:w="0" w:type="dxa"/>
        <w:tblLayout w:type="fixed"/>
        <w:tblCellMar>
          <w:top w:w="0" w:type="dxa"/>
          <w:left w:w="0" w:type="dxa"/>
          <w:bottom w:w="0" w:type="dxa"/>
          <w:right w:w="0" w:type="dxa"/>
        </w:tblCellMar>
      </w:tblPr>
      <w:tblGrid>
        <w:gridCol w:w="736"/>
        <w:gridCol w:w="3691"/>
      </w:tblGrid>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6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Executive Officer and President</w:t>
            </w:r>
          </w:p>
        </w:tc>
      </w:tr>
    </w:tbl>
    <w:p>
      <w:pPr>
        <w:pStyle w:val="TextBody"/>
        <w:bidi w:val="0"/>
        <w:spacing w:before="0" w:after="0"/>
        <w:ind w:left="5040" w:right="0" w:hanging="0"/>
        <w:jc w:val="left"/>
        <w:rPr/>
      </w:pPr>
      <w:r>
        <w:rPr/>
        <w:t>​</w:t>
      </w:r>
    </w:p>
    <w:p>
      <w:pPr>
        <w:pStyle w:val="TextBody"/>
        <w:bidi w:val="0"/>
        <w:spacing w:before="0" w:after="0"/>
        <w:ind w:left="5040" w:right="0" w:hanging="0"/>
        <w:jc w:val="left"/>
        <w:rPr/>
      </w:pPr>
      <w:r>
        <w:rPr/>
        <w:t>​</w:t>
      </w:r>
    </w:p>
    <w:p>
      <w:pPr>
        <w:pStyle w:val="TextBody"/>
        <w:bidi w:val="0"/>
        <w:spacing w:before="0" w:after="0"/>
        <w:ind w:left="5040" w:right="0" w:hanging="0"/>
        <w:jc w:val="left"/>
        <w:rPr>
          <w:rFonts w:ascii="Times New Roman;Times;serif" w:hAnsi="Times New Roman;Times;serif"/>
          <w:sz w:val="22"/>
        </w:rPr>
      </w:pPr>
      <w:r>
        <w:rPr>
          <w:rFonts w:ascii="Times New Roman;Times;serif" w:hAnsi="Times New Roman;Times;serif"/>
          <w:b/>
          <w:sz w:val="22"/>
        </w:rPr>
        <w:t>NGS TECHNOLOGIES, INC</w:t>
      </w:r>
      <w:r>
        <w:rPr>
          <w:rFonts w:ascii="Times New Roman;Times;serif" w:hAnsi="Times New Roman;Times;serif"/>
          <w:sz w:val="22"/>
        </w:rPr>
        <w:t>., a Delaware corporation</w:t>
        <w:br/>
        <w:br/>
        <w:t>​</w:t>
      </w:r>
    </w:p>
    <w:tbl>
      <w:tblPr>
        <w:tblW w:w="4427" w:type="dxa"/>
        <w:jc w:val="left"/>
        <w:tblInd w:w="0" w:type="dxa"/>
        <w:tblLayout w:type="fixed"/>
        <w:tblCellMar>
          <w:top w:w="0" w:type="dxa"/>
          <w:left w:w="0" w:type="dxa"/>
          <w:bottom w:w="0" w:type="dxa"/>
          <w:right w:w="0" w:type="dxa"/>
        </w:tblCellMar>
      </w:tblPr>
      <w:tblGrid>
        <w:gridCol w:w="736"/>
        <w:gridCol w:w="3691"/>
      </w:tblGrid>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6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Executive Officer and President</w:t>
            </w:r>
          </w:p>
        </w:tc>
      </w:tr>
    </w:tbl>
    <w:p>
      <w:pPr>
        <w:pStyle w:val="TextBody"/>
        <w:bidi w:val="0"/>
        <w:spacing w:before="0" w:after="240"/>
        <w:ind w:left="0" w:right="0" w:firstLine="5040"/>
        <w:jc w:val="left"/>
        <w:rPr/>
      </w:pPr>
      <w:r>
        <w:rPr/>
        <w:t>​</w:t>
      </w:r>
    </w:p>
    <w:p>
      <w:pPr>
        <w:pStyle w:val="TextBody"/>
        <w:bidi w:val="0"/>
        <w:spacing w:before="0" w:after="240"/>
        <w:ind w:left="0" w:right="0" w:firstLine="504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5040" w:right="0" w:hanging="0"/>
        <w:jc w:val="left"/>
        <w:rPr>
          <w:rFonts w:ascii="Times New Roman;Times;serif" w:hAnsi="Times New Roman;Times;serif"/>
          <w:sz w:val="22"/>
        </w:rPr>
      </w:pPr>
      <w:r>
        <w:rPr>
          <w:rFonts w:ascii="Times New Roman;Times;serif" w:hAnsi="Times New Roman;Times;serif"/>
          <w:b/>
          <w:sz w:val="22"/>
        </w:rPr>
        <w:t>EVOLUTION ROYALTIES, INC</w:t>
      </w:r>
      <w:r>
        <w:rPr>
          <w:rFonts w:ascii="Times New Roman;Times;serif" w:hAnsi="Times New Roman;Times;serif"/>
          <w:sz w:val="22"/>
        </w:rPr>
        <w:t>., a Delaware corporation</w:t>
        <w:br/>
        <w:t>​</w:t>
      </w:r>
    </w:p>
    <w:p>
      <w:pPr>
        <w:pStyle w:val="TextBody"/>
        <w:bidi w:val="0"/>
        <w:spacing w:before="0" w:after="0"/>
        <w:ind w:left="5040" w:right="0" w:hanging="0"/>
        <w:jc w:val="left"/>
        <w:rPr/>
      </w:pPr>
      <w:r>
        <w:rPr/>
        <w:t>​</w:t>
      </w:r>
    </w:p>
    <w:tbl>
      <w:tblPr>
        <w:tblW w:w="4427" w:type="dxa"/>
        <w:jc w:val="left"/>
        <w:tblInd w:w="0" w:type="dxa"/>
        <w:tblLayout w:type="fixed"/>
        <w:tblCellMar>
          <w:top w:w="0" w:type="dxa"/>
          <w:left w:w="0" w:type="dxa"/>
          <w:bottom w:w="0" w:type="dxa"/>
          <w:right w:w="0" w:type="dxa"/>
        </w:tblCellMar>
      </w:tblPr>
      <w:tblGrid>
        <w:gridCol w:w="736"/>
        <w:gridCol w:w="3691"/>
      </w:tblGrid>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6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Executive Officer and President</w:t>
            </w:r>
          </w:p>
        </w:tc>
      </w:tr>
    </w:tbl>
    <w:p>
      <w:pPr>
        <w:pStyle w:val="TextBody"/>
        <w:bidi w:val="0"/>
        <w:spacing w:before="0" w:after="240"/>
        <w:ind w:left="5040" w:right="0" w:hanging="0"/>
        <w:jc w:val="left"/>
        <w:rPr/>
      </w:pPr>
      <w:r>
        <w:rPr/>
        <w:t>​</w:t>
      </w:r>
    </w:p>
    <w:p>
      <w:pPr>
        <w:pStyle w:val="TextBody"/>
        <w:bidi w:val="0"/>
        <w:spacing w:before="0" w:after="0"/>
        <w:ind w:left="5040" w:right="0" w:hanging="0"/>
        <w:jc w:val="left"/>
        <w:rPr>
          <w:rFonts w:ascii="Times New Roman;Times;serif" w:hAnsi="Times New Roman;Times;serif"/>
          <w:sz w:val="22"/>
        </w:rPr>
      </w:pPr>
      <w:r>
        <w:rPr>
          <w:rFonts w:ascii="Times New Roman;Times;serif" w:hAnsi="Times New Roman;Times;serif"/>
          <w:b/>
          <w:sz w:val="22"/>
        </w:rPr>
        <w:t>EVOLUTION PETROLEUM WEST, INC</w:t>
      </w:r>
      <w:r>
        <w:rPr>
          <w:rFonts w:ascii="Times New Roman;Times;serif" w:hAnsi="Times New Roman;Times;serif"/>
          <w:sz w:val="22"/>
        </w:rPr>
        <w:t>., a Delaware corporation</w:t>
        <w:br/>
        <w:t>​</w:t>
      </w:r>
    </w:p>
    <w:p>
      <w:pPr>
        <w:pStyle w:val="TextBody"/>
        <w:bidi w:val="0"/>
        <w:spacing w:before="0" w:after="0"/>
        <w:ind w:left="5040" w:right="0" w:hanging="0"/>
        <w:jc w:val="left"/>
        <w:rPr/>
      </w:pPr>
      <w:r>
        <w:rPr/>
        <w:t>​</w:t>
      </w:r>
    </w:p>
    <w:tbl>
      <w:tblPr>
        <w:tblW w:w="4427" w:type="dxa"/>
        <w:jc w:val="left"/>
        <w:tblInd w:w="0" w:type="dxa"/>
        <w:tblLayout w:type="fixed"/>
        <w:tblCellMar>
          <w:top w:w="0" w:type="dxa"/>
          <w:left w:w="0" w:type="dxa"/>
          <w:bottom w:w="0" w:type="dxa"/>
          <w:right w:w="0" w:type="dxa"/>
        </w:tblCellMar>
      </w:tblPr>
      <w:tblGrid>
        <w:gridCol w:w="736"/>
        <w:gridCol w:w="3691"/>
      </w:tblGrid>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6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Kelly Loyd</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Executive Officer and President</w:t>
            </w:r>
          </w:p>
        </w:tc>
      </w:tr>
    </w:tbl>
    <w:p>
      <w:pPr>
        <w:pStyle w:val="TextBody"/>
        <w:bidi w:val="0"/>
        <w:spacing w:before="0" w:after="240"/>
        <w:ind w:left="5040" w:right="0" w:hanging="0"/>
        <w:jc w:val="left"/>
        <w:rPr/>
      </w:pPr>
      <w:r>
        <w:rPr/>
        <w:t>​</w:t>
      </w:r>
    </w:p>
    <w:p>
      <w:pPr>
        <w:pStyle w:val="TextBody"/>
        <w:bidi w:val="0"/>
        <w:spacing w:before="0" w:after="480"/>
        <w:ind w:left="4320" w:right="0" w:firstLine="720"/>
        <w:jc w:val="left"/>
        <w:rPr/>
      </w:pPr>
      <w:r>
        <w:rPr/>
        <w:t>​</w:t>
      </w:r>
    </w:p>
    <w:p>
      <w:pPr>
        <w:pStyle w:val="TextBody"/>
        <w:bidi w:val="0"/>
        <w:spacing w:before="0" w:after="480"/>
        <w:ind w:left="4320" w:right="0" w:firstLine="720"/>
        <w:jc w:val="left"/>
        <w:rPr/>
      </w:pPr>
      <w:r>
        <w:rPr/>
        <w:t>​</w:t>
      </w:r>
    </w:p>
    <w:tbl>
      <w:tblPr>
        <w:tblW w:w="2988" w:type="dxa"/>
        <w:jc w:val="left"/>
        <w:tblInd w:w="0" w:type="dxa"/>
        <w:tblLayout w:type="fixed"/>
        <w:tblCellMar>
          <w:top w:w="0" w:type="dxa"/>
          <w:left w:w="0" w:type="dxa"/>
          <w:bottom w:w="0" w:type="dxa"/>
          <w:right w:w="0" w:type="dxa"/>
        </w:tblCellMar>
      </w:tblPr>
      <w:tblGrid>
        <w:gridCol w:w="23"/>
        <w:gridCol w:w="1040"/>
        <w:gridCol w:w="1925"/>
      </w:tblGrid>
      <w:tr>
        <w:trPr/>
        <w:tc>
          <w:tcPr>
            <w:tcW w:w="2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0"/>
              <w:jc w:val="left"/>
              <w:rPr>
                <w:rFonts w:ascii="Times New Roman;Times;serif" w:hAnsi="Times New Roman;Times;serif"/>
                <w:b/>
                <w:sz w:val="22"/>
              </w:rPr>
            </w:pPr>
            <w:r>
              <w:rPr>
                <w:rFonts w:ascii="Times New Roman;Times;serif" w:hAnsi="Times New Roman;Times;serif"/>
                <w:b/>
                <w:sz w:val="22"/>
              </w:rPr>
              <w:t>LENDER:</w:t>
            </w:r>
          </w:p>
        </w:tc>
        <w:tc>
          <w:tcPr>
            <w:tcW w:w="192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MIDFIRST BANK</w:t>
            </w:r>
            <w:r>
              <w:rPr>
                <w:rFonts w:ascii="Times New Roman;Times;serif" w:hAnsi="Times New Roman;Times;serif"/>
                <w:sz w:val="22"/>
              </w:rPr>
              <w:t xml:space="preserve"> </w:t>
              <w:br/>
              <w:t>​</w:t>
            </w:r>
          </w:p>
        </w:tc>
      </w:tr>
    </w:tbl>
    <w:p>
      <w:pPr>
        <w:pStyle w:val="TextBody"/>
        <w:bidi w:val="0"/>
        <w:spacing w:before="0" w:after="0"/>
        <w:ind w:left="5040" w:right="0" w:hanging="0"/>
        <w:jc w:val="left"/>
        <w:rPr/>
      </w:pPr>
      <w:r>
        <w:rPr/>
        <w:t>​</w:t>
      </w:r>
    </w:p>
    <w:p>
      <w:pPr>
        <w:pStyle w:val="TextBody"/>
        <w:bidi w:val="0"/>
        <w:spacing w:before="0" w:after="0"/>
        <w:ind w:left="5040" w:right="0" w:hanging="0"/>
        <w:jc w:val="left"/>
        <w:rPr/>
      </w:pPr>
      <w:r>
        <w:rPr/>
        <w:t>​</w:t>
      </w:r>
    </w:p>
    <w:tbl>
      <w:tblPr>
        <w:tblW w:w="2822" w:type="dxa"/>
        <w:jc w:val="left"/>
        <w:tblInd w:w="0" w:type="dxa"/>
        <w:tblLayout w:type="fixed"/>
        <w:tblCellMar>
          <w:top w:w="0" w:type="dxa"/>
          <w:left w:w="0" w:type="dxa"/>
          <w:bottom w:w="0" w:type="dxa"/>
          <w:right w:w="0" w:type="dxa"/>
        </w:tblCellMar>
      </w:tblPr>
      <w:tblGrid>
        <w:gridCol w:w="736"/>
        <w:gridCol w:w="2086"/>
      </w:tblGrid>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CHAY KRAMER</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20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Chay Kramer</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r>
    </w:tbl>
    <w:p>
      <w:pPr>
        <w:pStyle w:val="TextBody"/>
        <w:bidi w:val="0"/>
        <w:spacing w:before="0" w:after="0"/>
        <w:ind w:left="504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JOINDER</w:t>
      </w:r>
    </w:p>
    <w:p>
      <w:pPr>
        <w:pStyle w:val="TextBody"/>
        <w:bidi w:val="0"/>
        <w:spacing w:before="0" w:after="240"/>
        <w:ind w:left="0" w:right="0" w:firstLine="734"/>
        <w:jc w:val="both"/>
        <w:rPr>
          <w:rFonts w:ascii="Times New Roman;Times;serif" w:hAnsi="Times New Roman;Times;serif"/>
          <w:sz w:val="22"/>
        </w:rPr>
      </w:pPr>
      <w:r>
        <w:rPr>
          <w:rFonts w:ascii="Times New Roman;Times;serif" w:hAnsi="Times New Roman;Times;serif"/>
          <w:sz w:val="22"/>
        </w:rPr>
        <w:t xml:space="preserve">Each undersigned Guarantor certifies that his or its subsidiary guaranty agreement dated as of April 11, 2016 (“Guaranty”) has been delivered in consideration of the extension of credit to </w:t>
      </w:r>
      <w:r>
        <w:rPr>
          <w:rFonts w:ascii="Times New Roman;Times;serif" w:hAnsi="Times New Roman;Times;serif"/>
          <w:b/>
          <w:sz w:val="22"/>
        </w:rPr>
        <w:t>EVOLUTION PETROLEUM CORPORATION</w:t>
      </w:r>
      <w:r>
        <w:rPr>
          <w:rFonts w:ascii="Times New Roman;Times;serif" w:hAnsi="Times New Roman;Times;serif"/>
          <w:sz w:val="22"/>
        </w:rPr>
        <w:t>, a Nevada corporation (</w:t>
      </w:r>
      <w:r>
        <w:rPr>
          <w:rFonts w:ascii="Times New Roman;Times;serif" w:hAnsi="Times New Roman;Times;serif"/>
          <w:b/>
          <w:i/>
          <w:sz w:val="22"/>
        </w:rPr>
        <w:t>"EPC"</w:t>
      </w:r>
      <w:r>
        <w:rPr>
          <w:rFonts w:ascii="Times New Roman;Times;serif" w:hAnsi="Times New Roman;Times;serif"/>
          <w:sz w:val="22"/>
        </w:rPr>
        <w:t xml:space="preserve">), </w:t>
      </w:r>
      <w:r>
        <w:rPr>
          <w:rFonts w:ascii="Times New Roman;Times;serif" w:hAnsi="Times New Roman;Times;serif"/>
          <w:b/>
          <w:sz w:val="22"/>
        </w:rPr>
        <w:t>EVOLUTION PETROLEUM OK, INC</w:t>
      </w:r>
      <w:r>
        <w:rPr>
          <w:rFonts w:ascii="Times New Roman;Times;serif" w:hAnsi="Times New Roman;Times;serif"/>
          <w:sz w:val="22"/>
        </w:rPr>
        <w:t xml:space="preserve">., a Texas corporation (“Evolution Texas”), </w:t>
      </w:r>
      <w:r>
        <w:rPr>
          <w:rFonts w:ascii="Times New Roman;Times;serif" w:hAnsi="Times New Roman;Times;serif"/>
          <w:b/>
          <w:sz w:val="22"/>
        </w:rPr>
        <w:t>NGS TECHNOLOGIES, INC</w:t>
      </w:r>
      <w:r>
        <w:rPr>
          <w:rFonts w:ascii="Times New Roman;Times;serif" w:hAnsi="Times New Roman;Times;serif"/>
          <w:sz w:val="22"/>
        </w:rPr>
        <w:t xml:space="preserve">., a Delaware corporation (“NGS”), </w:t>
      </w:r>
      <w:r>
        <w:rPr>
          <w:rFonts w:ascii="Times New Roman;Times;serif" w:hAnsi="Times New Roman;Times;serif"/>
          <w:b/>
          <w:sz w:val="22"/>
        </w:rPr>
        <w:t>EVOLUTION ROYALTIES, INC</w:t>
      </w:r>
      <w:r>
        <w:rPr>
          <w:rFonts w:ascii="Times New Roman;Times;serif" w:hAnsi="Times New Roman;Times;serif"/>
          <w:sz w:val="22"/>
        </w:rPr>
        <w:t xml:space="preserve">., a Delaware corporation (“Evolution Royalties”), </w:t>
      </w:r>
      <w:r>
        <w:rPr>
          <w:rFonts w:ascii="Times New Roman;Times;serif" w:hAnsi="Times New Roman;Times;serif"/>
          <w:b/>
          <w:sz w:val="22"/>
        </w:rPr>
        <w:t>EVOLUTION PETROLEUM WEST, INC</w:t>
      </w:r>
      <w:r>
        <w:rPr>
          <w:rFonts w:ascii="Times New Roman;Times;serif" w:hAnsi="Times New Roman;Times;serif"/>
          <w:sz w:val="22"/>
        </w:rPr>
        <w:t>., a Delaware corporation (“Evolution West”; EPC, Evolution Texas, NGS, Evolution Royalties, and Evolution West are collectively referred to herein as the “</w:t>
      </w:r>
      <w:r>
        <w:rPr>
          <w:rFonts w:ascii="Times New Roman;Times;serif" w:hAnsi="Times New Roman;Times;serif"/>
          <w:b/>
          <w:i/>
          <w:sz w:val="22"/>
        </w:rPr>
        <w:t>Borrowers</w:t>
      </w:r>
      <w:r>
        <w:rPr>
          <w:rFonts w:ascii="Times New Roman;Times;serif" w:hAnsi="Times New Roman;Times;serif"/>
          <w:sz w:val="22"/>
        </w:rPr>
        <w:t>”) evidenced by that certain Credit Agreement dated as of April 11, 2016, as amended from time to time and most recently by that certain Tenth Amendment to Credit Agreement dated of even date herewith (the “Credit Agreement”) and warrants and represents that it is familiar with and has read the Agreement and other Loan Documents.  Each of the undersigned also certifies that its Operating Agreements have not been amended or changed in any way since its original execution, and that each individual signing on behalf of a limited liability company, trust, or limited partnership has the authority to bind the guarantor to the obligations contemplated by the Guaranty and the Loan Documents.  The undersigned also certifies that his or its Guaranty is not affected by any amendments to the originally executed Credit Amendment and continues in full force and affect.</w:t>
      </w:r>
    </w:p>
    <w:tbl>
      <w:tblPr>
        <w:tblW w:w="5800" w:type="dxa"/>
        <w:jc w:val="left"/>
        <w:tblInd w:w="0" w:type="dxa"/>
        <w:tblLayout w:type="fixed"/>
        <w:tblCellMar>
          <w:top w:w="0" w:type="dxa"/>
          <w:left w:w="0" w:type="dxa"/>
          <w:bottom w:w="0" w:type="dxa"/>
          <w:right w:w="0" w:type="dxa"/>
        </w:tblCellMar>
      </w:tblPr>
      <w:tblGrid>
        <w:gridCol w:w="1640"/>
        <w:gridCol w:w="4160"/>
      </w:tblGrid>
      <w:tr>
        <w:trPr/>
        <w:tc>
          <w:tcPr>
            <w:tcW w:w="1640" w:type="dxa"/>
            <w:tcBorders/>
            <w:vAlign w:val="center"/>
          </w:tcPr>
          <w:p>
            <w:pPr>
              <w:pStyle w:val="TableContents"/>
              <w:bidi w:val="0"/>
              <w:spacing w:before="480" w:after="0"/>
              <w:jc w:val="left"/>
              <w:rPr>
                <w:rFonts w:ascii="Times New Roman;Times;serif" w:hAnsi="Times New Roman;Times;serif"/>
                <w:sz w:val="24"/>
              </w:rPr>
            </w:pPr>
            <w:r>
              <w:rPr>
                <w:rFonts w:ascii="Times New Roman;Times;serif" w:hAnsi="Times New Roman;Times;serif"/>
                <w:sz w:val="24"/>
              </w:rPr>
              <w:t>GUARANTOR:</w:t>
            </w:r>
          </w:p>
        </w:tc>
        <w:tc>
          <w:tcPr>
            <w:tcW w:w="4160" w:type="dxa"/>
            <w:tcBorders/>
            <w:vAlign w:val="center"/>
          </w:tcPr>
          <w:p>
            <w:pPr>
              <w:pStyle w:val="TableContents"/>
              <w:bidi w:val="0"/>
              <w:spacing w:before="480" w:after="0"/>
              <w:jc w:val="left"/>
              <w:rPr>
                <w:rFonts w:ascii="Times New Roman;Times;serif" w:hAnsi="Times New Roman;Times;serif"/>
                <w:sz w:val="24"/>
              </w:rPr>
            </w:pPr>
            <w:r>
              <w:rPr>
                <w:rFonts w:ascii="Times New Roman;Times;serif" w:hAnsi="Times New Roman;Times;serif"/>
                <w:sz w:val="24"/>
              </w:rPr>
              <w:t>NGS SUB CORP., a Delaware corporation</w:t>
            </w:r>
          </w:p>
        </w:tc>
      </w:tr>
    </w:tbl>
    <w:p>
      <w:pPr>
        <w:pStyle w:val="TextBody"/>
        <w:pBdr/>
        <w:bidi w:val="0"/>
        <w:spacing w:before="360" w:after="0"/>
        <w:ind w:left="3600" w:right="0" w:hanging="0"/>
        <w:jc w:val="both"/>
        <w:rPr>
          <w:rFonts w:ascii="Times New Roman;Times;serif" w:hAnsi="Times New Roman;Times;serif"/>
          <w:sz w:val="22"/>
        </w:rPr>
      </w:pPr>
      <w:r>
        <w:rPr>
          <w:rFonts w:ascii="Times New Roman;Times;serif" w:hAnsi="Times New Roman;Times;serif"/>
          <w:sz w:val="24"/>
        </w:rPr>
        <w:t>By:</w:t>
      </w:r>
      <w:r>
        <w:rPr>
          <w:rFonts w:ascii="Times New Roman;Times;serif" w:hAnsi="Times New Roman;Times;serif"/>
          <w:sz w:val="24"/>
          <w:u w:val="single"/>
        </w:rPr>
        <w:t>/s/ KELLY LOYD</w:t>
      </w:r>
      <w:r>
        <w:rPr>
          <w:rFonts w:ascii="Times New Roman;Times;serif" w:hAnsi="Times New Roman;Times;serif"/>
          <w:sz w:val="22"/>
          <w:u w:val="single"/>
        </w:rPr>
        <w:t>​ ​</w:t>
      </w:r>
      <w:r>
        <w:rPr>
          <w:rFonts w:ascii="Times New Roman;Times;serif" w:hAnsi="Times New Roman;Times;serif"/>
          <w:sz w:val="24"/>
        </w:rPr>
        <w:br/>
      </w:r>
      <w:r>
        <w:rPr>
          <w:rFonts w:ascii="Times New Roman;Times;serif" w:hAnsi="Times New Roman;Times;serif"/>
          <w:sz w:val="22"/>
        </w:rPr>
        <w:t>Kelly Loyd</w:t>
      </w:r>
      <w:r>
        <w:rPr>
          <w:rFonts w:ascii="Times New Roman;Times;serif" w:hAnsi="Times New Roman;Times;serif"/>
          <w:sz w:val="24"/>
        </w:rPr>
        <w:t>, President</w:t>
      </w:r>
    </w:p>
    <w:p>
      <w:pPr>
        <w:pStyle w:val="TextBody"/>
        <w:bidi w:val="0"/>
        <w:spacing w:before="360" w:after="0"/>
        <w:ind w:left="3600" w:right="0" w:hanging="0"/>
        <w:jc w:val="left"/>
        <w:rPr>
          <w:rFonts w:ascii="Times New Roman;Times;serif" w:hAnsi="Times New Roman;Times;serif"/>
          <w:sz w:val="24"/>
        </w:rPr>
      </w:pPr>
      <w:r>
        <w:rPr>
          <w:rFonts w:ascii="Times New Roman;Times;serif" w:hAnsi="Times New Roman;Times;serif"/>
          <w:sz w:val="24"/>
        </w:rPr>
        <w:t>EVOLUTION OPERATING CO. INC., a Texas corporation</w:t>
      </w:r>
    </w:p>
    <w:p>
      <w:pPr>
        <w:pStyle w:val="TextBody"/>
        <w:pBdr/>
        <w:bidi w:val="0"/>
        <w:spacing w:before="360" w:after="240"/>
        <w:ind w:left="3600" w:right="0" w:hanging="0"/>
        <w:jc w:val="both"/>
        <w:rPr>
          <w:rFonts w:ascii="Times New Roman;Times;serif" w:hAnsi="Times New Roman;Times;serif"/>
          <w:sz w:val="22"/>
        </w:rPr>
      </w:pPr>
      <w:r>
        <w:rPr>
          <w:rFonts w:ascii="Times New Roman;Times;serif" w:hAnsi="Times New Roman;Times;serif"/>
          <w:sz w:val="24"/>
        </w:rPr>
        <w:t>By:</w:t>
      </w:r>
      <w:r>
        <w:rPr>
          <w:rFonts w:ascii="Times New Roman;Times;serif" w:hAnsi="Times New Roman;Times;serif"/>
          <w:sz w:val="24"/>
          <w:u w:val="single"/>
        </w:rPr>
        <w:t>/s/ KELLY LOYD</w:t>
      </w:r>
      <w:r>
        <w:rPr>
          <w:rFonts w:ascii="Times New Roman;Times;serif" w:hAnsi="Times New Roman;Times;serif"/>
          <w:sz w:val="22"/>
          <w:u w:val="single"/>
        </w:rPr>
        <w:t>​ ​</w:t>
      </w:r>
      <w:r>
        <w:rPr>
          <w:rFonts w:ascii="Times New Roman;Times;serif" w:hAnsi="Times New Roman;Times;serif"/>
          <w:sz w:val="24"/>
        </w:rPr>
        <w:br/>
      </w:r>
      <w:r>
        <w:rPr>
          <w:rFonts w:ascii="Times New Roman;Times;serif" w:hAnsi="Times New Roman;Times;serif"/>
          <w:sz w:val="22"/>
        </w:rPr>
        <w:t>Kelly Loyd</w:t>
      </w:r>
      <w:r>
        <w:rPr>
          <w:rFonts w:ascii="Times New Roman;Times;serif" w:hAnsi="Times New Roman;Times;serif"/>
          <w:sz w:val="24"/>
        </w:rPr>
        <w:t>, President</w:t>
      </w:r>
    </w:p>
    <w:p>
      <w:pPr>
        <w:pStyle w:val="TextBody"/>
        <w:bidi w:val="0"/>
        <w:spacing w:before="240" w:after="0"/>
        <w:ind w:left="1080" w:right="0" w:firstLine="2520"/>
        <w:jc w:val="left"/>
        <w:rPr>
          <w:rFonts w:ascii="Times New Roman;Times;serif" w:hAnsi="Times New Roman;Times;serif"/>
          <w:sz w:val="24"/>
        </w:rPr>
      </w:pPr>
      <w:r>
        <w:rPr>
          <w:rFonts w:ascii="Times New Roman;Times;serif" w:hAnsi="Times New Roman;Times;serif"/>
          <w:sz w:val="24"/>
        </w:rPr>
        <w:t>TERTIAIRE RESOURCES COMPANY, a Texas corporation</w:t>
      </w:r>
    </w:p>
    <w:p>
      <w:pPr>
        <w:pStyle w:val="TextBody"/>
        <w:pBdr/>
        <w:bidi w:val="0"/>
        <w:spacing w:before="360" w:after="0"/>
        <w:ind w:left="3600" w:right="0" w:hanging="0"/>
        <w:jc w:val="both"/>
        <w:rPr>
          <w:rFonts w:ascii="Times New Roman;Times;serif" w:hAnsi="Times New Roman;Times;serif"/>
          <w:sz w:val="22"/>
        </w:rPr>
      </w:pPr>
      <w:r>
        <w:rPr>
          <w:rFonts w:ascii="Times New Roman;Times;serif" w:hAnsi="Times New Roman;Times;serif"/>
          <w:sz w:val="24"/>
        </w:rPr>
        <w:t>By:</w:t>
      </w:r>
      <w:r>
        <w:rPr>
          <w:rFonts w:ascii="Times New Roman;Times;serif" w:hAnsi="Times New Roman;Times;serif"/>
          <w:sz w:val="24"/>
          <w:u w:val="single"/>
        </w:rPr>
        <w:t>/s/ KELLY LOYD</w:t>
      </w:r>
      <w:r>
        <w:rPr>
          <w:rFonts w:ascii="Times New Roman;Times;serif" w:hAnsi="Times New Roman;Times;serif"/>
          <w:sz w:val="22"/>
          <w:u w:val="single"/>
        </w:rPr>
        <w:t>​ ​</w:t>
      </w:r>
      <w:r>
        <w:rPr>
          <w:rFonts w:ascii="Times New Roman;Times;serif" w:hAnsi="Times New Roman;Times;serif"/>
          <w:sz w:val="24"/>
        </w:rPr>
        <w:br/>
      </w:r>
      <w:r>
        <w:rPr>
          <w:rFonts w:ascii="Times New Roman;Times;serif" w:hAnsi="Times New Roman;Times;serif"/>
          <w:sz w:val="22"/>
        </w:rPr>
        <w:t>Kelly Loyd</w:t>
      </w:r>
      <w:r>
        <w:rPr>
          <w:rFonts w:ascii="Times New Roman;Times;serif" w:hAnsi="Times New Roman;Times;serif"/>
          <w:sz w:val="24"/>
        </w:rPr>
        <w:t>, President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09" w:name="epm-20230331xex31d1.htm"/>
      <w:bookmarkStart w:id="1210" w:name="ksepm20230331xex31d1"/>
      <w:bookmarkEnd w:id="1209"/>
      <w:bookmarkEnd w:id="1210"/>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Kelly W. Loyd, President and Chief Executive Officer (Principal Executive Officer) and Director, of Evolution Petroleum Corporation, certify that:</w:t>
      </w:r>
    </w:p>
    <w:tbl>
      <w:tblPr>
        <w:tblW w:w="7353" w:type="dxa"/>
        <w:jc w:val="left"/>
        <w:tblInd w:w="0" w:type="dxa"/>
        <w:tblLayout w:type="fixed"/>
        <w:tblCellMar>
          <w:top w:w="0" w:type="dxa"/>
          <w:left w:w="0" w:type="dxa"/>
          <w:bottom w:w="0" w:type="dxa"/>
          <w:right w:w="0" w:type="dxa"/>
        </w:tblCellMar>
      </w:tblPr>
      <w:tblGrid>
        <w:gridCol w:w="23"/>
        <w:gridCol w:w="170"/>
        <w:gridCol w:w="7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Evolution Petroleum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0" w:right="0" w:hanging="720"/>
        <w:jc w:val="left"/>
        <w:rPr/>
      </w:pPr>
      <w:r>
        <w:rPr/>
        <w:t>​</w:t>
      </w:r>
    </w:p>
    <w:tbl>
      <w:tblPr>
        <w:tblW w:w="8582" w:type="dxa"/>
        <w:jc w:val="center"/>
        <w:tblInd w:w="0" w:type="dxa"/>
        <w:tblLayout w:type="fixed"/>
        <w:tblCellMar>
          <w:top w:w="0" w:type="dxa"/>
          <w:left w:w="0" w:type="dxa"/>
          <w:bottom w:w="0" w:type="dxa"/>
          <w:right w:w="0" w:type="dxa"/>
        </w:tblCellMar>
      </w:tblPr>
      <w:tblGrid>
        <w:gridCol w:w="1846"/>
        <w:gridCol w:w="673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172210" cy="175260"/>
                      <wp:effectExtent l="0" t="0" r="0" b="0"/>
                      <wp:wrapNone/>
                      <wp:docPr id="314" name="Frame31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277995" cy="175260"/>
                      <wp:effectExtent l="0" t="0" r="0" b="0"/>
                      <wp:wrapNone/>
                      <wp:docPr id="315" name="Frame312"/>
                      <a:graphic xmlns:a="http://schemas.openxmlformats.org/drawingml/2006/main">
                        <a:graphicData uri="http://schemas.microsoft.com/office/word/2010/wordprocessingShape">
                          <wps:wsp>
                            <wps:cNvSpPr txBox="1"/>
                            <wps:spPr>
                              <a:xfrm>
                                <a:off x="0" y="0"/>
                                <a:ext cx="427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10, 2023</w:t>
            </w:r>
          </w:p>
        </w:tc>
        <w:tc>
          <w:tcPr>
            <w:tcW w:w="6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KELLY W. LOYD </w:t>
            </w:r>
          </w:p>
        </w:tc>
      </w:tr>
      <w:tr>
        <w:trPr/>
        <w:tc>
          <w:tcPr>
            <w:tcW w:w="1846" w:type="dxa"/>
            <w:tcBorders/>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Kelly W. Loyd</w:t>
            </w:r>
          </w:p>
        </w:tc>
      </w:tr>
      <w:tr>
        <w:trPr/>
        <w:tc>
          <w:tcPr>
            <w:tcW w:w="1846" w:type="dxa"/>
            <w:tcBorders/>
            <w:vAlign w:val="center"/>
          </w:tcPr>
          <w:p>
            <w:pPr>
              <w:pStyle w:val="TableContents"/>
              <w:bidi w:val="0"/>
              <w:spacing w:before="0" w:after="0"/>
              <w:ind w:left="0" w:right="0" w:hanging="0"/>
              <w:jc w:val="left"/>
              <w:rPr/>
            </w:pPr>
            <w:r>
              <w:rPr/>
              <w:t>​</w:t>
            </w:r>
          </w:p>
        </w:tc>
        <w:tc>
          <w:tcPr>
            <w:tcW w:w="673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 (Principal Executive Officer) and Director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11" w:name="epm-20230331xex31d2.htm"/>
      <w:bookmarkStart w:id="1212" w:name="ksepm20230331xex31d2"/>
      <w:bookmarkEnd w:id="1211"/>
      <w:bookmarkEnd w:id="1212"/>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Ryan Stash, Senior Vice President, Chief Financial Officer (Principal Financial Officer and Principal Accounting Officer) and Treasurer of Evolution Petroleum Corporation, certify that:</w:t>
      </w:r>
    </w:p>
    <w:tbl>
      <w:tblPr>
        <w:tblW w:w="7353" w:type="dxa"/>
        <w:jc w:val="left"/>
        <w:tblInd w:w="0" w:type="dxa"/>
        <w:tblLayout w:type="fixed"/>
        <w:tblCellMar>
          <w:top w:w="0" w:type="dxa"/>
          <w:left w:w="0" w:type="dxa"/>
          <w:bottom w:w="0" w:type="dxa"/>
          <w:right w:w="0" w:type="dxa"/>
        </w:tblCellMar>
      </w:tblPr>
      <w:tblGrid>
        <w:gridCol w:w="23"/>
        <w:gridCol w:w="170"/>
        <w:gridCol w:w="7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Evolution Petroleum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621"/>
        <w:gridCol w:w="8584"/>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029335" cy="175260"/>
                      <wp:effectExtent l="0" t="0" r="0" b="0"/>
                      <wp:wrapNone/>
                      <wp:docPr id="316" name="Frame313"/>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450840" cy="175260"/>
                      <wp:effectExtent l="0" t="0" r="0" b="0"/>
                      <wp:wrapNone/>
                      <wp:docPr id="317" name="Frame314"/>
                      <a:graphic xmlns:a="http://schemas.openxmlformats.org/drawingml/2006/main">
                        <a:graphicData uri="http://schemas.microsoft.com/office/word/2010/wordprocessingShape">
                          <wps:wsp>
                            <wps:cNvSpPr txBox="1"/>
                            <wps:spPr>
                              <a:xfrm>
                                <a:off x="0" y="0"/>
                                <a:ext cx="545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10, 2023</w:t>
            </w:r>
          </w:p>
        </w:tc>
        <w:tc>
          <w:tcPr>
            <w:tcW w:w="85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RYAN STASH </w:t>
            </w:r>
          </w:p>
        </w:tc>
      </w:tr>
      <w:tr>
        <w:trPr/>
        <w:tc>
          <w:tcPr>
            <w:tcW w:w="1621" w:type="dxa"/>
            <w:tcBorders/>
            <w:vAlign w:val="center"/>
          </w:tcPr>
          <w:p>
            <w:pPr>
              <w:pStyle w:val="TableContents"/>
              <w:bidi w:val="0"/>
              <w:spacing w:before="0" w:after="0"/>
              <w:ind w:left="0" w:right="0" w:hanging="0"/>
              <w:jc w:val="left"/>
              <w:rPr/>
            </w:pPr>
            <w:r>
              <w:rPr/>
              <w:t>​</w:t>
            </w:r>
          </w:p>
        </w:tc>
        <w:tc>
          <w:tcPr>
            <w:tcW w:w="858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Stash</w:t>
            </w:r>
          </w:p>
        </w:tc>
      </w:tr>
      <w:tr>
        <w:trPr/>
        <w:tc>
          <w:tcPr>
            <w:tcW w:w="1621" w:type="dxa"/>
            <w:tcBorders/>
            <w:vAlign w:val="center"/>
          </w:tcPr>
          <w:p>
            <w:pPr>
              <w:pStyle w:val="TableContents"/>
              <w:bidi w:val="0"/>
              <w:spacing w:before="0" w:after="0"/>
              <w:ind w:left="0" w:right="0" w:hanging="0"/>
              <w:jc w:val="left"/>
              <w:rPr/>
            </w:pPr>
            <w:r>
              <w:rPr/>
              <w:t>​</w:t>
            </w:r>
          </w:p>
        </w:tc>
        <w:tc>
          <w:tcPr>
            <w:tcW w:w="8584"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Chief Financial Officer (Principal Financial Officer and Principal Accounting Officer) and Treasurer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13" w:name="epm-20230331xex32d1.htm"/>
      <w:bookmarkStart w:id="1214" w:name="ksepm20230331xex32d1"/>
      <w:bookmarkEnd w:id="1213"/>
      <w:bookmarkEnd w:id="1214"/>
      <w:r>
        <w:rPr>
          <w:rFonts w:ascii="Times New Roman;Times;serif" w:hAnsi="Times New Roman;Times;serif"/>
          <w:b/>
          <w:sz w:val="20"/>
        </w:rPr>
        <w:t>EXHIBIT 32.1</w:t>
      </w:r>
      <w:r>
        <w:br w:type="page"/>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240"/>
        <w:ind w:left="0" w:right="0" w:hanging="23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Kelly W. Loyd, President and Chief Executive Officer (Principal Executive Officer) and Director of Evolution Petroleum Corporation (the “Company”), certifies in connection with the filing with the Securities and Exchange Commission of the Company’s Quarterly Report on Form 10-Q for the quarter ended March 31, 2023 (the “Report”) pursuant to 18 U.S.C. Section 1350, as adopted pursuant to Section 906 of the Sarbanes-Oxley Act of 2002, to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May 10, 2023.</w:t>
      </w:r>
    </w:p>
    <w:p>
      <w:pPr>
        <w:pStyle w:val="TextBody"/>
        <w:pBdr/>
        <w:bidi w:val="0"/>
        <w:spacing w:before="0" w:after="0"/>
        <w:ind w:left="0" w:right="0" w:hanging="720"/>
        <w:jc w:val="left"/>
        <w:rPr/>
      </w:pPr>
      <w:r>
        <w:rPr/>
        <w:t>​</w:t>
      </w:r>
    </w:p>
    <w:tbl>
      <w:tblPr>
        <w:tblW w:w="6860" w:type="dxa"/>
        <w:jc w:val="center"/>
        <w:tblInd w:w="0" w:type="dxa"/>
        <w:tblLayout w:type="fixed"/>
        <w:tblCellMar>
          <w:top w:w="0" w:type="dxa"/>
          <w:left w:w="0" w:type="dxa"/>
          <w:bottom w:w="0" w:type="dxa"/>
          <w:right w:w="0" w:type="dxa"/>
        </w:tblCellMar>
      </w:tblPr>
      <w:tblGrid>
        <w:gridCol w:w="124"/>
        <w:gridCol w:w="673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78740" cy="175260"/>
                      <wp:effectExtent l="0" t="0" r="0" b="0"/>
                      <wp:wrapNone/>
                      <wp:docPr id="318" name="Frame31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277995" cy="175260"/>
                      <wp:effectExtent l="0" t="0" r="0" b="0"/>
                      <wp:wrapNone/>
                      <wp:docPr id="319" name="Frame316"/>
                      <a:graphic xmlns:a="http://schemas.openxmlformats.org/drawingml/2006/main">
                        <a:graphicData uri="http://schemas.microsoft.com/office/word/2010/wordprocessingShape">
                          <wps:wsp>
                            <wps:cNvSpPr txBox="1"/>
                            <wps:spPr>
                              <a:xfrm>
                                <a:off x="0" y="0"/>
                                <a:ext cx="427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Kelly W. Loyd</w: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 (Principal Executive Officer) and Director</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200"/>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15" w:name="epm-20230331xex32d2.htm"/>
      <w:bookmarkStart w:id="1216" w:name="ksepm20230331xex32d2"/>
      <w:bookmarkEnd w:id="1215"/>
      <w:bookmarkEnd w:id="1216"/>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Ryan Stash, Senior Vice President, Chief Financial Officer (Principal Financial Officer and Principal Accounting Officer) and Treasurer of Evolution Petroleum Corporation (the “Company”), certifies in connection with the filing with the Securities and Exchange Commission of the Company’s Quarterly Report on Form 10-Q for the quarter ended March 31, 2023 (the “Report”) pursuant to 18 U.S.C. Section 1350, as adopted pursuant to Section 906 of the Sarbanes-Oxley Act of 2002, to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May 10, 2023.</w:t>
      </w:r>
    </w:p>
    <w:tbl>
      <w:tblPr>
        <w:tblW w:w="10205" w:type="dxa"/>
        <w:jc w:val="center"/>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78740" cy="175260"/>
                      <wp:effectExtent l="0" t="0" r="0" b="0"/>
                      <wp:wrapNone/>
                      <wp:docPr id="320" name="Frame31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01435" cy="175260"/>
                      <wp:effectExtent l="0" t="0" r="0" b="0"/>
                      <wp:wrapNone/>
                      <wp:docPr id="321" name="Frame318"/>
                      <a:graphic xmlns:a="http://schemas.openxmlformats.org/drawingml/2006/main">
                        <a:graphicData uri="http://schemas.microsoft.com/office/word/2010/wordprocessingShape">
                          <wps:wsp>
                            <wps:cNvSpPr txBox="1"/>
                            <wps:spPr>
                              <a:xfrm>
                                <a:off x="0" y="0"/>
                                <a:ext cx="6401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c>
      </w:tr>
      <w:tr>
        <w:trPr/>
        <w:tc>
          <w:tcPr>
            <w:tcW w:w="124" w:type="dxa"/>
            <w:tcBorders/>
            <w:vAlign w:val="center"/>
          </w:tcPr>
          <w:p>
            <w:pPr>
              <w:pStyle w:val="TableContents"/>
              <w:bidi w:val="0"/>
              <w:spacing w:before="0" w:after="0"/>
              <w:ind w:left="0" w:right="0" w:hanging="0"/>
              <w:jc w:val="left"/>
              <w:rPr/>
            </w:pPr>
            <w:r>
              <w:rPr/>
              <w:t>​</w:t>
            </w:r>
          </w:p>
        </w:tc>
        <w:tc>
          <w:tcPr>
            <w:tcW w:w="100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Ryan Stash</w:t>
            </w:r>
          </w:p>
        </w:tc>
      </w:tr>
      <w:tr>
        <w:trPr/>
        <w:tc>
          <w:tcPr>
            <w:tcW w:w="124" w:type="dxa"/>
            <w:tcBorders/>
            <w:vAlign w:val="center"/>
          </w:tcPr>
          <w:p>
            <w:pPr>
              <w:pStyle w:val="TableContents"/>
              <w:bidi w:val="0"/>
              <w:spacing w:before="0" w:after="0"/>
              <w:ind w:left="0" w:right="0" w:hanging="0"/>
              <w:jc w:val="left"/>
              <w:rPr/>
            </w:pPr>
            <w:r>
              <w:rPr/>
              <w:t>​</w:t>
            </w:r>
          </w:p>
        </w:tc>
        <w:tc>
          <w:tcPr>
            <w:tcW w:w="1008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Chief Financial Officer (Principal Financial Officer and Principal Accounting Officer) and Treasurer</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200"/>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06655/000155837023001024/epm-20221231xex3d1.htm" TargetMode="External"/><Relationship Id="rId4" Type="http://schemas.openxmlformats.org/officeDocument/2006/relationships/hyperlink" Target="https://www.sec.gov/Archives/edgar/data/1006655/000100665504000002/decreal10k22.htm" TargetMode="External"/><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27616</Words>
  <Characters>150583</Characters>
  <CharactersWithSpaces>179942</CharactersWithSpaces>
  <Paragraphs>6411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