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51231x10q.htm"/>
        <w:bookmarkStart w:id="1" w:name="ksepm202512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no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12603b2d_d27b_4db0_b1ce_21507b28422c"/>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5x6bQuOwrESSSHaLDn0JlA_1_1"/>
      <w:bookmarkStart w:id="4" w:name="_2fa85096_77a2_4581_823b_7944b3a01cd2"/>
      <w:bookmarkStart w:id="5" w:name="Tc_5x6bQuOwrESSSHaLDn0JlA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December 31,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n6l0N8gCKkuRXy0fj7rGmQ_1_1"/>
      <w:bookmarkStart w:id="8" w:name="_af930417_011f_4f11_9677_879e1df9540b"/>
      <w:bookmarkStart w:id="9" w:name="Tc_n6l0N8gCKkuRXy0fj7rGmQ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ltrwNMcIQkajzq2MMdGsug_2_2"/>
      <w:bookmarkStart w:id="12" w:name="Tc_AcM9doHEUku6lai91wyPKg_2_0"/>
      <w:bookmarkStart w:id="13" w:name="_fd1beca5_de47_40f7_9962_f379b5f73a9f"/>
      <w:bookmarkStart w:id="14" w:name="Tc_ltrwNMcIQkajzq2MMdGsug_2_2"/>
      <w:bookmarkStart w:id="15" w:name="Tc_AcM9doHEUku6lai91wyPKg_2_0"/>
      <w:bookmarkStart w:id="16" w:name="_fd1beca5_de47_40f7_9962_f379b5f73a9f"/>
      <w:bookmarkEnd w:id="14"/>
      <w:bookmarkEnd w:id="15"/>
      <w:bookmarkEnd w:id="16"/>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5qvy0xbMjkq-0ISlBum5SQ_1_4"/>
      <w:bookmarkStart w:id="18" w:name="Tc_S4DhNs7-jEiIc1IwKNDzdg_1_2"/>
      <w:bookmarkStart w:id="19" w:name="Tc_k5PoS4VHp06OSDRoFdCXBw_1_0"/>
      <w:bookmarkStart w:id="20" w:name="_2ccd0b3c_0436_4571_b5e9_837a8404eef0"/>
      <w:bookmarkStart w:id="21" w:name="Tc_5qvy0xbMjkq-0ISlBum5SQ_1_4"/>
      <w:bookmarkStart w:id="22" w:name="Tc_S4DhNs7-jEiIc1IwKNDzdg_1_2"/>
      <w:bookmarkStart w:id="23" w:name="Tc_k5PoS4VHp06OSDRoFdCXBw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CHhYu8-uoUqXjf4RHGuK1g_3_6"/>
      <w:bookmarkStart w:id="26" w:name="Tc_ovxOTBWyck-YVVOKYvFCag_2_6"/>
      <w:bookmarkStart w:id="27" w:name="Tc_9j9x1WfdKE-Pv4tZFalvEg_2_5"/>
      <w:bookmarkStart w:id="28" w:name="Tc_5InKeSlAL0ym6APA7M-Yrg_2_3"/>
      <w:bookmarkStart w:id="29" w:name="Tc_7F1vrNnCdUGyRTV-VUSmag_2_2"/>
      <w:bookmarkStart w:id="30" w:name="Tc_dVVZ4CYDbE6zEfLbTjtQ9Q_2_1"/>
      <w:bookmarkStart w:id="31" w:name="Tc_jrKAR-XF3kGEvGuY9jCHkg_2_0"/>
      <w:bookmarkStart w:id="32" w:name="_0c033832_2356_4576_94cf_d4be85956822"/>
      <w:bookmarkStart w:id="33" w:name="Tc_CHhYu8-uoUqXjf4RHGuK1g_3_6"/>
      <w:bookmarkStart w:id="34" w:name="Tc_ovxOTBWyck-YVVOKYvFCag_2_6"/>
      <w:bookmarkStart w:id="35" w:name="Tc_9j9x1WfdKE-Pv4tZFalvEg_2_5"/>
      <w:bookmarkStart w:id="36" w:name="Tc_5InKeSlAL0ym6APA7M-Yrg_2_3"/>
      <w:bookmarkStart w:id="37" w:name="Tc_7F1vrNnCdUGyRTV-VUSmag_2_2"/>
      <w:bookmarkStart w:id="38" w:name="Tc_dVVZ4CYDbE6zEfLbTjtQ9Q_2_1"/>
      <w:bookmarkStart w:id="39" w:name="Tc_jrKAR-XF3kGEvGuY9jCHkg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February 6, 2026, 35,003,844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dbc9cf63_6464_4d41_8e43_1e34f0733fdd"/>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1"/>
        <w:gridCol w:w="9082"/>
        <w:gridCol w:w="362"/>
      </w:tblGrid>
      <w:tr>
        <w:trPr/>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83235" cy="175260"/>
                      <wp:effectExtent l="0" t="0" r="0" b="0"/>
                      <wp:wrapNone/>
                      <wp:docPr id="14" name="Frame1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67070" cy="175260"/>
                      <wp:effectExtent l="0" t="0" r="0" b="0"/>
                      <wp:wrapNone/>
                      <wp:docPr id="15" name="Frame14"/>
                      <a:graphic xmlns:a="http://schemas.openxmlformats.org/drawingml/2006/main">
                        <a:graphicData uri="http://schemas.microsoft.com/office/word/2010/wordprocessingShape">
                          <wps:wsp>
                            <wps:cNvSpPr txBox="1"/>
                            <wps:spPr>
                              <a:xfrm>
                                <a:off x="0" y="0"/>
                                <a:ext cx="576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1"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82"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1"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82"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1" w:type="dxa"/>
            <w:tcBorders/>
            <w:vAlign w:val="center"/>
          </w:tcPr>
          <w:p>
            <w:pPr>
              <w:pStyle w:val="TableContents"/>
              <w:bidi w:val="0"/>
              <w:spacing w:before="0" w:after="0"/>
              <w:ind w:left="0" w:right="0" w:hanging="0"/>
              <w:jc w:val="left"/>
              <w:rPr/>
            </w:pPr>
            <w:r>
              <w:rPr/>
              <w:t>​</w:t>
            </w:r>
          </w:p>
        </w:tc>
        <w:tc>
          <w:tcPr>
            <w:tcW w:w="9082"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December 31, 2025 and June 30,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1" w:type="dxa"/>
            <w:tcBorders/>
            <w:shd w:fill="CCEEFF" w:val="clear"/>
            <w:vAlign w:val="center"/>
          </w:tcPr>
          <w:p>
            <w:pPr>
              <w:pStyle w:val="TableContents"/>
              <w:bidi w:val="0"/>
              <w:spacing w:before="0" w:after="0"/>
              <w:ind w:left="0" w:right="0" w:hanging="0"/>
              <w:jc w:val="left"/>
              <w:rPr/>
            </w:pPr>
            <w:r>
              <w:rPr/>
              <w:t>​</w:t>
            </w:r>
          </w:p>
        </w:tc>
        <w:tc>
          <w:tcPr>
            <w:tcW w:w="9082"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six months ended December 31, 2025 and 2024</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1" w:type="dxa"/>
            <w:tcBorders/>
            <w:vAlign w:val="center"/>
          </w:tcPr>
          <w:p>
            <w:pPr>
              <w:pStyle w:val="TableContents"/>
              <w:bidi w:val="0"/>
              <w:spacing w:before="0" w:after="0"/>
              <w:ind w:left="0" w:right="0" w:hanging="0"/>
              <w:jc w:val="left"/>
              <w:rPr/>
            </w:pPr>
            <w:r>
              <w:rPr/>
              <w:t>​</w:t>
            </w:r>
          </w:p>
        </w:tc>
        <w:tc>
          <w:tcPr>
            <w:tcW w:w="9082"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six months ended December 31, 2025 and 2024</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1" w:type="dxa"/>
            <w:tcBorders/>
            <w:shd w:fill="CCEEFF" w:val="clear"/>
            <w:vAlign w:val="center"/>
          </w:tcPr>
          <w:p>
            <w:pPr>
              <w:pStyle w:val="TableContents"/>
              <w:bidi w:val="0"/>
              <w:spacing w:before="0" w:after="0"/>
              <w:ind w:left="0" w:right="0" w:hanging="0"/>
              <w:jc w:val="left"/>
              <w:rPr/>
            </w:pPr>
            <w:r>
              <w:rPr/>
              <w:t>​</w:t>
            </w:r>
          </w:p>
        </w:tc>
        <w:tc>
          <w:tcPr>
            <w:tcW w:w="9082"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and six months ended December 31, 2025 and 2024</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1" w:type="dxa"/>
            <w:tcBorders/>
            <w:vAlign w:val="center"/>
          </w:tcPr>
          <w:p>
            <w:pPr>
              <w:pStyle w:val="TableContents"/>
              <w:bidi w:val="0"/>
              <w:spacing w:before="0" w:after="0"/>
              <w:ind w:left="0" w:right="0" w:hanging="0"/>
              <w:jc w:val="left"/>
              <w:rPr/>
            </w:pPr>
            <w:r>
              <w:rPr/>
              <w:t>​</w:t>
            </w:r>
          </w:p>
        </w:tc>
        <w:tc>
          <w:tcPr>
            <w:tcW w:w="9082"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1"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82"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61"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82"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61"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82"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1"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82"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1"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82"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82"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1"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82"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1"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82"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82"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1"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82"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61" w:type="dxa"/>
            <w:tcBorders/>
            <w:vAlign w:val="center"/>
          </w:tcPr>
          <w:p>
            <w:pPr>
              <w:pStyle w:val="TableContents"/>
              <w:bidi w:val="0"/>
              <w:spacing w:before="0" w:after="0"/>
              <w:ind w:left="0" w:right="0" w:hanging="0"/>
              <w:jc w:val="left"/>
              <w:rPr/>
            </w:pPr>
            <w:r>
              <w:rPr/>
              <w:t>​</w:t>
            </w:r>
          </w:p>
        </w:tc>
        <w:tc>
          <w:tcPr>
            <w:tcW w:w="9082"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361cd27b_a5cb_4e92_84d2_de9c65ce1e77"/>
      <w:bookmarkStart w:id="45" w:name="_Hlk179296867"/>
      <w:bookmarkEnd w:id="43"/>
      <w:bookmarkEnd w:id="44"/>
      <w:bookmarkEnd w:id="45"/>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future acquisitions and the need for additional capital to complete future acquisitions;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by our third-party operators, including accidents, equipment failures, fires, and releases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the availability of other sources of liquidity to meet financial obligations throughout commodity price cycles; </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performance;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possible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2025, as well as the other disclosures contained herein, therein, and as also may be described from time to time in future reports we file with the Securities and Exchange Commission (“SEC”). Readers should also consider such information in conjunction with our condensed consolidated financial statements and related notes and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Part_I_Financial_Information"/>
      <w:bookmarkStart w:id="47" w:name="_f4b2ae62_4df9_446a_b7fb_dcdcfc4679f6"/>
      <w:bookmarkEnd w:id="46"/>
      <w:bookmarkEnd w:id="47"/>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bookmarkStart w:id="48" w:name="Item_1_Condensed_Consolidated_Financial"/>
      <w:bookmarkEnd w:id="48"/>
      <w:r>
        <w:rPr/>
        <w:t>​</w:t>
      </w:r>
    </w:p>
    <w:p>
      <w:pPr>
        <w:pStyle w:val="TextBody"/>
        <w:bidi w:val="0"/>
        <w:spacing w:before="0" w:after="120"/>
        <w:ind w:left="0" w:right="0" w:hanging="0"/>
        <w:jc w:val="center"/>
        <w:rPr>
          <w:rFonts w:ascii="Times New Roman;Times;serif" w:hAnsi="Times New Roman;Times;serif"/>
          <w:b/>
          <w:sz w:val="20"/>
        </w:rPr>
      </w:pPr>
      <w:bookmarkStart w:id="49" w:name="ConsolidatedCondensedBalanceSheets"/>
      <w:bookmarkStart w:id="50" w:name="_1dd8b5da_ee37_4a8e_88b7_de36673395a6"/>
      <w:bookmarkEnd w:id="49"/>
      <w:bookmarkEnd w:id="5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_iEDAbExHkqUKs1uuHgDIA_41_5"/>
      <w:bookmarkStart w:id="52" w:name="Tc_uWww3Ampn0u8gbaXJtLUOw_41_2"/>
      <w:bookmarkStart w:id="53" w:name="Tc_zmYFkSXqcUG77V82hmrT6Q_41_0"/>
      <w:bookmarkStart w:id="54" w:name="Tc_HHo0t7X8vEW7v0UsEzkZ1A_40_0"/>
      <w:bookmarkStart w:id="55" w:name="Tc_TAAa0tsv7UCJIPbimMyxeA_39_0"/>
      <w:bookmarkStart w:id="56" w:name="Tc_keyGqFUMw0ODCkBSLcHTcQ_38_0"/>
      <w:bookmarkStart w:id="57" w:name="Tc_8EXdmNfo9kWWUgyRjz2-lA_37_0"/>
      <w:bookmarkStart w:id="58" w:name="Tc_jfmtaCucPU6JLY5f7KJTEg_36_0"/>
      <w:bookmarkStart w:id="59" w:name="Tc__qk5tXnUa0u4kg2Yz_JH0Q_35_0"/>
      <w:bookmarkStart w:id="60" w:name="Tc_iUWAok6cNEGSfWk1eyYKoQ_34_0"/>
      <w:bookmarkStart w:id="61" w:name="Tc_YozYcE1I6060rcF0IqtDvA_33_0"/>
      <w:bookmarkStart w:id="62" w:name="Tc_ArX-CjzbO0WdAW-asCWPoA_32_0"/>
      <w:bookmarkStart w:id="63" w:name="Tc_yAbKo7PNPkyKkIXWz-TF2Q_31_6"/>
      <w:bookmarkStart w:id="64" w:name="Tc_cWRjKFttzEe8hyH3jW6jQw_31_0"/>
      <w:bookmarkStart w:id="65" w:name="Tc_jwfsnplVhU-__8JYsjJEvg_30_0"/>
      <w:bookmarkStart w:id="66" w:name="Tc_SIOL7ukSE0-5UVAKIaqKkA_29_0"/>
      <w:bookmarkStart w:id="67" w:name="Tc_oaMk7QPQ4ESoV7lSDjtX2A_28_0"/>
      <w:bookmarkStart w:id="68" w:name="Tc_gl7UUIKT1USGg4ezwl4CMA_27_0"/>
      <w:bookmarkStart w:id="69" w:name="Tc_Rc8N195TD0WTuyboNnElfA_26_0"/>
      <w:bookmarkStart w:id="70" w:name="Tc_C1EHeji2Y0SpEgIF7GqtKw_25_0"/>
      <w:bookmarkStart w:id="71" w:name="Tc_1_nRw_63SUSEdMMkuoabfw_24_6"/>
      <w:bookmarkStart w:id="72" w:name="Tc_zOx_ip8TTkmUasKF2JDnWQ_24_0"/>
      <w:bookmarkStart w:id="73" w:name="Tc_u5d_ckjBoUqNIzBbX4vsmQ_23_0"/>
      <w:bookmarkStart w:id="74" w:name="Tc_wqLfRyRJ1UC1SRDB7i5KbQ_22_0"/>
      <w:bookmarkStart w:id="75" w:name="Tc_N2i3lL1QDUupB0tDQ6ytnA_21_5"/>
      <w:bookmarkStart w:id="76" w:name="Tc_Hc5Fzo_f_kq4kJu4wFAa-A_21_2"/>
      <w:bookmarkStart w:id="77" w:name="Tc_Gipui-R05ECaO0lhdijWZg_21_0"/>
      <w:bookmarkStart w:id="78" w:name="Tc_9KB_kRekpk2JpuyxgWYc7Q_20_0"/>
      <w:bookmarkStart w:id="79" w:name="Tc_MU4XqN-KBEW61_TFXxYd3w_19_0"/>
      <w:bookmarkStart w:id="80" w:name="Tc_OQpKtzuie0mng93_67Tj1Q_18_5"/>
      <w:bookmarkStart w:id="81" w:name="Tc_hEyZVEQXYE2mexXs198OPA_18_2"/>
      <w:bookmarkStart w:id="82" w:name="Tc_q-5qX3jE_06c6rkhUk93-g_18_0"/>
      <w:bookmarkStart w:id="83" w:name="Tc_LRvq5vmRS0CQuEAL-cYf2w_17_0"/>
      <w:bookmarkStart w:id="84" w:name="Tc_VOK_NCw4-ka1cxIqZ7p67g_16_0"/>
      <w:bookmarkStart w:id="85" w:name="Tc_P46KYX1iFUu7__Ci3Mly1Q_15_0"/>
      <w:bookmarkStart w:id="86" w:name="Tc_NAP585kWEU6w6ImqKTiPPg_13_0"/>
      <w:bookmarkStart w:id="87" w:name="Tc_z8jrWq-Jn02BrlqDZD2TBg_12_6"/>
      <w:bookmarkStart w:id="88" w:name="Tc_RgBLPdoNFUqmWqhQJsUTew_12_0"/>
      <w:bookmarkStart w:id="89" w:name="Tc_uBhcdqcaikmFFvZ9XjwjLA_11_0"/>
      <w:bookmarkStart w:id="90" w:name="Tc_KJ3pzEv5JEmPpvjgdaX8ew_10_0"/>
      <w:bookmarkStart w:id="91" w:name="Tc_TlkTt1b9GE2GRawo70N_qQ_9_0"/>
      <w:bookmarkStart w:id="92" w:name="Tc_ToSTKYbZQEOBIp1mYtjoTQ_8_0"/>
      <w:bookmarkStart w:id="93" w:name="Tc_eZQmhk1drESfwHcase-aXw_7_0"/>
      <w:bookmarkStart w:id="94" w:name="Tc_W-jzX2TupkeZO_tlR9lmiA_6_0"/>
      <w:bookmarkStart w:id="95" w:name="Tc_eNdhxPMQM0aj6nQ0ZJJ1Kg_5_0"/>
      <w:bookmarkStart w:id="96" w:name="Tc_k87fhSdVoUegZbRL_fRW3g_4_5"/>
      <w:bookmarkStart w:id="97" w:name="Tc_aI5EWGfepkGXzz2CsJjyfA_4_2"/>
      <w:bookmarkStart w:id="98" w:name="Tc_sm2lrmP6wkGTq9vw3l5nbg_4_0"/>
      <w:bookmarkStart w:id="99" w:name="Tc_rP-kXiNNX0ity5qc5hpieg_3_0"/>
      <w:bookmarkStart w:id="100" w:name="Tc_ZBQYkRrDE0KRMYWXcduYxA_2_0"/>
      <w:bookmarkStart w:id="101" w:name="Tc_3NwNNdHvUkq5PbzCZ6sfDQ_1_5"/>
      <w:bookmarkStart w:id="102" w:name="Tc_hfr_Cj_km0eGsNusXi9Htg_1_2"/>
      <w:bookmarkStart w:id="103" w:name="_02e7d75a_4f6f_4234_a115_8b95b7bce8cd"/>
      <w:bookmarkStart w:id="104" w:name="Tc__iEDAbExHkqUKs1uuHgDIA_41_5"/>
      <w:bookmarkStart w:id="105" w:name="Tc_uWww3Ampn0u8gbaXJtLUOw_41_2"/>
      <w:bookmarkStart w:id="106" w:name="Tc_zmYFkSXqcUG77V82hmrT6Q_41_0"/>
      <w:bookmarkStart w:id="107" w:name="Tc_HHo0t7X8vEW7v0UsEzkZ1A_40_0"/>
      <w:bookmarkStart w:id="108" w:name="Tc_TAAa0tsv7UCJIPbimMyxeA_39_0"/>
      <w:bookmarkStart w:id="109" w:name="Tc_keyGqFUMw0ODCkBSLcHTcQ_38_0"/>
      <w:bookmarkStart w:id="110" w:name="Tc_8EXdmNfo9kWWUgyRjz2-lA_37_0"/>
      <w:bookmarkStart w:id="111" w:name="Tc_jfmtaCucPU6JLY5f7KJTEg_36_0"/>
      <w:bookmarkStart w:id="112" w:name="Tc__qk5tXnUa0u4kg2Yz_JH0Q_35_0"/>
      <w:bookmarkStart w:id="113" w:name="Tc_iUWAok6cNEGSfWk1eyYKoQ_34_0"/>
      <w:bookmarkStart w:id="114" w:name="Tc_YozYcE1I6060rcF0IqtDvA_33_0"/>
      <w:bookmarkStart w:id="115" w:name="Tc_ArX-CjzbO0WdAW-asCWPoA_32_0"/>
      <w:bookmarkStart w:id="116" w:name="Tc_yAbKo7PNPkyKkIXWz-TF2Q_31_6"/>
      <w:bookmarkStart w:id="117" w:name="Tc_cWRjKFttzEe8hyH3jW6jQw_31_0"/>
      <w:bookmarkStart w:id="118" w:name="Tc_jwfsnplVhU-__8JYsjJEvg_30_0"/>
      <w:bookmarkStart w:id="119" w:name="Tc_SIOL7ukSE0-5UVAKIaqKkA_29_0"/>
      <w:bookmarkStart w:id="120" w:name="Tc_oaMk7QPQ4ESoV7lSDjtX2A_28_0"/>
      <w:bookmarkStart w:id="121" w:name="Tc_gl7UUIKT1USGg4ezwl4CMA_27_0"/>
      <w:bookmarkStart w:id="122" w:name="Tc_Rc8N195TD0WTuyboNnElfA_26_0"/>
      <w:bookmarkStart w:id="123" w:name="Tc_C1EHeji2Y0SpEgIF7GqtKw_25_0"/>
      <w:bookmarkStart w:id="124" w:name="Tc_1_nRw_63SUSEdMMkuoabfw_24_6"/>
      <w:bookmarkStart w:id="125" w:name="Tc_zOx_ip8TTkmUasKF2JDnWQ_24_0"/>
      <w:bookmarkStart w:id="126" w:name="Tc_u5d_ckjBoUqNIzBbX4vsmQ_23_0"/>
      <w:bookmarkStart w:id="127" w:name="Tc_wqLfRyRJ1UC1SRDB7i5KbQ_22_0"/>
      <w:bookmarkStart w:id="128" w:name="Tc_N2i3lL1QDUupB0tDQ6ytnA_21_5"/>
      <w:bookmarkStart w:id="129" w:name="Tc_Hc5Fzo_f_kq4kJu4wFAa-A_21_2"/>
      <w:bookmarkStart w:id="130" w:name="Tc_Gipui-R05ECaO0lhdijWZg_21_0"/>
      <w:bookmarkStart w:id="131" w:name="Tc_9KB_kRekpk2JpuyxgWYc7Q_20_0"/>
      <w:bookmarkStart w:id="132" w:name="Tc_MU4XqN-KBEW61_TFXxYd3w_19_0"/>
      <w:bookmarkStart w:id="133" w:name="Tc_OQpKtzuie0mng93_67Tj1Q_18_5"/>
      <w:bookmarkStart w:id="134" w:name="Tc_hEyZVEQXYE2mexXs198OPA_18_2"/>
      <w:bookmarkStart w:id="135" w:name="Tc_q-5qX3jE_06c6rkhUk93-g_18_0"/>
      <w:bookmarkStart w:id="136" w:name="Tc_LRvq5vmRS0CQuEAL-cYf2w_17_0"/>
      <w:bookmarkStart w:id="137" w:name="Tc_VOK_NCw4-ka1cxIqZ7p67g_16_0"/>
      <w:bookmarkStart w:id="138" w:name="Tc_P46KYX1iFUu7__Ci3Mly1Q_15_0"/>
      <w:bookmarkStart w:id="139" w:name="Tc_NAP585kWEU6w6ImqKTiPPg_13_0"/>
      <w:bookmarkStart w:id="140" w:name="Tc_z8jrWq-Jn02BrlqDZD2TBg_12_6"/>
      <w:bookmarkStart w:id="141" w:name="Tc_RgBLPdoNFUqmWqhQJsUTew_12_0"/>
      <w:bookmarkStart w:id="142" w:name="Tc_uBhcdqcaikmFFvZ9XjwjLA_11_0"/>
      <w:bookmarkStart w:id="143" w:name="Tc_KJ3pzEv5JEmPpvjgdaX8ew_10_0"/>
      <w:bookmarkStart w:id="144" w:name="Tc_TlkTt1b9GE2GRawo70N_qQ_9_0"/>
      <w:bookmarkStart w:id="145" w:name="Tc_ToSTKYbZQEOBIp1mYtjoTQ_8_0"/>
      <w:bookmarkStart w:id="146" w:name="Tc_eZQmhk1drESfwHcase-aXw_7_0"/>
      <w:bookmarkStart w:id="147" w:name="Tc_W-jzX2TupkeZO_tlR9lmiA_6_0"/>
      <w:bookmarkStart w:id="148" w:name="Tc_eNdhxPMQM0aj6nQ0ZJJ1Kg_5_0"/>
      <w:bookmarkStart w:id="149" w:name="Tc_k87fhSdVoUegZbRL_fRW3g_4_5"/>
      <w:bookmarkStart w:id="150" w:name="Tc_aI5EWGfepkGXzz2CsJjyfA_4_2"/>
      <w:bookmarkStart w:id="151" w:name="Tc_sm2lrmP6wkGTq9vw3l5nbg_4_0"/>
      <w:bookmarkStart w:id="152" w:name="Tc_rP-kXiNNX0ity5qc5hpieg_3_0"/>
      <w:bookmarkStart w:id="153" w:name="Tc_ZBQYkRrDE0KRMYWXcduYxA_2_0"/>
      <w:bookmarkStart w:id="154" w:name="Tc_3NwNNdHvUkq5PbzCZ6sfDQ_1_5"/>
      <w:bookmarkStart w:id="155" w:name="Tc_hfr_Cj_km0eGsNusXi9Htg_1_2"/>
      <w:bookmarkStart w:id="156" w:name="_02e7d75a_4f6f_4234_a115_8b95b7bce8cd"/>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W w:w="9020" w:type="dxa"/>
        <w:jc w:val="left"/>
        <w:tblInd w:w="0" w:type="dxa"/>
        <w:tblLayout w:type="fixed"/>
        <w:tblCellMar>
          <w:top w:w="0" w:type="dxa"/>
          <w:left w:w="0" w:type="dxa"/>
          <w:bottom w:w="0" w:type="dxa"/>
          <w:right w:w="0" w:type="dxa"/>
        </w:tblCellMar>
      </w:tblPr>
      <w:tblGrid>
        <w:gridCol w:w="5581"/>
        <w:gridCol w:w="346"/>
        <w:gridCol w:w="341"/>
        <w:gridCol w:w="1205"/>
        <w:gridCol w:w="34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543935" cy="175260"/>
                      <wp:effectExtent l="0" t="0" r="0" b="0"/>
                      <wp:wrapNone/>
                      <wp:docPr id="17" name="Frame1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6535" cy="175260"/>
                      <wp:effectExtent l="0" t="0" r="0" b="0"/>
                      <wp:wrapNone/>
                      <wp:docPr id="19" name="Frame1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65175" cy="175260"/>
                      <wp:effectExtent l="0" t="0" r="0" b="0"/>
                      <wp:wrapNone/>
                      <wp:docPr id="20" name="Frame19"/>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17,162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17,375</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properties—full-cost method of accounting:</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subject to amortization, net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146,476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not subject to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151,121</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847</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169,265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160,252</w:t>
            </w:r>
          </w:p>
        </w:tc>
      </w:tr>
      <w:tr>
        <w:trPr/>
        <w:tc>
          <w:tcPr>
            <w:tcW w:w="55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11,041</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19,126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54,500</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37,500</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22,309</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21,535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101,721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88,439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35,003,844</w:t>
            </w:r>
            <w:r>
              <w:rPr>
                <w:rFonts w:ascii="Times New Roman;Times;serif" w:hAnsi="Times New Roman;Times;serif"/>
                <w:sz w:val="20"/>
              </w:rPr>
              <w:t xml:space="preserve"> </w:t>
            </w:r>
            <w:r>
              <w:rPr>
                <w:rFonts w:ascii="Times New Roman;Times;serif" w:hAnsi="Times New Roman;Times;serif"/>
                <w:sz w:val="18"/>
              </w:rPr>
              <w:t>and 34,337,188</w:t>
            </w:r>
            <w:r>
              <w:rPr>
                <w:rFonts w:ascii="Times New Roman;Times;serif" w:hAnsi="Times New Roman;Times;serif"/>
                <w:sz w:val="20"/>
              </w:rPr>
              <w:t xml:space="preserve"> </w:t>
            </w:r>
            <w:r>
              <w:rPr>
                <w:rFonts w:ascii="Times New Roman;Times;serif" w:hAnsi="Times New Roman;Times;serif"/>
                <w:sz w:val="18"/>
              </w:rPr>
              <w:t>shares as of December 31, 2025</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2025, respectively</w:t>
            </w:r>
          </w:p>
        </w:tc>
        <w:tc>
          <w:tcPr>
            <w:tcW w:w="34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0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0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48,843</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46,650</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18,666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25,129</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67,544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71,813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169,265</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160,252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7" w:name="ConsolidatedCondensedStatementsofOperati"/>
      <w:bookmarkStart w:id="158" w:name="_edf5be6c_9dcc_4508_bc16_cf05b2f760e4"/>
      <w:bookmarkStart w:id="159" w:name="_contentSection_527b9424_c234_4276_b66a_"/>
      <w:bookmarkEnd w:id="157"/>
      <w:bookmarkEnd w:id="158"/>
      <w:bookmarkEnd w:id="15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60" w:name="Tc_xgqq7gelV0isWRbAN5WmLg_27_0"/>
      <w:bookmarkStart w:id="161" w:name="Tc_XvUy2ppQ3kK-EjLO4kXDFw_26_0"/>
      <w:bookmarkStart w:id="162" w:name="Tc_8Znh98Jgjk2iXOGkBezp8g_25_0"/>
      <w:bookmarkStart w:id="163" w:name="Tc_5vqnlE7k00GEwDKcrFoG4Q_24_12"/>
      <w:bookmarkStart w:id="164" w:name="Tc_2qi8LWAHYEuQJDeVhtofcw_24_11"/>
      <w:bookmarkStart w:id="165" w:name="Tc_l1W3M4TxJECU7QhaAy1khw_24_8"/>
      <w:bookmarkStart w:id="166" w:name="Tc_otrYi7PNAECu8jeKO5DaXg_24_5"/>
      <w:bookmarkStart w:id="167" w:name="Tc_P1BZpGyYGkC0QjwC8P5EKA_24_2"/>
      <w:bookmarkStart w:id="168" w:name="Tc_IFJN-uejhkWciouAVKTR1A_24_0"/>
      <w:bookmarkStart w:id="169" w:name="Tc_UedjXYkb-UmxmZITVwZRXw_23_12"/>
      <w:bookmarkStart w:id="170" w:name="Tc_U6BGSSfa4kCUbrQ7jR4WNQ_23_11"/>
      <w:bookmarkStart w:id="171" w:name="Tc_8hqep7TsHkqiCJe_VEz9uw_23_8"/>
      <w:bookmarkStart w:id="172" w:name="Tc_P2zBmhChTkObLvFgIpYmlg_23_5"/>
      <w:bookmarkStart w:id="173" w:name="Tc_Ta68a-Q1iU6v7wxIqXNViA_23_2"/>
      <w:bookmarkStart w:id="174" w:name="Tc_XXx-2G6KzUS1ZPMDZnhxmg_23_0"/>
      <w:bookmarkStart w:id="175" w:name="Tc_t_pkb3uUGEG3k9ogkU1rQQ_22_0"/>
      <w:bookmarkStart w:id="176" w:name="Tc_RPQGoEKaKkCRv13ywo77ng_21_11"/>
      <w:bookmarkStart w:id="177" w:name="Tc_DeiHinZhckaXiBMrAVWeMA_21_8"/>
      <w:bookmarkStart w:id="178" w:name="Tc_juw0GxNgh06iILRNl4Km7g_21_5"/>
      <w:bookmarkStart w:id="179" w:name="Tc_CzGmPcp9OUeLXjGdLAYnjA_21_2"/>
      <w:bookmarkStart w:id="180" w:name="Tc_bUQc8NDSA0O8vXGOUJg33Q_21_0"/>
      <w:bookmarkStart w:id="181" w:name="Tc_2KcLJO_k9EG2L_YNrvzMUw_20_0"/>
      <w:bookmarkStart w:id="182" w:name="Tc_P-F1RN3aEE2yoG3QlUKRGw_19_0"/>
      <w:bookmarkStart w:id="183" w:name="Tc_JPQhxhbJEE2JPZX792a7xw_18_0"/>
      <w:bookmarkStart w:id="184" w:name="Tc_slmIwnl_s06Iwdu72Cmdmw_17_0"/>
      <w:bookmarkStart w:id="185" w:name="Tc_Ms9QlBRo6Eq08UcM8jgvbQ_16_0"/>
      <w:bookmarkStart w:id="186" w:name="Tc_Xr1rcK4IPkCFADg4DjT8Vw_15_0"/>
      <w:bookmarkStart w:id="187" w:name="Tc_rduhd6yJq0uJvlJkuLybhQ_14_0"/>
      <w:bookmarkStart w:id="188" w:name="Tc_U30YmFNln0y-IRWK9UvXmA_13_0"/>
      <w:bookmarkStart w:id="189" w:name="Tc_fUyI2gMvkUySojYFTR380A_12_0"/>
      <w:bookmarkStart w:id="190" w:name="Tc_64ZjpUA0VUen5Pi2wY7ojw_11_0"/>
      <w:bookmarkStart w:id="191" w:name="Tc_wH9dAGrWOEqpirVs1RvKiw_10_0"/>
      <w:bookmarkStart w:id="192" w:name="Tc_n7BIYSdzd0-f8muYIzY4XQ_9_0"/>
      <w:bookmarkStart w:id="193" w:name="Tc_ukOUbiQ--EiFmSoCVz1Ieg_8_0"/>
      <w:bookmarkStart w:id="194" w:name="Tc_aJFJRTR-e0OAGqHosIwvLQ_7_0"/>
      <w:bookmarkStart w:id="195" w:name="Tc_qlkvDAV8o0qnqID7XJlzHQ_6_0"/>
      <w:bookmarkStart w:id="196" w:name="Tc_3Yi5r6BZmkeBwChQHtqUtA_5_11"/>
      <w:bookmarkStart w:id="197" w:name="Tc_PhID3shX0kSTz9A9Fex3YA_5_8"/>
      <w:bookmarkStart w:id="198" w:name="Tc_FrTGQiAy1UavPPHdyk27GA_5_5"/>
      <w:bookmarkStart w:id="199" w:name="Tc_p3UPkZHriU2ivLbR0fFQfw_5_2"/>
      <w:bookmarkStart w:id="200" w:name="Tc_5mbF_GyPQEyKKZ-fs5CC7Q_5_0"/>
      <w:bookmarkStart w:id="201" w:name="Tc_WClGIxt4NkGIMbadgHAraw_4_0"/>
      <w:bookmarkStart w:id="202" w:name="Tc_C8N_ZOWsA0yeuHMiv3wMSg_3_11"/>
      <w:bookmarkStart w:id="203" w:name="Tc_R_i3GSM8uUebGtn6CkssYA_3_8"/>
      <w:bookmarkStart w:id="204" w:name="Tc_089rV8BEg0qs5e4pQempCg_3_5"/>
      <w:bookmarkStart w:id="205" w:name="Tc_exDmgZSlRkC9Tu45CK2roQ_3_2"/>
      <w:bookmarkStart w:id="206" w:name="Tc_8ieA8Fl6QkCfCozovXb5Tw_2_8"/>
      <w:bookmarkStart w:id="207" w:name="Tc_231SZB6NvEaMywllScrEFA_2_2"/>
      <w:bookmarkStart w:id="208" w:name="Tc_h8-0QcCFXkS_T87weF35lQ_1_8"/>
      <w:bookmarkStart w:id="209" w:name="Tc_X_xGFX-_PESZtXTLB1udvg_1_2"/>
      <w:bookmarkStart w:id="210" w:name="_6efbabeb_d210_4ec8_9c0e_127462359050"/>
      <w:bookmarkStart w:id="211" w:name="Tc_xgqq7gelV0isWRbAN5WmLg_27_0"/>
      <w:bookmarkStart w:id="212" w:name="Tc_XvUy2ppQ3kK-EjLO4kXDFw_26_0"/>
      <w:bookmarkStart w:id="213" w:name="Tc_8Znh98Jgjk2iXOGkBezp8g_25_0"/>
      <w:bookmarkStart w:id="214" w:name="Tc_5vqnlE7k00GEwDKcrFoG4Q_24_12"/>
      <w:bookmarkStart w:id="215" w:name="Tc_2qi8LWAHYEuQJDeVhtofcw_24_11"/>
      <w:bookmarkStart w:id="216" w:name="Tc_l1W3M4TxJECU7QhaAy1khw_24_8"/>
      <w:bookmarkStart w:id="217" w:name="Tc_otrYi7PNAECu8jeKO5DaXg_24_5"/>
      <w:bookmarkStart w:id="218" w:name="Tc_P1BZpGyYGkC0QjwC8P5EKA_24_2"/>
      <w:bookmarkStart w:id="219" w:name="Tc_IFJN-uejhkWciouAVKTR1A_24_0"/>
      <w:bookmarkStart w:id="220" w:name="Tc_UedjXYkb-UmxmZITVwZRXw_23_12"/>
      <w:bookmarkStart w:id="221" w:name="Tc_U6BGSSfa4kCUbrQ7jR4WNQ_23_11"/>
      <w:bookmarkStart w:id="222" w:name="Tc_8hqep7TsHkqiCJe_VEz9uw_23_8"/>
      <w:bookmarkStart w:id="223" w:name="Tc_P2zBmhChTkObLvFgIpYmlg_23_5"/>
      <w:bookmarkStart w:id="224" w:name="Tc_Ta68a-Q1iU6v7wxIqXNViA_23_2"/>
      <w:bookmarkStart w:id="225" w:name="Tc_XXx-2G6KzUS1ZPMDZnhxmg_23_0"/>
      <w:bookmarkStart w:id="226" w:name="Tc_t_pkb3uUGEG3k9ogkU1rQQ_22_0"/>
      <w:bookmarkStart w:id="227" w:name="Tc_RPQGoEKaKkCRv13ywo77ng_21_11"/>
      <w:bookmarkStart w:id="228" w:name="Tc_DeiHinZhckaXiBMrAVWeMA_21_8"/>
      <w:bookmarkStart w:id="229" w:name="Tc_juw0GxNgh06iILRNl4Km7g_21_5"/>
      <w:bookmarkStart w:id="230" w:name="Tc_CzGmPcp9OUeLXjGdLAYnjA_21_2"/>
      <w:bookmarkStart w:id="231" w:name="Tc_bUQc8NDSA0O8vXGOUJg33Q_21_0"/>
      <w:bookmarkStart w:id="232" w:name="Tc_2KcLJO_k9EG2L_YNrvzMUw_20_0"/>
      <w:bookmarkStart w:id="233" w:name="Tc_P-F1RN3aEE2yoG3QlUKRGw_19_0"/>
      <w:bookmarkStart w:id="234" w:name="Tc_JPQhxhbJEE2JPZX792a7xw_18_0"/>
      <w:bookmarkStart w:id="235" w:name="Tc_slmIwnl_s06Iwdu72Cmdmw_17_0"/>
      <w:bookmarkStart w:id="236" w:name="Tc_Ms9QlBRo6Eq08UcM8jgvbQ_16_0"/>
      <w:bookmarkStart w:id="237" w:name="Tc_Xr1rcK4IPkCFADg4DjT8Vw_15_0"/>
      <w:bookmarkStart w:id="238" w:name="Tc_rduhd6yJq0uJvlJkuLybhQ_14_0"/>
      <w:bookmarkStart w:id="239" w:name="Tc_U30YmFNln0y-IRWK9UvXmA_13_0"/>
      <w:bookmarkStart w:id="240" w:name="Tc_fUyI2gMvkUySojYFTR380A_12_0"/>
      <w:bookmarkStart w:id="241" w:name="Tc_64ZjpUA0VUen5Pi2wY7ojw_11_0"/>
      <w:bookmarkStart w:id="242" w:name="Tc_wH9dAGrWOEqpirVs1RvKiw_10_0"/>
      <w:bookmarkStart w:id="243" w:name="Tc_n7BIYSdzd0-f8muYIzY4XQ_9_0"/>
      <w:bookmarkStart w:id="244" w:name="Tc_ukOUbiQ--EiFmSoCVz1Ieg_8_0"/>
      <w:bookmarkStart w:id="245" w:name="Tc_aJFJRTR-e0OAGqHosIwvLQ_7_0"/>
      <w:bookmarkStart w:id="246" w:name="Tc_qlkvDAV8o0qnqID7XJlzHQ_6_0"/>
      <w:bookmarkStart w:id="247" w:name="Tc_3Yi5r6BZmkeBwChQHtqUtA_5_11"/>
      <w:bookmarkStart w:id="248" w:name="Tc_PhID3shX0kSTz9A9Fex3YA_5_8"/>
      <w:bookmarkStart w:id="249" w:name="Tc_FrTGQiAy1UavPPHdyk27GA_5_5"/>
      <w:bookmarkStart w:id="250" w:name="Tc_p3UPkZHriU2ivLbR0fFQfw_5_2"/>
      <w:bookmarkStart w:id="251" w:name="Tc_5mbF_GyPQEyKKZ-fs5CC7Q_5_0"/>
      <w:bookmarkStart w:id="252" w:name="Tc_WClGIxt4NkGIMbadgHAraw_4_0"/>
      <w:bookmarkStart w:id="253" w:name="Tc_C8N_ZOWsA0yeuHMiv3wMSg_3_11"/>
      <w:bookmarkStart w:id="254" w:name="Tc_R_i3GSM8uUebGtn6CkssYA_3_8"/>
      <w:bookmarkStart w:id="255" w:name="Tc_089rV8BEg0qs5e4pQempCg_3_5"/>
      <w:bookmarkStart w:id="256" w:name="Tc_exDmgZSlRkC9Tu45CK2roQ_3_2"/>
      <w:bookmarkStart w:id="257" w:name="Tc_8ieA8Fl6QkCfCozovXb5Tw_2_8"/>
      <w:bookmarkStart w:id="258" w:name="Tc_231SZB6NvEaMywllScrEFA_2_2"/>
      <w:bookmarkStart w:id="259" w:name="Tc_h8-0QcCFXkS_T87weF35lQ_1_8"/>
      <w:bookmarkStart w:id="260" w:name="Tc_X_xGFX-_PESZtXTLB1udvg_1_2"/>
      <w:bookmarkStart w:id="261" w:name="_6efbabeb_d210_4ec8_9c0e_12746235905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tbl>
      <w:tblPr>
        <w:tblW w:w="8323" w:type="dxa"/>
        <w:jc w:val="left"/>
        <w:tblInd w:w="0" w:type="dxa"/>
        <w:tblLayout w:type="fixed"/>
        <w:tblCellMar>
          <w:top w:w="0" w:type="dxa"/>
          <w:left w:w="0" w:type="dxa"/>
          <w:bottom w:w="0" w:type="dxa"/>
          <w:right w:w="0" w:type="dxa"/>
        </w:tblCellMar>
      </w:tblPr>
      <w:tblGrid>
        <w:gridCol w:w="4231"/>
        <w:gridCol w:w="109"/>
        <w:gridCol w:w="200"/>
        <w:gridCol w:w="644"/>
        <w:gridCol w:w="111"/>
        <w:gridCol w:w="200"/>
        <w:gridCol w:w="644"/>
        <w:gridCol w:w="109"/>
        <w:gridCol w:w="196"/>
        <w:gridCol w:w="631"/>
        <w:gridCol w:w="34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7000" cy="175260"/>
                      <wp:effectExtent l="0" t="0" r="0" b="0"/>
                      <wp:wrapNone/>
                      <wp:docPr id="26" name="Frame25"/>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08940" cy="175260"/>
                      <wp:effectExtent l="0" t="0" r="0" b="0"/>
                      <wp:wrapNone/>
                      <wp:docPr id="27" name="Frame2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0485" cy="175260"/>
                      <wp:effectExtent l="0" t="0" r="0" b="0"/>
                      <wp:wrapNone/>
                      <wp:docPr id="28" name="Frame2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7000" cy="175260"/>
                      <wp:effectExtent l="0" t="0" r="0" b="0"/>
                      <wp:wrapNone/>
                      <wp:docPr id="29" name="Frame2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08940" cy="175260"/>
                      <wp:effectExtent l="0" t="0" r="0" b="0"/>
                      <wp:wrapNone/>
                      <wp:docPr id="30" name="Frame29"/>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2"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00685" cy="175260"/>
                      <wp:effectExtent l="0" t="0" r="0" b="0"/>
                      <wp:wrapNone/>
                      <wp:docPr id="33" name="Frame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8310" cy="175260"/>
                      <wp:effectExtent l="0" t="0" r="0" b="0"/>
                      <wp:wrapNone/>
                      <wp:docPr id="36" name="Frame3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7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before="0" w:after="1"/>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11" w:type="dxa"/>
            <w:tcBorders/>
            <w:vAlign w:val="center"/>
          </w:tcPr>
          <w:p>
            <w:pPr>
              <w:pStyle w:val="TableContents"/>
              <w:bidi w:val="0"/>
              <w:spacing w:before="0" w:after="1"/>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10,696</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26,500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7,441</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2,542</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20,679</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20,275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42,171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11,510</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24,583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5,919</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2,592</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5,181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20,021</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40,922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2,235</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(1,003)</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1,902</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 </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pPr>
            <w:r>
              <w:rPr/>
              <w:t>—</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33,904</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32,828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34,025</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32,994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62" w:name="ConsolidatedCondensedStatementsofCashFlo"/>
      <w:bookmarkStart w:id="263" w:name="_d54352ed_4bcd_47ea_b6be_12ddcd554472"/>
      <w:bookmarkStart w:id="264" w:name="_contentSection_7407ef7c_dd08_416e_9b76_"/>
      <w:bookmarkEnd w:id="262"/>
      <w:bookmarkEnd w:id="263"/>
      <w:bookmarkEnd w:id="264"/>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5" w:name="Tc_n-dv5siax02iuOl4RyK0rQ_40_0"/>
      <w:bookmarkStart w:id="266" w:name="Tc_9sUzBQDYKUuZ4CO072LtnQ_39_5"/>
      <w:bookmarkStart w:id="267" w:name="Tc_e75b4l-A30ew1vkSNYSA9w_39_2"/>
      <w:bookmarkStart w:id="268" w:name="Tc_8gJbDhVL60GXowuB9IsPvQ_39_0"/>
      <w:bookmarkStart w:id="269" w:name="Tc_f194XqZmFEW5QB5corLytw_38_0"/>
      <w:bookmarkStart w:id="270" w:name="Tc_ZRax7dsX4ki-pnS8E_JAhg_37_0"/>
      <w:bookmarkStart w:id="271" w:name="Tc_YcDoBYbmFU61yfsxthSrtQ_35_5"/>
      <w:bookmarkStart w:id="272" w:name="Tc_OOhDvscY4EmBBcu5xfTE4w_35_2"/>
      <w:bookmarkStart w:id="273" w:name="Tc_YYRISw0Y70yxLuMtDh2f1g_35_0"/>
      <w:bookmarkStart w:id="274" w:name="Tc_5HQlNZfq9kumu8Iv3UzMGw_34_0"/>
      <w:bookmarkStart w:id="275" w:name="Tc_IoQbliSe1U2jQbzefyXMuQ_33_0"/>
      <w:bookmarkStart w:id="276" w:name="Tc_ChV8wuXrg0Cjlxv4tiDPOA_32_0"/>
      <w:bookmarkStart w:id="277" w:name="Tc_dldZhLGIGU2ABDMVf-wIbw_31_0"/>
      <w:bookmarkStart w:id="278" w:name="Tc_hmGijc0FVUikNVhpSWLIrQ_30_0"/>
      <w:bookmarkStart w:id="279" w:name="Tc_eEC_4ex1wE-iPehZW3AZBg_29_6"/>
      <w:bookmarkStart w:id="280" w:name="Tc_ZqThNrk9_0q3hhIl4YP2ug_29_0"/>
      <w:bookmarkStart w:id="281" w:name="Tc_VpCPbZCM-ESYIZZPcF3dJw_28_6"/>
      <w:bookmarkStart w:id="282" w:name="Tc_k9U6WMxzTEqayEIgDWzyqw_28_0"/>
      <w:bookmarkStart w:id="283" w:name="Tc_A5Z-F0hLwk206O9F0LOF6g_27_6"/>
      <w:bookmarkStart w:id="284" w:name="Tc_H1ncpD1nFUaBGfh-O8PUEg_27_0"/>
      <w:bookmarkStart w:id="285" w:name="Tc_Fbdpp8yoqEuATR4G2XeNyw_26_0"/>
      <w:bookmarkStart w:id="286" w:name="Tc_Ga0ZdX0wiku_wtH-PaXcbQ_25_0"/>
      <w:bookmarkStart w:id="287" w:name="Tc_mMGtyFgTNUSmed1mcQvr3Q_24_0"/>
      <w:bookmarkStart w:id="288" w:name="Tc_yJfOZBM4RUC1F4OCRS8Mbg_23_0"/>
      <w:bookmarkStart w:id="289" w:name="Tc_xniT9F7Ps0qL67l8OTTiiw_22_0"/>
      <w:bookmarkStart w:id="290" w:name="Tc_FND4pz2LRES2OYqFljyPTw_21_0"/>
      <w:bookmarkStart w:id="291" w:name="Tc__hbdQB48yU2Gr4E_8lSFDQ_20_0"/>
      <w:bookmarkStart w:id="292" w:name="Tc_12Wp2eKfnEWSCY8mNXXDtA_19_0"/>
      <w:bookmarkStart w:id="293" w:name="Tc_57gj-9JhzE-QgpdYhi86iQ_18_0"/>
      <w:bookmarkStart w:id="294" w:name="Tc_1M4U5SPS60W_HP3BXQHMRQ_17_0"/>
      <w:bookmarkStart w:id="295" w:name="Tc__N3JgGDAKkenqw4pzZ4uYA_16_0"/>
      <w:bookmarkStart w:id="296" w:name="Tc_-u01itSqJUKJw4IFP4t6dg_15_0"/>
      <w:bookmarkStart w:id="297" w:name="Tc_q7DX0watRk2CHOBQMSS1Gw_14_0"/>
      <w:bookmarkStart w:id="298" w:name="Tc_C1McoSKsqEqhLF5ShqsBew_13_0"/>
      <w:bookmarkStart w:id="299" w:name="Tc_dkXQ3i5gzk-3QygO8YCe4g_12_6"/>
      <w:bookmarkStart w:id="300" w:name="Tc_Vt3SPLrTDESa_sconoaO8w_12_0"/>
      <w:bookmarkStart w:id="301" w:name="Tc_ypD-9N5wkki2U1li8XQQAw_11_0"/>
      <w:bookmarkStart w:id="302" w:name="Tc_N1xglqlGrESUBNXpq4S7hg_10_0"/>
      <w:bookmarkStart w:id="303" w:name="Tc_ZM8fuBsNFUKpPjETOit_sw_9_0"/>
      <w:bookmarkStart w:id="304" w:name="Tc_GOKSgpBQ6U6Duxfr81sxSQ_8_0"/>
      <w:bookmarkStart w:id="305" w:name="Tc_oA8aVRVGIkuSwRtk1pbsfg_7_0"/>
      <w:bookmarkStart w:id="306" w:name="Tc_dUvEvoAkHUSC18xk6eXs0w_6_0"/>
      <w:bookmarkStart w:id="307" w:name="Tc_6ERANWZlqU2o2U2tt9KkDw_5_0"/>
      <w:bookmarkStart w:id="308" w:name="Tc_b3nLOoCP20GYP6Mm_dZfvA_4_5"/>
      <w:bookmarkStart w:id="309" w:name="Tc_sXvUq7_-Lk6Rh45kCwhp0A_4_2"/>
      <w:bookmarkStart w:id="310" w:name="Tc_rZfQDvzlL0SJxzGsYsaMGA_4_0"/>
      <w:bookmarkStart w:id="311" w:name="Tc_LTCgJ3DRHE6NwH05K1yMEA_3_0"/>
      <w:bookmarkStart w:id="312" w:name="Tc_HzUvSeggZk6O-uF-qCSV_g_2_5"/>
      <w:bookmarkStart w:id="313" w:name="Tc_Aexg5h42VkGnqHJOgfbjJA_2_2"/>
      <w:bookmarkStart w:id="314" w:name="Tc_qwdinhcTT0yBAKNnpjvT5A_1_2"/>
      <w:bookmarkStart w:id="315" w:name="_014cb2cf_3a29_4038_8aee_cb5e23794f77"/>
      <w:bookmarkStart w:id="316" w:name="Tc_n-dv5siax02iuOl4RyK0rQ_40_0"/>
      <w:bookmarkStart w:id="317" w:name="Tc_9sUzBQDYKUuZ4CO072LtnQ_39_5"/>
      <w:bookmarkStart w:id="318" w:name="Tc_e75b4l-A30ew1vkSNYSA9w_39_2"/>
      <w:bookmarkStart w:id="319" w:name="Tc_8gJbDhVL60GXowuB9IsPvQ_39_0"/>
      <w:bookmarkStart w:id="320" w:name="Tc_f194XqZmFEW5QB5corLytw_38_0"/>
      <w:bookmarkStart w:id="321" w:name="Tc_ZRax7dsX4ki-pnS8E_JAhg_37_0"/>
      <w:bookmarkStart w:id="322" w:name="Tc_YcDoBYbmFU61yfsxthSrtQ_35_5"/>
      <w:bookmarkStart w:id="323" w:name="Tc_OOhDvscY4EmBBcu5xfTE4w_35_2"/>
      <w:bookmarkStart w:id="324" w:name="Tc_YYRISw0Y70yxLuMtDh2f1g_35_0"/>
      <w:bookmarkStart w:id="325" w:name="Tc_5HQlNZfq9kumu8Iv3UzMGw_34_0"/>
      <w:bookmarkStart w:id="326" w:name="Tc_IoQbliSe1U2jQbzefyXMuQ_33_0"/>
      <w:bookmarkStart w:id="327" w:name="Tc_ChV8wuXrg0Cjlxv4tiDPOA_32_0"/>
      <w:bookmarkStart w:id="328" w:name="Tc_dldZhLGIGU2ABDMVf-wIbw_31_0"/>
      <w:bookmarkStart w:id="329" w:name="Tc_hmGijc0FVUikNVhpSWLIrQ_30_0"/>
      <w:bookmarkStart w:id="330" w:name="Tc_eEC_4ex1wE-iPehZW3AZBg_29_6"/>
      <w:bookmarkStart w:id="331" w:name="Tc_ZqThNrk9_0q3hhIl4YP2ug_29_0"/>
      <w:bookmarkStart w:id="332" w:name="Tc_VpCPbZCM-ESYIZZPcF3dJw_28_6"/>
      <w:bookmarkStart w:id="333" w:name="Tc_k9U6WMxzTEqayEIgDWzyqw_28_0"/>
      <w:bookmarkStart w:id="334" w:name="Tc_A5Z-F0hLwk206O9F0LOF6g_27_6"/>
      <w:bookmarkStart w:id="335" w:name="Tc_H1ncpD1nFUaBGfh-O8PUEg_27_0"/>
      <w:bookmarkStart w:id="336" w:name="Tc_Fbdpp8yoqEuATR4G2XeNyw_26_0"/>
      <w:bookmarkStart w:id="337" w:name="Tc_Ga0ZdX0wiku_wtH-PaXcbQ_25_0"/>
      <w:bookmarkStart w:id="338" w:name="Tc_mMGtyFgTNUSmed1mcQvr3Q_24_0"/>
      <w:bookmarkStart w:id="339" w:name="Tc_yJfOZBM4RUC1F4OCRS8Mbg_23_0"/>
      <w:bookmarkStart w:id="340" w:name="Tc_xniT9F7Ps0qL67l8OTTiiw_22_0"/>
      <w:bookmarkStart w:id="341" w:name="Tc_FND4pz2LRES2OYqFljyPTw_21_0"/>
      <w:bookmarkStart w:id="342" w:name="Tc__hbdQB48yU2Gr4E_8lSFDQ_20_0"/>
      <w:bookmarkStart w:id="343" w:name="Tc_12Wp2eKfnEWSCY8mNXXDtA_19_0"/>
      <w:bookmarkStart w:id="344" w:name="Tc_57gj-9JhzE-QgpdYhi86iQ_18_0"/>
      <w:bookmarkStart w:id="345" w:name="Tc_1M4U5SPS60W_HP3BXQHMRQ_17_0"/>
      <w:bookmarkStart w:id="346" w:name="Tc__N3JgGDAKkenqw4pzZ4uYA_16_0"/>
      <w:bookmarkStart w:id="347" w:name="Tc_-u01itSqJUKJw4IFP4t6dg_15_0"/>
      <w:bookmarkStart w:id="348" w:name="Tc_q7DX0watRk2CHOBQMSS1Gw_14_0"/>
      <w:bookmarkStart w:id="349" w:name="Tc_C1McoSKsqEqhLF5ShqsBew_13_0"/>
      <w:bookmarkStart w:id="350" w:name="Tc_dkXQ3i5gzk-3QygO8YCe4g_12_6"/>
      <w:bookmarkStart w:id="351" w:name="Tc_Vt3SPLrTDESa_sconoaO8w_12_0"/>
      <w:bookmarkStart w:id="352" w:name="Tc_ypD-9N5wkki2U1li8XQQAw_11_0"/>
      <w:bookmarkStart w:id="353" w:name="Tc_N1xglqlGrESUBNXpq4S7hg_10_0"/>
      <w:bookmarkStart w:id="354" w:name="Tc_ZM8fuBsNFUKpPjETOit_sw_9_0"/>
      <w:bookmarkStart w:id="355" w:name="Tc_GOKSgpBQ6U6Duxfr81sxSQ_8_0"/>
      <w:bookmarkStart w:id="356" w:name="Tc_oA8aVRVGIkuSwRtk1pbsfg_7_0"/>
      <w:bookmarkStart w:id="357" w:name="Tc_dUvEvoAkHUSC18xk6eXs0w_6_0"/>
      <w:bookmarkStart w:id="358" w:name="Tc_6ERANWZlqU2o2U2tt9KkDw_5_0"/>
      <w:bookmarkStart w:id="359" w:name="Tc_b3nLOoCP20GYP6Mm_dZfvA_4_5"/>
      <w:bookmarkStart w:id="360" w:name="Tc_sXvUq7_-Lk6Rh45kCwhp0A_4_2"/>
      <w:bookmarkStart w:id="361" w:name="Tc_rZfQDvzlL0SJxzGsYsaMGA_4_0"/>
      <w:bookmarkStart w:id="362" w:name="Tc_LTCgJ3DRHE6NwH05K1yMEA_3_0"/>
      <w:bookmarkStart w:id="363" w:name="Tc_HzUvSeggZk6O-uF-qCSV_g_2_5"/>
      <w:bookmarkStart w:id="364" w:name="Tc_Aexg5h42VkGnqHJOgfbjJA_2_2"/>
      <w:bookmarkStart w:id="365" w:name="Tc_qwdinhcTT0yBAKNnpjvT5A_1_2"/>
      <w:bookmarkStart w:id="366" w:name="_014cb2cf_3a29_4038_8aee_cb5e23794f77"/>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tbl>
      <w:tblPr>
        <w:tblW w:w="10205" w:type="dxa"/>
        <w:jc w:val="left"/>
        <w:tblInd w:w="0" w:type="dxa"/>
        <w:tblLayout w:type="fixed"/>
        <w:tblCellMar>
          <w:top w:w="0" w:type="dxa"/>
          <w:left w:w="0" w:type="dxa"/>
          <w:bottom w:w="0" w:type="dxa"/>
          <w:right w:w="0" w:type="dxa"/>
        </w:tblCellMar>
      </w:tblPr>
      <w:tblGrid>
        <w:gridCol w:w="7212"/>
        <w:gridCol w:w="346"/>
        <w:gridCol w:w="243"/>
        <w:gridCol w:w="891"/>
        <w:gridCol w:w="430"/>
        <w:gridCol w:w="243"/>
        <w:gridCol w:w="840"/>
      </w:tblGrid>
      <w:tr>
        <w:trPr/>
        <w:tc>
          <w:tcPr>
            <w:tcW w:w="7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579620" cy="175260"/>
                      <wp:effectExtent l="0" t="0" r="0" b="0"/>
                      <wp:wrapNone/>
                      <wp:docPr id="37" name="Frame36"/>
                      <a:graphic xmlns:a="http://schemas.openxmlformats.org/drawingml/2006/main">
                        <a:graphicData uri="http://schemas.microsoft.com/office/word/2010/wordprocessingShape">
                          <wps:wsp>
                            <wps:cNvSpPr txBox="1"/>
                            <wps:spPr>
                              <a:xfrm>
                                <a:off x="0" y="0"/>
                                <a:ext cx="4579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4305" cy="175260"/>
                      <wp:effectExtent l="0" t="0" r="0" b="0"/>
                      <wp:wrapNone/>
                      <wp:docPr id="39" name="Frame3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65785" cy="175260"/>
                      <wp:effectExtent l="0" t="0" r="0" b="0"/>
                      <wp:wrapNone/>
                      <wp:docPr id="40" name="Frame39"/>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73050" cy="175260"/>
                      <wp:effectExtent l="0" t="0" r="0" b="0"/>
                      <wp:wrapNone/>
                      <wp:docPr id="41" name="Frame40"/>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4305" cy="175260"/>
                      <wp:effectExtent l="0" t="0" r="0" b="0"/>
                      <wp:wrapNone/>
                      <wp:docPr id="42" name="Frame4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3400" cy="175260"/>
                      <wp:effectExtent l="0" t="0" r="0" b="0"/>
                      <wp:wrapNone/>
                      <wp:docPr id="43" name="Frame4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2" w:type="dxa"/>
            <w:tcBorders/>
            <w:vAlign w:val="center"/>
          </w:tcPr>
          <w:p>
            <w:pPr>
              <w:pStyle w:val="TableContents"/>
              <w:bidi w:val="0"/>
              <w:spacing w:before="0" w:after="1"/>
              <w:ind w:left="0" w:right="0" w:hanging="0"/>
              <w:jc w:val="left"/>
              <w:rPr>
                <w:color w:val="0563C1"/>
              </w:rPr>
            </w:pPr>
            <w:r>
              <w:rPr>
                <w:color w:val="0563C1"/>
              </w:rPr>
              <w:t>​</w:t>
            </w:r>
          </w:p>
        </w:tc>
        <w:tc>
          <w:tcPr>
            <w:tcW w:w="346" w:type="dxa"/>
            <w:tcBorders/>
            <w:vAlign w:val="center"/>
          </w:tcPr>
          <w:p>
            <w:pPr>
              <w:pStyle w:val="TableContents"/>
              <w:bidi w:val="0"/>
              <w:spacing w:before="0" w:after="1"/>
              <w:ind w:left="0" w:right="0" w:hanging="0"/>
              <w:jc w:val="left"/>
              <w:rPr/>
            </w:pPr>
            <w:r>
              <w:rPr/>
              <w:t>​</w:t>
            </w:r>
          </w:p>
        </w:tc>
        <w:tc>
          <w:tcPr>
            <w:tcW w:w="26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December 31, </w:t>
            </w:r>
          </w:p>
        </w:tc>
      </w:tr>
      <w:tr>
        <w:trPr/>
        <w:tc>
          <w:tcPr>
            <w:tcW w:w="7212"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30" w:type="dxa"/>
            <w:tcBorders/>
            <w:vAlign w:val="center"/>
          </w:tcPr>
          <w:p>
            <w:pPr>
              <w:pStyle w:val="TableContents"/>
              <w:bidi w:val="0"/>
              <w:spacing w:before="0" w:after="1"/>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 </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1,889</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11,880</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11,158</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1,218</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(1,299)</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(2,746)</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liabilities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(1,664)</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3,233</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w:t>
            </w:r>
          </w:p>
        </w:tc>
        <w:tc>
          <w:tcPr>
            <w:tcW w:w="430"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13,230</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15,333</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(16,647)</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(4,656)</w:t>
            </w:r>
          </w:p>
        </w:tc>
        <w:tc>
          <w:tcPr>
            <w:tcW w:w="430"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(3,498)</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(21,303)</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 </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(8,352)</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(8,115)</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20,000</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2,259</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9,328</w:t>
            </w:r>
          </w:p>
        </w:tc>
        <w:tc>
          <w:tcPr>
            <w:tcW w:w="430"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(6,283)</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1,255</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5,221</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c>
          <w:tcPr>
            <w:tcW w:w="430"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3,762</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11,667</w:t>
            </w:r>
          </w:p>
        </w:tc>
      </w:tr>
      <w:tr>
        <w:trPr/>
        <w:tc>
          <w:tcPr>
            <w:tcW w:w="72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7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(1,340)</w:t>
            </w:r>
          </w:p>
        </w:tc>
        <w:tc>
          <w:tcPr>
            <w:tcW w:w="430"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7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(derecognition)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430"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67" w:name="ConsolidatedCondensedStatementsofSHE"/>
      <w:bookmarkStart w:id="368" w:name="_81c264fb_b643_401a_8d50_82609a8db46e"/>
      <w:bookmarkEnd w:id="367"/>
      <w:bookmarkEnd w:id="368"/>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69" w:name="Tc_Ohw_9_p_zkeCgjGaMJd2mA_52_16"/>
      <w:bookmarkStart w:id="370" w:name="Tc_wufa9KC9xUaf-NYDK4LQDA_52_14"/>
      <w:bookmarkStart w:id="371" w:name="Tc_-w0KS9-ETEaNXXXc9XPjSA_52_13"/>
      <w:bookmarkStart w:id="372" w:name="Tc_zK_y_fowS063NiuYrZUQ4w_52_10"/>
      <w:bookmarkStart w:id="373" w:name="Tc_k9asAevF7EmBmeW-VPi3wg_52_7"/>
      <w:bookmarkStart w:id="374" w:name="Tc_ik7qX9ePzkSoG81zIiMB_Q_52_4"/>
      <w:bookmarkStart w:id="375" w:name="Tc_vQmZ-h0v-Eu0E57gnU1ZLg_52_0"/>
      <w:bookmarkStart w:id="376" w:name="Tc_kxovVjZ-EkO20tPCvnlfZA_51_14"/>
      <w:bookmarkStart w:id="377" w:name="Tc_VyLjR-jMJkykRBqpxzCgIg_51_8"/>
      <w:bookmarkStart w:id="378" w:name="Tc_HFa1AIglTUiaCRNWjGcnqA_51_5"/>
      <w:bookmarkStart w:id="379" w:name="Tc_BdQEvAlCj0yA9fI_Z5LMeg_51_2"/>
      <w:bookmarkStart w:id="380" w:name="Tc_zlhZERA6rkGrffD7AJGpXw_51_0"/>
      <w:bookmarkStart w:id="381" w:name="Tc_WTn8YH7jH0iM-Q70MJzFbw_50_14"/>
      <w:bookmarkStart w:id="382" w:name="Tc_ttM2eRTuKUKEh5gGlDiTOQ_50_8"/>
      <w:bookmarkStart w:id="383" w:name="Tc_nwNfmUDFuUODpGCa6-ky7w_50_5"/>
      <w:bookmarkStart w:id="384" w:name="Tc_4DPIncf-s0arD54SoB5EKw_50_2"/>
      <w:bookmarkStart w:id="385" w:name="Tc_iIAlVbMT7kut--VErVTlYg_50_0"/>
      <w:bookmarkStart w:id="386" w:name="Tc_JLowxDoEM0K-jAG43YfkaA_49_14"/>
      <w:bookmarkStart w:id="387" w:name="Tc_16Z5agQErU6BO0sUPk7FgA_49_11"/>
      <w:bookmarkStart w:id="388" w:name="Tc_DwXtv_os70WG48Y69dngjg_49_5"/>
      <w:bookmarkStart w:id="389" w:name="Tc_vE6I_jFK1ku2iIhbXCPJ_A_49_2"/>
      <w:bookmarkStart w:id="390" w:name="Tc_Ao8oWjKQbUibYd7GsxzGLg_49_0"/>
      <w:bookmarkStart w:id="391" w:name="Tc_Q_MQ_E6mWUqlvNPnFfybpw_48_14"/>
      <w:bookmarkStart w:id="392" w:name="Tc_SM_AIGvSckOZoe6zm2-oUA_48_11"/>
      <w:bookmarkStart w:id="393" w:name="Tc_nvNRAYvu3kytKwpnwOvdFQ_48_5"/>
      <w:bookmarkStart w:id="394" w:name="Tc_jq96uNjsH0ef4sshdh0BVg_48_2"/>
      <w:bookmarkStart w:id="395" w:name="Tc_OacdAMk8OU6iUKR8wcdN3w_48_0"/>
      <w:bookmarkStart w:id="396" w:name="Tc_ELdgacn0akKuEhfjOZLKrw_47_14"/>
      <w:bookmarkStart w:id="397" w:name="Tc_yQrvVp_K-0-o_QHrWpVqLw_47_11"/>
      <w:bookmarkStart w:id="398" w:name="Tc_Ao2ALClkREKJqovEGNbLPg_47_5"/>
      <w:bookmarkStart w:id="399" w:name="Tc_URH8kMRCk0G0yb0rHyMHAA_47_0"/>
      <w:bookmarkStart w:id="400" w:name="Tc_HQFpSRxatk6dJsPHwvyuJw_46_17"/>
      <w:bookmarkStart w:id="401" w:name="Tc__zWDKQ1HVUGZlqkEzphm0g_46_11"/>
      <w:bookmarkStart w:id="402" w:name="Tc_xGJiCDU0UkKkEjoi__p0GA_46_5"/>
      <w:bookmarkStart w:id="403" w:name="Tc_L2rcVws4wkyS2FlrOoQ-QA_46_0"/>
      <w:bookmarkStart w:id="404" w:name="Tc_w6YFf9kv4E-duPFDW5dGSQ_45_11"/>
      <w:bookmarkStart w:id="405" w:name="Tc_vNEaF9LOO0mTwWh2yhiS5w_45_8"/>
      <w:bookmarkStart w:id="406" w:name="Tc_NCNGpt5yP0iLjpqi4FT2pg_45_5"/>
      <w:bookmarkStart w:id="407" w:name="Tc_ro8coSNXr06D2lUMxuXMtQ_45_2"/>
      <w:bookmarkStart w:id="408" w:name="Tc_EVgmY3su50iGcZp04XLZaQ_45_0"/>
      <w:bookmarkStart w:id="409" w:name="Tc_7WbDr4v6wEmeX2f0LBoY1w_44_17"/>
      <w:bookmarkStart w:id="410" w:name="Tc_qWqcUC3sG0CqDo42Z0t8-Q_44_14"/>
      <w:bookmarkStart w:id="411" w:name="Tc_LRdlKqbOmUmAixmtOzWVpg_44_11"/>
      <w:bookmarkStart w:id="412" w:name="Tc_rnc-scEu7EOS2vcpXP2OWw_44_8"/>
      <w:bookmarkStart w:id="413" w:name="Tc_ecrC9Gjx-UyzZEGibLJvfA_44_5"/>
      <w:bookmarkStart w:id="414" w:name="Tc_asgU_2icRUa_iWZaoBNpjw_44_0"/>
      <w:bookmarkStart w:id="415" w:name="Tc_GkP1MqP2qU6AkN__yGJxWw_43_17"/>
      <w:bookmarkStart w:id="416" w:name="Tc_TGllUxdtRUm6b-DSg4-jwg_43_14"/>
      <w:bookmarkStart w:id="417" w:name="Tc_dY1Xwg2k7UiOuV7yR4B3jw_43_11"/>
      <w:bookmarkStart w:id="418" w:name="Tc_qGIn_QW_0UiBChIcj4CLeg_43_0"/>
      <w:bookmarkStart w:id="419" w:name="Tc_HMVWgKom-Ey2hKjPCYygkQ_42_16"/>
      <w:bookmarkStart w:id="420" w:name="Tc_I8mTi293NU2ggJyj9uqIOQ_42_14"/>
      <w:bookmarkStart w:id="421" w:name="Tc_KuGnAYUxRkK3TfpRu_rtPg_42_13"/>
      <w:bookmarkStart w:id="422" w:name="Tc__jUpGTz3U0OHtmeBMM3s2Q_42_10"/>
      <w:bookmarkStart w:id="423" w:name="Tc__PfubLNT40e1QJfOJl5XJg_42_7"/>
      <w:bookmarkStart w:id="424" w:name="Tc_0cdrIbtoA0CJEzSQQmTUkA_42_4"/>
      <w:bookmarkStart w:id="425" w:name="Tc_IM33e_C-h0iHIzsZuhQnpQ_42_0"/>
      <w:bookmarkStart w:id="426" w:name="Tc_SnD9hgFE1UWzcBIf3MCQbQ_41_0"/>
      <w:bookmarkStart w:id="427" w:name="Tc_yvxkRdFVREeCgyvmiGXcxg_39_16"/>
      <w:bookmarkStart w:id="428" w:name="Tc_99lYBhverEyMihohOQmkaw_39_14"/>
      <w:bookmarkStart w:id="429" w:name="Tc_RsCTISg9NU-QVPSVaFlCBA_39_13"/>
      <w:bookmarkStart w:id="430" w:name="Tc_cCdtbjEpAk2hLg5zb-e-bw_39_10"/>
      <w:bookmarkStart w:id="431" w:name="Tc_nu45xsnUe06DYuRt0p4cuw_39_7"/>
      <w:bookmarkStart w:id="432" w:name="Tc_MvA5AlTsAEmwROshmV3mog_39_4"/>
      <w:bookmarkStart w:id="433" w:name="Tc_eQCZ3MTklEusag_3GDl0og_39_0"/>
      <w:bookmarkStart w:id="434" w:name="Tc_MVZsfkw4o0iZIpPmD0qBUw_38_14"/>
      <w:bookmarkStart w:id="435" w:name="Tc_vhBypDBHIE6EFqSSYVhMGA_38_8"/>
      <w:bookmarkStart w:id="436" w:name="Tc_ZxK6zzuqHEC-opf6b7xvXA_38_5"/>
      <w:bookmarkStart w:id="437" w:name="Tc_do6X4oOork6UKGKca1yswg_38_2"/>
      <w:bookmarkStart w:id="438" w:name="Tc_jwikZcuMuEqijjtqJ-fkIw_38_0"/>
      <w:bookmarkStart w:id="439" w:name="Tc_VsHdKY4c80iLNlVGSQbFSA_37_14"/>
      <w:bookmarkStart w:id="440" w:name="Tc_Vkv--qI4DkCR6yil7eEByA_37_8"/>
      <w:bookmarkStart w:id="441" w:name="Tc_eTIvjEgAF068_ifEqR1JHQ_37_5"/>
      <w:bookmarkStart w:id="442" w:name="Tc_cLDpd4q8j0mTIFek2X40-g_37_2"/>
      <w:bookmarkStart w:id="443" w:name="Tc_ScBe5f1k5UqoyAhgsfUZsA_37_0"/>
      <w:bookmarkStart w:id="444" w:name="Tc_fIX_Xdqe4k-xItx1snWk3Q_36_14"/>
      <w:bookmarkStart w:id="445" w:name="Tc_9bFZEh1HCkeK1rXX1eeQDA_36_11"/>
      <w:bookmarkStart w:id="446" w:name="Tc_D9HXjagaq0WHsUJv4dj1fg_36_5"/>
      <w:bookmarkStart w:id="447" w:name="Tc_xuNsF1Z3ekmbZV87skmrwg_36_2"/>
      <w:bookmarkStart w:id="448" w:name="Tc_5Fz1bUhUUkOd1Y7mH3g_lQ_36_0"/>
      <w:bookmarkStart w:id="449" w:name="Tc_DQgMKbWDjEes0c_LGc7pdA_35_14"/>
      <w:bookmarkStart w:id="450" w:name="Tc_QhTcXHkJvUaOeTrrPbHong_35_11"/>
      <w:bookmarkStart w:id="451" w:name="Tc_LKB6HenLVE2qkBVbrLynWw_35_5"/>
      <w:bookmarkStart w:id="452" w:name="Tc_YQ7OPL8veEiRFLFgCKrrHA_35_2"/>
      <w:bookmarkStart w:id="453" w:name="Tc_jEJLlLblvUGwUVAyRfLu5A_35_0"/>
      <w:bookmarkStart w:id="454" w:name="Tc_xA5z9yJzVE-hxLasxG4wDQ_34_14"/>
      <w:bookmarkStart w:id="455" w:name="Tc_tO6CGg8U1kywsvPPvJLzXw_34_11"/>
      <w:bookmarkStart w:id="456" w:name="Tc_8ROpgsFr-UqTol87XIVr2w_34_5"/>
      <w:bookmarkStart w:id="457" w:name="Tc_p0u1KV7tJU2yDJLlsf-GuA_34_0"/>
      <w:bookmarkStart w:id="458" w:name="Tc_asQkKziUNUa0cJFlrGN7_g_33_17"/>
      <w:bookmarkStart w:id="459" w:name="Tc_THUIZnf_gkSY5MbLBgpssw_33_11"/>
      <w:bookmarkStart w:id="460" w:name="Tc_r_KtPvGi8EqTpaRgdS3yNw_33_5"/>
      <w:bookmarkStart w:id="461" w:name="Tc_w6QTYf8U-k6aG7AAQEFVQw_33_0"/>
      <w:bookmarkStart w:id="462" w:name="Tc_uJ8OF7H_9k2Eyqt_mQP3CQ_32_11"/>
      <w:bookmarkStart w:id="463" w:name="Tc_lkzk5PCQKEe8YDfahM3-rA_32_8"/>
      <w:bookmarkStart w:id="464" w:name="Tc_ijvuop23nU6canIXOd-Fig_32_5"/>
      <w:bookmarkStart w:id="465" w:name="Tc_Ybg_vkAxZEex6FsLXYNiRQ_32_2"/>
      <w:bookmarkStart w:id="466" w:name="Tc_SVLUJYb7B0eBMn8_jLsThA_32_0"/>
      <w:bookmarkStart w:id="467" w:name="Tc_iF6PAT_NwUKzb2IB1b0yWw_31_17"/>
      <w:bookmarkStart w:id="468" w:name="Tc_7AYdktBDDUuTDteQfkYuQA_31_14"/>
      <w:bookmarkStart w:id="469" w:name="Tc__InfDb9shEeMFBaD4Bw1Sg_31_11"/>
      <w:bookmarkStart w:id="470" w:name="Tc_qfXua9_zRUSusT0WpBXlOw_31_8"/>
      <w:bookmarkStart w:id="471" w:name="Tc_wqzUGeWI2Uy803boCd00Aw_31_5"/>
      <w:bookmarkStart w:id="472" w:name="Tc_L3ytR92HgEe71A_AzfY3uA_31_0"/>
      <w:bookmarkStart w:id="473" w:name="Tc_gypDbiD6oku9A0fvHPnH9Q_30_17"/>
      <w:bookmarkStart w:id="474" w:name="Tc_Dztuuo3QBEOeHS-Fdg1ifA_30_14"/>
      <w:bookmarkStart w:id="475" w:name="Tc_bSRSnf_APkiZ_KMUTWlJGw_30_11"/>
      <w:bookmarkStart w:id="476" w:name="Tc_U0L1Jad_OU6eoVlWu4dIxA_30_8"/>
      <w:bookmarkStart w:id="477" w:name="Tc_UC2am9o-LEOTM0_XyZvQOg_30_5"/>
      <w:bookmarkStart w:id="478" w:name="Tc_2TL9rq48aE6r8WyjQgGJJw_30_0"/>
      <w:bookmarkStart w:id="479" w:name="Tc_0IlHBxtU1k6Zo7Vuh9135g_29_16"/>
      <w:bookmarkStart w:id="480" w:name="Tc_nykYHcgD2UmybiMi4oDgfA_29_14"/>
      <w:bookmarkStart w:id="481" w:name="Tc_IeqvRCS5kEmBXmtRufytQA_29_13"/>
      <w:bookmarkStart w:id="482" w:name="Tc_HsKWvLN_MEGE7Cy9hDW1gQ_29_10"/>
      <w:bookmarkStart w:id="483" w:name="Tc_6kpMgnqNj0OzmTpHjw8R8w_29_7"/>
      <w:bookmarkStart w:id="484" w:name="Tc_WYTvFOo9b0uwjdOhYMXmoQ_29_4"/>
      <w:bookmarkStart w:id="485" w:name="Tc_6h6HMNXbrEGfgjT4M985uQ_29_0"/>
      <w:bookmarkStart w:id="486" w:name="Tc_p0eIglfrQ0muYqFXPeudnQ_28_0"/>
      <w:bookmarkStart w:id="487" w:name="Tc_7WyIrk25jECm7RxsY377hw_26_16"/>
      <w:bookmarkStart w:id="488" w:name="Tc_ayedzMdAMEWuzsiphM7W1Q_26_14"/>
      <w:bookmarkStart w:id="489" w:name="Tc_JeUOz0H1RUS0MZnLSock5g_26_13"/>
      <w:bookmarkStart w:id="490" w:name="Tc_XdUxqvGi40eqcEXI8qvtYQ_26_10"/>
      <w:bookmarkStart w:id="491" w:name="Tc_271q4HFxjE2_TQxPw7oeJA_26_7"/>
      <w:bookmarkStart w:id="492" w:name="Tc_mKxvKBj_ak-TQ-MBIpTsYQ_26_4"/>
      <w:bookmarkStart w:id="493" w:name="Tc_PnLn4p-D5E-48mt7ISpjag_26_0"/>
      <w:bookmarkStart w:id="494" w:name="Tc_Qzf2PChGpkyEkvr9aOhXNw_25_14"/>
      <w:bookmarkStart w:id="495" w:name="Tc_9JfV1Tse30iQ6TF0KMdPSg_25_8"/>
      <w:bookmarkStart w:id="496" w:name="Tc_1C0e0p5E-0ebo1MrbS3AaQ_25_5"/>
      <w:bookmarkStart w:id="497" w:name="Tc_Fi0cdKM0q0yglG39nPvzqg_25_2"/>
      <w:bookmarkStart w:id="498" w:name="Tc_cwkBhGiWOUuExZR7slO5oQ_25_0"/>
      <w:bookmarkStart w:id="499" w:name="Tc_FnSQSxmwj0W5HuOL0XpP2g_24_14"/>
      <w:bookmarkStart w:id="500" w:name="Tc_muGsNttwTku1FIzDyGO4VQ_24_8"/>
      <w:bookmarkStart w:id="501" w:name="Tc_IYsXdjlv_UGADRMs1rN0kA_24_5"/>
      <w:bookmarkStart w:id="502" w:name="Tc_IPACaEi4QESCCkHYpToq7Q_24_2"/>
      <w:bookmarkStart w:id="503" w:name="Tc_5JOKwtHrukSSwIwdoWXcnA_24_0"/>
      <w:bookmarkStart w:id="504" w:name="Tc_F8GlU77agkqR1NH3ProDZw_23_14"/>
      <w:bookmarkStart w:id="505" w:name="Tc_zhaaJsrxt0aQcMYDWKp-7Q_23_11"/>
      <w:bookmarkStart w:id="506" w:name="Tc_ve-tX2tG90GCKwmv_6E8zw_23_5"/>
      <w:bookmarkStart w:id="507" w:name="Tc_15uSfTAPlEOjj6FFVjoFEw_23_2"/>
      <w:bookmarkStart w:id="508" w:name="Tc_rhuEaqnh1ECopx3oGZTHbg_23_0"/>
      <w:bookmarkStart w:id="509" w:name="Tc_lsXSFuceRU-tx5GLT-xMfA_22_14"/>
      <w:bookmarkStart w:id="510" w:name="Tc_cp2Izh72hEO2ZssmanOOOA_22_11"/>
      <w:bookmarkStart w:id="511" w:name="Tc__jj_iLGj_0WqNvc4ZLsJAQ_22_5"/>
      <w:bookmarkStart w:id="512" w:name="Tc_SewFevvXTEeqtBUtCQkZsw_22_2"/>
      <w:bookmarkStart w:id="513" w:name="Tc_C9u-Nj59VEy6ZP_XVBH8pg_22_0"/>
      <w:bookmarkStart w:id="514" w:name="Tc_b4H0YdohCkG1ox81O76A3w_21_14"/>
      <w:bookmarkStart w:id="515" w:name="Tc_r705G1-eEkOBuVRZBIE_Vw_21_11"/>
      <w:bookmarkStart w:id="516" w:name="Tc_4w4oZOJzUkWPyLDHQ-Z3jg_21_5"/>
      <w:bookmarkStart w:id="517" w:name="Tc_oNlBW-JnjkyLZeFOY1mdBA_21_0"/>
      <w:bookmarkStart w:id="518" w:name="Tc_AtlqueR7HkmF8mKGnOj_RA_20_17"/>
      <w:bookmarkStart w:id="519" w:name="Tc_ZV1fDxvUq0KK0uVRW40cDQ_20_11"/>
      <w:bookmarkStart w:id="520" w:name="Tc_hqqa4JJOz0OnsfL3LSEd_w_20_5"/>
      <w:bookmarkStart w:id="521" w:name="Tc_-c7pj1teP0aFeP5-wOXdTg_20_0"/>
      <w:bookmarkStart w:id="522" w:name="Tc_k-dhcb5MA0WY2o0R7i37HQ_19_11"/>
      <w:bookmarkStart w:id="523" w:name="Tc_xwWW08XI8kam1oRnDdMtRA_19_8"/>
      <w:bookmarkStart w:id="524" w:name="Tc_yt2jHVatyUeCnROCjuQ1-Q_19_5"/>
      <w:bookmarkStart w:id="525" w:name="Tc_kLnIKtO2gEi0umUT7f_RQw_19_2"/>
      <w:bookmarkStart w:id="526" w:name="Tc_4pneRgHX1Uy_-1x3gOGTWA_19_0"/>
      <w:bookmarkStart w:id="527" w:name="Tc_Vf3K_hFMu0uNJKOKG3imWA_18_17"/>
      <w:bookmarkStart w:id="528" w:name="Tc_lZUwXbS3-k-k_a3A-fTiVA_18_14"/>
      <w:bookmarkStart w:id="529" w:name="Tc_oUBLaXpVLUuaj-TFDIzwEg_18_11"/>
      <w:bookmarkStart w:id="530" w:name="Tc_PKO5HkMpEk2fxmbliSuNww_18_0"/>
      <w:bookmarkStart w:id="531" w:name="Tc_tAMa2RSf7E-SV4XSZlqSYQ_17_16"/>
      <w:bookmarkStart w:id="532" w:name="Tc_AcW3knE1EUuHGPdyz6Tehg_17_14"/>
      <w:bookmarkStart w:id="533" w:name="Tc_5yAfD5am7Uy0CP1o4JQCZw_17_13"/>
      <w:bookmarkStart w:id="534" w:name="Tc_QVtEMoOUG0Osgat265Kihw_17_10"/>
      <w:bookmarkStart w:id="535" w:name="Tc_ZeRxIzSVUUqig02lDQbKtg_17_7"/>
      <w:bookmarkStart w:id="536" w:name="Tc_M5nnrH0eMk2Z3H4ZXPVwxg_17_4"/>
      <w:bookmarkStart w:id="537" w:name="Tc_KDorlxGicUGwgA00nWBaXQ_17_0"/>
      <w:bookmarkStart w:id="538" w:name="Tc_r-JMoiq22kalFtC9R6obmg_16_0"/>
      <w:bookmarkStart w:id="539" w:name="Tc_zAP-OSgXHES-we8sUYcclQ_14_16"/>
      <w:bookmarkStart w:id="540" w:name="Tc_n-B3di2Io0iOf_EqkGy2Dg_14_14"/>
      <w:bookmarkStart w:id="541" w:name="Tc_8sKItRekVUy3j2jflLGL8A_14_13"/>
      <w:bookmarkStart w:id="542" w:name="Tc_wTTQtafbrEu9Dhuz2fbfOQ_14_10"/>
      <w:bookmarkStart w:id="543" w:name="Tc_bya6gja85kGOGVDEzIcAng_14_7"/>
      <w:bookmarkStart w:id="544" w:name="Tc_ktadiYd2ckKh3gPXewp81g_14_4"/>
      <w:bookmarkStart w:id="545" w:name="Tc_JzRq9kYQVUCFfwMmZYJE8A_14_0"/>
      <w:bookmarkStart w:id="546" w:name="Tc_kUsz1sg5xESsPBtf778KSA_13_14"/>
      <w:bookmarkStart w:id="547" w:name="Tc_mT0Ij0KAYkKMKazZzTl0JA_13_8"/>
      <w:bookmarkStart w:id="548" w:name="Tc_yaBA7dVy4U-QUoIHxnFocw_13_5"/>
      <w:bookmarkStart w:id="549" w:name="Tc_l8SrRNUjj0OPv8K7zc2CBg_13_2"/>
      <w:bookmarkStart w:id="550" w:name="Tc_vwPsKzlNBkqERch4FPc6bQ_13_0"/>
      <w:bookmarkStart w:id="551" w:name="Tc_bRE9xBFE_kmGwke39m_6Lw_12_14"/>
      <w:bookmarkStart w:id="552" w:name="Tc_a5o1zTSYN0mpasRq2ODSFQ_12_8"/>
      <w:bookmarkStart w:id="553" w:name="Tc_9y7YU41I9kWXAKXS025JMg_12_5"/>
      <w:bookmarkStart w:id="554" w:name="Tc_rf5VQX242EeQweEfAzyx-Q_12_2"/>
      <w:bookmarkStart w:id="555" w:name="Tc_Nu3cddt5nUuY9mUFhx5RiQ_12_0"/>
      <w:bookmarkStart w:id="556" w:name="Tc_gynjVc1_nUOWuUxrQtQt5Q_11_14"/>
      <w:bookmarkStart w:id="557" w:name="Tc_PmQicaZ330WJMf6o3cARvA_11_11"/>
      <w:bookmarkStart w:id="558" w:name="Tc_tVFE7QgcQ0K-r2bZ6gEloA_11_5"/>
      <w:bookmarkStart w:id="559" w:name="Tc_6HmwK-cs-U-qFK5ijD_q8w_11_2"/>
      <w:bookmarkStart w:id="560" w:name="Tc_Kf3dpdeCT0GCJttfiy7Pcg_11_0"/>
      <w:bookmarkStart w:id="561" w:name="Tc_eX3arQZ9HkajRJpqSw-UWQ_10_14"/>
      <w:bookmarkStart w:id="562" w:name="Tc_XzurFIw-LkW32BBtFMa2yg_10_11"/>
      <w:bookmarkStart w:id="563" w:name="Tc_ULXo8pmr10aTw3NhAwYLmQ_10_5"/>
      <w:bookmarkStart w:id="564" w:name="Tc_oSfveQMuW0CuSZHGEE7w_g_10_2"/>
      <w:bookmarkStart w:id="565" w:name="Tc_dzmdPHW-jUKm_v9T2VRWzg_10_0"/>
      <w:bookmarkStart w:id="566" w:name="Tc_U5xBrrJwhUqzS8KiTASDlQ_9_14"/>
      <w:bookmarkStart w:id="567" w:name="Tc_r7MwO5fYzUy65rTljTnhvw_9_11"/>
      <w:bookmarkStart w:id="568" w:name="Tc_sLjr4Rs3VE-ILppiEbwHXQ_9_5"/>
      <w:bookmarkStart w:id="569" w:name="Tc_FR1JACmuY06O4yhAvxgdvw_9_0"/>
      <w:bookmarkStart w:id="570" w:name="Tc_JHDKfjR1-ka3QO4PaH7cPg_8_17"/>
      <w:bookmarkStart w:id="571" w:name="Tc_wmZzPbQSZEyRhEAfJ54OTQ_8_11"/>
      <w:bookmarkStart w:id="572" w:name="Tc_pRXe23Rz_ki38Z0bHWAT3A_8_5"/>
      <w:bookmarkStart w:id="573" w:name="Tc_zx2klmToR0GIiELc0vl45A_8_0"/>
      <w:bookmarkStart w:id="574" w:name="Tc_B5jo8u00q0SvND2oGeAbdA_7_11"/>
      <w:bookmarkStart w:id="575" w:name="Tc_OX4f-OSUyk--MLUKSl8F8w_7_8"/>
      <w:bookmarkStart w:id="576" w:name="Tc_4YtErCit7UGPtMI8UAYShg_7_5"/>
      <w:bookmarkStart w:id="577" w:name="Tc_DUPZbv9pmEKBuZ5R8LIMHw_7_2"/>
      <w:bookmarkStart w:id="578" w:name="Tc_C19nL7bmnU2t64_DBtayWQ_7_0"/>
      <w:bookmarkStart w:id="579" w:name="Tc_wDrb83tAP02meUgNiCyDIQ_6_17"/>
      <w:bookmarkStart w:id="580" w:name="Tc_933s9FOnX0KlQXT9NouMPw_6_14"/>
      <w:bookmarkStart w:id="581" w:name="Tc_TzbhH5qrLUWAl9VCp2XV1w_6_11"/>
      <w:bookmarkStart w:id="582" w:name="Tc_sTX9-7ROsEGeaeKkwQTAAQ_6_8"/>
      <w:bookmarkStart w:id="583" w:name="Tc_JexS0XmjnU64F-syS_VxLw_6_5"/>
      <w:bookmarkStart w:id="584" w:name="Tc_N6D5oeBcJ06_kewoH7I3eg_6_0"/>
      <w:bookmarkStart w:id="585" w:name="Tc_RRcPFC1akk-x4CikqJI4hA_5_16"/>
      <w:bookmarkStart w:id="586" w:name="Tc_R56In0LB10Sb-F6Ndkk6nQ_5_14"/>
      <w:bookmarkStart w:id="587" w:name="Tc_qaDyu6IT4EGoZFXE2vuyGQ_5_13"/>
      <w:bookmarkStart w:id="588" w:name="Tc_Xrkpq50qqk2veECJhzSsig_5_10"/>
      <w:bookmarkStart w:id="589" w:name="Tc_1N6H1-NCgkqH8zFUzyFn_Q_5_7"/>
      <w:bookmarkStart w:id="590" w:name="Tc__mCc4LpBX0i0UwCH0FfCrw_5_4"/>
      <w:bookmarkStart w:id="591" w:name="Tc_S5PwfyqRM0C_3EHmKDFOOg_5_0"/>
      <w:bookmarkStart w:id="592" w:name="Tc_I94BdOA7SUmYXbzdetmciw_4_0"/>
      <w:bookmarkStart w:id="593" w:name="Tc_YM1yeG37xkOrxZawcRPVKQ_3_16"/>
      <w:bookmarkStart w:id="594" w:name="Tc_CvoTUMYVDUyWBZujUfEIpA_3_13"/>
      <w:bookmarkStart w:id="595" w:name="Tc_wTMN-FayA0yPj6Z2LtQcFw_3_10"/>
      <w:bookmarkStart w:id="596" w:name="Tc_pyTxjpkVeE6gGiu45HWCIA_3_7"/>
      <w:bookmarkStart w:id="597" w:name="Tc_EBnOGz5xLkaGk22JfTm_hQ_3_4"/>
      <w:bookmarkStart w:id="598" w:name="Tc_tanrhzRYaUS1XxIo8HMriA_3_2"/>
      <w:bookmarkStart w:id="599" w:name="Tc_KocZwWq7tkGcx2lSr5xX8Q_2_16"/>
      <w:bookmarkStart w:id="600" w:name="Tc_2k03xAccn0GIsk-ce8FiUQ_2_13"/>
      <w:bookmarkStart w:id="601" w:name="Tc_oPNudaoghkWFLLhPGTWAjQ_2_10"/>
      <w:bookmarkStart w:id="602" w:name="Tc_uLZhsoy5F0S7qBIJebDn1w_2_7"/>
      <w:bookmarkStart w:id="603" w:name="Tc_4ax3mQOqTEiKGZT53UERvQ_2_2"/>
      <w:bookmarkStart w:id="604" w:name="Tc_JaZvJdYCTUarvsVDfP8Epw_1_16"/>
      <w:bookmarkStart w:id="605" w:name="Tc_bS8UH5l23kiyu0Y-OoUIFA_1_7"/>
      <w:bookmarkStart w:id="606" w:name="_06ea1a7d_4c1b_4643_b930_3fb3fce994fd"/>
      <w:bookmarkStart w:id="607" w:name="Tc_Ohw_9_p_zkeCgjGaMJd2mA_52_16"/>
      <w:bookmarkStart w:id="608" w:name="Tc_wufa9KC9xUaf-NYDK4LQDA_52_14"/>
      <w:bookmarkStart w:id="609" w:name="Tc_-w0KS9-ETEaNXXXc9XPjSA_52_13"/>
      <w:bookmarkStart w:id="610" w:name="Tc_zK_y_fowS063NiuYrZUQ4w_52_10"/>
      <w:bookmarkStart w:id="611" w:name="Tc_k9asAevF7EmBmeW-VPi3wg_52_7"/>
      <w:bookmarkStart w:id="612" w:name="Tc_ik7qX9ePzkSoG81zIiMB_Q_52_4"/>
      <w:bookmarkStart w:id="613" w:name="Tc_vQmZ-h0v-Eu0E57gnU1ZLg_52_0"/>
      <w:bookmarkStart w:id="614" w:name="Tc_kxovVjZ-EkO20tPCvnlfZA_51_14"/>
      <w:bookmarkStart w:id="615" w:name="Tc_VyLjR-jMJkykRBqpxzCgIg_51_8"/>
      <w:bookmarkStart w:id="616" w:name="Tc_HFa1AIglTUiaCRNWjGcnqA_51_5"/>
      <w:bookmarkStart w:id="617" w:name="Tc_BdQEvAlCj0yA9fI_Z5LMeg_51_2"/>
      <w:bookmarkStart w:id="618" w:name="Tc_zlhZERA6rkGrffD7AJGpXw_51_0"/>
      <w:bookmarkStart w:id="619" w:name="Tc_WTn8YH7jH0iM-Q70MJzFbw_50_14"/>
      <w:bookmarkStart w:id="620" w:name="Tc_ttM2eRTuKUKEh5gGlDiTOQ_50_8"/>
      <w:bookmarkStart w:id="621" w:name="Tc_nwNfmUDFuUODpGCa6-ky7w_50_5"/>
      <w:bookmarkStart w:id="622" w:name="Tc_4DPIncf-s0arD54SoB5EKw_50_2"/>
      <w:bookmarkStart w:id="623" w:name="Tc_iIAlVbMT7kut--VErVTlYg_50_0"/>
      <w:bookmarkStart w:id="624" w:name="Tc_JLowxDoEM0K-jAG43YfkaA_49_14"/>
      <w:bookmarkStart w:id="625" w:name="Tc_16Z5agQErU6BO0sUPk7FgA_49_11"/>
      <w:bookmarkStart w:id="626" w:name="Tc_DwXtv_os70WG48Y69dngjg_49_5"/>
      <w:bookmarkStart w:id="627" w:name="Tc_vE6I_jFK1ku2iIhbXCPJ_A_49_2"/>
      <w:bookmarkStart w:id="628" w:name="Tc_Ao8oWjKQbUibYd7GsxzGLg_49_0"/>
      <w:bookmarkStart w:id="629" w:name="Tc_Q_MQ_E6mWUqlvNPnFfybpw_48_14"/>
      <w:bookmarkStart w:id="630" w:name="Tc_SM_AIGvSckOZoe6zm2-oUA_48_11"/>
      <w:bookmarkStart w:id="631" w:name="Tc_nvNRAYvu3kytKwpnwOvdFQ_48_5"/>
      <w:bookmarkStart w:id="632" w:name="Tc_jq96uNjsH0ef4sshdh0BVg_48_2"/>
      <w:bookmarkStart w:id="633" w:name="Tc_OacdAMk8OU6iUKR8wcdN3w_48_0"/>
      <w:bookmarkStart w:id="634" w:name="Tc_ELdgacn0akKuEhfjOZLKrw_47_14"/>
      <w:bookmarkStart w:id="635" w:name="Tc_yQrvVp_K-0-o_QHrWpVqLw_47_11"/>
      <w:bookmarkStart w:id="636" w:name="Tc_Ao2ALClkREKJqovEGNbLPg_47_5"/>
      <w:bookmarkStart w:id="637" w:name="Tc_URH8kMRCk0G0yb0rHyMHAA_47_0"/>
      <w:bookmarkStart w:id="638" w:name="Tc_HQFpSRxatk6dJsPHwvyuJw_46_17"/>
      <w:bookmarkStart w:id="639" w:name="Tc__zWDKQ1HVUGZlqkEzphm0g_46_11"/>
      <w:bookmarkStart w:id="640" w:name="Tc_xGJiCDU0UkKkEjoi__p0GA_46_5"/>
      <w:bookmarkStart w:id="641" w:name="Tc_L2rcVws4wkyS2FlrOoQ-QA_46_0"/>
      <w:bookmarkStart w:id="642" w:name="Tc_w6YFf9kv4E-duPFDW5dGSQ_45_11"/>
      <w:bookmarkStart w:id="643" w:name="Tc_vNEaF9LOO0mTwWh2yhiS5w_45_8"/>
      <w:bookmarkStart w:id="644" w:name="Tc_NCNGpt5yP0iLjpqi4FT2pg_45_5"/>
      <w:bookmarkStart w:id="645" w:name="Tc_ro8coSNXr06D2lUMxuXMtQ_45_2"/>
      <w:bookmarkStart w:id="646" w:name="Tc_EVgmY3su50iGcZp04XLZaQ_45_0"/>
      <w:bookmarkStart w:id="647" w:name="Tc_7WbDr4v6wEmeX2f0LBoY1w_44_17"/>
      <w:bookmarkStart w:id="648" w:name="Tc_qWqcUC3sG0CqDo42Z0t8-Q_44_14"/>
      <w:bookmarkStart w:id="649" w:name="Tc_LRdlKqbOmUmAixmtOzWVpg_44_11"/>
      <w:bookmarkStart w:id="650" w:name="Tc_rnc-scEu7EOS2vcpXP2OWw_44_8"/>
      <w:bookmarkStart w:id="651" w:name="Tc_ecrC9Gjx-UyzZEGibLJvfA_44_5"/>
      <w:bookmarkStart w:id="652" w:name="Tc_asgU_2icRUa_iWZaoBNpjw_44_0"/>
      <w:bookmarkStart w:id="653" w:name="Tc_GkP1MqP2qU6AkN__yGJxWw_43_17"/>
      <w:bookmarkStart w:id="654" w:name="Tc_TGllUxdtRUm6b-DSg4-jwg_43_14"/>
      <w:bookmarkStart w:id="655" w:name="Tc_dY1Xwg2k7UiOuV7yR4B3jw_43_11"/>
      <w:bookmarkStart w:id="656" w:name="Tc_qGIn_QW_0UiBChIcj4CLeg_43_0"/>
      <w:bookmarkStart w:id="657" w:name="Tc_HMVWgKom-Ey2hKjPCYygkQ_42_16"/>
      <w:bookmarkStart w:id="658" w:name="Tc_I8mTi293NU2ggJyj9uqIOQ_42_14"/>
      <w:bookmarkStart w:id="659" w:name="Tc_KuGnAYUxRkK3TfpRu_rtPg_42_13"/>
      <w:bookmarkStart w:id="660" w:name="Tc__jUpGTz3U0OHtmeBMM3s2Q_42_10"/>
      <w:bookmarkStart w:id="661" w:name="Tc__PfubLNT40e1QJfOJl5XJg_42_7"/>
      <w:bookmarkStart w:id="662" w:name="Tc_0cdrIbtoA0CJEzSQQmTUkA_42_4"/>
      <w:bookmarkStart w:id="663" w:name="Tc_IM33e_C-h0iHIzsZuhQnpQ_42_0"/>
      <w:bookmarkStart w:id="664" w:name="Tc_SnD9hgFE1UWzcBIf3MCQbQ_41_0"/>
      <w:bookmarkStart w:id="665" w:name="Tc_yvxkRdFVREeCgyvmiGXcxg_39_16"/>
      <w:bookmarkStart w:id="666" w:name="Tc_99lYBhverEyMihohOQmkaw_39_14"/>
      <w:bookmarkStart w:id="667" w:name="Tc_RsCTISg9NU-QVPSVaFlCBA_39_13"/>
      <w:bookmarkStart w:id="668" w:name="Tc_cCdtbjEpAk2hLg5zb-e-bw_39_10"/>
      <w:bookmarkStart w:id="669" w:name="Tc_nu45xsnUe06DYuRt0p4cuw_39_7"/>
      <w:bookmarkStart w:id="670" w:name="Tc_MvA5AlTsAEmwROshmV3mog_39_4"/>
      <w:bookmarkStart w:id="671" w:name="Tc_eQCZ3MTklEusag_3GDl0og_39_0"/>
      <w:bookmarkStart w:id="672" w:name="Tc_MVZsfkw4o0iZIpPmD0qBUw_38_14"/>
      <w:bookmarkStart w:id="673" w:name="Tc_vhBypDBHIE6EFqSSYVhMGA_38_8"/>
      <w:bookmarkStart w:id="674" w:name="Tc_ZxK6zzuqHEC-opf6b7xvXA_38_5"/>
      <w:bookmarkStart w:id="675" w:name="Tc_do6X4oOork6UKGKca1yswg_38_2"/>
      <w:bookmarkStart w:id="676" w:name="Tc_jwikZcuMuEqijjtqJ-fkIw_38_0"/>
      <w:bookmarkStart w:id="677" w:name="Tc_VsHdKY4c80iLNlVGSQbFSA_37_14"/>
      <w:bookmarkStart w:id="678" w:name="Tc_Vkv--qI4DkCR6yil7eEByA_37_8"/>
      <w:bookmarkStart w:id="679" w:name="Tc_eTIvjEgAF068_ifEqR1JHQ_37_5"/>
      <w:bookmarkStart w:id="680" w:name="Tc_cLDpd4q8j0mTIFek2X40-g_37_2"/>
      <w:bookmarkStart w:id="681" w:name="Tc_ScBe5f1k5UqoyAhgsfUZsA_37_0"/>
      <w:bookmarkStart w:id="682" w:name="Tc_fIX_Xdqe4k-xItx1snWk3Q_36_14"/>
      <w:bookmarkStart w:id="683" w:name="Tc_9bFZEh1HCkeK1rXX1eeQDA_36_11"/>
      <w:bookmarkStart w:id="684" w:name="Tc_D9HXjagaq0WHsUJv4dj1fg_36_5"/>
      <w:bookmarkStart w:id="685" w:name="Tc_xuNsF1Z3ekmbZV87skmrwg_36_2"/>
      <w:bookmarkStart w:id="686" w:name="Tc_5Fz1bUhUUkOd1Y7mH3g_lQ_36_0"/>
      <w:bookmarkStart w:id="687" w:name="Tc_DQgMKbWDjEes0c_LGc7pdA_35_14"/>
      <w:bookmarkStart w:id="688" w:name="Tc_QhTcXHkJvUaOeTrrPbHong_35_11"/>
      <w:bookmarkStart w:id="689" w:name="Tc_LKB6HenLVE2qkBVbrLynWw_35_5"/>
      <w:bookmarkStart w:id="690" w:name="Tc_YQ7OPL8veEiRFLFgCKrrHA_35_2"/>
      <w:bookmarkStart w:id="691" w:name="Tc_jEJLlLblvUGwUVAyRfLu5A_35_0"/>
      <w:bookmarkStart w:id="692" w:name="Tc_xA5z9yJzVE-hxLasxG4wDQ_34_14"/>
      <w:bookmarkStart w:id="693" w:name="Tc_tO6CGg8U1kywsvPPvJLzXw_34_11"/>
      <w:bookmarkStart w:id="694" w:name="Tc_8ROpgsFr-UqTol87XIVr2w_34_5"/>
      <w:bookmarkStart w:id="695" w:name="Tc_p0u1KV7tJU2yDJLlsf-GuA_34_0"/>
      <w:bookmarkStart w:id="696" w:name="Tc_asQkKziUNUa0cJFlrGN7_g_33_17"/>
      <w:bookmarkStart w:id="697" w:name="Tc_THUIZnf_gkSY5MbLBgpssw_33_11"/>
      <w:bookmarkStart w:id="698" w:name="Tc_r_KtPvGi8EqTpaRgdS3yNw_33_5"/>
      <w:bookmarkStart w:id="699" w:name="Tc_w6QTYf8U-k6aG7AAQEFVQw_33_0"/>
      <w:bookmarkStart w:id="700" w:name="Tc_uJ8OF7H_9k2Eyqt_mQP3CQ_32_11"/>
      <w:bookmarkStart w:id="701" w:name="Tc_lkzk5PCQKEe8YDfahM3-rA_32_8"/>
      <w:bookmarkStart w:id="702" w:name="Tc_ijvuop23nU6canIXOd-Fig_32_5"/>
      <w:bookmarkStart w:id="703" w:name="Tc_Ybg_vkAxZEex6FsLXYNiRQ_32_2"/>
      <w:bookmarkStart w:id="704" w:name="Tc_SVLUJYb7B0eBMn8_jLsThA_32_0"/>
      <w:bookmarkStart w:id="705" w:name="Tc_iF6PAT_NwUKzb2IB1b0yWw_31_17"/>
      <w:bookmarkStart w:id="706" w:name="Tc_7AYdktBDDUuTDteQfkYuQA_31_14"/>
      <w:bookmarkStart w:id="707" w:name="Tc__InfDb9shEeMFBaD4Bw1Sg_31_11"/>
      <w:bookmarkStart w:id="708" w:name="Tc_qfXua9_zRUSusT0WpBXlOw_31_8"/>
      <w:bookmarkStart w:id="709" w:name="Tc_wqzUGeWI2Uy803boCd00Aw_31_5"/>
      <w:bookmarkStart w:id="710" w:name="Tc_L3ytR92HgEe71A_AzfY3uA_31_0"/>
      <w:bookmarkStart w:id="711" w:name="Tc_gypDbiD6oku9A0fvHPnH9Q_30_17"/>
      <w:bookmarkStart w:id="712" w:name="Tc_Dztuuo3QBEOeHS-Fdg1ifA_30_14"/>
      <w:bookmarkStart w:id="713" w:name="Tc_bSRSnf_APkiZ_KMUTWlJGw_30_11"/>
      <w:bookmarkStart w:id="714" w:name="Tc_U0L1Jad_OU6eoVlWu4dIxA_30_8"/>
      <w:bookmarkStart w:id="715" w:name="Tc_UC2am9o-LEOTM0_XyZvQOg_30_5"/>
      <w:bookmarkStart w:id="716" w:name="Tc_2TL9rq48aE6r8WyjQgGJJw_30_0"/>
      <w:bookmarkStart w:id="717" w:name="Tc_0IlHBxtU1k6Zo7Vuh9135g_29_16"/>
      <w:bookmarkStart w:id="718" w:name="Tc_nykYHcgD2UmybiMi4oDgfA_29_14"/>
      <w:bookmarkStart w:id="719" w:name="Tc_IeqvRCS5kEmBXmtRufytQA_29_13"/>
      <w:bookmarkStart w:id="720" w:name="Tc_HsKWvLN_MEGE7Cy9hDW1gQ_29_10"/>
      <w:bookmarkStart w:id="721" w:name="Tc_6kpMgnqNj0OzmTpHjw8R8w_29_7"/>
      <w:bookmarkStart w:id="722" w:name="Tc_WYTvFOo9b0uwjdOhYMXmoQ_29_4"/>
      <w:bookmarkStart w:id="723" w:name="Tc_6h6HMNXbrEGfgjT4M985uQ_29_0"/>
      <w:bookmarkStart w:id="724" w:name="Tc_p0eIglfrQ0muYqFXPeudnQ_28_0"/>
      <w:bookmarkStart w:id="725" w:name="Tc_7WyIrk25jECm7RxsY377hw_26_16"/>
      <w:bookmarkStart w:id="726" w:name="Tc_ayedzMdAMEWuzsiphM7W1Q_26_14"/>
      <w:bookmarkStart w:id="727" w:name="Tc_JeUOz0H1RUS0MZnLSock5g_26_13"/>
      <w:bookmarkStart w:id="728" w:name="Tc_XdUxqvGi40eqcEXI8qvtYQ_26_10"/>
      <w:bookmarkStart w:id="729" w:name="Tc_271q4HFxjE2_TQxPw7oeJA_26_7"/>
      <w:bookmarkStart w:id="730" w:name="Tc_mKxvKBj_ak-TQ-MBIpTsYQ_26_4"/>
      <w:bookmarkStart w:id="731" w:name="Tc_PnLn4p-D5E-48mt7ISpjag_26_0"/>
      <w:bookmarkStart w:id="732" w:name="Tc_Qzf2PChGpkyEkvr9aOhXNw_25_14"/>
      <w:bookmarkStart w:id="733" w:name="Tc_9JfV1Tse30iQ6TF0KMdPSg_25_8"/>
      <w:bookmarkStart w:id="734" w:name="Tc_1C0e0p5E-0ebo1MrbS3AaQ_25_5"/>
      <w:bookmarkStart w:id="735" w:name="Tc_Fi0cdKM0q0yglG39nPvzqg_25_2"/>
      <w:bookmarkStart w:id="736" w:name="Tc_cwkBhGiWOUuExZR7slO5oQ_25_0"/>
      <w:bookmarkStart w:id="737" w:name="Tc_FnSQSxmwj0W5HuOL0XpP2g_24_14"/>
      <w:bookmarkStart w:id="738" w:name="Tc_muGsNttwTku1FIzDyGO4VQ_24_8"/>
      <w:bookmarkStart w:id="739" w:name="Tc_IYsXdjlv_UGADRMs1rN0kA_24_5"/>
      <w:bookmarkStart w:id="740" w:name="Tc_IPACaEi4QESCCkHYpToq7Q_24_2"/>
      <w:bookmarkStart w:id="741" w:name="Tc_5JOKwtHrukSSwIwdoWXcnA_24_0"/>
      <w:bookmarkStart w:id="742" w:name="Tc_F8GlU77agkqR1NH3ProDZw_23_14"/>
      <w:bookmarkStart w:id="743" w:name="Tc_zhaaJsrxt0aQcMYDWKp-7Q_23_11"/>
      <w:bookmarkStart w:id="744" w:name="Tc_ve-tX2tG90GCKwmv_6E8zw_23_5"/>
      <w:bookmarkStart w:id="745" w:name="Tc_15uSfTAPlEOjj6FFVjoFEw_23_2"/>
      <w:bookmarkStart w:id="746" w:name="Tc_rhuEaqnh1ECopx3oGZTHbg_23_0"/>
      <w:bookmarkStart w:id="747" w:name="Tc_lsXSFuceRU-tx5GLT-xMfA_22_14"/>
      <w:bookmarkStart w:id="748" w:name="Tc_cp2Izh72hEO2ZssmanOOOA_22_11"/>
      <w:bookmarkStart w:id="749" w:name="Tc__jj_iLGj_0WqNvc4ZLsJAQ_22_5"/>
      <w:bookmarkStart w:id="750" w:name="Tc_SewFevvXTEeqtBUtCQkZsw_22_2"/>
      <w:bookmarkStart w:id="751" w:name="Tc_C9u-Nj59VEy6ZP_XVBH8pg_22_0"/>
      <w:bookmarkStart w:id="752" w:name="Tc_b4H0YdohCkG1ox81O76A3w_21_14"/>
      <w:bookmarkStart w:id="753" w:name="Tc_r705G1-eEkOBuVRZBIE_Vw_21_11"/>
      <w:bookmarkStart w:id="754" w:name="Tc_4w4oZOJzUkWPyLDHQ-Z3jg_21_5"/>
      <w:bookmarkStart w:id="755" w:name="Tc_oNlBW-JnjkyLZeFOY1mdBA_21_0"/>
      <w:bookmarkStart w:id="756" w:name="Tc_AtlqueR7HkmF8mKGnOj_RA_20_17"/>
      <w:bookmarkStart w:id="757" w:name="Tc_ZV1fDxvUq0KK0uVRW40cDQ_20_11"/>
      <w:bookmarkStart w:id="758" w:name="Tc_hqqa4JJOz0OnsfL3LSEd_w_20_5"/>
      <w:bookmarkStart w:id="759" w:name="Tc_-c7pj1teP0aFeP5-wOXdTg_20_0"/>
      <w:bookmarkStart w:id="760" w:name="Tc_k-dhcb5MA0WY2o0R7i37HQ_19_11"/>
      <w:bookmarkStart w:id="761" w:name="Tc_xwWW08XI8kam1oRnDdMtRA_19_8"/>
      <w:bookmarkStart w:id="762" w:name="Tc_yt2jHVatyUeCnROCjuQ1-Q_19_5"/>
      <w:bookmarkStart w:id="763" w:name="Tc_kLnIKtO2gEi0umUT7f_RQw_19_2"/>
      <w:bookmarkStart w:id="764" w:name="Tc_4pneRgHX1Uy_-1x3gOGTWA_19_0"/>
      <w:bookmarkStart w:id="765" w:name="Tc_Vf3K_hFMu0uNJKOKG3imWA_18_17"/>
      <w:bookmarkStart w:id="766" w:name="Tc_lZUwXbS3-k-k_a3A-fTiVA_18_14"/>
      <w:bookmarkStart w:id="767" w:name="Tc_oUBLaXpVLUuaj-TFDIzwEg_18_11"/>
      <w:bookmarkStart w:id="768" w:name="Tc_PKO5HkMpEk2fxmbliSuNww_18_0"/>
      <w:bookmarkStart w:id="769" w:name="Tc_tAMa2RSf7E-SV4XSZlqSYQ_17_16"/>
      <w:bookmarkStart w:id="770" w:name="Tc_AcW3knE1EUuHGPdyz6Tehg_17_14"/>
      <w:bookmarkStart w:id="771" w:name="Tc_5yAfD5am7Uy0CP1o4JQCZw_17_13"/>
      <w:bookmarkStart w:id="772" w:name="Tc_QVtEMoOUG0Osgat265Kihw_17_10"/>
      <w:bookmarkStart w:id="773" w:name="Tc_ZeRxIzSVUUqig02lDQbKtg_17_7"/>
      <w:bookmarkStart w:id="774" w:name="Tc_M5nnrH0eMk2Z3H4ZXPVwxg_17_4"/>
      <w:bookmarkStart w:id="775" w:name="Tc_KDorlxGicUGwgA00nWBaXQ_17_0"/>
      <w:bookmarkStart w:id="776" w:name="Tc_r-JMoiq22kalFtC9R6obmg_16_0"/>
      <w:bookmarkStart w:id="777" w:name="Tc_zAP-OSgXHES-we8sUYcclQ_14_16"/>
      <w:bookmarkStart w:id="778" w:name="Tc_n-B3di2Io0iOf_EqkGy2Dg_14_14"/>
      <w:bookmarkStart w:id="779" w:name="Tc_8sKItRekVUy3j2jflLGL8A_14_13"/>
      <w:bookmarkStart w:id="780" w:name="Tc_wTTQtafbrEu9Dhuz2fbfOQ_14_10"/>
      <w:bookmarkStart w:id="781" w:name="Tc_bya6gja85kGOGVDEzIcAng_14_7"/>
      <w:bookmarkStart w:id="782" w:name="Tc_ktadiYd2ckKh3gPXewp81g_14_4"/>
      <w:bookmarkStart w:id="783" w:name="Tc_JzRq9kYQVUCFfwMmZYJE8A_14_0"/>
      <w:bookmarkStart w:id="784" w:name="Tc_kUsz1sg5xESsPBtf778KSA_13_14"/>
      <w:bookmarkStart w:id="785" w:name="Tc_mT0Ij0KAYkKMKazZzTl0JA_13_8"/>
      <w:bookmarkStart w:id="786" w:name="Tc_yaBA7dVy4U-QUoIHxnFocw_13_5"/>
      <w:bookmarkStart w:id="787" w:name="Tc_l8SrRNUjj0OPv8K7zc2CBg_13_2"/>
      <w:bookmarkStart w:id="788" w:name="Tc_vwPsKzlNBkqERch4FPc6bQ_13_0"/>
      <w:bookmarkStart w:id="789" w:name="Tc_bRE9xBFE_kmGwke39m_6Lw_12_14"/>
      <w:bookmarkStart w:id="790" w:name="Tc_a5o1zTSYN0mpasRq2ODSFQ_12_8"/>
      <w:bookmarkStart w:id="791" w:name="Tc_9y7YU41I9kWXAKXS025JMg_12_5"/>
      <w:bookmarkStart w:id="792" w:name="Tc_rf5VQX242EeQweEfAzyx-Q_12_2"/>
      <w:bookmarkStart w:id="793" w:name="Tc_Nu3cddt5nUuY9mUFhx5RiQ_12_0"/>
      <w:bookmarkStart w:id="794" w:name="Tc_gynjVc1_nUOWuUxrQtQt5Q_11_14"/>
      <w:bookmarkStart w:id="795" w:name="Tc_PmQicaZ330WJMf6o3cARvA_11_11"/>
      <w:bookmarkStart w:id="796" w:name="Tc_tVFE7QgcQ0K-r2bZ6gEloA_11_5"/>
      <w:bookmarkStart w:id="797" w:name="Tc_6HmwK-cs-U-qFK5ijD_q8w_11_2"/>
      <w:bookmarkStart w:id="798" w:name="Tc_Kf3dpdeCT0GCJttfiy7Pcg_11_0"/>
      <w:bookmarkStart w:id="799" w:name="Tc_eX3arQZ9HkajRJpqSw-UWQ_10_14"/>
      <w:bookmarkStart w:id="800" w:name="Tc_XzurFIw-LkW32BBtFMa2yg_10_11"/>
      <w:bookmarkStart w:id="801" w:name="Tc_ULXo8pmr10aTw3NhAwYLmQ_10_5"/>
      <w:bookmarkStart w:id="802" w:name="Tc_oSfveQMuW0CuSZHGEE7w_g_10_2"/>
      <w:bookmarkStart w:id="803" w:name="Tc_dzmdPHW-jUKm_v9T2VRWzg_10_0"/>
      <w:bookmarkStart w:id="804" w:name="Tc_U5xBrrJwhUqzS8KiTASDlQ_9_14"/>
      <w:bookmarkStart w:id="805" w:name="Tc_r7MwO5fYzUy65rTljTnhvw_9_11"/>
      <w:bookmarkStart w:id="806" w:name="Tc_sLjr4Rs3VE-ILppiEbwHXQ_9_5"/>
      <w:bookmarkStart w:id="807" w:name="Tc_FR1JACmuY06O4yhAvxgdvw_9_0"/>
      <w:bookmarkStart w:id="808" w:name="Tc_JHDKfjR1-ka3QO4PaH7cPg_8_17"/>
      <w:bookmarkStart w:id="809" w:name="Tc_wmZzPbQSZEyRhEAfJ54OTQ_8_11"/>
      <w:bookmarkStart w:id="810" w:name="Tc_pRXe23Rz_ki38Z0bHWAT3A_8_5"/>
      <w:bookmarkStart w:id="811" w:name="Tc_zx2klmToR0GIiELc0vl45A_8_0"/>
      <w:bookmarkStart w:id="812" w:name="Tc_B5jo8u00q0SvND2oGeAbdA_7_11"/>
      <w:bookmarkStart w:id="813" w:name="Tc_OX4f-OSUyk--MLUKSl8F8w_7_8"/>
      <w:bookmarkStart w:id="814" w:name="Tc_4YtErCit7UGPtMI8UAYShg_7_5"/>
      <w:bookmarkStart w:id="815" w:name="Tc_DUPZbv9pmEKBuZ5R8LIMHw_7_2"/>
      <w:bookmarkStart w:id="816" w:name="Tc_C19nL7bmnU2t64_DBtayWQ_7_0"/>
      <w:bookmarkStart w:id="817" w:name="Tc_wDrb83tAP02meUgNiCyDIQ_6_17"/>
      <w:bookmarkStart w:id="818" w:name="Tc_933s9FOnX0KlQXT9NouMPw_6_14"/>
      <w:bookmarkStart w:id="819" w:name="Tc_TzbhH5qrLUWAl9VCp2XV1w_6_11"/>
      <w:bookmarkStart w:id="820" w:name="Tc_sTX9-7ROsEGeaeKkwQTAAQ_6_8"/>
      <w:bookmarkStart w:id="821" w:name="Tc_JexS0XmjnU64F-syS_VxLw_6_5"/>
      <w:bookmarkStart w:id="822" w:name="Tc_N6D5oeBcJ06_kewoH7I3eg_6_0"/>
      <w:bookmarkStart w:id="823" w:name="Tc_RRcPFC1akk-x4CikqJI4hA_5_16"/>
      <w:bookmarkStart w:id="824" w:name="Tc_R56In0LB10Sb-F6Ndkk6nQ_5_14"/>
      <w:bookmarkStart w:id="825" w:name="Tc_qaDyu6IT4EGoZFXE2vuyGQ_5_13"/>
      <w:bookmarkStart w:id="826" w:name="Tc_Xrkpq50qqk2veECJhzSsig_5_10"/>
      <w:bookmarkStart w:id="827" w:name="Tc_1N6H1-NCgkqH8zFUzyFn_Q_5_7"/>
      <w:bookmarkStart w:id="828" w:name="Tc__mCc4LpBX0i0UwCH0FfCrw_5_4"/>
      <w:bookmarkStart w:id="829" w:name="Tc_S5PwfyqRM0C_3EHmKDFOOg_5_0"/>
      <w:bookmarkStart w:id="830" w:name="Tc_I94BdOA7SUmYXbzdetmciw_4_0"/>
      <w:bookmarkStart w:id="831" w:name="Tc_YM1yeG37xkOrxZawcRPVKQ_3_16"/>
      <w:bookmarkStart w:id="832" w:name="Tc_CvoTUMYVDUyWBZujUfEIpA_3_13"/>
      <w:bookmarkStart w:id="833" w:name="Tc_wTMN-FayA0yPj6Z2LtQcFw_3_10"/>
      <w:bookmarkStart w:id="834" w:name="Tc_pyTxjpkVeE6gGiu45HWCIA_3_7"/>
      <w:bookmarkStart w:id="835" w:name="Tc_EBnOGz5xLkaGk22JfTm_hQ_3_4"/>
      <w:bookmarkStart w:id="836" w:name="Tc_tanrhzRYaUS1XxIo8HMriA_3_2"/>
      <w:bookmarkStart w:id="837" w:name="Tc_KocZwWq7tkGcx2lSr5xX8Q_2_16"/>
      <w:bookmarkStart w:id="838" w:name="Tc_2k03xAccn0GIsk-ce8FiUQ_2_13"/>
      <w:bookmarkStart w:id="839" w:name="Tc_oPNudaoghkWFLLhPGTWAjQ_2_10"/>
      <w:bookmarkStart w:id="840" w:name="Tc_uLZhsoy5F0S7qBIJebDn1w_2_7"/>
      <w:bookmarkStart w:id="841" w:name="Tc_4ax3mQOqTEiKGZT53UERvQ_2_2"/>
      <w:bookmarkStart w:id="842" w:name="Tc_JaZvJdYCTUarvsVDfP8Epw_1_16"/>
      <w:bookmarkStart w:id="843" w:name="Tc_bS8UH5l23kiyu0Y-OoUIFA_1_7"/>
      <w:bookmarkStart w:id="844" w:name="_06ea1a7d_4c1b_4643_b930_3fb3fce994fd"/>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tbl>
      <w:tblPr>
        <w:tblW w:w="10205" w:type="dxa"/>
        <w:jc w:val="left"/>
        <w:tblInd w:w="0" w:type="dxa"/>
        <w:tblLayout w:type="fixed"/>
        <w:tblCellMar>
          <w:top w:w="0" w:type="dxa"/>
          <w:left w:w="0" w:type="dxa"/>
          <w:bottom w:w="0" w:type="dxa"/>
          <w:right w:w="0" w:type="dxa"/>
        </w:tblCellMar>
      </w:tblPr>
      <w:tblGrid>
        <w:gridCol w:w="3666"/>
        <w:gridCol w:w="346"/>
        <w:gridCol w:w="541"/>
        <w:gridCol w:w="346"/>
        <w:gridCol w:w="233"/>
        <w:gridCol w:w="447"/>
        <w:gridCol w:w="346"/>
        <w:gridCol w:w="207"/>
        <w:gridCol w:w="604"/>
        <w:gridCol w:w="346"/>
        <w:gridCol w:w="181"/>
        <w:gridCol w:w="536"/>
        <w:gridCol w:w="346"/>
        <w:gridCol w:w="224"/>
        <w:gridCol w:w="467"/>
        <w:gridCol w:w="346"/>
        <w:gridCol w:w="231"/>
        <w:gridCol w:w="792"/>
      </w:tblGrid>
      <w:tr>
        <w:trPr/>
        <w:tc>
          <w:tcPr>
            <w:tcW w:w="3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27910" cy="175260"/>
                      <wp:effectExtent l="0" t="0" r="0" b="0"/>
                      <wp:wrapNone/>
                      <wp:docPr id="44" name="Frame43"/>
                      <a:graphic xmlns:a="http://schemas.openxmlformats.org/drawingml/2006/main">
                        <a:graphicData uri="http://schemas.microsoft.com/office/word/2010/wordprocessingShape">
                          <wps:wsp>
                            <wps:cNvSpPr txBox="1"/>
                            <wps:spPr>
                              <a:xfrm>
                                <a:off x="0" y="0"/>
                                <a:ext cx="232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43535" cy="175260"/>
                      <wp:effectExtent l="0" t="0" r="0" b="0"/>
                      <wp:wrapNone/>
                      <wp:docPr id="46" name="Frame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7955" cy="175260"/>
                      <wp:effectExtent l="0" t="0" r="0" b="0"/>
                      <wp:wrapNone/>
                      <wp:docPr id="48" name="Frame4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3845" cy="175260"/>
                      <wp:effectExtent l="0" t="0" r="0" b="0"/>
                      <wp:wrapNone/>
                      <wp:docPr id="49" name="Frame48"/>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1445" cy="175260"/>
                      <wp:effectExtent l="0" t="0" r="0" b="0"/>
                      <wp:wrapNone/>
                      <wp:docPr id="51" name="Frame5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3540" cy="175260"/>
                      <wp:effectExtent l="0" t="0" r="0" b="0"/>
                      <wp:wrapNone/>
                      <wp:docPr id="52" name="Frame51"/>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4"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40360" cy="175260"/>
                      <wp:effectExtent l="0" t="0" r="0" b="0"/>
                      <wp:wrapNone/>
                      <wp:docPr id="55" name="Frame54"/>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2240" cy="175260"/>
                      <wp:effectExtent l="0" t="0" r="0" b="0"/>
                      <wp:wrapNone/>
                      <wp:docPr id="57" name="Frame5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96545" cy="175260"/>
                      <wp:effectExtent l="0" t="0" r="0" b="0"/>
                      <wp:wrapNone/>
                      <wp:docPr id="58" name="Frame57"/>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6685" cy="175260"/>
                      <wp:effectExtent l="0" t="0" r="0" b="0"/>
                      <wp:wrapNone/>
                      <wp:docPr id="60" name="Frame5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2920" cy="175260"/>
                      <wp:effectExtent l="0" t="0" r="0" b="0"/>
                      <wp:wrapNone/>
                      <wp:docPr id="61" name="Frame6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02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66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56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w:t>
            </w:r>
          </w:p>
        </w:tc>
        <w:tc>
          <w:tcPr>
            <w:tcW w:w="71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1"/>
              <w:ind w:left="0" w:right="0" w:hanging="0"/>
              <w:jc w:val="left"/>
              <w:rPr/>
            </w:pPr>
            <w:r>
              <w:rPr/>
              <w:t>​</w:t>
            </w:r>
          </w:p>
        </w:tc>
        <w:tc>
          <w:tcPr>
            <w:tcW w:w="69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346" w:type="dxa"/>
            <w:tcBorders/>
            <w:vAlign w:val="center"/>
          </w:tcPr>
          <w:p>
            <w:pPr>
              <w:pStyle w:val="TableContents"/>
              <w:bidi w:val="0"/>
              <w:spacing w:before="0" w:after="1"/>
              <w:ind w:left="0" w:right="0" w:hanging="0"/>
              <w:jc w:val="left"/>
              <w:rPr/>
            </w:pPr>
            <w:r>
              <w:rPr/>
              <w:t>​</w:t>
            </w:r>
          </w:p>
        </w:tc>
        <w:tc>
          <w:tcPr>
            <w:tcW w:w="102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3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Par Value</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Three Months Ended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44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center"/>
              <w:rPr/>
            </w:pPr>
            <w:r>
              <w:rPr/>
              <w:t>​</w:t>
            </w:r>
          </w:p>
        </w:tc>
        <w:tc>
          <w:tcPr>
            <w:tcW w:w="60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6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92" w:type="dxa"/>
            <w:tcBorders/>
            <w:shd w:fill="CCEEFF" w:val="clear"/>
            <w:vAlign w:val="center"/>
          </w:tcPr>
          <w:p>
            <w:pPr>
              <w:pStyle w:val="TableContents"/>
              <w:bidi w:val="0"/>
              <w:spacing w:before="0" w:after="1"/>
              <w:ind w:left="0" w:right="0" w:hanging="0"/>
              <w:jc w:val="center"/>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September 30, 2025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34,648</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47,300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21,796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69,131</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246</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1,006</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613</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1,065</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1,065</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(4,195)</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(4,195)</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35,004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48,843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18,666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67,544</w:t>
            </w:r>
          </w:p>
        </w:tc>
      </w:tr>
      <w:tr>
        <w:trPr/>
        <w:tc>
          <w:tcPr>
            <w:tcW w:w="3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Six Months Ended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44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center"/>
              <w:rPr/>
            </w:pPr>
            <w:r>
              <w:rPr/>
              <w:t>​</w:t>
            </w:r>
          </w:p>
        </w:tc>
        <w:tc>
          <w:tcPr>
            <w:tcW w:w="60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6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92" w:type="dxa"/>
            <w:tcBorders/>
            <w:shd w:fill="CCEEFF" w:val="clear"/>
            <w:vAlign w:val="center"/>
          </w:tcPr>
          <w:p>
            <w:pPr>
              <w:pStyle w:val="TableContents"/>
              <w:bidi w:val="0"/>
              <w:spacing w:before="0" w:after="1"/>
              <w:ind w:left="0" w:right="0" w:hanging="0"/>
              <w:jc w:val="center"/>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June 30, 2025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34,337</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46,650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25,129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71,813</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303</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1,272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1,272</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1,150</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1,889</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(8,352)</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(8,352)</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35,004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48,843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18,666</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67,544</w:t>
            </w:r>
          </w:p>
        </w:tc>
      </w:tr>
      <w:tr>
        <w:trPr/>
        <w:tc>
          <w:tcPr>
            <w:tcW w:w="3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Three Months Ended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September 30, 2024</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33,607</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41,561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38,035</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79,630</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Forfeitures of restricted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2,259</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659</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(1,825)</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(1,825)</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(4,082)</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(4,082)</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2024</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34,077</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44,140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32,128</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76,302</w:t>
            </w:r>
          </w:p>
        </w:tc>
      </w:tr>
      <w:tr>
        <w:trPr/>
        <w:tc>
          <w:tcPr>
            <w:tcW w:w="3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Six Months Ended December 31, 2024</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June 30, 2024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33,340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41,091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40,003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81,127</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376</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Forfeitures of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405</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2,259</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1,218</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240</w:t>
            </w:r>
          </w:p>
        </w:tc>
      </w:tr>
      <w:tr>
        <w:trPr/>
        <w:tc>
          <w:tcPr>
            <w:tcW w:w="366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(8,115)</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(8,115)</w:t>
            </w:r>
          </w:p>
        </w:tc>
      </w:tr>
      <w:tr>
        <w:trPr/>
        <w:tc>
          <w:tcPr>
            <w:tcW w:w="366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34,077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44,140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32,128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76,302</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45" w:name="_Hlk179297242"/>
      <w:bookmarkStart w:id="846" w:name="Note_to_Unaudited_Condensed"/>
      <w:bookmarkStart w:id="847" w:name="_Hlk117605630"/>
      <w:bookmarkStart w:id="848" w:name="Note1SummaryofSignificantEventsandAccoun"/>
      <w:bookmarkEnd w:id="845"/>
      <w:bookmarkEnd w:id="846"/>
      <w:bookmarkEnd w:id="847"/>
      <w:bookmarkEnd w:id="848"/>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working and mineral interests in </w:t>
      </w:r>
      <w:r>
        <w:rPr>
          <w:rFonts w:ascii="Times New Roman;Times;serif" w:hAnsi="Times New Roman;Times;serif"/>
          <w:color w:val="333333"/>
          <w:sz w:val="20"/>
        </w:rPr>
        <w:t xml:space="preserve">the following areas: the SCOOP and STACK plays of the Anadarko Basin located in central Oklahoma; </w:t>
      </w:r>
      <w:r>
        <w:rPr>
          <w:rFonts w:ascii="Times New Roman;Times;serif" w:hAnsi="Times New Roman;Times;serif"/>
          <w:sz w:val="20"/>
        </w:rPr>
        <w:t xml:space="preserve">the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TexMex interests located in Lea, Eddy and Chaves Counties, New Mexico and Stephens County, Texas;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2025 Annual Report on Form 10-K for the fiscal year ended June 30, 2025, as filed with the SEC on September 17, 2025.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unaudited condensed consolidated financial statements include the 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proactively works with its third-party operators to review the management of capital expenditures for its non-operated working interests.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Oil and Natural Gas Properties.</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49" w:name="_Hlk181869506"/>
      <w:bookmarkStart w:id="850" w:name="_Hlk179297254"/>
      <w:bookmarkStart w:id="851" w:name="_Hlk181868819"/>
      <w:bookmarkEnd w:id="849"/>
      <w:bookmarkEnd w:id="850"/>
      <w:bookmarkEnd w:id="851"/>
      <w:r>
        <w:rPr>
          <w:rFonts w:ascii="Times New Roman;Times;serif" w:hAnsi="Times New Roman;Times;serif"/>
          <w:sz w:val="20"/>
        </w:rPr>
        <w:t>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operating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Segment Information.</w:t>
      </w:r>
      <w:r>
        <w:rPr>
          <w:rFonts w:ascii="Times New Roman;Times;serif" w:hAnsi="Times New Roman;Times;serif"/>
          <w:sz w:val="20"/>
        </w:rPr>
        <w:t xml:space="preserve"> The Company has one reportable segment, which focuses on the ownership of and investment in onshore oil and natural gas properties in the United States. The segment’s revenues are derived from the Company’s interests in the sales of crude oil, natural gas, and NGL production to customers in the United States. The Company evaluates performance based on various financial metrics, including but not limited to consolidated income or loss from operations, net revenue, and cash flow from operations. The Company’s chief executive officer, chief operating officer, and chief financial officer together function as the chief operating decision maker (“CODM”). The CODM manages the Company’s business activities as a single operating segment.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accounting policies of the one reportable segment are identical to accounting policies described for the consolidated Company. The CODM uses income (loss), as reported in the unaudited condensed consolidated statement of operations to measure segment profitability, assess performance, and manage strategic capital resources allocations. The measure of segment assets is reported as “Total assets” on the unaudited condensed consolidated balance sheets. The significant expense categories regularly provided to and reviewed by the CODM are the expenses categories as noted on the unaudited condensed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permits companies to apply a practical expedient which assumes that current conditions as of the balance sheet date do not change for the remaining life of the asset when developing estimates for credit losses for accounts receivable and contract assets under Topic 606, </w:t>
      </w:r>
      <w:r>
        <w:rPr>
          <w:rFonts w:ascii="Times New Roman;Times;serif" w:hAnsi="Times New Roman;Times;serif"/>
          <w:i/>
          <w:sz w:val="20"/>
        </w:rPr>
        <w:t>Revenue from Contracts with Customers</w:t>
      </w:r>
      <w:r>
        <w:rPr>
          <w:rFonts w:ascii="Times New Roman;Times;serif" w:hAnsi="Times New Roman;Times;serif"/>
          <w:sz w:val="20"/>
        </w:rPr>
        <w:t>. ASU 2025-05 is effective prospectively for annual reporting periods beginning after December 15, 2025, and interim reporting periods within those annual reporting periods, with early adoption permitted. The Company is currently evaluating ASU 2025-05 and the impact it may have on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Improvements to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and can be implemented either prospectively or retrospectively. As such, the Company adopted ASU 2023-09 effective July 1, 2025. The Company will include the applicable enhanced disclosures in its annual financial statements for the fiscal year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852" w:name="Tc_LH8MUFDE1EqEt9b-GjiKww_8_11"/>
      <w:bookmarkStart w:id="853" w:name="Tc_6Sgva5ATuUupghJfCtVh_w_8_8"/>
      <w:bookmarkStart w:id="854" w:name="Tc_8ZRVV1bt-kOEBarerwRcUw_8_5"/>
      <w:bookmarkStart w:id="855" w:name="Tc_8_GE_CTcSkuTTv0uL2u8kw_8_2"/>
      <w:bookmarkStart w:id="856" w:name="Tc_o1WZKrydJkWf57BF85jWLw_8_0"/>
      <w:bookmarkStart w:id="857" w:name="Tc_zMKT9p04OUWdNgrm9ejLFQ_7_0"/>
      <w:bookmarkStart w:id="858" w:name="Tc_3w4fn5_aLk-Uw5y9jHtxPQ_6_0"/>
      <w:bookmarkStart w:id="859" w:name="Tc_kDnQ0gDbu0-zH8BOuOm5AQ_5_11"/>
      <w:bookmarkStart w:id="860" w:name="Tc_sg5ml6V20kSjR38fR8ilqw_5_8"/>
      <w:bookmarkStart w:id="861" w:name="Tc_i3zaMWpnoUSQ5DTmt8kmZg_5_5"/>
      <w:bookmarkStart w:id="862" w:name="Tc_jMDKKdA7oEmxih_br8PwQw_5_2"/>
      <w:bookmarkStart w:id="863" w:name="Tc_2MaTqTs-uEq6yRmHf3YypA_5_0"/>
      <w:bookmarkStart w:id="864" w:name="Tc_urJMWT_uYke1LKvxgMQlKw_4_0"/>
      <w:bookmarkStart w:id="865" w:name="Tc_drs27hsj7EKKjf6u_NdSRw_3_11"/>
      <w:bookmarkStart w:id="866" w:name="Tc_MLzveh00QESVO52dPzj_-g_3_8"/>
      <w:bookmarkStart w:id="867" w:name="Tc_tj6vqrB_z0maeqLlfH6NsA_3_5"/>
      <w:bookmarkStart w:id="868" w:name="Tc_CQpg4opD5E-G5Ox5Brr4xg_3_2"/>
      <w:bookmarkStart w:id="869" w:name="Tc_2OZiTTyNsUyodBrWgYeRcw_2_8"/>
      <w:bookmarkStart w:id="870" w:name="Tc_-9BFIT9rzUKSrfcOtoER0A_2_2"/>
      <w:bookmarkStart w:id="871" w:name="Tc_9gfTSaQSzkiVvki8iX5Iow_1_8"/>
      <w:bookmarkStart w:id="872" w:name="Tc_NPDrXvpRI0ex1jJeLgSMjA_1_2"/>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Note 2. 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the SCOOP and STACK plays in central Oklahoma; t</w:t>
      </w:r>
      <w:r>
        <w:rPr>
          <w:rFonts w:ascii="Times New Roman;Times;serif" w:hAnsi="Times New Roman;Times;serif"/>
          <w:sz w:val="20"/>
        </w:rPr>
        <w:t xml:space="preserve">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in Wyoming; the Delhi Field in Northeast Louisiana; and the TexMex interests located in Lea, Eddy and Chaves Counties, New Mexico and Stephens County, Texas. Additionally, an overriding royalty interest retained in a past divestiture of Texas properties provides de minimis revenue. The following table disaggregates the Company’s revenues by major product for the three and six months ended December 31, 2025 and 2024 (in thousands):</w:t>
      </w:r>
    </w:p>
    <w:p>
      <w:pPr>
        <w:pStyle w:val="TextBody"/>
        <w:bidi w:val="0"/>
        <w:spacing w:before="0" w:after="0"/>
        <w:ind w:left="0" w:right="0" w:hanging="0"/>
        <w:jc w:val="left"/>
        <w:rPr/>
      </w:pPr>
      <w:r>
        <w:rPr/>
        <w:t>​</w:t>
      </w:r>
    </w:p>
    <w:tbl>
      <w:tblPr>
        <w:tblW w:w="5755" w:type="dxa"/>
        <w:jc w:val="left"/>
        <w:tblInd w:w="0" w:type="dxa"/>
        <w:tblLayout w:type="fixed"/>
        <w:tblCellMar>
          <w:top w:w="0" w:type="dxa"/>
          <w:left w:w="0" w:type="dxa"/>
          <w:bottom w:w="0" w:type="dxa"/>
          <w:right w:w="0" w:type="dxa"/>
        </w:tblCellMar>
      </w:tblPr>
      <w:tblGrid>
        <w:gridCol w:w="1456"/>
        <w:gridCol w:w="346"/>
        <w:gridCol w:w="207"/>
        <w:gridCol w:w="635"/>
        <w:gridCol w:w="115"/>
        <w:gridCol w:w="207"/>
        <w:gridCol w:w="635"/>
        <w:gridCol w:w="109"/>
        <w:gridCol w:w="196"/>
        <w:gridCol w:w="601"/>
        <w:gridCol w:w="34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4560" cy="175260"/>
                      <wp:effectExtent l="0" t="0" r="0" b="0"/>
                      <wp:wrapNone/>
                      <wp:docPr id="62" name="Frame6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1445" cy="175260"/>
                      <wp:effectExtent l="0" t="0" r="0" b="0"/>
                      <wp:wrapNone/>
                      <wp:docPr id="64" name="Frame6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03225" cy="175260"/>
                      <wp:effectExtent l="0" t="0" r="0" b="0"/>
                      <wp:wrapNone/>
                      <wp:docPr id="65" name="Frame64"/>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3025" cy="175260"/>
                      <wp:effectExtent l="0" t="0" r="0" b="0"/>
                      <wp:wrapNone/>
                      <wp:docPr id="66" name="Frame6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1445" cy="175260"/>
                      <wp:effectExtent l="0" t="0" r="0" b="0"/>
                      <wp:wrapNone/>
                      <wp:docPr id="67" name="Frame6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03225" cy="175260"/>
                      <wp:effectExtent l="0" t="0" r="0" b="0"/>
                      <wp:wrapNone/>
                      <wp:docPr id="68" name="Frame6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0"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1635" cy="175260"/>
                      <wp:effectExtent l="0" t="0" r="0" b="0"/>
                      <wp:wrapNone/>
                      <wp:docPr id="71" name="Frame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3"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8310" cy="175260"/>
                      <wp:effectExtent l="0" t="0" r="0" b="0"/>
                      <wp:wrapNone/>
                      <wp:docPr id="74" name="Frame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4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145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15"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10,696</w:t>
            </w:r>
          </w:p>
        </w:tc>
        <w:tc>
          <w:tcPr>
            <w:tcW w:w="115"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26,500</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7,441</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10,078</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2,542</w:t>
            </w:r>
          </w:p>
        </w:tc>
        <w:tc>
          <w:tcPr>
            <w:tcW w:w="115"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5,593</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20,679</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20,275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42,171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products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the transfer of control of produced hydrocarbons to a customer at a specified delivery point. Consideration is allocated to completed performance obligations at the end of an accounting period.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bookmarkStart w:id="873" w:name="_Hlk212710081"/>
      <w:bookmarkEnd w:id="873"/>
      <w:r>
        <w:rPr>
          <w:rFonts w:ascii="Times New Roman;Times;serif" w:hAnsi="Times New Roman;Times;serif"/>
          <w:b/>
          <w:sz w:val="20"/>
        </w:rPr>
        <w:t>Note 3. Acquisitions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the Company </w:t>
      </w:r>
      <w:r>
        <w:rPr>
          <w:rFonts w:ascii="Times New Roman;Times;serif" w:hAnsi="Times New Roman;Times;serif"/>
          <w:sz w:val="20"/>
          <w:shd w:fill="FFFFFF" w:val="clear"/>
        </w:rPr>
        <w:t>completed the acquisition of certain mineral and royalty interests in the SCOOP and STACK plays in of Oklahoma from a non-affiliated private seller (the “Minerals Acquisition”) in a cash transaction valued at approximately $16.3 million, subject to customary post-closing adjustments. The Minerals Acquisition has an effective date of May 1, 2025. The Company accounted for the transaction as an asset acquisition, allocating $11.7 million of the purchase price to proved oil and natural gas properties, subject to amortization, and $4.6 million to unproved properties. The Company funded the purchase price for the Minerals Acquisition with a combination of $15.0 million in borrowings under its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TexMex Acquisition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14, 2025, the Company closed the acquisition of non-operated working interests in certain oil and natural gas wells located primarily in Lea, Eddy, and Chaves Counties, New Mexico, and Stephens County, Texas (the “TexMex Acquisition”) from a private seller. The total purchase price for the TexMex Acquisition was approximately $9.0 million before customary post-closing adjustments, with an effective date of February 1, 2025. The Company funded the purchase price for the TexMex Acquisition through a combination of cash on hand and borrowings under its Senior Secured Credit Facility. The TexMex Acquisition includes an average working interest of 42% and an average revenue interest of 35% in approximately 600 gross wells. </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74" w:name="_Hlk212710108"/>
      <w:bookmarkStart w:id="875" w:name="Tc_D5VNszUzgE2bTc-FE4i3Bw_6_5"/>
      <w:bookmarkStart w:id="876" w:name="Tc_fkoslYUWB0aLfmnQxwXZxw_6_2"/>
      <w:bookmarkStart w:id="877" w:name="Tc_Mu9q1sUrrEyIpwPydW8awQ_6_0"/>
      <w:bookmarkStart w:id="878" w:name="Tc_Ef-GrfgRmkqFaaDhMKtOug_5_0"/>
      <w:bookmarkStart w:id="879" w:name="Tc_3cGsrqBqqkWZv91Sgx6xhQ_4_6"/>
      <w:bookmarkStart w:id="880" w:name="Tc_olAxHm6tCkWjfueyE0GJiQ_4_0"/>
      <w:bookmarkStart w:id="881" w:name="Tc_7Ob_tduwwECwF5OdW2zqQw_3_5"/>
      <w:bookmarkStart w:id="882" w:name="Tc_r-9TMrkASk6BXh0jRVuC1A_3_2"/>
      <w:bookmarkStart w:id="883" w:name="Tc_gYKg9N1UmEaOfFLLxHmOHw_3_0"/>
      <w:bookmarkStart w:id="884" w:name="Tc_Yj-R5Gjm0kGZM-2pmopO-A_2_0"/>
      <w:bookmarkStart w:id="885" w:name="Tc_VemWzV0qikK5_ZSjTveUWw_1_5"/>
      <w:bookmarkStart w:id="886" w:name="Tc_Txq9vUPFC0-xWoFrM7NkYA_1_2"/>
      <w:bookmarkStart w:id="887" w:name="_bb6f76be_405b_431f_a9f2_efc06cd04540"/>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consisted of the following for the periods presented (in thousands):</w:t>
      </w:r>
    </w:p>
    <w:p>
      <w:pPr>
        <w:pStyle w:val="TextBody"/>
        <w:bidi w:val="0"/>
        <w:spacing w:before="0" w:after="240"/>
        <w:ind w:left="0" w:right="0" w:hanging="0"/>
        <w:jc w:val="left"/>
        <w:rPr/>
      </w:pPr>
      <w:r>
        <w:rPr/>
        <w:t>​</w:t>
      </w:r>
    </w:p>
    <w:tbl>
      <w:tblPr>
        <w:tblW w:w="7730" w:type="dxa"/>
        <w:jc w:val="left"/>
        <w:tblInd w:w="0" w:type="dxa"/>
        <w:tblLayout w:type="fixed"/>
        <w:tblCellMar>
          <w:top w:w="0" w:type="dxa"/>
          <w:left w:w="0" w:type="dxa"/>
          <w:bottom w:w="0" w:type="dxa"/>
          <w:right w:w="0" w:type="dxa"/>
        </w:tblCellMar>
      </w:tblPr>
      <w:tblGrid>
        <w:gridCol w:w="4291"/>
        <w:gridCol w:w="346"/>
        <w:gridCol w:w="319"/>
        <w:gridCol w:w="1227"/>
        <w:gridCol w:w="34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724785" cy="175260"/>
                      <wp:effectExtent l="0" t="0" r="0" b="0"/>
                      <wp:wrapNone/>
                      <wp:docPr id="75" name="Frame74"/>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2565" cy="175260"/>
                      <wp:effectExtent l="0" t="0" r="0" b="0"/>
                      <wp:wrapNone/>
                      <wp:docPr id="77" name="Frame7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79145" cy="175260"/>
                      <wp:effectExtent l="0" t="0" r="0" b="0"/>
                      <wp:wrapNone/>
                      <wp:docPr id="78" name="Frame77"/>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0495" cy="175260"/>
                      <wp:effectExtent l="0" t="0" r="0" b="0"/>
                      <wp:wrapNone/>
                      <wp:docPr id="80" name="Frame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12140" cy="175260"/>
                      <wp:effectExtent l="0" t="0" r="0" b="0"/>
                      <wp:wrapNone/>
                      <wp:docPr id="81" name="Frame80"/>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7"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287,816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not subject to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22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(141,340)</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151,121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142,248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$4.6 million of oil and natural gas property costs were not subject to amortization. These costs related to mineral and royalty interests acquired as part of the Company’s Minerals Acquisition described in Note 3, “</w:t>
      </w:r>
      <w:r>
        <w:rPr>
          <w:rFonts w:ascii="Times New Roman;Times;serif" w:hAnsi="Times New Roman;Times;serif"/>
          <w:i/>
          <w:sz w:val="20"/>
        </w:rPr>
        <w:t>Acquisitions”</w:t>
      </w:r>
      <w:r>
        <w:rPr>
          <w:rFonts w:ascii="Times New Roman;Times;serif" w:hAnsi="Times New Roman;Times;serif"/>
          <w:sz w:val="20"/>
        </w:rPr>
        <w:t xml:space="preserve"> above. The mineral and royalty interests include approximately 3,600 net royalty acres for unproved locations. Property costs identified at the Minerals Acquisition associated with proved reserves were recorded to evaluated oil and natural gas properties and subject to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unproved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on oil and natural gas properties was $11.1 million and $10.3 million for the six months ended December 31, 2025 and 2024, respectively. During the six months ended December 31, 2025 and 2024, the Company incurred development capital expenditures of $2.5 million and $2.2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December 31, 2025, the ceiling test value of the Company’s reserves was calculated based on the first-day-of-the-month average for the 12-months ended December 31, 2025 of the West Texas Intermediate (“WTI”) crude oil spot price of $66.01 per barrel and Henry Hub natural gas spot price of $3.40 per MMBtu, adjusted by market differentials by field. The net price per barrel of NGLs was $23.22, which was based on historical differentials to WTI as NGLs do not have any single comparable reference index price. Using these prices, at December 31, 2025 the cost center ceiling was higher than the capitalized costs of oil and natural gas properties, subject to amortization,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December 31, 2024, the ceiling test value of the Company’s reserves was calculated based on the first-day-of the month average for the 12-months ended December 31, 2024 of the WTI crude oil spot price of $76.32 per barrel and Henry Hub natural gas spot price of $2.13 per MMBtu, adjusted by market differentials by field. The net price per barrel of NGLs was $22.60, which was based on historical prices received as NGLs do not have any single comparable reference index price. Using these prices, at December 31, 2024 the cost center ceiling was higher than the capitalized costs of oil and natural gas properties, subject to amortization,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11, 2016, the Company entered into a senior secured reserve-based credit facility with MidFirst Bank in an amount up to $50.0 million. On June 30, 2025, the Company entered into a syndicated amended and restated senior secured reserve-based credit facility (the “Senior Secured Credit Facility”) with MidFirst Bank, as administrative agent for the lenders party, thereto, in an amount up to $200.0 million with an initial and current borrowing base of $65.0 million, maturing on June 30, 2028</w:t>
      </w:r>
      <w:r>
        <w:rPr>
          <w:rFonts w:ascii="Times New Roman;Times;serif" w:hAnsi="Times New Roman;Times;serif"/>
          <w:sz w:val="20"/>
          <w:shd w:fill="FFFFFF" w:val="clear"/>
        </w:rPr>
        <w:t>.</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(i) the Secured Overnight Financing Rate (“SOFR”), subject to a minimum SOFR of 3.25%, plus a credit spread adjustment of 0.05%, or (ii) the Prime Rate, as defined under the Senior Secured Credit Facility, plus 1.00%, plus, in either case of (i) or (ii), an applicable margin of 2.75%</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for the drilling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of representation and warranties; non-compliance with covenants; cross-defaults to material indebtedness; voluntary or involuntary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As of December 31, 2025, the Company had $54.5 million borrowings outstanding and $0.8 million of letters of credit outstanding under its Senior Secured Credit Facility, resulting in $9.7 million of available borrowing capacity. </w:t>
      </w:r>
      <w:r>
        <w:rPr>
          <w:rFonts w:ascii="Times New Roman;Times;serif" w:hAnsi="Times New Roman;Times;serif"/>
          <w:sz w:val="20"/>
          <w:shd w:fill="FFFFFF" w:val="clear"/>
        </w:rPr>
        <w:t>For the six months ended December 31, 2025 and 2024, the weighted average interest on borrowings under the Senior Secured Credit Facility was 6.88% and 7.80%,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28, 2025, the Company entered into a letter agreement with MidFirst Bank pursuant to which Margined Collateral Value, as defined under the Senior Secured Credit, was modified to $65.0 million and allowed the Company until December 31, 2025 to enter into additional commodity hedge transactions to satisfy the level of hedging requirements.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29, 2025, the Company entered into the first amendment of its Senior Secured Credit Facility with MidFirst Bank pursuant to which it was determined for purposes of the hedge covenant that total crude oil and natural gas volumes from proved developed producing reserves will be combined on a barrels of oil equivalent basis to determine compliance with the required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the Company is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capitalizes certain direct costs associated with its Senior Secured Credit Facility and amortizes these costs over the life of the facility. For the six months ended December 31, 2025, the Company amortized less than $0.1 million and capitalized $0.1 million of debt issuance costs in conjunction with amending and restating the Senior Secured Credit Facility. The debt issuance costs are presented in "Other assets" on the unaudited condensed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2021 through June 30, 2024 for federal tax purposes and for the fiscal years ended June 30, 2020 through June 30, 2024 for state tax purposes. To the extent the Company utilizes net operating losses (“NOLs”) generated in earlier years, such earlier years may also be subject to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4, 2025, President Trump signed into law the One Big Beautiful Bill Act ("OBBBA"). The OBBBA makes permanent key elements of the Tax Cuts and Jobs Act of 2017, including 100% bonus depreciation and the business interest expense limitation, as well as other provisions. The Company’s consolidated financial statements for the six months ended December 31, 2025, include the OBBBA’s effect for the period beginning July 1, 2025, through December 31, 2025. Some of the provisions in the OBBBA are effective for periods before July 1, 2025. The Company plans to file its June 30, 2025 tax return on or before April 15, 2026, and thus any tax effects related to prior periods will be recorded in the financial statements as a return to provision adjustment once identified and quantifiable. While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88" w:name="_Hlk134092921"/>
      <w:bookmarkEnd w:id="888"/>
      <w:r>
        <w:rPr>
          <w:rFonts w:ascii="Times New Roman;Times;serif" w:hAnsi="Times New Roman;Times;serif"/>
          <w:sz w:val="20"/>
        </w:rPr>
        <w:t>Company does not expect the OBBBA to have a material impact on its results of operations, it does expect the OBBBA to provide a benefit to its cash flows from 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six months ended December 31, 2025, the Company recognized an income tax expense of $1.2 million and had an effective tax rate of 38.9% compared to income tax expense of $0.1 million and an effective tax rate of 31.4% for the six months ended December 31, 2024. The increase in the effective tax rate from the prior year period is due to projected higher state income taxes in Oklahoma associated with the Minerals Acquisition in August 2025. </w:t>
      </w:r>
      <w:r>
        <w:rPr>
          <w:rFonts w:ascii="Times New Roman;Times;serif" w:hAnsi="Times New Roman;Times;serif"/>
          <w:color w:val="232323"/>
          <w:sz w:val="20"/>
          <w:shd w:fill="FFFFFF" w:val="clear"/>
        </w:rPr>
        <w:t>The Company evaluates its tax provision on a quarterly basis and adjusts it effective tax rate given changes in facts and circumstances expected in the future.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North Dakota, Oklahoma and Texas, due to percentage depletion in excess of basis,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December 31, 2025, the Company did not post collateral under any of its derivative contracts during the periods in which contracts were open as they were secured under the Company’s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 Company utilizes commodity derivative contracts, it expects to enter into deferred premium puts, costless put/call collars including two-way and three-way collars, fixed-price swaps, and/or basis swaps to hedge a portion of its anticipated future production. A two-way costless collar consists of a sold call, which establishes a maximum price the Company will receive for the volumes under contract, and a purchased put that establishes a minimum price. Three-way collars are designed to establish a minimum price (floor), unless the market price falls below the sold put (sub-floor), at which point the minimum price would be the index price plus the difference between the purchased put and the sold put strike price. The sold call establishes a maximum price (ceiling) for the volumes under contract.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may, from time to time, restructure existing derivative contracts or enter into new transactions to effectively modify the terms of current contracts in order to improve the pricing parameters in existing contracts.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w:t>
      </w:r>
      <w:r>
        <w:rPr>
          <w:rFonts w:ascii="Times New Roman;Times;serif" w:hAnsi="Times New Roman;Times;serif"/>
          <w:sz w:val="20"/>
          <w:shd w:fill="FFFFFF" w:val="clear"/>
        </w:rPr>
        <w:t xml:space="preserve"> and included in the unaudited condensed consolidated balance sheets as assets or liabilities. The “</w:t>
      </w:r>
      <w:r>
        <w:rPr>
          <w:rFonts w:ascii="Times New Roman;Times;serif" w:hAnsi="Times New Roman;Times;serif"/>
          <w:i/>
          <w:sz w:val="20"/>
          <w:shd w:fill="FFFFFF" w:val="clear"/>
        </w:rPr>
        <w:t>Derivative contract assets”</w:t>
      </w:r>
      <w:r>
        <w:rPr>
          <w:rFonts w:ascii="Times New Roman;Times;serif" w:hAnsi="Times New Roman;Times;serif"/>
          <w:sz w:val="20"/>
          <w:shd w:fill="FFFFFF" w:val="clear"/>
        </w:rPr>
        <w:t> and “</w:t>
      </w:r>
      <w:r>
        <w:rPr>
          <w:rFonts w:ascii="Times New Roman;Times;serif" w:hAnsi="Times New Roman;Times;serif"/>
          <w:i/>
          <w:sz w:val="20"/>
          <w:shd w:fill="FFFFFF" w:val="clear"/>
        </w:rPr>
        <w:t>Derivative contract liabilities”</w:t>
      </w:r>
      <w:r>
        <w:rPr>
          <w:rFonts w:ascii="Times New Roman;Times;serif" w:hAnsi="Times New Roman;Times;serif"/>
          <w:sz w:val="20"/>
          <w:shd w:fill="FFFFFF" w:val="clear"/>
        </w:rPr>
        <w:t xml:space="preserve"> represent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shd w:fill="FFFFFF" w:val="clear"/>
        </w:rPr>
      </w:pPr>
      <w:bookmarkStart w:id="889" w:name="Tc_4Ku5aM6IjU6gb8x6N286qA_10_4"/>
      <w:bookmarkStart w:id="890" w:name="Tc_peQrwyJy3kape-TEIxiouQ_10_2"/>
      <w:bookmarkStart w:id="891" w:name="Tc_4vQbfsb1k0GZcK72LOBdUg_10_0"/>
      <w:bookmarkStart w:id="892" w:name="Tc_CsaezEAl_0ixG2S6odTSPQ_9_4"/>
      <w:bookmarkStart w:id="893" w:name="Tc_2vNeoc20q06EMSdVNnAa5Q_9_2"/>
      <w:bookmarkStart w:id="894" w:name="Tc_r1qAvTQrwU6BB2rCdzfj2A_9_0"/>
      <w:bookmarkStart w:id="895" w:name="Tc_epiASc6AREWRFAxjBeD2WA_8_4"/>
      <w:bookmarkStart w:id="896" w:name="Tc_Tbi9TQgJ8Eyt6QYlM4iUAQ_8_2"/>
      <w:bookmarkStart w:id="897" w:name="Tc_Ew7kvU-720qsf-QTn5FIQA_8_0"/>
      <w:bookmarkStart w:id="898" w:name="Tc_mfLip8a0nkCWx7oD2IzpgQ_7_4"/>
      <w:bookmarkStart w:id="899" w:name="Tc_Kpld6pAZkkazrLbWGvbnaA_7_2"/>
      <w:bookmarkStart w:id="900" w:name="Tc_kLekrusee06oky9ixUg_OQ_7_0"/>
      <w:bookmarkStart w:id="901" w:name="Tc__asJ3MgzRES3kP-RA8WiKg_6_11"/>
      <w:bookmarkStart w:id="902" w:name="Tc__S9SIWgKK0G4u_nquAtkpw_6_4"/>
      <w:bookmarkStart w:id="903" w:name="Tc_-K4onKTapECjupYDM8THgQ_6_2"/>
      <w:bookmarkStart w:id="904" w:name="Tc_u3c6A0zimE2goOfbl1SiHw_6_0"/>
      <w:bookmarkStart w:id="905" w:name="Tc_VfdObQdhSkSwoqvlS3E0UQ_5_17"/>
      <w:bookmarkStart w:id="906" w:name="Tc_A6VEdEPlhEa-x7gyucL4lA_5_14"/>
      <w:bookmarkStart w:id="907" w:name="Tc_8VGNHaJnwEGAfUh2XWMCrw_5_4"/>
      <w:bookmarkStart w:id="908" w:name="Tc_iWhcVetryUC63FKckHsnPw_5_2"/>
      <w:bookmarkStart w:id="909" w:name="Tc_sTkymcAWNUm4R1khyFch-w_5_0"/>
      <w:bookmarkStart w:id="910" w:name="Tc_gJpw43guGEuW51TBry6O6A_4_4"/>
      <w:bookmarkStart w:id="911" w:name="Tc_k89oaJ6I0kW98UFQuKCK1g_4_2"/>
      <w:bookmarkStart w:id="912" w:name="Tc_KecZvTCqLUGsQWkFpGnnTw_4_0"/>
      <w:bookmarkStart w:id="913" w:name="Tc_oNiAzUzlt0-TWbdycWOUgw_3_8"/>
      <w:bookmarkStart w:id="914" w:name="Tc_p1zOOJh_YkycTqBOpYiFAw_3_4"/>
      <w:bookmarkStart w:id="915" w:name="Tc_dO1sf0TkakqjA9MH2U-uPQ_3_2"/>
      <w:bookmarkStart w:id="916" w:name="Tc_2JTtRqEa4U64p8S6lXf0HA_3_0"/>
      <w:bookmarkStart w:id="917" w:name="Tc_4sKuA9prXkGuO_SuMPIR4A_2_17"/>
      <w:bookmarkStart w:id="918" w:name="Tc_uZPlSAKgeUK0whze1_Q-Qg_2_14"/>
      <w:bookmarkStart w:id="919" w:name="Tc_GGlf12wjq0uagz7UO714LA_2_11"/>
      <w:bookmarkStart w:id="920" w:name="Tc_Bbf9Q87Ya0CQIMsYR4xKEQ_2_8"/>
      <w:bookmarkStart w:id="921" w:name="Tc_qho9tG6-B0Oh1rPe-49Ovw_2_6"/>
      <w:bookmarkStart w:id="922" w:name="Tc_eM0WNkTRf0aC-o645r6EUQ_2_4"/>
      <w:bookmarkStart w:id="923" w:name="Tc_LHzMwZ5xVUqq4P5894q1cA_2_2"/>
      <w:bookmarkStart w:id="924" w:name="Tc_7sRV6j86Kk-Ys3LXsEWQUQ_2_0"/>
      <w:bookmarkStart w:id="925" w:name="Tc_CJAFMRPV5ky4NbQpSZc27w_1_8"/>
      <w:bookmarkStart w:id="926" w:name="Tc_F6wZ1SWp0U6LVeMp9V4Zfg_1_6"/>
      <w:bookmarkStart w:id="927" w:name="_54de0322_cf00_4a29_abe1_f46fea67f0cd"/>
      <w:bookmarkStart w:id="928" w:name="Tc__ev3iqA5oUmgGLGGbpni0w_7_13"/>
      <w:bookmarkStart w:id="929" w:name="Tc_d_wu319Y6kqBJKxKlN13iw_7_10"/>
      <w:bookmarkStart w:id="930" w:name="Tc_F5wvoXLqok29m3SJYzAfiQ_7_7"/>
      <w:bookmarkStart w:id="931" w:name="Tc_HRExHR87F0KJi16xutn4_g_7_4"/>
      <w:bookmarkStart w:id="932" w:name="Tc_SpAsriP72k2HHqgLLZyn_Q_7_0"/>
      <w:bookmarkStart w:id="933" w:name="Tc_5xicIywy7EeTCIUEVTqsvw_6_2"/>
      <w:bookmarkStart w:id="934" w:name="Tc_bKgLyqxYuUO1qyydv7dhIw_6_0"/>
      <w:bookmarkStart w:id="935" w:name="Tc_pF1JsurN5keq1KfIQwA8iA_5_13"/>
      <w:bookmarkStart w:id="936" w:name="Tc_v3itHWkPuU2WHWmWc8pyZw_5_10"/>
      <w:bookmarkStart w:id="937" w:name="Tc_IAMR3v-PeE-QwgsVw98-mA_5_7"/>
      <w:bookmarkStart w:id="938" w:name="Tc_H9j3nHM94EOvmsFX4F4cfQ_5_4"/>
      <w:bookmarkStart w:id="939" w:name="Tc_0i9OdecaM06FPvRvdkbiiw_5_2"/>
      <w:bookmarkStart w:id="940" w:name="Tc_RlWCk0eYl0uM2Gs_mmQ36Q_5_0"/>
      <w:bookmarkStart w:id="941" w:name="Tc_buKhoTx3HEOAHZnybsyOjg_4_0"/>
      <w:bookmarkStart w:id="942" w:name="Tc_Arn2J8QGTkios1IYkXzZZA_3_13"/>
      <w:bookmarkStart w:id="943" w:name="Tc_U0iuBAbZ4UaOk0rXQJE4_A_3_10"/>
      <w:bookmarkStart w:id="944" w:name="Tc_hFmNobX8JU-WwdAVaDVKUg_3_7"/>
      <w:bookmarkStart w:id="945" w:name="Tc_jONhnU0aeU6650u20XmnWw_3_4"/>
      <w:bookmarkStart w:id="946" w:name="Tc_2ilk87-qJ0iaXKYDA5tCdQ_3_2"/>
      <w:bookmarkStart w:id="947" w:name="Tc_1loZubBErEW6G5VpYh9rnw_3_0"/>
      <w:bookmarkStart w:id="948" w:name="Tc_5ghaH9_czkuBzVpMJe-xRg_2_10"/>
      <w:bookmarkStart w:id="949" w:name="Tc_CE_Zgm4QNkO1XB6GvdlCjw_2_4"/>
      <w:bookmarkStart w:id="950" w:name="Tc_Apy3HPoQy0mmnSabFtSdIQ_2_2"/>
      <w:bookmarkStart w:id="951" w:name="Tc_FZiSo8eufUCIBUS9Px_6Yw_2_0"/>
      <w:bookmarkStart w:id="952" w:name="Tc_nIgj12VnmEW6MenkMH_mdw_1_10"/>
      <w:bookmarkStart w:id="953" w:name="Tc_AwfOPeS9TUmTanivGJullg_1_4"/>
      <w:bookmarkStart w:id="954" w:name="Tc_W4VyVxp7x0i_aiQH3q3X_w_1_2"/>
      <w:bookmarkStart w:id="955" w:name="Tc_TpKFn3KBvkuLZ6W90iU_zQ_1_0"/>
      <w:bookmarkStart w:id="956" w:name="_9d6eb02c_4362_4afa_9b80_7d5a6a691dc6"/>
      <w:bookmarkStart w:id="957" w:name="Tc_7_m_1ummTkGEb0LV4m_A3w_6_15"/>
      <w:bookmarkStart w:id="958" w:name="Tc_BWNlu_k2YUiqCcCQO9AAdw_6_12"/>
      <w:bookmarkStart w:id="959" w:name="Tc_TPI6U9tl1EaYE8MEjDU1AA_6_7"/>
      <w:bookmarkStart w:id="960" w:name="Tc_ufhsbbhyL0iWX8mFsLBVqg_6_4"/>
      <w:bookmarkStart w:id="961" w:name="Tc_bG_S3KS8bk6s4b4xQkEmWg_6_0"/>
      <w:bookmarkStart w:id="962" w:name="Tc_wN5nU_AHxEO3fDtRoofsXQ_5_10"/>
      <w:bookmarkStart w:id="963" w:name="Tc_6zR9gQkY6EGNQUgiITXyjQ_5_2"/>
      <w:bookmarkStart w:id="964" w:name="Tc_OPrSn4MlQEWH5RRituWy3w_5_0"/>
      <w:bookmarkStart w:id="965" w:name="Tc_PHgDLGrmkkWH8s7mIVEwtA_4_15"/>
      <w:bookmarkStart w:id="966" w:name="Tc_i5jd7y0JaEiVgM-UEFFJ5w_4_12"/>
      <w:bookmarkStart w:id="967" w:name="Tc_8lWK9FZ-okuGcNiG2FfK9Q_4_10"/>
      <w:bookmarkStart w:id="968" w:name="Tc_4rNktG3UwECDQ2A7GhrGjw_4_7"/>
      <w:bookmarkStart w:id="969" w:name="Tc_8B0CZyf4Q0OinUwsR0wVeg_4_4"/>
      <w:bookmarkStart w:id="970" w:name="Tc_80TMJmDcnk-yk2swv0usbg_4_2"/>
      <w:bookmarkStart w:id="971" w:name="Tc_WheoWXmzoU6I1wVtl-nZ3Q_4_0"/>
      <w:bookmarkStart w:id="972" w:name="Tc_vCYvab03bUC-mX0ZHZmA0A_3_15"/>
      <w:bookmarkStart w:id="973" w:name="Tc_-HYWeZAOW0mgPCyQotK_3A_3_12"/>
      <w:bookmarkStart w:id="974" w:name="Tc_IFhWyj07bEethBNdzK97pw_3_10"/>
      <w:bookmarkStart w:id="975" w:name="Tc_00Xyw2zunEOewnjywn8hjg_3_7"/>
      <w:bookmarkStart w:id="976" w:name="Tc_ptCX3yL8QUOl175mWflZOw_3_4"/>
      <w:bookmarkStart w:id="977" w:name="Tc_vah7ijL010Ou-EVxRdp2Ag_3_2"/>
      <w:bookmarkStart w:id="978" w:name="Tc_dWBnrQYK40GUVvZh7TGzbQ_3_0"/>
      <w:bookmarkStart w:id="979" w:name="Tc_vFNsnM-Vfkqqz96s50IDWw_2_12"/>
      <w:bookmarkStart w:id="980" w:name="Tc__XHug-ZPfEWEoMnnktf_EA_2_10"/>
      <w:bookmarkStart w:id="981" w:name="Tc_hrT_GYUksE2kn-GBxjKCYg_2_4"/>
      <w:bookmarkStart w:id="982" w:name="Tc_Jscvf-GUIEySGy2XSZ3k3g_2_2"/>
      <w:bookmarkStart w:id="983" w:name="Tc_xbgHPJFA70mvRdd9jZEv7g_2_0"/>
      <w:bookmarkStart w:id="984" w:name="Tc_NjQyXW06qEiH1Wsx04sUuA_1_0"/>
      <w:bookmarkStart w:id="985" w:name="_88f33886_f2f0_4dc5_84fb_944f1b6536f6"/>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sz w:val="20"/>
          <w:shd w:fill="FFFFFF" w:val="clear"/>
        </w:rPr>
        <w:t>the difference between the market commodity prices and the hedged prices for the remaining volumes of production hedges as of December 31, 2025 and June 30, 2025 (the “mark-to-market valuation”).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following table summarizes the location and fair value amounts of all derivative contracts in the unaudited condensed consolidated balance sheets as of December 31, 2025 and June 30, 2025 (in thousands):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980"/>
        <w:gridCol w:w="346"/>
        <w:gridCol w:w="924"/>
        <w:gridCol w:w="346"/>
        <w:gridCol w:w="416"/>
        <w:gridCol w:w="1085"/>
        <w:gridCol w:w="346"/>
        <w:gridCol w:w="312"/>
        <w:gridCol w:w="814"/>
        <w:gridCol w:w="346"/>
        <w:gridCol w:w="924"/>
        <w:gridCol w:w="346"/>
        <w:gridCol w:w="416"/>
        <w:gridCol w:w="1085"/>
        <w:gridCol w:w="346"/>
        <w:gridCol w:w="282"/>
        <w:gridCol w:w="891"/>
      </w:tblGrid>
      <w:tr>
        <w:trPr/>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22300" cy="175260"/>
                      <wp:effectExtent l="0" t="0" r="0" b="0"/>
                      <wp:wrapNone/>
                      <wp:docPr id="82" name="Frame81"/>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86740" cy="175260"/>
                      <wp:effectExtent l="0" t="0" r="0" b="0"/>
                      <wp:wrapNone/>
                      <wp:docPr id="84" name="Frame83"/>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4160" cy="175260"/>
                      <wp:effectExtent l="0" t="0" r="0" b="0"/>
                      <wp:wrapNone/>
                      <wp:docPr id="86" name="Frame85"/>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88975" cy="175260"/>
                      <wp:effectExtent l="0" t="0" r="0" b="0"/>
                      <wp:wrapNone/>
                      <wp:docPr id="87" name="Frame86"/>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98120" cy="175260"/>
                      <wp:effectExtent l="0" t="0" r="0" b="0"/>
                      <wp:wrapNone/>
                      <wp:docPr id="89" name="Frame8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6890" cy="175260"/>
                      <wp:effectExtent l="0" t="0" r="0" b="0"/>
                      <wp:wrapNone/>
                      <wp:docPr id="90" name="Frame8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86740" cy="175260"/>
                      <wp:effectExtent l="0" t="0" r="0" b="0"/>
                      <wp:wrapNone/>
                      <wp:docPr id="92" name="Frame9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64160" cy="175260"/>
                      <wp:effectExtent l="0" t="0" r="0" b="0"/>
                      <wp:wrapNone/>
                      <wp:docPr id="94" name="Frame9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88975" cy="175260"/>
                      <wp:effectExtent l="0" t="0" r="0" b="0"/>
                      <wp:wrapNone/>
                      <wp:docPr id="95" name="Frame94"/>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9070" cy="175260"/>
                      <wp:effectExtent l="0" t="0" r="0" b="0"/>
                      <wp:wrapNone/>
                      <wp:docPr id="97" name="Frame9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5785" cy="175260"/>
                      <wp:effectExtent l="0" t="0" r="0" b="0"/>
                      <wp:wrapNone/>
                      <wp:docPr id="98" name="Frame97"/>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973"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vAlign w:val="center"/>
          </w:tcPr>
          <w:p>
            <w:pPr>
              <w:pStyle w:val="TableContents"/>
              <w:bidi w:val="0"/>
              <w:spacing w:before="0" w:after="1"/>
              <w:ind w:left="0" w:right="0" w:hanging="0"/>
              <w:jc w:val="center"/>
              <w:rPr/>
            </w:pPr>
            <w:r>
              <w:rPr/>
              <w:t>​</w:t>
            </w:r>
          </w:p>
        </w:tc>
      </w:tr>
      <w:tr>
        <w:trPr/>
        <w:tc>
          <w:tcPr>
            <w:tcW w:w="9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1"/>
              <w:ind w:left="0" w:right="0" w:hanging="0"/>
              <w:jc w:val="left"/>
              <w:rPr/>
            </w:pPr>
            <w:r>
              <w:rPr/>
              <w:t>​</w:t>
            </w:r>
          </w:p>
        </w:tc>
        <w:tc>
          <w:tcPr>
            <w:tcW w:w="29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9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vAlign w:val="center"/>
          </w:tcPr>
          <w:p>
            <w:pPr>
              <w:pStyle w:val="TableContents"/>
              <w:bidi w:val="0"/>
              <w:spacing w:before="0" w:after="1"/>
              <w:ind w:left="0" w:right="0" w:hanging="0"/>
              <w:jc w:val="left"/>
              <w:rPr/>
            </w:pPr>
            <w:r>
              <w:rPr/>
              <w:t>  ​ ​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9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 - 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3,196</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c>
          <w:tcPr>
            <w:tcW w:w="34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 - 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1,505</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w:t>
            </w:r>
          </w:p>
        </w:tc>
      </w:tr>
      <w:tr>
        <w:trPr/>
        <w:tc>
          <w:tcPr>
            <w:tcW w:w="9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 - derivative contract assets</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4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r>
      <w:tr>
        <w:trPr/>
        <w:tc>
          <w:tcPr>
            <w:tcW w:w="9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4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3,331</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1,970</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3,360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unaudited condensed consolidated statements of operations for the three and six months ended December 31, 2025 and 2024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7"/>
        <w:gridCol w:w="346"/>
        <w:gridCol w:w="3519"/>
        <w:gridCol w:w="346"/>
        <w:gridCol w:w="196"/>
        <w:gridCol w:w="512"/>
        <w:gridCol w:w="109"/>
        <w:gridCol w:w="196"/>
        <w:gridCol w:w="613"/>
        <w:gridCol w:w="109"/>
        <w:gridCol w:w="196"/>
        <w:gridCol w:w="511"/>
        <w:gridCol w:w="346"/>
        <w:gridCol w:w="196"/>
        <w:gridCol w:w="483"/>
      </w:tblGrid>
      <w:tr>
        <w:trPr/>
        <w:tc>
          <w:tcPr>
            <w:tcW w:w="2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604645" cy="175260"/>
                      <wp:effectExtent l="0" t="0" r="0" b="0"/>
                      <wp:wrapNone/>
                      <wp:docPr id="99" name="Frame98"/>
                      <a:graphic xmlns:a="http://schemas.openxmlformats.org/drawingml/2006/main">
                        <a:graphicData uri="http://schemas.microsoft.com/office/word/2010/wordprocessingShape">
                          <wps:wsp>
                            <wps:cNvSpPr txBox="1"/>
                            <wps:spPr>
                              <a:xfrm>
                                <a:off x="0" y="0"/>
                                <a:ext cx="160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34565" cy="175260"/>
                      <wp:effectExtent l="0" t="0" r="0" b="0"/>
                      <wp:wrapNone/>
                      <wp:docPr id="101" name="Frame100"/>
                      <a:graphic xmlns:a="http://schemas.openxmlformats.org/drawingml/2006/main">
                        <a:graphicData uri="http://schemas.microsoft.com/office/word/2010/wordprocessingShape">
                          <wps:wsp>
                            <wps:cNvSpPr txBox="1"/>
                            <wps:spPr>
                              <a:xfrm>
                                <a:off x="0" y="0"/>
                                <a:ext cx="2234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3"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5120" cy="175260"/>
                      <wp:effectExtent l="0" t="0" r="0" b="0"/>
                      <wp:wrapNone/>
                      <wp:docPr id="104" name="Frame103"/>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6"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89255" cy="175260"/>
                      <wp:effectExtent l="0" t="0" r="0" b="0"/>
                      <wp:wrapNone/>
                      <wp:docPr id="107" name="Frame106"/>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09"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24485" cy="175260"/>
                      <wp:effectExtent l="0" t="0" r="0" b="0"/>
                      <wp:wrapNone/>
                      <wp:docPr id="110" name="Frame1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2"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06705" cy="175260"/>
                      <wp:effectExtent l="0" t="0" r="0" b="0"/>
                      <wp:wrapNone/>
                      <wp:docPr id="113" name="Frame11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vAlign w:val="center"/>
          </w:tcPr>
          <w:p>
            <w:pPr>
              <w:pStyle w:val="TableContents"/>
              <w:bidi w:val="0"/>
              <w:spacing w:before="0" w:after="0"/>
              <w:ind w:left="0" w:right="0" w:hanging="0"/>
              <w:jc w:val="left"/>
              <w:rPr/>
            </w:pPr>
            <w:r>
              <w:rPr/>
              <w:t>​</w:t>
            </w:r>
          </w:p>
        </w:tc>
        <w:tc>
          <w:tcPr>
            <w:tcW w:w="351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346" w:type="dxa"/>
            <w:tcBorders/>
            <w:vAlign w:val="center"/>
          </w:tcPr>
          <w:p>
            <w:pPr>
              <w:pStyle w:val="TableContents"/>
              <w:bidi w:val="0"/>
              <w:spacing w:before="0" w:after="0"/>
              <w:ind w:left="0" w:right="0" w:hanging="0"/>
              <w:jc w:val="left"/>
              <w:rPr/>
            </w:pPr>
            <w:r>
              <w:rPr/>
              <w:t>​</w:t>
            </w:r>
          </w:p>
        </w:tc>
        <w:tc>
          <w:tcPr>
            <w:tcW w:w="16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7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5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vAlign w:val="center"/>
          </w:tcPr>
          <w:p>
            <w:pPr>
              <w:pStyle w:val="TableContents"/>
              <w:bidi w:val="0"/>
              <w:spacing w:before="0" w:after="0"/>
              <w:ind w:left="0" w:right="0" w:hanging="0"/>
              <w:jc w:val="left"/>
              <w:rPr/>
            </w:pPr>
            <w:r>
              <w:rPr/>
              <w:t>​</w:t>
            </w:r>
          </w:p>
        </w:tc>
        <w:tc>
          <w:tcPr>
            <w:tcW w:w="351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346" w:type="dxa"/>
            <w:tcBorders/>
            <w:vAlign w:val="center"/>
          </w:tcPr>
          <w:p>
            <w:pPr>
              <w:pStyle w:val="TableContents"/>
              <w:bidi w:val="0"/>
              <w:spacing w:before="0" w:after="0"/>
              <w:ind w:left="0" w:right="0" w:hanging="0"/>
              <w:jc w:val="left"/>
              <w:rPr/>
            </w:pPr>
            <w:r>
              <w:rPr/>
              <w:t>​</w:t>
            </w:r>
          </w:p>
        </w:tc>
        <w:tc>
          <w:tcPr>
            <w:tcW w:w="16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17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vAlign w:val="center"/>
          </w:tcPr>
          <w:p>
            <w:pPr>
              <w:pStyle w:val="TableContents"/>
              <w:bidi w:val="0"/>
              <w:spacing w:before="0" w:after="0"/>
              <w:ind w:left="0" w:right="0" w:hanging="0"/>
              <w:jc w:val="left"/>
              <w:rPr/>
            </w:pPr>
            <w:r>
              <w:rPr/>
              <w:t>  ​ ​ ​</w:t>
            </w:r>
          </w:p>
        </w:tc>
        <w:tc>
          <w:tcPr>
            <w:tcW w:w="35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346" w:type="dxa"/>
            <w:tcBorders/>
            <w:vAlign w:val="center"/>
          </w:tcPr>
          <w:p>
            <w:pPr>
              <w:pStyle w:val="TableContents"/>
              <w:bidi w:val="0"/>
              <w:spacing w:before="0" w:after="0"/>
              <w:ind w:left="0" w:right="0" w:hanging="0"/>
              <w:jc w:val="left"/>
              <w:rPr/>
            </w:pPr>
            <w:r>
              <w:rPr/>
              <w:t>  ​ ​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2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46" w:type="dxa"/>
            <w:tcBorders/>
            <w:vAlign w:val="center"/>
          </w:tcPr>
          <w:p>
            <w:pPr>
              <w:pStyle w:val="TableContents"/>
              <w:bidi w:val="0"/>
              <w:spacing w:before="0" w:after="0"/>
              <w:ind w:left="0" w:right="0" w:hanging="0"/>
              <w:jc w:val="left"/>
              <w:rPr/>
            </w:pPr>
            <w:r>
              <w:rPr/>
              <w:t>​</w:t>
            </w:r>
          </w:p>
        </w:tc>
        <w:tc>
          <w:tcPr>
            <w:tcW w:w="35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r>
      <w:tr>
        <w:trPr/>
        <w:tc>
          <w:tcPr>
            <w:tcW w:w="25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46" w:type="dxa"/>
            <w:tcBorders/>
            <w:shd w:fill="CCEEFF" w:val="clear"/>
            <w:vAlign w:val="center"/>
          </w:tcPr>
          <w:p>
            <w:pPr>
              <w:pStyle w:val="TableContents"/>
              <w:bidi w:val="0"/>
              <w:spacing w:before="0" w:after="0"/>
              <w:ind w:left="0" w:right="0" w:hanging="0"/>
              <w:jc w:val="left"/>
              <w:rPr/>
            </w:pPr>
            <w:r>
              <w:rPr/>
              <w:t>​</w:t>
            </w:r>
          </w:p>
        </w:tc>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r>
      <w:tr>
        <w:trPr/>
        <w:tc>
          <w:tcPr>
            <w:tcW w:w="252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35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25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35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the Company had the following open crude oil and natural gas derivative contracts:</w:t>
      </w:r>
    </w:p>
    <w:p>
      <w:pPr>
        <w:pStyle w:val="TextBody"/>
        <w:bidi w:val="0"/>
        <w:spacing w:before="0" w:after="0"/>
        <w:ind w:left="0" w:right="0" w:hanging="0"/>
        <w:jc w:val="left"/>
        <w:rPr/>
      </w:pPr>
      <w:r>
        <w:rPr/>
        <w:t>​</w:t>
      </w:r>
    </w:p>
    <w:tbl>
      <w:tblPr>
        <w:tblW w:w="9893" w:type="dxa"/>
        <w:jc w:val="left"/>
        <w:tblInd w:w="0" w:type="dxa"/>
        <w:tblLayout w:type="fixed"/>
        <w:tblCellMar>
          <w:top w:w="0" w:type="dxa"/>
          <w:left w:w="0" w:type="dxa"/>
          <w:bottom w:w="0" w:type="dxa"/>
          <w:right w:w="0" w:type="dxa"/>
        </w:tblCellMar>
      </w:tblPr>
      <w:tblGrid>
        <w:gridCol w:w="2161"/>
        <w:gridCol w:w="346"/>
        <w:gridCol w:w="856"/>
        <w:gridCol w:w="346"/>
        <w:gridCol w:w="1171"/>
        <w:gridCol w:w="346"/>
        <w:gridCol w:w="1051"/>
        <w:gridCol w:w="109"/>
        <w:gridCol w:w="181"/>
        <w:gridCol w:w="451"/>
        <w:gridCol w:w="346"/>
        <w:gridCol w:w="219"/>
        <w:gridCol w:w="546"/>
        <w:gridCol w:w="346"/>
        <w:gridCol w:w="181"/>
        <w:gridCol w:w="451"/>
        <w:gridCol w:w="109"/>
        <w:gridCol w:w="181"/>
        <w:gridCol w:w="4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72235" cy="175260"/>
                      <wp:effectExtent l="0" t="0" r="0" b="0"/>
                      <wp:wrapNone/>
                      <wp:docPr id="114" name="Frame11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43560" cy="175260"/>
                      <wp:effectExtent l="0" t="0" r="0" b="0"/>
                      <wp:wrapNone/>
                      <wp:docPr id="116" name="Frame11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43585" cy="175260"/>
                      <wp:effectExtent l="0" t="0" r="0" b="0"/>
                      <wp:wrapNone/>
                      <wp:docPr id="118" name="Frame11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67385" cy="175260"/>
                      <wp:effectExtent l="0" t="0" r="0" b="0"/>
                      <wp:wrapNone/>
                      <wp:docPr id="120" name="Frame1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4935" cy="175260"/>
                      <wp:effectExtent l="0" t="0" r="0" b="0"/>
                      <wp:wrapNone/>
                      <wp:docPr id="122" name="Frame1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86385" cy="175260"/>
                      <wp:effectExtent l="0" t="0" r="0" b="0"/>
                      <wp:wrapNone/>
                      <wp:docPr id="123" name="Frame12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9065" cy="175260"/>
                      <wp:effectExtent l="0" t="0" r="0" b="0"/>
                      <wp:wrapNone/>
                      <wp:docPr id="125" name="Frame12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46710" cy="175260"/>
                      <wp:effectExtent l="0" t="0" r="0" b="0"/>
                      <wp:wrapNone/>
                      <wp:docPr id="126" name="Frame125"/>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4935" cy="175260"/>
                      <wp:effectExtent l="0" t="0" r="0" b="0"/>
                      <wp:wrapNone/>
                      <wp:docPr id="128" name="Frame1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86385" cy="175260"/>
                      <wp:effectExtent l="0" t="0" r="0" b="0"/>
                      <wp:wrapNone/>
                      <wp:docPr id="129" name="Frame12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4935" cy="175260"/>
                      <wp:effectExtent l="0" t="0" r="0" b="0"/>
                      <wp:wrapNone/>
                      <wp:docPr id="131" name="Frame1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14960" cy="175260"/>
                      <wp:effectExtent l="0" t="0" r="0" b="0"/>
                      <wp:wrapNone/>
                      <wp:docPr id="132" name="Frame13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1"/>
              <w:ind w:left="0" w:right="0" w:hanging="0"/>
              <w:jc w:val="left"/>
              <w:rPr/>
            </w:pPr>
            <w:r>
              <w:rPr/>
              <w:t>​</w:t>
            </w:r>
          </w:p>
        </w:tc>
        <w:tc>
          <w:tcPr>
            <w:tcW w:w="35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09" w:type="dxa"/>
            <w:tcBorders/>
            <w:vAlign w:val="center"/>
          </w:tcPr>
          <w:p>
            <w:pPr>
              <w:pStyle w:val="TableContents"/>
              <w:bidi w:val="0"/>
              <w:spacing w:before="0" w:after="1"/>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September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186,513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60.27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January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14,375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57.05</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177,762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57.62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67.12</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September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Three-Way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67,002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58.83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70.36</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2,954,267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1,430,858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3.57</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2,857,522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4.83</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March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234,698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6.07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120"/>
        <w:ind w:left="0" w:right="0" w:hanging="0"/>
        <w:jc w:val="left"/>
        <w:rPr>
          <w:rFonts w:ascii="Times New Roman;Times;serif" w:hAnsi="Times New Roman;Times;serif"/>
          <w:sz w:val="20"/>
        </w:rPr>
      </w:pPr>
      <w:bookmarkStart w:id="986" w:name="Tc_NPT0xsgLqU24dC8EZQANng_5_11"/>
      <w:bookmarkStart w:id="987" w:name="Tc_fc5978ci2UOjg6VNGHB1ow_5_8"/>
      <w:bookmarkStart w:id="988" w:name="Tc_hJKliHqplEKM1tIOelGzdw_5_5"/>
      <w:bookmarkStart w:id="989" w:name="Tc_dSigsgLAxEylV41gXDylfg_5_2"/>
      <w:bookmarkStart w:id="990" w:name="Tc_DQwMZOsBLkOSvc-eFd7Yxw_5_0"/>
      <w:bookmarkStart w:id="991" w:name="Tc_r3sesC8UEkuoneOlQbTLdA_4_0"/>
      <w:bookmarkStart w:id="992" w:name="Tc_ktTE3wGte0yPPAVa7Rn-JQ_3_11"/>
      <w:bookmarkStart w:id="993" w:name="Tc_JASZekxtF0-Fgkb_DC-sFQ_3_8"/>
      <w:bookmarkStart w:id="994" w:name="Tc_AAZJe7SGZkmoS3XsjiWoVQ_3_5"/>
      <w:bookmarkStart w:id="995" w:name="Tc_dO9Ix3pkg02dN3KTs9hF-w_3_2"/>
      <w:bookmarkStart w:id="996" w:name="Tc_e2jCMPWYy0mVY64ygVFbFw_3_0"/>
      <w:bookmarkStart w:id="997" w:name="Tc_BLHs4OF6fkejbCDhTtyaiw_2_11"/>
      <w:bookmarkStart w:id="998" w:name="Tc_klUE3wK0lkWRkFC5GnOSrg_2_8"/>
      <w:bookmarkStart w:id="999" w:name="Tc_ffQxbg-Mv0eFJ-I8ls3a7g_2_5"/>
      <w:bookmarkStart w:id="1000" w:name="Tc_tCIJq5vrz0i-6m0FvAzLEw_2_2"/>
      <w:bookmarkStart w:id="1001" w:name="Tc_J1apTNuLU0ul15h-NBUwnQ_2_0"/>
      <w:bookmarkStart w:id="1002" w:name="Tc_gPZKOHNKeEOvrlp8TNL9MA_1_8"/>
      <w:bookmarkStart w:id="1003" w:name="Tc_RuZcU8M2DkSns1e1pommjg_1_2"/>
      <w:bookmarkStart w:id="1004" w:name="Tc_03DIlWnwHU6urUwNCvAk7g_6_4"/>
      <w:bookmarkStart w:id="1005" w:name="Tc_uJ9oN11Kp0aqRp30CdKecw_6_2"/>
      <w:bookmarkStart w:id="1006" w:name="Tc_Qxz1onqJq0GfNdJcV-4fJg_6_0"/>
      <w:bookmarkStart w:id="1007" w:name="Tc_ZMpYBberB0iOtGPOHWb04Q_5_17"/>
      <w:bookmarkStart w:id="1008" w:name="Tc_mQIPWbZ4K0icadatXqfaJQ_5_14"/>
      <w:bookmarkStart w:id="1009" w:name="Tc_4D2Mfa0tbEy97J47jcMtdQ_5_4"/>
      <w:bookmarkStart w:id="1010" w:name="Tc_U4-wo8I6UE6DVvoZrfgowg_5_2"/>
      <w:bookmarkStart w:id="1011" w:name="Tc_lEZAe8uDsU-pgpowVHhaQA_5_0"/>
      <w:bookmarkStart w:id="1012" w:name="Tc_cLGFp9T2FECAfaWJcTH-Ig_4_4"/>
      <w:bookmarkStart w:id="1013" w:name="Tc_Ep42QTZJREac4O1QyRM3aw_4_2"/>
      <w:bookmarkStart w:id="1014" w:name="Tc_ixht0I8iQ06QetWbJ09NNg_4_0"/>
      <w:bookmarkStart w:id="1015" w:name="Tc_kp1ztFD1IEqtw9k2aB8etg_3_8"/>
      <w:bookmarkStart w:id="1016" w:name="Tc_BIW8vnX4ik22ucPzvRvmpg_3_4"/>
      <w:bookmarkStart w:id="1017" w:name="Tc_psZG-BzoxkqjceSJtCGcAw_3_2"/>
      <w:bookmarkStart w:id="1018" w:name="Tc_xVIpeVVhaEuO5jobsvIAow_3_0"/>
      <w:bookmarkStart w:id="1019" w:name="Tc_GUbAQXe7WEqrwTdkpgQvPQ_2_17"/>
      <w:bookmarkStart w:id="1020" w:name="Tc_4-qoVEOwN0O5CIsGdO6IrA_2_14"/>
      <w:bookmarkStart w:id="1021" w:name="Tc_iD6yRX7exkC43Wu99tOj6A_2_11"/>
      <w:bookmarkStart w:id="1022" w:name="Tc_C9KLJ8yakEC0E7nJOfNTQA_2_8"/>
      <w:bookmarkStart w:id="1023" w:name="Tc_EnmF9poGpUSv-AmUcNVLgA_2_6"/>
      <w:bookmarkStart w:id="1024" w:name="Tc_cLYJBOx-GU62W4c0A_oWfA_2_4"/>
      <w:bookmarkStart w:id="1025" w:name="Tc_aftkXf0TCkG8QF7cG1D7Bw_2_2"/>
      <w:bookmarkStart w:id="1026" w:name="Tc_wdv9zZpTbE2bwYu9zxO-2w_2_0"/>
      <w:bookmarkStart w:id="1027" w:name="Tc_AmFnk7TF-EmFsyv_izLltw_1_8"/>
      <w:bookmarkStart w:id="1028" w:name="Tc_aBv9gKfX5UKHfTdu7knqxw_1_6"/>
      <w:bookmarkStart w:id="1029" w:name="_a7eb3e52_8991_47a8_a6e0_63ef6ba25b6e"/>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rFonts w:ascii="Times New Roman;Times;serif" w:hAnsi="Times New Roman;Times;serif"/>
          <w:sz w:val="20"/>
        </w:rPr>
        <w:t>Subsequent to December 31, 2025, the Company entered into the following new crude oil and natural gas derivative contracts:</w:t>
      </w:r>
    </w:p>
    <w:tbl>
      <w:tblPr>
        <w:tblW w:w="9653" w:type="dxa"/>
        <w:jc w:val="left"/>
        <w:tblInd w:w="0" w:type="dxa"/>
        <w:tblLayout w:type="fixed"/>
        <w:tblCellMar>
          <w:top w:w="0" w:type="dxa"/>
          <w:left w:w="0" w:type="dxa"/>
          <w:bottom w:w="0" w:type="dxa"/>
          <w:right w:w="0" w:type="dxa"/>
        </w:tblCellMar>
      </w:tblPr>
      <w:tblGrid>
        <w:gridCol w:w="1921"/>
        <w:gridCol w:w="346"/>
        <w:gridCol w:w="856"/>
        <w:gridCol w:w="346"/>
        <w:gridCol w:w="1171"/>
        <w:gridCol w:w="346"/>
        <w:gridCol w:w="1051"/>
        <w:gridCol w:w="109"/>
        <w:gridCol w:w="181"/>
        <w:gridCol w:w="451"/>
        <w:gridCol w:w="346"/>
        <w:gridCol w:w="382"/>
        <w:gridCol w:w="383"/>
        <w:gridCol w:w="346"/>
        <w:gridCol w:w="181"/>
        <w:gridCol w:w="451"/>
        <w:gridCol w:w="109"/>
        <w:gridCol w:w="181"/>
        <w:gridCol w:w="49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19835" cy="175260"/>
                      <wp:effectExtent l="0" t="0" r="0" b="0"/>
                      <wp:wrapNone/>
                      <wp:docPr id="133" name="Frame13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43560" cy="175260"/>
                      <wp:effectExtent l="0" t="0" r="0" b="0"/>
                      <wp:wrapNone/>
                      <wp:docPr id="135" name="Frame13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43585" cy="175260"/>
                      <wp:effectExtent l="0" t="0" r="0" b="0"/>
                      <wp:wrapNone/>
                      <wp:docPr id="137" name="Frame13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67385" cy="175260"/>
                      <wp:effectExtent l="0" t="0" r="0" b="0"/>
                      <wp:wrapNone/>
                      <wp:docPr id="139" name="Frame1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0"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4935" cy="175260"/>
                      <wp:effectExtent l="0" t="0" r="0" b="0"/>
                      <wp:wrapNone/>
                      <wp:docPr id="141" name="Frame1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86385" cy="175260"/>
                      <wp:effectExtent l="0" t="0" r="0" b="0"/>
                      <wp:wrapNone/>
                      <wp:docPr id="142" name="Frame14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42570" cy="175260"/>
                      <wp:effectExtent l="0" t="0" r="0" b="0"/>
                      <wp:wrapNone/>
                      <wp:docPr id="144" name="Frame14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43205" cy="175260"/>
                      <wp:effectExtent l="0" t="0" r="0" b="0"/>
                      <wp:wrapNone/>
                      <wp:docPr id="145" name="Frame14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4935" cy="175260"/>
                      <wp:effectExtent l="0" t="0" r="0" b="0"/>
                      <wp:wrapNone/>
                      <wp:docPr id="147" name="Frame1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6385" cy="175260"/>
                      <wp:effectExtent l="0" t="0" r="0" b="0"/>
                      <wp:wrapNone/>
                      <wp:docPr id="148" name="Frame14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9"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4935" cy="175260"/>
                      <wp:effectExtent l="0" t="0" r="0" b="0"/>
                      <wp:wrapNone/>
                      <wp:docPr id="150"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14960" cy="175260"/>
                      <wp:effectExtent l="0" t="0" r="0" b="0"/>
                      <wp:wrapNone/>
                      <wp:docPr id="151" name="Frame15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0"/>
              <w:ind w:left="0" w:right="0" w:hanging="0"/>
              <w:jc w:val="left"/>
              <w:rPr/>
            </w:pPr>
            <w:r>
              <w:rPr/>
              <w:t>​</w:t>
            </w:r>
          </w:p>
        </w:tc>
        <w:tc>
          <w:tcPr>
            <w:tcW w:w="350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09"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192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February 2026 - March 2026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60.35</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January 2027 - March 2027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35,262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60.88</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r>
      <w:tr>
        <w:trPr/>
        <w:tc>
          <w:tcPr>
            <w:tcW w:w="192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January 2027 - 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41,364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53.26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63.27</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January 2027 - February 2027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509,946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5.82</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for the periods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57"/>
        <w:gridCol w:w="346"/>
        <w:gridCol w:w="383"/>
        <w:gridCol w:w="1118"/>
        <w:gridCol w:w="361"/>
        <w:gridCol w:w="287"/>
        <w:gridCol w:w="839"/>
        <w:gridCol w:w="346"/>
        <w:gridCol w:w="383"/>
        <w:gridCol w:w="1118"/>
        <w:gridCol w:w="395"/>
        <w:gridCol w:w="282"/>
        <w:gridCol w:w="890"/>
      </w:tblGrid>
      <w:tr>
        <w:trPr/>
        <w:tc>
          <w:tcPr>
            <w:tcW w:w="3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5195" cy="175260"/>
                      <wp:effectExtent l="0" t="0" r="0" b="0"/>
                      <wp:wrapNone/>
                      <wp:docPr id="152" name="Frame151"/>
                      <a:graphic xmlns:a="http://schemas.openxmlformats.org/drawingml/2006/main">
                        <a:graphicData uri="http://schemas.microsoft.com/office/word/2010/wordprocessingShape">
                          <wps:wsp>
                            <wps:cNvSpPr txBox="1"/>
                            <wps:spPr>
                              <a:xfrm>
                                <a:off x="0" y="0"/>
                                <a:ext cx="2195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3205" cy="175260"/>
                      <wp:effectExtent l="0" t="0" r="0" b="0"/>
                      <wp:wrapNone/>
                      <wp:docPr id="154" name="Frame15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09930" cy="175260"/>
                      <wp:effectExtent l="0" t="0" r="0" b="0"/>
                      <wp:wrapNone/>
                      <wp:docPr id="155" name="Frame154"/>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9235" cy="175260"/>
                      <wp:effectExtent l="0" t="0" r="0" b="0"/>
                      <wp:wrapNone/>
                      <wp:docPr id="156" name="Frame1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2245" cy="175260"/>
                      <wp:effectExtent l="0" t="0" r="0" b="0"/>
                      <wp:wrapNone/>
                      <wp:docPr id="157" name="Frame15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32765" cy="175260"/>
                      <wp:effectExtent l="0" t="0" r="0" b="0"/>
                      <wp:wrapNone/>
                      <wp:docPr id="158" name="Frame15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3205" cy="175260"/>
                      <wp:effectExtent l="0" t="0" r="0" b="0"/>
                      <wp:wrapNone/>
                      <wp:docPr id="160" name="Frame15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09930" cy="175260"/>
                      <wp:effectExtent l="0" t="0" r="0" b="0"/>
                      <wp:wrapNone/>
                      <wp:docPr id="161" name="Frame160"/>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50825" cy="175260"/>
                      <wp:effectExtent l="0" t="0" r="0" b="0"/>
                      <wp:wrapNone/>
                      <wp:docPr id="162" name="Frame16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9070" cy="175260"/>
                      <wp:effectExtent l="0" t="0" r="0" b="0"/>
                      <wp:wrapNone/>
                      <wp:docPr id="163" name="Frame16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65150" cy="175260"/>
                      <wp:effectExtent l="0" t="0" r="0" b="0"/>
                      <wp:wrapNone/>
                      <wp:docPr id="164" name="Frame163"/>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Assets</w:t>
            </w:r>
          </w:p>
        </w:tc>
        <w:tc>
          <w:tcPr>
            <w:tcW w:w="346" w:type="dxa"/>
            <w:tcBorders/>
            <w:vAlign w:val="center"/>
          </w:tcPr>
          <w:p>
            <w:pPr>
              <w:pStyle w:val="TableContents"/>
              <w:bidi w:val="0"/>
              <w:spacing w:before="0" w:after="0"/>
              <w:ind w:left="0" w:right="0" w:hanging="0"/>
              <w:jc w:val="left"/>
              <w:rPr/>
            </w:pPr>
            <w:r>
              <w:rPr/>
              <w:t>​</w:t>
            </w:r>
          </w:p>
        </w:tc>
        <w:tc>
          <w:tcPr>
            <w:tcW w:w="3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Liabilities</w:t>
            </w:r>
          </w:p>
        </w:tc>
      </w:tr>
      <w:tr>
        <w:trPr/>
        <w:tc>
          <w:tcPr>
            <w:tcW w:w="34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61"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95"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4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3,331</w:t>
            </w:r>
          </w:p>
        </w:tc>
        <w:tc>
          <w:tcPr>
            <w:tcW w:w="361"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1,970</w:t>
            </w:r>
          </w:p>
        </w:tc>
        <w:tc>
          <w:tcPr>
            <w:tcW w:w="39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w:t>
            </w:r>
          </w:p>
        </w:tc>
      </w:tr>
      <w:tr>
        <w:trPr/>
        <w:tc>
          <w:tcPr>
            <w:tcW w:w="34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w:t>
            </w:r>
          </w:p>
        </w:tc>
        <w:tc>
          <w:tcPr>
            <w:tcW w:w="361"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w:t>
            </w:r>
          </w:p>
        </w:tc>
        <w:tc>
          <w:tcPr>
            <w:tcW w:w="395"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34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w:t>
            </w:r>
          </w:p>
        </w:tc>
        <w:tc>
          <w:tcPr>
            <w:tcW w:w="361"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w:t>
            </w:r>
          </w:p>
        </w:tc>
        <w:tc>
          <w:tcPr>
            <w:tcW w:w="395"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pPr>
      <w:bookmarkStart w:id="1030" w:name="Tc_Aj0BvZeVcEiPzFb6dlwpyA_7_11"/>
      <w:bookmarkStart w:id="1031" w:name="Tc_hrikjx9Ex0CjLa5XKc7KZA_7_9"/>
      <w:bookmarkStart w:id="1032" w:name="Tc_pNEAsEzXS0CaxrvyjRI4Sg_7_8"/>
      <w:bookmarkStart w:id="1033" w:name="Tc_LUASmrc_1EugwMG2w0AX9Q_7_5"/>
      <w:bookmarkStart w:id="1034" w:name="Tc_eXLzdvglYUuwyurV81_9-w_7_3"/>
      <w:bookmarkStart w:id="1035" w:name="Tc_NlllBCyIrkmt_fAFDl6f-Q_7_2"/>
      <w:bookmarkStart w:id="1036" w:name="Tc_es-9hpZvYUOW6xPo1WbZkg_7_0"/>
      <w:bookmarkStart w:id="1037" w:name="Tc_9tFyzMbPEkyWHxOzdG50tQ_6_0"/>
      <w:bookmarkStart w:id="1038" w:name="Tc_3_qJwt6T4kObjcf6Px9ocA_4_11"/>
      <w:bookmarkStart w:id="1039" w:name="Tc_B_biIUsheU6E6o3u0tzwgA_4_9"/>
      <w:bookmarkStart w:id="1040" w:name="Tc_9G4G-Z6LnE6DemhicaxFLQ_4_8"/>
      <w:bookmarkStart w:id="1041" w:name="Tc_CNrxV_s5rUOn0xutUiItvA_4_5"/>
      <w:bookmarkStart w:id="1042" w:name="Tc_r3xIDJw2ZUyiLJg8Y3weTA_4_3"/>
      <w:bookmarkStart w:id="1043" w:name="Tc_9rbBCOQdmEW7L7BXRds95A_4_2"/>
      <w:bookmarkStart w:id="1044" w:name="Tc_oQ6WUWITNkmR9N2mWSmtYg_4_0"/>
      <w:bookmarkStart w:id="1045" w:name="Tc_yoJpWhpO3k2V5J6Ar1yEWw_3_0"/>
      <w:bookmarkStart w:id="1046" w:name="Tc_W0ZiC8dn4UycyfPCW_n4Cw_2_11"/>
      <w:bookmarkStart w:id="1047" w:name="Tc_3cRELJJwb0Cbtqq8Dqm0Hg_2_8"/>
      <w:bookmarkStart w:id="1048" w:name="Tc_5yL35hLCHkiYa6_vse3eJA_2_5"/>
      <w:bookmarkStart w:id="1049" w:name="Tc_TDPNYx0tPkqGJJPKz8KTOw_2_2"/>
      <w:bookmarkStart w:id="1050" w:name="Tc_ocAFvCPy1UKOJm8lZCiX2w_1_2"/>
      <w:bookmarkStart w:id="1051" w:name="_cf4886da_d818_461c_b878_0e52ff679af7"/>
      <w:bookmarkStart w:id="1052" w:name="Tc_Uc5Ci6BpCE-pHjrJXrEZ9g_7_11"/>
      <w:bookmarkStart w:id="1053" w:name="Tc_zt7wLzTTfUuxCZtHZcz28A_7_9"/>
      <w:bookmarkStart w:id="1054" w:name="Tc_KW2tgH-zYEe1tyLsIG4slA_7_8"/>
      <w:bookmarkStart w:id="1055" w:name="Tc_uo6cuSr3hEGegt6Q0stNyg_7_5"/>
      <w:bookmarkStart w:id="1056" w:name="Tc_ft4-G85fZkyamZR9HZl9Qw_7_3"/>
      <w:bookmarkStart w:id="1057" w:name="Tc_d-dBgxt7UkiGl13tFUHzRQ_7_2"/>
      <w:bookmarkStart w:id="1058" w:name="Tc_q_CmRaqogUWYG4rN32D0GA_7_0"/>
      <w:bookmarkStart w:id="1059" w:name="Tc_AipuXJBJ6U2bbu3Hu-iO8w_6_0"/>
      <w:bookmarkStart w:id="1060" w:name="Tc_TkE9b4qKX0mtwOkEx_nzzA_4_11"/>
      <w:bookmarkStart w:id="1061" w:name="Tc_xCu8bn9vf0qAZ2vuP7ya8w_4_9"/>
      <w:bookmarkStart w:id="1062" w:name="Tc_p_t82qCFLkG-5h47iFq7VA_4_8"/>
      <w:bookmarkStart w:id="1063" w:name="Tc_g9IaIzdwG0m0rnUiyJ1eKg_4_5"/>
      <w:bookmarkStart w:id="1064" w:name="Tc_1YtQJ0i0NES2XiDIs6uR6g_4_3"/>
      <w:bookmarkStart w:id="1065" w:name="Tc_KF1EeKda6UOda1Lw4H5aOQ_4_2"/>
      <w:bookmarkStart w:id="1066" w:name="Tc_cgi5TWqeNUyCIG8VdxneDA_4_0"/>
      <w:bookmarkStart w:id="1067" w:name="Tc_Aq2Z0UA6jUCEtS0UrtoRtQ_3_0"/>
      <w:bookmarkStart w:id="1068" w:name="Tc_1Ld-ZhNAFkS24uBw9HRiXw_2_11"/>
      <w:bookmarkStart w:id="1069" w:name="Tc_ZPaEMftngE6mnEsJNfCFwQ_2_8"/>
      <w:bookmarkStart w:id="1070" w:name="Tc_dbxwl_M7-UaOUURlztr_Xg_2_5"/>
      <w:bookmarkStart w:id="1071" w:name="Tc_-HCK55vY806qXA9XfVAxuQ_2_2"/>
      <w:bookmarkStart w:id="1072" w:name="Tc_Gl8gaSKLPESJDaCKXTcjHg_1_2"/>
      <w:bookmarkStart w:id="1073" w:name="_2e76a9d5_741f_427b_b807_ee7b4b9c6bd6"/>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for the periods presented (in thousands). </w:t>
      </w:r>
    </w:p>
    <w:p>
      <w:pPr>
        <w:pStyle w:val="TextBody"/>
        <w:bidi w:val="0"/>
        <w:spacing w:before="0" w:after="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53185" cy="175260"/>
                      <wp:effectExtent l="0" t="0" r="0" b="0"/>
                      <wp:wrapNone/>
                      <wp:docPr id="165" name="Frame16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7955" cy="175260"/>
                      <wp:effectExtent l="0" t="0" r="0" b="0"/>
                      <wp:wrapNone/>
                      <wp:docPr id="167" name="Frame16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1620" cy="175260"/>
                      <wp:effectExtent l="0" t="0" r="0" b="0"/>
                      <wp:wrapNone/>
                      <wp:docPr id="168" name="Frame16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24485" cy="175260"/>
                      <wp:effectExtent l="0" t="0" r="0" b="0"/>
                      <wp:wrapNone/>
                      <wp:docPr id="171" name="Frame17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7955" cy="175260"/>
                      <wp:effectExtent l="0" t="0" r="0" b="0"/>
                      <wp:wrapNone/>
                      <wp:docPr id="173" name="Frame17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1620" cy="175260"/>
                      <wp:effectExtent l="0" t="0" r="0" b="0"/>
                      <wp:wrapNone/>
                      <wp:docPr id="174" name="Frame17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6"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91160" cy="175260"/>
                      <wp:effectExtent l="0" t="0" r="0" b="0"/>
                      <wp:wrapNone/>
                      <wp:docPr id="177" name="Frame17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3,331</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3,331</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1,970</w:t>
            </w:r>
          </w:p>
        </w:tc>
      </w:tr>
    </w:tbl>
    <w:p>
      <w:pPr>
        <w:pStyle w:val="TextBody"/>
        <w:bidi w:val="0"/>
        <w:spacing w:before="0" w:after="24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53185" cy="175260"/>
                      <wp:effectExtent l="0" t="0" r="0" b="0"/>
                      <wp:wrapNone/>
                      <wp:docPr id="178" name="Frame17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7955" cy="175260"/>
                      <wp:effectExtent l="0" t="0" r="0" b="0"/>
                      <wp:wrapNone/>
                      <wp:docPr id="180" name="Frame17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1620" cy="175260"/>
                      <wp:effectExtent l="0" t="0" r="0" b="0"/>
                      <wp:wrapNone/>
                      <wp:docPr id="181" name="Frame18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83"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24485" cy="175260"/>
                      <wp:effectExtent l="0" t="0" r="0" b="0"/>
                      <wp:wrapNone/>
                      <wp:docPr id="184" name="Frame1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7955" cy="175260"/>
                      <wp:effectExtent l="0" t="0" r="0" b="0"/>
                      <wp:wrapNone/>
                      <wp:docPr id="186" name="Frame1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61620" cy="175260"/>
                      <wp:effectExtent l="0" t="0" r="0" b="0"/>
                      <wp:wrapNone/>
                      <wp:docPr id="187" name="Frame18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89"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91160" cy="175260"/>
                      <wp:effectExtent l="0" t="0" r="0" b="0"/>
                      <wp:wrapNone/>
                      <wp:docPr id="190" name="Frame18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3,360</w:t>
            </w:r>
          </w:p>
        </w:tc>
      </w:tr>
    </w:tbl>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074" w:name="Tc_-_OMX6O7ikSZ1aUYkG5BvA_7_2"/>
      <w:bookmarkStart w:id="1075" w:name="Tc_t_1KwuacSk-TOEM7-FcTBQ_7_0"/>
      <w:bookmarkStart w:id="1076" w:name="Tc_dlku3Vd0LkqtZTeE6QzWbA_6_0"/>
      <w:bookmarkStart w:id="1077" w:name="Tc_WTPOyeNW-0-AvFfyyb81aw_5_0"/>
      <w:bookmarkStart w:id="1078" w:name="Tc_m5RGfx-IgUWDIMEqqoe32Q_4_0"/>
      <w:bookmarkStart w:id="1079" w:name="Tc_dolmSwE_U0qfIQqt8Vlw-A_3_0"/>
      <w:bookmarkStart w:id="1080" w:name="Tc_yyRq-r4a0k63o3bDALUNRA_2_2"/>
      <w:bookmarkStart w:id="1081" w:name="Tc_jkKV_yu8hkiN5URZZJlhoQ_2_0"/>
      <w:bookmarkStart w:id="1082" w:name="Tc_WlhhRblY_0SDzT_NqjG17g_1_2"/>
      <w:bookmarkStart w:id="1083" w:name="_ca729665_5364_4415_b087_50a217d730f7"/>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Note 9. Asset Retirement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Times;serif" w:hAnsi="Times New Roman;Times;serif"/>
          <w:i/>
          <w:sz w:val="20"/>
        </w:rPr>
        <w:t xml:space="preserve">Oil and natural gas properties, subject to amortization,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period ended December 31, 2025 (in thousands):</w:t>
      </w:r>
    </w:p>
    <w:tbl>
      <w:tblPr>
        <w:tblW w:w="5703" w:type="dxa"/>
        <w:jc w:val="left"/>
        <w:tblInd w:w="0" w:type="dxa"/>
        <w:tblLayout w:type="fixed"/>
        <w:tblCellMar>
          <w:top w:w="0" w:type="dxa"/>
          <w:left w:w="0" w:type="dxa"/>
          <w:bottom w:w="0" w:type="dxa"/>
          <w:right w:w="0" w:type="dxa"/>
        </w:tblCellMar>
      </w:tblPr>
      <w:tblGrid>
        <w:gridCol w:w="3766"/>
        <w:gridCol w:w="346"/>
        <w:gridCol w:w="345"/>
        <w:gridCol w:w="124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391410" cy="175260"/>
                      <wp:effectExtent l="0" t="0" r="0" b="0"/>
                      <wp:wrapNone/>
                      <wp:docPr id="191" name="Frame190"/>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075" cy="175260"/>
                      <wp:effectExtent l="0" t="0" r="0" b="0"/>
                      <wp:wrapNone/>
                      <wp:docPr id="193" name="Frame192"/>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91210" cy="175260"/>
                      <wp:effectExtent l="0" t="0" r="0" b="0"/>
                      <wp:wrapNone/>
                      <wp:docPr id="194" name="Frame19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 and divested</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22,440</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22,309</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120"/>
        <w:ind w:left="0" w:right="0" w:hanging="0"/>
        <w:jc w:val="left"/>
        <w:rPr>
          <w:rFonts w:ascii="Times New Roman;Times;serif" w:hAnsi="Times New Roman;Times;serif"/>
          <w:b/>
          <w:sz w:val="20"/>
        </w:rPr>
      </w:pPr>
      <w:bookmarkStart w:id="1084" w:name="Tc_cowd--w2IU2e2W2SnkGJ8g_4_0"/>
      <w:bookmarkStart w:id="1085" w:name="Tc_arQ6alZHMEWl_fdk3NqLmg_3_5"/>
      <w:bookmarkStart w:id="1086" w:name="Tc_oo9jhCrEE0y_-rVimRO2bQ_3_2"/>
      <w:bookmarkStart w:id="1087" w:name="Tc_JiwEFM7DV0CoxmE35pZ7yA_3_0"/>
      <w:bookmarkStart w:id="1088" w:name="Tc_F10cKB6hbk-Z-noLJYGoOw_2_5"/>
      <w:bookmarkStart w:id="1089" w:name="Tc_8BtwLGG8aEKSFYxYvwQnVg_2_2"/>
      <w:bookmarkStart w:id="1090" w:name="Tc_WyIQ6UJBgEyvziq86MxDCA_1_2"/>
      <w:bookmarkStart w:id="1091" w:name="_7829c56e_1e63_4215_87a8_4acdb16554ad"/>
      <w:bookmarkStart w:id="1092" w:name="Narr_CFJPx5YZeEaWlkWjk9TZ-g"/>
      <w:bookmarkEnd w:id="1084"/>
      <w:bookmarkEnd w:id="1085"/>
      <w:bookmarkEnd w:id="1086"/>
      <w:bookmarkEnd w:id="1087"/>
      <w:bookmarkEnd w:id="1088"/>
      <w:bookmarkEnd w:id="1089"/>
      <w:bookmarkEnd w:id="1090"/>
      <w:bookmarkEnd w:id="1091"/>
      <w:bookmarkEnd w:id="1092"/>
      <w:r>
        <w:rPr>
          <w:rFonts w:ascii="Times New Roman;Times;serif" w:hAnsi="Times New Roman;Times;serif"/>
          <w:b/>
          <w:sz w:val="20"/>
        </w:rPr>
        <w:t>Note 11. Stockholders’ Equity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2025, the Company had 35,003,844 shares of 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began paying quarterly cash dividends on common stock in December 2013. As of December 31, 2025, the Company has cumulatively paid over $143.1 million in cash dividends. The Company paid dividends of $8.4 million and $8.1 million to its common stockholders during the six months ended December 31, 2025 and 2024, respectively.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reflects the dividends paid per share within the respective three-month periods:</w:t>
      </w:r>
    </w:p>
    <w:tbl>
      <w:tblPr>
        <w:tblW w:w="3817" w:type="dxa"/>
        <w:jc w:val="left"/>
        <w:tblInd w:w="0" w:type="dxa"/>
        <w:tblLayout w:type="fixed"/>
        <w:tblCellMar>
          <w:top w:w="0" w:type="dxa"/>
          <w:left w:w="0" w:type="dxa"/>
          <w:bottom w:w="0" w:type="dxa"/>
          <w:right w:w="0" w:type="dxa"/>
        </w:tblCellMar>
      </w:tblPr>
      <w:tblGrid>
        <w:gridCol w:w="1606"/>
        <w:gridCol w:w="346"/>
        <w:gridCol w:w="196"/>
        <w:gridCol w:w="511"/>
        <w:gridCol w:w="346"/>
        <w:gridCol w:w="196"/>
        <w:gridCol w:w="61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19810" cy="175260"/>
                      <wp:effectExtent l="0" t="0" r="0" b="0"/>
                      <wp:wrapNone/>
                      <wp:docPr id="195" name="Frame19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97"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24485" cy="175260"/>
                      <wp:effectExtent l="0" t="0" r="0" b="0"/>
                      <wp:wrapNone/>
                      <wp:docPr id="198" name="Frame1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0"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91160" cy="175260"/>
                      <wp:effectExtent l="0" t="0" r="0" b="0"/>
                      <wp:wrapNone/>
                      <wp:docPr id="201" name="Frame2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At-the-Market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to facilitate acquisitions and other general corporate purposes. During the six months ended December 31, 2025, the Company sold a total of approximately 0.3 million shares of its common stock under the ATM Sales Agreement for net proceeds of approximately $1.2 million,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color w:val="212529"/>
          <w:sz w:val="20"/>
          <w:shd w:fill="FFFFFF" w:val="clear"/>
        </w:rPr>
      </w:pPr>
      <w:bookmarkStart w:id="1093" w:name="_Hlk213148037"/>
      <w:bookmarkStart w:id="1094" w:name="Tc_zX2cgm0rJ06MP5zqAzAboQ_6_5"/>
      <w:bookmarkStart w:id="1095" w:name="Tc_nlbGKEQUMkaLUUq3riU9jw_6_2"/>
      <w:bookmarkStart w:id="1096" w:name="Tc_jL0uu2e1NUSsfdc0YGmh2w_6_0"/>
      <w:bookmarkStart w:id="1097" w:name="Tc_4oM0raMVMkeWyXWMg94ENA_5_5"/>
      <w:bookmarkStart w:id="1098" w:name="Tc_iTRvJT-Rb0qZ260dHvCepw_5_2"/>
      <w:bookmarkStart w:id="1099" w:name="Tc_ky43RYCvRUCKNRmdVXmPJA_5_0"/>
      <w:bookmarkStart w:id="1100" w:name="Tc_3Px7b38_kka6AygWtGGZCw_4_0"/>
      <w:bookmarkStart w:id="1101" w:name="Tc_xN2PkUM-60OAjgTPeYc3Yg_3_5"/>
      <w:bookmarkStart w:id="1102" w:name="Tc_GxLbQBWN9EyKSmwoRcEGqg_3_2"/>
      <w:bookmarkStart w:id="1103" w:name="Tc_0n1TMySV6k-wIoAdlqH06g_2_2"/>
      <w:bookmarkStart w:id="1104" w:name="Tc_ikdi3kpC7UOmMMkl_c5HuA_1_2"/>
      <w:bookmarkStart w:id="1105" w:name="_faec2dab_219a_4016_96a6_ff08ac0a25ec"/>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color w:val="212529"/>
          <w:sz w:val="20"/>
          <w:shd w:fill="FFFFFF" w:val="clear"/>
        </w:rPr>
        <w:t xml:space="preserve">of $46 thousand of offering costs. The Company intends to use the net proceeds from sales of common stock for general corporate purposes, including to repay outstanding indebtedness.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in open market transactions, through privately negotiated transactions or by other means in accordance with federal securities laws. The Company did not repurchase any shares of common stock under the plan during the six months ended December 31, 2024. While the plan was in effect, a total of 0.8 million shares of the Company’s common stock were repurchased under the program at a total cost of approximately $4.6 million, including incremental direct transaction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December 31, 2025 and 2024, the Company acquired treasury stock upon the ordinary course of scheduled vestings of employee stock-based awards to fund payroll tax withholding obligations. These treasury shares were subsequently cancelled. Such shares were valued at fair market value on the date of vesting.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all treasury stock purchases during the periods presented (in thousands, except per share amounts):</w:t>
      </w:r>
    </w:p>
    <w:tbl>
      <w:tblPr>
        <w:tblW w:w="4561" w:type="dxa"/>
        <w:jc w:val="left"/>
        <w:tblInd w:w="0" w:type="dxa"/>
        <w:tblLayout w:type="fixed"/>
        <w:tblCellMar>
          <w:top w:w="0" w:type="dxa"/>
          <w:left w:w="0" w:type="dxa"/>
          <w:bottom w:w="0" w:type="dxa"/>
          <w:right w:w="0" w:type="dxa"/>
        </w:tblCellMar>
      </w:tblPr>
      <w:tblGrid>
        <w:gridCol w:w="2761"/>
        <w:gridCol w:w="346"/>
        <w:gridCol w:w="203"/>
        <w:gridCol w:w="436"/>
        <w:gridCol w:w="113"/>
        <w:gridCol w:w="203"/>
        <w:gridCol w:w="499"/>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53235" cy="175260"/>
                      <wp:effectExtent l="0" t="0" r="0" b="0"/>
                      <wp:wrapNone/>
                      <wp:docPr id="202" name="Frame20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8905" cy="175260"/>
                      <wp:effectExtent l="0" t="0" r="0" b="0"/>
                      <wp:wrapNone/>
                      <wp:docPr id="204" name="Frame20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76860" cy="175260"/>
                      <wp:effectExtent l="0" t="0" r="0" b="0"/>
                      <wp:wrapNone/>
                      <wp:docPr id="205" name="Frame20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1755" cy="175260"/>
                      <wp:effectExtent l="0" t="0" r="0" b="0"/>
                      <wp:wrapNone/>
                      <wp:docPr id="206" name="Frame205"/>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8905" cy="175260"/>
                      <wp:effectExtent l="0" t="0" r="0" b="0"/>
                      <wp:wrapNone/>
                      <wp:docPr id="207" name="Frame20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16865" cy="175260"/>
                      <wp:effectExtent l="0" t="0" r="0" b="0"/>
                      <wp:wrapNone/>
                      <wp:docPr id="208" name="Frame207"/>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3" w:type="dxa"/>
            <w:tcBorders/>
            <w:vAlign w:val="center"/>
          </w:tcPr>
          <w:p>
            <w:pPr>
              <w:pStyle w:val="TableContents"/>
              <w:bidi w:val="0"/>
              <w:spacing w:before="0" w:after="1"/>
              <w:ind w:left="0" w:right="0" w:hanging="0"/>
              <w:jc w:val="left"/>
              <w:rPr/>
            </w:pPr>
            <w:r>
              <w:rPr/>
              <w:t>​</w:t>
            </w:r>
          </w:p>
        </w:tc>
        <w:tc>
          <w:tcPr>
            <w:tcW w:w="7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4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4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c>
          <w:tcPr>
            <w:tcW w:w="113"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113"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191</w:t>
            </w:r>
          </w:p>
        </w:tc>
      </w:tr>
    </w:tbl>
    <w:p>
      <w:pPr>
        <w:pStyle w:val="TextBody"/>
        <w:bidi w:val="0"/>
        <w:spacing w:before="0" w:after="240"/>
        <w:ind w:left="72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2025, all common stock dividends for that fiscal year were treated for tax purposes as qualified dividend income to the recipients. Based on its current projections for the fiscal year ended June 30, 2026, the Company expects all common stock dividends for such period to be treated as qualified dividend income to the recipients. Such projections are based on the Company’s reasonable expectations as of December 31, 2025 and are subject to change based on the Company’s final tax calculations at the end of the fiscal year.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Evolution Petroleum Corporation 2016 Equity Incentive Plan (as amended the “2016 Plan”) authorizes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awards, and performance share awards. As of December 31, 2025 and June 30, 2025, approximately 2.1 million shares and 2.5 million shares, respectively, remained available for grant under the Amended and Restated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During the three and six months ended December 31, 2025, the Company recognized $0.6 million and $1.2 million, respectively, related to stock-based compensation. During the three and six months ended December 31, 2024, the Company recognized $0.7 million and $1.2 million, respectively, related to stock-based compensation. Stock-based compensation expense is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120"/>
        <w:ind w:left="0" w:right="0" w:hanging="0"/>
        <w:jc w:val="left"/>
        <w:rPr>
          <w:rFonts w:ascii="Times New Roman;Times;serif" w:hAnsi="Times New Roman;Times;serif"/>
          <w:b/>
          <w:i/>
          <w:sz w:val="20"/>
        </w:rPr>
      </w:pPr>
      <w:bookmarkStart w:id="1106" w:name="Tc_0znLPTaEiESkVAxNHuGrSA_8_0"/>
      <w:bookmarkStart w:id="1107" w:name="Tc_F0uLUCFzQEWGehYzF1OOuA_7_0"/>
      <w:bookmarkStart w:id="1108" w:name="Tc_I0Mhh_MiCUa9PtrMGDxOxQ_6_0"/>
      <w:bookmarkStart w:id="1109" w:name="Tc_MCWpvTHXK0abN9lIDlay8w_5_0"/>
      <w:bookmarkStart w:id="1110" w:name="Tc_s5MO41loiUmYJvnPxRSdGQ_4_5"/>
      <w:bookmarkStart w:id="1111" w:name="Tc_0shbOejJ5k6Uv7Lyz60-Vw_4_2"/>
      <w:bookmarkStart w:id="1112" w:name="Tc_1wEwsSBGXkmc4OPnb2_mEA_4_0"/>
      <w:bookmarkStart w:id="1113" w:name="Tc_JO27Eq0kdES4qK0ymBDfLA_3_5"/>
      <w:bookmarkStart w:id="1114" w:name="Tc_RZHTdj1SsUSpAJMynP_xjg_3_2"/>
      <w:bookmarkStart w:id="1115" w:name="Tc_oSKQUqELHEyLMcFEeNNG2A_2_2"/>
      <w:bookmarkStart w:id="1116" w:name="Tc_Zl0AxyNxlkWrAu4RoaeUQw_1_2"/>
      <w:bookmarkStart w:id="1117" w:name="_c63d5b6f_0d29_4e39_b0cc_583e195a680b"/>
      <w:bookmarkStart w:id="1118" w:name="_Hlk118406756"/>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Performance-based restricted stock awards and performance-based contingent stock units contain market-based vesting conditions based on the price of the Company’s common stock compared to the performance of the common stock of its peers. The common shares underlying the Company’s performance-based restricted stock awards are issued on the date of grant and participate in dividends paid by the Company and expire after a maximum of three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three years from the date of grant if unvested. Shares underlying performance-based contingent share units are reserved from the Amended and Restated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December 31, 2025, the Company granted a total of 0.4 million equity awards that included 0.2 million time-vested restricted stock awards and 0.2 million performance-based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December 31, 2024, the Company granted a total of 0.5 million equity awards that included 0.2 million time-vested restricted stock awards, 0.2 million performance-based restricted stock awards, and 0.1 million of performance-based contingent stock units.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six months ended December 31, 2025 and 2024, the assumptions used in the Monte Carlo simulation valuations were as follows:</w:t>
      </w:r>
    </w:p>
    <w:tbl>
      <w:tblPr>
        <w:tblW w:w="7072" w:type="dxa"/>
        <w:jc w:val="left"/>
        <w:tblInd w:w="0" w:type="dxa"/>
        <w:tblLayout w:type="fixed"/>
        <w:tblCellMar>
          <w:top w:w="0" w:type="dxa"/>
          <w:left w:w="0" w:type="dxa"/>
          <w:bottom w:w="0" w:type="dxa"/>
          <w:right w:w="0" w:type="dxa"/>
        </w:tblCellMar>
      </w:tblPr>
      <w:tblGrid>
        <w:gridCol w:w="4801"/>
        <w:gridCol w:w="346"/>
        <w:gridCol w:w="196"/>
        <w:gridCol w:w="571"/>
        <w:gridCol w:w="34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048635" cy="175260"/>
                      <wp:effectExtent l="0" t="0" r="0" b="0"/>
                      <wp:wrapNone/>
                      <wp:docPr id="209" name="Frame20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211"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2" name="Frame2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4460" cy="175260"/>
                      <wp:effectExtent l="0" t="0" r="0" b="0"/>
                      <wp:wrapNone/>
                      <wp:docPr id="214"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91160" cy="175260"/>
                      <wp:effectExtent l="0" t="0" r="0" b="0"/>
                      <wp:wrapNone/>
                      <wp:docPr id="215" name="Frame21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1119" w:name="Tc_6HssI6-uDEm4gl5Q9NYthg_7_7"/>
      <w:bookmarkStart w:id="1120" w:name="Tc_RaIHLOg_VEWf2lyX25WIPA_7_4"/>
      <w:bookmarkStart w:id="1121" w:name="Tc_NFiv6PgGsUqnYTlisTdLKQ_7_0"/>
      <w:bookmarkStart w:id="1122" w:name="Tc_5BK0DTohP0OTm0DEwxAbUQ_6_7"/>
      <w:bookmarkStart w:id="1123" w:name="Tc_k72pVGUyHkaS_fLe5GTXdA_6_4"/>
      <w:bookmarkStart w:id="1124" w:name="Tc_hJKB2OQ8O0ahcm5YVOOViQ_6_0"/>
      <w:bookmarkStart w:id="1125" w:name="Tc_OKglEItvrEmdamD2OA9voQ_5_10"/>
      <w:bookmarkStart w:id="1126" w:name="Tc__VHBxpP3NEuFdUPaXM6JHg_5_7"/>
      <w:bookmarkStart w:id="1127" w:name="Tc_LpDwNpKnWE6G830ywU88JQ_5_4"/>
      <w:bookmarkStart w:id="1128" w:name="Tc_CWR6GD2IIkSNlMfh38ydOA_5_2"/>
      <w:bookmarkStart w:id="1129" w:name="Tc_TQDDrPlsQUiy6tby-eK4fg_4_10"/>
      <w:bookmarkStart w:id="1130" w:name="Tc_tuMQ1sla00e1NXgG1S4MzQ_4_7"/>
      <w:bookmarkStart w:id="1131" w:name="Tc_pNKlCKOcIk6KgovgkbPupw_4_4"/>
      <w:bookmarkStart w:id="1132" w:name="Tc_g8h6UHw8YUeMoi4xY_USvg_4_2"/>
      <w:bookmarkStart w:id="1133" w:name="Tc_yhIPncR3q0-m7PSItSB2fw_3_10"/>
      <w:bookmarkStart w:id="1134" w:name="Tc_SeTZ_zdD5UKdKTxVNdilYA_3_7"/>
      <w:bookmarkStart w:id="1135" w:name="Tc_Ry5nUIeGg0iSCJ3rBnN8Nw_3_4"/>
      <w:bookmarkStart w:id="1136" w:name="Tc_JcrnwD1o5kKvh0MXtJXc9A_3_2"/>
      <w:bookmarkStart w:id="1137" w:name="Tc_ZFsXc2rAG0KEqUjo0MvTew_2_10"/>
      <w:bookmarkStart w:id="1138" w:name="Tc_4-nNDWv4skik3qqxQIZj2Q_2_7"/>
      <w:bookmarkStart w:id="1139" w:name="Tc_9VtWhYR13kCfO--b5OSEIQ_1_10"/>
      <w:bookmarkStart w:id="1140" w:name="_39bb90b1_d154_4baf_8a63_17a1713e0525"/>
      <w:bookmarkStart w:id="1141" w:name="Tc_u5ciLB8Wy0-e9Nn4LrHmuA_10_7"/>
      <w:bookmarkStart w:id="1142" w:name="Tc_H9c_p9XHMUWXj7Wos0AlpQ_10_4"/>
      <w:bookmarkStart w:id="1143" w:name="Tc_p1aupFTF-kydbDQqb6Fuag_10_0"/>
      <w:bookmarkStart w:id="1144" w:name="Tc_n2wm-YGvEkiE_Jlgvyb-xw_9_0"/>
      <w:bookmarkStart w:id="1145" w:name="Tc_9_DnFHVK-EKCALuchd-wDQ_8_0"/>
      <w:bookmarkStart w:id="1146" w:name="Tc_TqigcyWCakSfS9nFoQiGkA_7_0"/>
      <w:bookmarkStart w:id="1147" w:name="Tc_JR5mODZ2t0Gh_oJ1QuOsHA_6_7"/>
      <w:bookmarkStart w:id="1148" w:name="Tc_VjKV6MDpt0Cc4OrEeJj8rg_6_4"/>
      <w:bookmarkStart w:id="1149" w:name="Tc_bgnSWl3-lke7nRXm5LmOrA_6_0"/>
      <w:bookmarkStart w:id="1150" w:name="Tc_5U7f751NhU6lzF9LBsketA_5_10"/>
      <w:bookmarkStart w:id="1151" w:name="Tc_Ri1D1xvbKUa-lEkKtuhOlg_5_7"/>
      <w:bookmarkStart w:id="1152" w:name="Tc_g-YRZ2tkwESzd7FlgIYRjg_5_4"/>
      <w:bookmarkStart w:id="1153" w:name="Tc_yhpnetgS6Uq6Q5zaUKos8w_5_2"/>
      <w:bookmarkStart w:id="1154" w:name="Tc__Th_Lui7gECXHce2hPwhXQ_4_10"/>
      <w:bookmarkStart w:id="1155" w:name="Tc_8W7R8f5McEuQdcIcS-JlUg_4_7"/>
      <w:bookmarkStart w:id="1156" w:name="Tc_JWi2aRRiFEyppkLFTRgyPg_4_4"/>
      <w:bookmarkStart w:id="1157" w:name="Tc_Bum970W_GEy8hCVpqGJnJg_4_2"/>
      <w:bookmarkStart w:id="1158" w:name="Tc_HqSDQ7okfky5d8iyjWGRUw_3_10"/>
      <w:bookmarkStart w:id="1159" w:name="Tc_sbrQ1IpPUUqeyr9Ue1BUkw_3_7"/>
      <w:bookmarkStart w:id="1160" w:name="Tc_1hX6xAG50UqozAy3ZmjWVA_3_4"/>
      <w:bookmarkStart w:id="1161" w:name="Tc_t8mFhQ9MakyEUcIc3__QSg_3_2"/>
      <w:bookmarkStart w:id="1162" w:name="Tc_g7pqdoJr_UC2x_XDk7geSA_2_10"/>
      <w:bookmarkStart w:id="1163" w:name="Tc_jvnBp2icR0i5hjFX3USuKw_2_7"/>
      <w:bookmarkStart w:id="1164" w:name="Tc_b6kxL7nqwESOjVo2keA6rw_2_4"/>
      <w:bookmarkStart w:id="1165" w:name="Tc_yJ8RABBDnU-of7cP2jzfpw_1_10"/>
      <w:bookmarkStart w:id="1166" w:name="_2aae393f_a863_4b61_9c55_af88f4acb3ad"/>
      <w:bookmarkStart w:id="1167" w:name="_Hlk118406769"/>
      <w:bookmarkStart w:id="1168" w:name="Tc_z8l6IHKctUaBlBx5TymlTA_7_4"/>
      <w:bookmarkStart w:id="1169" w:name="Tc_M_299gEjhEq6_yZvLaC71A_7_0"/>
      <w:bookmarkStart w:id="1170" w:name="Tc_irssGNrVQ0WXUU5wHgwYuw_6_0"/>
      <w:bookmarkStart w:id="1171" w:name="Tc_afZiHjgA1EKgYEDl-wdS7g_5_4"/>
      <w:bookmarkStart w:id="1172" w:name="Tc_o1ARUm3_aky61gllf2wl7Q_5_0"/>
      <w:bookmarkStart w:id="1173" w:name="Tc_XadBC2k2q0OCBxy2bu5uTw_4_4"/>
      <w:bookmarkStart w:id="1174" w:name="Tc_cR4f7F6W002o_egSEL4uoQ_4_2"/>
      <w:bookmarkStart w:id="1175" w:name="Tc_HT-v38c1C0Wz1sI-8kpVLA_4_0"/>
      <w:bookmarkStart w:id="1176" w:name="Tc_08PABP0Iz0qzelkt6Vm03Q_3_4"/>
      <w:bookmarkStart w:id="1177" w:name="Tc_sglm7kGkckCy4-CjFn2dAQ_3_2"/>
      <w:bookmarkStart w:id="1178" w:name="Tc_eeCziTsxvki_QyTCaIXUww_2_4"/>
      <w:bookmarkStart w:id="1179" w:name="Tc_2kxor2nuSkSJSaMp94ZJ0w_2_2"/>
      <w:bookmarkStart w:id="1180" w:name="Tc_jkR0ZhNVEkalcR4WRCI-sQ_1_4"/>
      <w:bookmarkStart w:id="1181" w:name="_c30fad03_af99_45f2_b601_513f8d8e1004"/>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r>
        <w:rPr>
          <w:rFonts w:ascii="Times New Roman;Times;serif" w:hAnsi="Times New Roman;Times;serif"/>
          <w:sz w:val="20"/>
        </w:rPr>
        <w:t>Unvested restricted stock awards as of December 31, 2025 consisted of the following:</w:t>
      </w:r>
    </w:p>
    <w:tbl>
      <w:tblPr>
        <w:tblW w:w="5075" w:type="dxa"/>
        <w:jc w:val="left"/>
        <w:tblInd w:w="0" w:type="dxa"/>
        <w:tblLayout w:type="fixed"/>
        <w:tblCellMar>
          <w:top w:w="0" w:type="dxa"/>
          <w:left w:w="0" w:type="dxa"/>
          <w:bottom w:w="0" w:type="dxa"/>
          <w:right w:w="0" w:type="dxa"/>
        </w:tblCellMar>
      </w:tblPr>
      <w:tblGrid>
        <w:gridCol w:w="2401"/>
        <w:gridCol w:w="346"/>
        <w:gridCol w:w="946"/>
        <w:gridCol w:w="346"/>
        <w:gridCol w:w="280"/>
        <w:gridCol w:w="75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24635" cy="175260"/>
                      <wp:effectExtent l="0" t="0" r="0" b="0"/>
                      <wp:wrapNone/>
                      <wp:docPr id="216" name="Frame215"/>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00710" cy="175260"/>
                      <wp:effectExtent l="0" t="0" r="0" b="0"/>
                      <wp:wrapNone/>
                      <wp:docPr id="218" name="Frame2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77800" cy="175260"/>
                      <wp:effectExtent l="0" t="0" r="0" b="0"/>
                      <wp:wrapNone/>
                      <wp:docPr id="220" name="Frame21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80060" cy="175260"/>
                      <wp:effectExtent l="0" t="0" r="0" b="0"/>
                      <wp:wrapNone/>
                      <wp:docPr id="221" name="Frame22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4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46" w:type="dxa"/>
            <w:tcBorders/>
            <w:shd w:fill="FFFFFF" w:val="clear"/>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371,997</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508,851</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880,848</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4.97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six months ended December 31, 2025:</w:t>
      </w:r>
    </w:p>
    <w:p>
      <w:pPr>
        <w:pStyle w:val="TextBody"/>
        <w:bidi w:val="0"/>
        <w:spacing w:before="0" w:after="240"/>
        <w:ind w:left="0" w:right="0" w:hanging="0"/>
        <w:jc w:val="left"/>
        <w:rPr/>
      </w:pPr>
      <w:r>
        <w:rPr/>
        <w:t>​</w:t>
      </w:r>
    </w:p>
    <w:tbl>
      <w:tblPr>
        <w:tblW w:w="8408" w:type="dxa"/>
        <w:jc w:val="left"/>
        <w:tblInd w:w="0" w:type="dxa"/>
        <w:tblLayout w:type="fixed"/>
        <w:tblCellMar>
          <w:top w:w="0" w:type="dxa"/>
          <w:left w:w="0" w:type="dxa"/>
          <w:bottom w:w="0" w:type="dxa"/>
          <w:right w:w="0" w:type="dxa"/>
        </w:tblCellMar>
      </w:tblPr>
      <w:tblGrid>
        <w:gridCol w:w="2551"/>
        <w:gridCol w:w="346"/>
        <w:gridCol w:w="946"/>
        <w:gridCol w:w="346"/>
        <w:gridCol w:w="314"/>
        <w:gridCol w:w="677"/>
        <w:gridCol w:w="346"/>
        <w:gridCol w:w="353"/>
        <w:gridCol w:w="922"/>
        <w:gridCol w:w="34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619885" cy="175260"/>
                      <wp:effectExtent l="0" t="0" r="0" b="0"/>
                      <wp:wrapNone/>
                      <wp:docPr id="222" name="Frame22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00710" cy="175260"/>
                      <wp:effectExtent l="0" t="0" r="0" b="0"/>
                      <wp:wrapNone/>
                      <wp:docPr id="224" name="Frame22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9390" cy="175260"/>
                      <wp:effectExtent l="0" t="0" r="0" b="0"/>
                      <wp:wrapNone/>
                      <wp:docPr id="226" name="Frame22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895" cy="175260"/>
                      <wp:effectExtent l="0" t="0" r="0" b="0"/>
                      <wp:wrapNone/>
                      <wp:docPr id="227" name="Frame22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4155" cy="175260"/>
                      <wp:effectExtent l="0" t="0" r="0" b="0"/>
                      <wp:wrapNone/>
                      <wp:docPr id="229" name="Frame22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85470" cy="175260"/>
                      <wp:effectExtent l="0" t="0" r="0" b="0"/>
                      <wp:wrapNone/>
                      <wp:docPr id="230" name="Frame22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00735" cy="175260"/>
                      <wp:effectExtent l="0" t="0" r="0" b="0"/>
                      <wp:wrapNone/>
                      <wp:docPr id="232" name="Frame23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670,285</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214,423</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186,709</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(190,569)</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6.30</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880,848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2,982</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contingent restricted stock unit transactions for the six months ended December 31, 2025:</w:t>
      </w:r>
    </w:p>
    <w:tbl>
      <w:tblPr>
        <w:tblW w:w="8842" w:type="dxa"/>
        <w:jc w:val="left"/>
        <w:tblInd w:w="0" w:type="dxa"/>
        <w:tblLayout w:type="fixed"/>
        <w:tblCellMar>
          <w:top w:w="0" w:type="dxa"/>
          <w:left w:w="0" w:type="dxa"/>
          <w:bottom w:w="0" w:type="dxa"/>
          <w:right w:w="0" w:type="dxa"/>
        </w:tblCellMar>
      </w:tblPr>
      <w:tblGrid>
        <w:gridCol w:w="2401"/>
        <w:gridCol w:w="346"/>
        <w:gridCol w:w="1006"/>
        <w:gridCol w:w="346"/>
        <w:gridCol w:w="481"/>
        <w:gridCol w:w="1034"/>
        <w:gridCol w:w="346"/>
        <w:gridCol w:w="436"/>
        <w:gridCol w:w="839"/>
        <w:gridCol w:w="346"/>
        <w:gridCol w:w="1261"/>
      </w:tblGrid>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38810" cy="175260"/>
                      <wp:effectExtent l="0" t="0" r="0" b="0"/>
                      <wp:wrapNone/>
                      <wp:docPr id="233" name="Frame2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05435" cy="175260"/>
                      <wp:effectExtent l="0" t="0" r="0" b="0"/>
                      <wp:wrapNone/>
                      <wp:docPr id="235" name="Frame2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6590" cy="175260"/>
                      <wp:effectExtent l="0" t="0" r="0" b="0"/>
                      <wp:wrapNone/>
                      <wp:docPr id="236" name="Frame235"/>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76860" cy="175260"/>
                      <wp:effectExtent l="0" t="0" r="0" b="0"/>
                      <wp:wrapNone/>
                      <wp:docPr id="238" name="Frame2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32765" cy="175260"/>
                      <wp:effectExtent l="0" t="0" r="0" b="0"/>
                      <wp:wrapNone/>
                      <wp:docPr id="239" name="Frame23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00735" cy="175260"/>
                      <wp:effectExtent l="0" t="0" r="0" b="0"/>
                      <wp:wrapNone/>
                      <wp:docPr id="241" name="Frame24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4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4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46" w:type="dxa"/>
            <w:tcBorders/>
            <w:vAlign w:val="center"/>
          </w:tcPr>
          <w:p>
            <w:pPr>
              <w:pStyle w:val="TableContents"/>
              <w:bidi w:val="0"/>
              <w:spacing w:before="0" w:after="1"/>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December 31, 2025</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1182" w:name="Tc_9QIEtqc-Z0W7o6wujgZ0OQ_17_12"/>
      <w:bookmarkStart w:id="1183" w:name="Tc_FYSpeV_SVECuo0Sz1pPW0w_17_11"/>
      <w:bookmarkStart w:id="1184" w:name="Tc__H8dzXNVlE-QG22P-zcPmQ_17_8"/>
      <w:bookmarkStart w:id="1185" w:name="Tc_YsTxNQBt2ESvaVWXTuRigA_17_5"/>
      <w:bookmarkStart w:id="1186" w:name="Tc_zo1I9w8ZfkGuihw0MCW-9Q_17_2"/>
      <w:bookmarkStart w:id="1187" w:name="Tc_XXOZrKuDaEicMkIycYuccQ_17_0"/>
      <w:bookmarkStart w:id="1188" w:name="Tc_hLPcS0hYPEuR1sjN3vVP3A_16_12"/>
      <w:bookmarkStart w:id="1189" w:name="Tc_Ma7Klf1KIEekDDTWP944hw_16_11"/>
      <w:bookmarkStart w:id="1190" w:name="Tc_EFz2Ine2REKZTmjiDSgblA_16_8"/>
      <w:bookmarkStart w:id="1191" w:name="Tc_Elx0gGobpEqTrfmoWhQbdA_16_5"/>
      <w:bookmarkStart w:id="1192" w:name="Tc_4VFk1QFT4UWuo6p9cya4Eg_16_2"/>
      <w:bookmarkStart w:id="1193" w:name="Tc_mpdIBZJ7CE-57rGxfHp5Zg_16_0"/>
      <w:bookmarkStart w:id="1194" w:name="Tc_aJJBSEFf5EaBTVO0fHxV3w_14_0"/>
      <w:bookmarkStart w:id="1195" w:name="Tc_TV3tt_WGJ02TkaUko7pkxg_13_12"/>
      <w:bookmarkStart w:id="1196" w:name="Tc_EDNQ-IXQFUydwmx_7Vigcw_13_6"/>
      <w:bookmarkStart w:id="1197" w:name="Tc_8S0BGZXAnEOJa4sMHFXzDg_13_3"/>
      <w:bookmarkStart w:id="1198" w:name="Tc_H2OsUQE2XUul8wt4iWkZSw_13_0"/>
      <w:bookmarkStart w:id="1199" w:name="Tc_Ej0rr40fvkiVbXv-szkqbQ_12_6"/>
      <w:bookmarkStart w:id="1200" w:name="Tc_5nyyYTs4XUejDSgWCyCBBA_12_0"/>
      <w:bookmarkStart w:id="1201" w:name="Tc_26NvJnpknUeezOIgZG_N5Q_11_0"/>
      <w:bookmarkStart w:id="1202" w:name="Tc_OZHooAORIk2hwfBJsmjZjQ_10_0"/>
      <w:bookmarkStart w:id="1203" w:name="Tc_rXpbW-3g1Ue-Kz-2LD1E3Q_9_0"/>
      <w:bookmarkStart w:id="1204" w:name="Tc_C7zAW7PJWUqlMXbgXmtwIw_7_11"/>
      <w:bookmarkStart w:id="1205" w:name="Tc_zIQDosHiwEqSMwx63tWNfg_7_8"/>
      <w:bookmarkStart w:id="1206" w:name="Tc__Q_m3wLFlEer9Zs1VFVv6A_7_5"/>
      <w:bookmarkStart w:id="1207" w:name="Tc_2LevhtxsOE-j6BAJPYIdfQ_7_2"/>
      <w:bookmarkStart w:id="1208" w:name="Tc_TR93DZ0VNEeF2rOdtdwYVQ_7_0"/>
      <w:bookmarkStart w:id="1209" w:name="Tc_WEKTCuy6XE2JfVpIHx57jg_6_0"/>
      <w:bookmarkStart w:id="1210" w:name="Tc_ppuriRLboku8lo6YxduTnw_5_11"/>
      <w:bookmarkStart w:id="1211" w:name="Tc_AmnhHIQMlkugZtHFMRPiIQ_5_8"/>
      <w:bookmarkStart w:id="1212" w:name="Tc_2OtrU5KBAEyUhyAcD2tbbg_5_5"/>
      <w:bookmarkStart w:id="1213" w:name="Tc__JInYP0gN0GplwK6_092sg_5_2"/>
      <w:bookmarkStart w:id="1214" w:name="Tc_bHhEz5cQCEysYTXP-hn8WQ_5_0"/>
      <w:bookmarkStart w:id="1215" w:name="Tc_Wmf2uTC6d0uW0tnmpKzVtA_4_0"/>
      <w:bookmarkStart w:id="1216" w:name="Tc_1HwV8YPijU2WaFGT2bVqRA_3_11"/>
      <w:bookmarkStart w:id="1217" w:name="Tc_NLyG9mjaVUqGOfn9xwcjLQ_3_8"/>
      <w:bookmarkStart w:id="1218" w:name="Tc_lL-GmCs3yESHbvGKJZlMGQ_3_5"/>
      <w:bookmarkStart w:id="1219" w:name="Tc_mt9ktPjgqki9liA-cAQP-Q_3_2"/>
      <w:bookmarkStart w:id="1220" w:name="Tc_u1X2_V4YHkSd8nf1SUai1Q_2_8"/>
      <w:bookmarkStart w:id="1221" w:name="Tc_1rkYqy4dY0mHRcjGvSlV7Q_2_2"/>
      <w:bookmarkStart w:id="1222" w:name="Tc_M_0TArIB0Uaz6X458WAAtQ_1_8"/>
      <w:bookmarkStart w:id="1223" w:name="Tc_-3zEDDkcOEqhtVtHL2EC_Q_1_2"/>
      <w:bookmarkStart w:id="1224" w:name="_df994df1_7081_4b15_b377_b6bca88397c0"/>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98"/>
        <w:gridCol w:w="346"/>
        <w:gridCol w:w="200"/>
        <w:gridCol w:w="616"/>
        <w:gridCol w:w="111"/>
        <w:gridCol w:w="200"/>
        <w:gridCol w:w="636"/>
        <w:gridCol w:w="109"/>
        <w:gridCol w:w="196"/>
        <w:gridCol w:w="601"/>
        <w:gridCol w:w="346"/>
        <w:gridCol w:w="196"/>
        <w:gridCol w:w="650"/>
      </w:tblGrid>
      <w:tr>
        <w:trPr/>
        <w:tc>
          <w:tcPr>
            <w:tcW w:w="5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808730" cy="175260"/>
                      <wp:effectExtent l="0" t="0" r="0" b="0"/>
                      <wp:wrapNone/>
                      <wp:docPr id="242" name="Frame241"/>
                      <a:graphic xmlns:a="http://schemas.openxmlformats.org/drawingml/2006/main">
                        <a:graphicData uri="http://schemas.microsoft.com/office/word/2010/wordprocessingShape">
                          <wps:wsp>
                            <wps:cNvSpPr txBox="1"/>
                            <wps:spPr>
                              <a:xfrm>
                                <a:off x="0" y="0"/>
                                <a:ext cx="3808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7000" cy="175260"/>
                      <wp:effectExtent l="0" t="0" r="0" b="0"/>
                      <wp:wrapNone/>
                      <wp:docPr id="244" name="Frame24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91160" cy="175260"/>
                      <wp:effectExtent l="0" t="0" r="0" b="0"/>
                      <wp:wrapNone/>
                      <wp:docPr id="245" name="Frame24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0485" cy="175260"/>
                      <wp:effectExtent l="0" t="0" r="0" b="0"/>
                      <wp:wrapNone/>
                      <wp:docPr id="246" name="Frame24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7000" cy="175260"/>
                      <wp:effectExtent l="0" t="0" r="0" b="0"/>
                      <wp:wrapNone/>
                      <wp:docPr id="247" name="Frame24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03860" cy="175260"/>
                      <wp:effectExtent l="0" t="0" r="0" b="0"/>
                      <wp:wrapNone/>
                      <wp:docPr id="248" name="Frame247"/>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49"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0"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81635" cy="175260"/>
                      <wp:effectExtent l="0" t="0" r="0" b="0"/>
                      <wp:wrapNone/>
                      <wp:docPr id="251" name="Frame25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3" name="Frame2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12750" cy="175260"/>
                      <wp:effectExtent l="0" t="0" r="0" b="0"/>
                      <wp:wrapNone/>
                      <wp:docPr id="254" name="Frame253"/>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98"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763"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98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59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before="0" w:after="1"/>
              <w:ind w:left="0" w:right="0" w:hanging="0"/>
              <w:jc w:val="left"/>
              <w:rPr/>
            </w:pPr>
            <w:r>
              <w:rPr/>
              <w:t>​</w:t>
            </w:r>
          </w:p>
        </w:tc>
        <w:tc>
          <w:tcPr>
            <w:tcW w:w="19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5998"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11" w:type="dxa"/>
            <w:tcBorders/>
            <w:vAlign w:val="center"/>
          </w:tcPr>
          <w:p>
            <w:pPr>
              <w:pStyle w:val="TableContents"/>
              <w:bidi w:val="0"/>
              <w:spacing w:before="0" w:after="1"/>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 </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left"/>
              <w:rPr/>
            </w:pPr>
            <w:r>
              <w:rPr/>
              <w:t> </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961</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59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 </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left"/>
              <w:rPr/>
            </w:pPr>
            <w:r>
              <w:rPr/>
              <w:t> </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50" w:type="dxa"/>
            <w:tcBorders/>
            <w:vAlign w:val="center"/>
          </w:tcPr>
          <w:p>
            <w:pPr>
              <w:pStyle w:val="TableContents"/>
              <w:bidi w:val="0"/>
              <w:spacing w:before="0" w:after="1"/>
              <w:ind w:left="0" w:right="0" w:hanging="0"/>
              <w:jc w:val="left"/>
              <w:rPr/>
            </w:pPr>
            <w:r>
              <w:rPr/>
              <w:t>​</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33,904</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33,815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32,828</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50" w:type="dxa"/>
            <w:tcBorders/>
            <w:vAlign w:val="center"/>
          </w:tcPr>
          <w:p>
            <w:pPr>
              <w:pStyle w:val="TableContents"/>
              <w:bidi w:val="0"/>
              <w:spacing w:before="0" w:after="1"/>
              <w:ind w:left="0" w:right="0" w:hanging="0"/>
              <w:jc w:val="left"/>
              <w:rPr/>
            </w:pPr>
            <w:r>
              <w:rPr/>
              <w:t>​</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34,025</w:t>
            </w:r>
          </w:p>
        </w:tc>
        <w:tc>
          <w:tcPr>
            <w:tcW w:w="111" w:type="dxa"/>
            <w:tcBorders/>
            <w:shd w:fill="CCEEFF" w:val="clear"/>
            <w:vAlign w:val="center"/>
          </w:tcPr>
          <w:p>
            <w:pPr>
              <w:pStyle w:val="TableContents"/>
              <w:bidi w:val="0"/>
              <w:spacing w:before="0" w:after="1"/>
              <w:ind w:left="0" w:right="0" w:hanging="0"/>
              <w:jc w:val="righ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34,001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32,994</w:t>
            </w:r>
          </w:p>
        </w:tc>
      </w:tr>
      <w:tr>
        <w:trPr/>
        <w:tc>
          <w:tcPr>
            <w:tcW w:w="59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200"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50" w:type="dxa"/>
            <w:tcBorders/>
            <w:vAlign w:val="center"/>
          </w:tcPr>
          <w:p>
            <w:pPr>
              <w:pStyle w:val="TableContents"/>
              <w:bidi w:val="0"/>
              <w:spacing w:before="0" w:after="1"/>
              <w:ind w:left="0" w:right="0" w:hanging="0"/>
              <w:jc w:val="left"/>
              <w:rPr/>
            </w:pPr>
            <w:r>
              <w:rPr/>
              <w:t>​</w:t>
            </w:r>
          </w:p>
        </w:tc>
      </w:tr>
      <w:tr>
        <w:trPr/>
        <w:tc>
          <w:tcPr>
            <w:tcW w:w="59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346"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111" w:type="dxa"/>
            <w:tcBorders/>
            <w:shd w:fill="CCEEFF" w:val="clear"/>
            <w:vAlign w:val="center"/>
          </w:tcPr>
          <w:p>
            <w:pPr>
              <w:pStyle w:val="TableContents"/>
              <w:bidi w:val="0"/>
              <w:spacing w:before="0" w:after="1"/>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9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346"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111" w:type="dxa"/>
            <w:tcBorders/>
            <w:vAlign w:val="center"/>
          </w:tcPr>
          <w:p>
            <w:pPr>
              <w:pStyle w:val="TableContents"/>
              <w:bidi w:val="0"/>
              <w:spacing w:before="0" w:after="1"/>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0"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Unvested restricted stock awards, totaling 0.2 million and 0.1 million for the three and six months ended December 31, 2025, respectively, were not included in the computation of diluted earnings per common share because the effect would have been anti-dilutive.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totaling 0.8 million for the three months ended December 31, 2024, were not included in the computation of diluted earnings per common share because the effect would have been anti-dilutive due to the net loss. Unvested restricted stock awards, totaling 0.1 million for the six months ended December 31, 2024,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leases are reflected as an operating lease right of use (“ROU”) asset included in “</w:t>
      </w:r>
      <w:r>
        <w:rPr>
          <w:rFonts w:ascii="Times New Roman;Times;serif" w:hAnsi="Times New Roman;Times;serif"/>
          <w:i/>
          <w:sz w:val="20"/>
        </w:rPr>
        <w:t>Other assets”</w:t>
      </w:r>
      <w:r>
        <w:rPr>
          <w:rFonts w:ascii="Times New Roman;Times;serif" w:hAnsi="Times New Roman;Times;serif"/>
          <w:sz w:val="20"/>
        </w:rPr>
        <w:t>, and as a ROU liability in “</w:t>
      </w:r>
      <w:r>
        <w:rPr>
          <w:rFonts w:ascii="Times New Roman;Times;serif" w:hAnsi="Times New Roman;Times;serif"/>
          <w:i/>
          <w:sz w:val="20"/>
        </w:rPr>
        <w:t>Accrued liabilities and other”</w:t>
      </w:r>
      <w:r>
        <w:rPr>
          <w:rFonts w:ascii="Times New Roman;Times;serif" w:hAnsi="Times New Roman;Times;serif"/>
          <w:sz w:val="20"/>
        </w:rPr>
        <w:t xml:space="preserve"> and “</w:t>
      </w:r>
      <w:r>
        <w:rPr>
          <w:rFonts w:ascii="Times New Roman;Times;serif" w:hAnsi="Times New Roman;Times;serif"/>
          <w:i/>
          <w:sz w:val="20"/>
        </w:rPr>
        <w:t>Operating lease liability”</w:t>
      </w:r>
      <w:r>
        <w:rPr>
          <w:rFonts w:ascii="Times New Roman;Times;serif" w:hAnsi="Times New Roman;Times;serif"/>
          <w:sz w:val="20"/>
        </w:rPr>
        <w:t xml:space="preserve"> on the Company’s unaudited condensed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Times New Roman;Times;serif" w:hAnsi="Times New Roman;Times;serif"/>
          <w:i/>
          <w:sz w:val="20"/>
        </w:rPr>
        <w:t>General and administrative expenses</w:t>
      </w:r>
      <w:r>
        <w:rPr>
          <w:rFonts w:ascii="Times New Roman;Times;serif" w:hAnsi="Times New Roman;Times;serif"/>
          <w:sz w:val="20"/>
        </w:rPr>
        <w:t>” in the unaudited condensed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non-operator and having adequate liquidity, the Company has generally not entered into lease transactions. The Company’s only operating lease is for corporate office space in Houston, Texas, effective May 1, 2019 and amended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225" w:name="Tc_ERM_li2Nmke6I_GwoyeeVg_12_2"/>
      <w:bookmarkStart w:id="1226" w:name="Tc_s6mBspJw30u9wrLD_AN9qw_12_0"/>
      <w:bookmarkStart w:id="1227" w:name="Tc_zmxvGGsP2ECX5_yJ4kleGg_11_0"/>
      <w:bookmarkStart w:id="1228" w:name="Tc_8zB1uiigL0OOfescM0ujVg_9_0"/>
      <w:bookmarkStart w:id="1229" w:name="Tc_G0LZtC-rHU24ywqimVuZYg_8_0"/>
      <w:bookmarkStart w:id="1230" w:name="Tc_voymo4auW0Weh9Jy0HkcsQ_7_0"/>
      <w:bookmarkStart w:id="1231" w:name="Tc_oENJfRGROkmaJDoZA99erQ_6_0"/>
      <w:bookmarkStart w:id="1232" w:name="Tc__4Aq4RZmbEa68Thxli03ew_5_0"/>
      <w:bookmarkStart w:id="1233" w:name="Tc_JREMKbhYeEiTqQiDyxcg7g_4_0"/>
      <w:bookmarkStart w:id="1234" w:name="Tc_ehoRjFKdg0WtTiIL3Mxnzg_3_0"/>
      <w:bookmarkStart w:id="1235" w:name="Tc_rsoqVyiZJUGAI37ZOtOEYA_2_2"/>
      <w:bookmarkStart w:id="1236" w:name="Tc_LnXKXjxbukC5lz90zx1KgQ_2_0"/>
      <w:bookmarkStart w:id="1237" w:name="Tc_gSweBU8gL0-PdeMw4i314A_1_2"/>
      <w:bookmarkStart w:id="1238" w:name="Tc_9G2cRyvWXEa-V3itfTFVjg_1_0"/>
      <w:bookmarkStart w:id="1239" w:name="_3e444569_338d_4c65_b796_9d1268af93e0"/>
      <w:bookmarkStart w:id="1240" w:name="Tc_3cV2KQ20QUa6EDuMn6LiQg_5_7"/>
      <w:bookmarkStart w:id="1241" w:name="Tc_Nir-Bt4K8UKTYJY4Y_woEA_5_0"/>
      <w:bookmarkStart w:id="1242" w:name="Tc_Ioue0B90wUqSwd080K4rqQ_3_6"/>
      <w:bookmarkStart w:id="1243" w:name="Tc_DTqWT4SQ70eLRO9iytryMg_3_2"/>
      <w:bookmarkStart w:id="1244" w:name="Tc_UlX3_a69dE2wZ-iPhcSs1A_2_0"/>
      <w:bookmarkStart w:id="1245" w:name="Tc_-MWL_v68q02QddXDCUBOVQ_1_6"/>
      <w:bookmarkStart w:id="1246" w:name="Tc_z6nQA-VfBU-TfE4qF1cAnw_1_2"/>
      <w:bookmarkStart w:id="1247" w:name="_7a1c5a2e_9cf3_424f_9c9a_e002d82eeaa6"/>
      <w:bookmarkStart w:id="1248" w:name="Tc_rOT6sh0TjEWNt2RAeF6rrg_15_8"/>
      <w:bookmarkStart w:id="1249" w:name="Tc_N9dzEcD6RE6dBo-FW5t-tQ_15_4"/>
      <w:bookmarkStart w:id="1250" w:name="Tc_NzqZj-fitU-nHeMCS_OW3w_15_0"/>
      <w:bookmarkStart w:id="1251" w:name="Tc_2fj82pL_H0iNNpscoZ6wHA_14_0"/>
      <w:bookmarkStart w:id="1252" w:name="Tc_BgOqo3GtyUqArMRTnlsAbg_13_7"/>
      <w:bookmarkStart w:id="1253" w:name="Tc_eOFX9KNK20u3Kn-jaOrdEg_13_6"/>
      <w:bookmarkStart w:id="1254" w:name="Tc_NR649fRfw0ugV-PWEdS8Jw_13_2"/>
      <w:bookmarkStart w:id="1255" w:name="Tc_i-IBBTZ330S8qLUZNk_O4A_13_0"/>
      <w:bookmarkStart w:id="1256" w:name="Tc__poin1HcxEWNHxmlKIeACg_12_0"/>
      <w:bookmarkStart w:id="1257" w:name="Tc_aEwtX11i-0euw9t0vvhrMw_10_6"/>
      <w:bookmarkStart w:id="1258" w:name="Tc_F_jZp1L1Tkik_x005F_xB48a_Qsg_10_2"/>
      <w:bookmarkStart w:id="1259" w:name="Tc_IgpnTLnkcU6v6beU9nCwYA_10_0"/>
      <w:bookmarkStart w:id="1260" w:name="Tc_2iasAHZmDEWGIldKv45ygw_9_0"/>
      <w:bookmarkStart w:id="1261" w:name="Tc_5Ke4jO6enEWtNGQNtPMJDQ_8_0"/>
      <w:bookmarkStart w:id="1262" w:name="Tc_4xT4_MeDf0K9d1bx1cvTvw_6_6"/>
      <w:bookmarkStart w:id="1263" w:name="Tc_tpvlz7-YfUiA_Rvi2BWFRg_6_2"/>
      <w:bookmarkStart w:id="1264" w:name="Tc_-IWyqa71a0u8RMXLrVoM8Q_6_0"/>
      <w:bookmarkStart w:id="1265" w:name="Tc_ph8zlTWfdk-fbOReI6loFg_5_0"/>
      <w:bookmarkStart w:id="1266" w:name="Tc_V-VClwus8EevPwvSOx6dgw_4_6"/>
      <w:bookmarkStart w:id="1267" w:name="Tc_3O-R3VO6Fk2LHy6Wcdve-g_4_2"/>
      <w:bookmarkStart w:id="1268" w:name="Tc_egIHRiXnXUmh6SMAtJC9tg_4_0"/>
      <w:bookmarkStart w:id="1269" w:name="Tc_7W2sB--pLkCZb80yrPu_Iw_3_0"/>
      <w:bookmarkStart w:id="1270" w:name="Tc_6QXjH1l_BESlIjR4rcqpeg_2_6"/>
      <w:bookmarkStart w:id="1271" w:name="Tc_z85a5tMEY0aE3DhyR-h6xw_2_2"/>
      <w:bookmarkStart w:id="1272" w:name="Tc_LGlc239qbU2Ydn9Rs7-njA_1_2"/>
      <w:bookmarkStart w:id="1273" w:name="_f6fc486c_2bb9_4bdb_b72e_8b611ad2ce9b"/>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r>
        <w:rPr>
          <w:rFonts w:ascii="Times New Roman;Times;serif" w:hAnsi="Times New Roman;Times;serif"/>
          <w:sz w:val="20"/>
        </w:rPr>
        <w:t xml:space="preserve">most recently November 30, 2025 and set to expire June 30, 2031. The Company does not have any leases that meet the criteria for classification as a finance lease or a short-term lease.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makes certain assumptions and judgments when evaluating a contract that meets the definition of a lease under ASC 842, </w:t>
      </w:r>
      <w:r>
        <w:rPr>
          <w:rFonts w:ascii="Times New Roman;Times;serif" w:hAnsi="Times New Roman;Times;serif"/>
          <w:i/>
          <w:sz w:val="20"/>
        </w:rPr>
        <w:t>Leases</w:t>
      </w:r>
      <w:r>
        <w:rPr>
          <w:rFonts w:ascii="Times New Roman;Times;serif" w:hAnsi="Times New Roman;Times;serif"/>
          <w:sz w:val="20"/>
        </w:rPr>
        <w:t>. As the Company’s operating lease did not provide an implicit rate, an incremental borrowing rate was calculated using information available at the commencement and modification dates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summarized the Company’s leases for the six months ended December 31, 2025 and 2024 (in thousands, except years and discount rate):</w:t>
      </w:r>
    </w:p>
    <w:tbl>
      <w:tblPr>
        <w:tblW w:w="8146" w:type="dxa"/>
        <w:jc w:val="left"/>
        <w:tblInd w:w="0" w:type="dxa"/>
        <w:tblLayout w:type="fixed"/>
        <w:tblCellMar>
          <w:top w:w="0" w:type="dxa"/>
          <w:left w:w="0" w:type="dxa"/>
          <w:bottom w:w="0" w:type="dxa"/>
          <w:right w:w="0" w:type="dxa"/>
        </w:tblCellMar>
      </w:tblPr>
      <w:tblGrid>
        <w:gridCol w:w="5086"/>
        <w:gridCol w:w="346"/>
        <w:gridCol w:w="249"/>
        <w:gridCol w:w="535"/>
        <w:gridCol w:w="325"/>
        <w:gridCol w:w="439"/>
        <w:gridCol w:w="249"/>
        <w:gridCol w:w="535"/>
        <w:gridCol w:w="382"/>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229610" cy="175260"/>
                      <wp:effectExtent l="0" t="0" r="0" b="0"/>
                      <wp:wrapNone/>
                      <wp:docPr id="255" name="Frame254"/>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8115" cy="175260"/>
                      <wp:effectExtent l="0" t="0" r="0" b="0"/>
                      <wp:wrapNone/>
                      <wp:docPr id="257" name="Frame25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39725" cy="175260"/>
                      <wp:effectExtent l="0" t="0" r="0" b="0"/>
                      <wp:wrapNone/>
                      <wp:docPr id="258" name="Frame257"/>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6375" cy="175260"/>
                      <wp:effectExtent l="0" t="0" r="0" b="0"/>
                      <wp:wrapNone/>
                      <wp:docPr id="259" name="Frame258"/>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78765" cy="175260"/>
                      <wp:effectExtent l="0" t="0" r="0" b="0"/>
                      <wp:wrapNone/>
                      <wp:docPr id="260" name="Frame259"/>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8115" cy="175260"/>
                      <wp:effectExtent l="0" t="0" r="0" b="0"/>
                      <wp:wrapNone/>
                      <wp:docPr id="261" name="Frame26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39725" cy="175260"/>
                      <wp:effectExtent l="0" t="0" r="0" b="0"/>
                      <wp:wrapNone/>
                      <wp:docPr id="262" name="Frame261"/>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2570" cy="175260"/>
                      <wp:effectExtent l="0" t="0" r="0" b="0"/>
                      <wp:wrapNone/>
                      <wp:docPr id="263" name="Frame262"/>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December 31, </w:t>
            </w:r>
          </w:p>
        </w:tc>
      </w:tr>
      <w:tr>
        <w:trPr/>
        <w:tc>
          <w:tcPr>
            <w:tcW w:w="50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1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39" w:type="dxa"/>
            <w:tcBorders/>
            <w:vAlign w:val="center"/>
          </w:tcPr>
          <w:p>
            <w:pPr>
              <w:pStyle w:val="TableContents"/>
              <w:bidi w:val="0"/>
              <w:spacing w:before="0" w:after="1"/>
              <w:ind w:left="0" w:right="0" w:hanging="0"/>
              <w:jc w:val="left"/>
              <w:rPr/>
            </w:pPr>
            <w:r>
              <w:rPr/>
              <w:t>  ​ ​ ​</w:t>
            </w:r>
          </w:p>
        </w:tc>
        <w:tc>
          <w:tcPr>
            <w:tcW w:w="116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Statements of Operations: </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costs</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Variable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lease costs</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Statements of Cash Flow:</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obtained in exchange for new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w:t>
            </w:r>
          </w:p>
        </w:tc>
        <w:tc>
          <w:tcPr>
            <w:tcW w:w="325" w:type="dxa"/>
            <w:tcBorders/>
            <w:shd w:fill="CCEEFF" w:val="clear"/>
            <w:vAlign w:val="center"/>
          </w:tcPr>
          <w:p>
            <w:pPr>
              <w:pStyle w:val="TableContents"/>
              <w:bidi w:val="0"/>
              <w:spacing w:before="0" w:after="1"/>
              <w:ind w:left="0" w:right="0" w:hanging="0"/>
              <w:jc w:val="righ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remaining lease term in years</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325" w:type="dxa"/>
            <w:tcBorders/>
            <w:vAlign w:val="center"/>
          </w:tcPr>
          <w:p>
            <w:pPr>
              <w:pStyle w:val="TableContents"/>
              <w:bidi w:val="0"/>
              <w:spacing w:before="0" w:after="1"/>
              <w:ind w:left="0" w:right="0" w:hanging="0"/>
              <w:jc w:val="right"/>
              <w:rPr/>
            </w:pPr>
            <w:r>
              <w:rPr/>
              <w:t>​</w:t>
            </w:r>
          </w:p>
        </w:tc>
        <w:tc>
          <w:tcPr>
            <w:tcW w:w="43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82"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c>
          <w:tcPr>
            <w:tcW w:w="325"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43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w:t>
            </w:r>
          </w:p>
        </w:tc>
        <w:tc>
          <w:tcPr>
            <w:tcW w:w="38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ROU assets and lease liabilities (in thousands):</w:t>
      </w:r>
    </w:p>
    <w:p>
      <w:pPr>
        <w:pStyle w:val="TextBody"/>
        <w:bidi w:val="0"/>
        <w:spacing w:before="0" w:after="240"/>
        <w:ind w:left="0" w:right="0" w:hanging="0"/>
        <w:jc w:val="left"/>
        <w:rPr/>
      </w:pPr>
      <w:r>
        <w:rPr/>
        <w:t>​</w:t>
      </w:r>
    </w:p>
    <w:tbl>
      <w:tblPr>
        <w:tblW w:w="6930" w:type="dxa"/>
        <w:jc w:val="left"/>
        <w:tblInd w:w="0" w:type="dxa"/>
        <w:tblLayout w:type="fixed"/>
        <w:tblCellMar>
          <w:top w:w="0" w:type="dxa"/>
          <w:left w:w="0" w:type="dxa"/>
          <w:bottom w:w="0" w:type="dxa"/>
          <w:right w:w="0" w:type="dxa"/>
        </w:tblCellMar>
      </w:tblPr>
      <w:tblGrid>
        <w:gridCol w:w="3856"/>
        <w:gridCol w:w="109"/>
        <w:gridCol w:w="529"/>
        <w:gridCol w:w="1017"/>
        <w:gridCol w:w="109"/>
        <w:gridCol w:w="109"/>
        <w:gridCol w:w="363"/>
        <w:gridCol w:w="83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48560" cy="175260"/>
                      <wp:effectExtent l="0" t="0" r="0" b="0"/>
                      <wp:wrapNone/>
                      <wp:docPr id="264" name="Frame26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35915" cy="175260"/>
                      <wp:effectExtent l="0" t="0" r="0" b="0"/>
                      <wp:wrapNone/>
                      <wp:docPr id="266" name="Frame265"/>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5795" cy="175260"/>
                      <wp:effectExtent l="0" t="0" r="0" b="0"/>
                      <wp:wrapNone/>
                      <wp:docPr id="267" name="Frame266"/>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0505" cy="175260"/>
                      <wp:effectExtent l="0" t="0" r="0" b="0"/>
                      <wp:wrapNone/>
                      <wp:docPr id="270" name="Frame26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32130" cy="175260"/>
                      <wp:effectExtent l="0" t="0" r="0" b="0"/>
                      <wp:wrapNone/>
                      <wp:docPr id="271" name="Frame27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Sheets:</w:t>
            </w:r>
          </w:p>
        </w:tc>
        <w:tc>
          <w:tcPr>
            <w:tcW w:w="109"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ROU asset (included in other assets)</w:t>
            </w:r>
          </w:p>
        </w:tc>
        <w:tc>
          <w:tcPr>
            <w:tcW w:w="109"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Accrued liabilities and other - current</w:t>
            </w:r>
          </w:p>
        </w:tc>
        <w:tc>
          <w:tcPr>
            <w:tcW w:w="109"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 - long-term</w:t>
            </w:r>
          </w:p>
        </w:tc>
        <w:tc>
          <w:tcPr>
            <w:tcW w:w="109"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the future minimum lease payments associated with the Company’s non-cancellable operating lease for office space are as follows (in thousands):</w:t>
      </w:r>
    </w:p>
    <w:p>
      <w:pPr>
        <w:pStyle w:val="TextBody"/>
        <w:bidi w:val="0"/>
        <w:spacing w:before="0" w:after="240"/>
        <w:ind w:left="0" w:right="0" w:hanging="0"/>
        <w:jc w:val="left"/>
        <w:rPr/>
      </w:pPr>
      <w:r>
        <w:rPr/>
        <w:t>​</w:t>
      </w:r>
    </w:p>
    <w:tbl>
      <w:tblPr>
        <w:tblW w:w="4743" w:type="dxa"/>
        <w:jc w:val="left"/>
        <w:tblInd w:w="0" w:type="dxa"/>
        <w:tblLayout w:type="fixed"/>
        <w:tblCellMar>
          <w:top w:w="0" w:type="dxa"/>
          <w:left w:w="0" w:type="dxa"/>
          <w:bottom w:w="0" w:type="dxa"/>
          <w:right w:w="0" w:type="dxa"/>
        </w:tblCellMar>
      </w:tblPr>
      <w:tblGrid>
        <w:gridCol w:w="2806"/>
        <w:gridCol w:w="346"/>
        <w:gridCol w:w="460"/>
        <w:gridCol w:w="1131"/>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781810" cy="175260"/>
                      <wp:effectExtent l="0" t="0" r="0" b="0"/>
                      <wp:wrapNone/>
                      <wp:docPr id="272" name="Frame271"/>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92100" cy="175260"/>
                      <wp:effectExtent l="0" t="0" r="0" b="0"/>
                      <wp:wrapNone/>
                      <wp:docPr id="274" name="Frame273"/>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18185" cy="175260"/>
                      <wp:effectExtent l="0" t="0" r="0" b="0"/>
                      <wp:wrapNone/>
                      <wp:docPr id="275" name="Frame274"/>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Remaining in 2026</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discount to present value</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current operating lease liabilities</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 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386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74" w:name="Tc_5VKoIYTi0kmegRlK2a2L-g_26_5"/>
      <w:bookmarkStart w:id="1275" w:name="Tc_3ngfeUQV60ehQzaMVnO8XA_26_2"/>
      <w:bookmarkStart w:id="1276" w:name="Tc_4xz27GTGvEaKNbCUh5oTJg_26_0"/>
      <w:bookmarkStart w:id="1277" w:name="Tc_N0wF-AGh10SmoK41agoJBw_25_0"/>
      <w:bookmarkStart w:id="1278" w:name="Tc_5DEJejjmq0ac-zot2Yk6bw_24_0"/>
      <w:bookmarkStart w:id="1279" w:name="Tc_cyV4VkZPSEqKlbtqWrpDmw_22_6"/>
      <w:bookmarkStart w:id="1280" w:name="Tc_gbnBEpC8z0SNbonWddUasg_22_0"/>
      <w:bookmarkStart w:id="1281" w:name="Tc_GztuIo8VKE-LVrGHVr94yw_21_0"/>
      <w:bookmarkStart w:id="1282" w:name="Tc_Tf8JlCC43E6xs1GMMqDcsw_20_0"/>
      <w:bookmarkStart w:id="1283" w:name="Tc_ITMLo7S00kixJa2weiJtmw_19_0"/>
      <w:bookmarkStart w:id="1284" w:name="Tc_Q3AbReQvqUWosftPRCz_6g_18_0"/>
      <w:bookmarkStart w:id="1285" w:name="Tc_kgGUbdABg0ipNYBFBWoGRA_17_5"/>
      <w:bookmarkStart w:id="1286" w:name="Tc__deEPPB63E2ZyuBzENqVXA_17_2"/>
      <w:bookmarkStart w:id="1287" w:name="Tc_PwrwMehsUEGURrugS4EwwA_17_0"/>
      <w:bookmarkStart w:id="1288" w:name="Tc_VFjaFt4z2kub3aDZyHjEyw_16_0"/>
      <w:bookmarkStart w:id="1289" w:name="Tc_TONjo_EtJEmLFGhaSnGEtA_14_5"/>
      <w:bookmarkStart w:id="1290" w:name="Tc_TWHY61OXN0qvAHlfvJGVqw_14_2"/>
      <w:bookmarkStart w:id="1291" w:name="Tc_cOYemjaiwECSqLcm0hnGSg_14_0"/>
      <w:bookmarkStart w:id="1292" w:name="Tc_nRLI7WR2rE2qXCDQRafIEA_12_0"/>
      <w:bookmarkStart w:id="1293" w:name="Tc_yvAse73QakmFh3cJxT3MkA_11_5"/>
      <w:bookmarkStart w:id="1294" w:name="Tc_E2jA_Qc8HUu5BugJzxgU3w_11_2"/>
      <w:bookmarkStart w:id="1295" w:name="Tc_vIpwYN3hFEqdxZi0LKYqFw_11_0"/>
      <w:bookmarkStart w:id="1296" w:name="Tc_kzu4vD0ZTEeE_9sOGvWuqA_10_0"/>
      <w:bookmarkStart w:id="1297" w:name="Tc_ohZm2Ql8p0y4wkr3hqa8iw_8_5"/>
      <w:bookmarkStart w:id="1298" w:name="Tc_YKSvEuPQp0OTI-Itml6efg_8_2"/>
      <w:bookmarkStart w:id="1299" w:name="Tc_f-lcRR0AbEytpW_3M648gg_8_0"/>
      <w:bookmarkStart w:id="1300" w:name="Tc_pPAVhGgZjkG4BBXK5eCgnQ_7_0"/>
      <w:bookmarkStart w:id="1301" w:name="Tc_JSqSk8Xlu0mwR22PYWRDAg_6_0"/>
      <w:bookmarkStart w:id="1302" w:name="Tc_Z5uBWE9gC0azz3jaC1B05Q_5_0"/>
      <w:bookmarkStart w:id="1303" w:name="Tc_VAt24K2TsEymgI0CPAto_w_4_0"/>
      <w:bookmarkStart w:id="1304" w:name="Tc_vHmjn3Arx02xXEgfuEGgDg_3_5"/>
      <w:bookmarkStart w:id="1305" w:name="Tc_-rJbQYIlc020Jl7bh_yAKg_3_2"/>
      <w:bookmarkStart w:id="1306" w:name="Tc_Lhx97ovCs0WEUOx2G7ej9w_3_0"/>
      <w:bookmarkStart w:id="1307" w:name="Tc_PQr3i2qv2026YpcfDs4nhg_2_0"/>
      <w:bookmarkStart w:id="1308" w:name="Tc_aYGZOwgZ5ESW_XOsMOuuXA_1_5"/>
      <w:bookmarkStart w:id="1309" w:name="Tc_Ia8BJI2qiU2bMxaks9EqPQ_1_2"/>
      <w:bookmarkStart w:id="1310" w:name="_21080965_84d8_4292_b682_7df29f1ae308"/>
      <w:bookmarkStart w:id="1311" w:name="_3b03219d_d09b_4a18_9e25_d06957ea016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r>
        <w:rPr>
          <w:rFonts w:ascii="Times New Roman;Times;serif" w:hAnsi="Times New Roman;Times;serif"/>
          <w:b/>
          <w:sz w:val="20"/>
        </w:rPr>
        <w:t>Note 14. Additional Financial Statement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310" w:type="dxa"/>
        <w:jc w:val="left"/>
        <w:tblInd w:w="0" w:type="dxa"/>
        <w:tblLayout w:type="fixed"/>
        <w:tblCellMar>
          <w:top w:w="0" w:type="dxa"/>
          <w:left w:w="0" w:type="dxa"/>
          <w:bottom w:w="0" w:type="dxa"/>
          <w:right w:w="0" w:type="dxa"/>
        </w:tblCellMar>
      </w:tblPr>
      <w:tblGrid>
        <w:gridCol w:w="3871"/>
        <w:gridCol w:w="346"/>
        <w:gridCol w:w="428"/>
        <w:gridCol w:w="1118"/>
        <w:gridCol w:w="34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458085" cy="175260"/>
                      <wp:effectExtent l="0" t="0" r="0" b="0"/>
                      <wp:wrapNone/>
                      <wp:docPr id="276" name="Frame27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71780" cy="175260"/>
                      <wp:effectExtent l="0" t="0" r="0" b="0"/>
                      <wp:wrapNone/>
                      <wp:docPr id="278" name="Frame27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09930" cy="175260"/>
                      <wp:effectExtent l="0" t="0" r="0" b="0"/>
                      <wp:wrapNone/>
                      <wp:docPr id="279" name="Frame278"/>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83515" cy="175260"/>
                      <wp:effectExtent l="0" t="0" r="0" b="0"/>
                      <wp:wrapNone/>
                      <wp:docPr id="281" name="Frame28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79120" cy="175260"/>
                      <wp:effectExtent l="0" t="0" r="0" b="0"/>
                      <wp:wrapNone/>
                      <wp:docPr id="282" name="Frame28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46" w:type="dxa"/>
            <w:tcBorders/>
            <w:vAlign w:val="center"/>
          </w:tcPr>
          <w:p>
            <w:pPr>
              <w:pStyle w:val="TableContents"/>
              <w:bidi w:val="0"/>
              <w:spacing w:before="0" w:after="0"/>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Right of use asset under operating lease</w:t>
            </w:r>
          </w:p>
        </w:tc>
        <w:tc>
          <w:tcPr>
            <w:tcW w:w="346" w:type="dxa"/>
            <w:tcBorders/>
            <w:vAlign w:val="center"/>
          </w:tcPr>
          <w:p>
            <w:pPr>
              <w:pStyle w:val="TableContents"/>
              <w:bidi w:val="0"/>
              <w:spacing w:before="0" w:after="0"/>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2,475</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8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liability</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46" w:type="dxa"/>
            <w:tcBorders/>
            <w:vAlign w:val="center"/>
          </w:tcPr>
          <w:p>
            <w:pPr>
              <w:pStyle w:val="TableContents"/>
              <w:bidi w:val="0"/>
              <w:spacing w:before="0" w:after="0"/>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5,308</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6,909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9, 2026, the Company declared a quarterly cash dividend of $0.120 per share of common stock to shareholders of record on March 16, 2026 and payable on March 31,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12" w:name="Item_2_MDA"/>
      <w:bookmarkStart w:id="1313" w:name="Item7ManagementsDiscussionandAnalysisofF"/>
      <w:bookmarkStart w:id="1314" w:name="_0ef114ba_75c1_4103_8810_ea952ae57ff3"/>
      <w:bookmarkStart w:id="1315" w:name="_Hlk179985925"/>
      <w:bookmarkEnd w:id="1312"/>
      <w:bookmarkEnd w:id="1313"/>
      <w:bookmarkEnd w:id="1314"/>
      <w:bookmarkEnd w:id="1315"/>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12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120"/>
        <w:ind w:left="720" w:right="0" w:hanging="0"/>
        <w:jc w:val="left"/>
        <w:rPr/>
      </w:pPr>
      <w:hyperlink w:anchor="ResultsofOperations_272777">
        <w:bookmarkStart w:id="1316" w:name="_Results_of_Operations"/>
        <w:bookmarkEnd w:id="1316"/>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1317" w:name="_Critical_Accounting_Policies"/>
        <w:bookmarkEnd w:id="1317"/>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240"/>
        <w:ind w:left="763"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240"/>
        <w:ind w:left="806" w:right="0" w:hanging="0"/>
        <w:jc w:val="left"/>
        <w:rPr/>
      </w:pPr>
      <w:r>
        <w:rPr/>
        <w:t>“</w:t>
      </w:r>
      <w:r>
        <w:rPr>
          <w:rFonts w:ascii="Times New Roman;Times;serif" w:hAnsi="Times New Roman;Times;serif"/>
          <w:i/>
          <w:sz w:val="20"/>
        </w:rPr>
        <w:t>Current quarter” refers to the three months ended December 31, 2025, our second quarter of fiscal year 2026.</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December 31, 2024, our second quarter of fiscal year 2025.</w:t>
      </w:r>
    </w:p>
    <w:p>
      <w:pPr>
        <w:pStyle w:val="TextBody"/>
        <w:bidi w:val="0"/>
        <w:spacing w:before="0" w:after="120"/>
        <w:ind w:left="0" w:right="0" w:hanging="0"/>
        <w:jc w:val="center"/>
        <w:rPr>
          <w:rFonts w:ascii="Times New Roman;Times;serif" w:hAnsi="Times New Roman;Times;serif"/>
          <w:b/>
          <w:sz w:val="20"/>
        </w:rPr>
      </w:pPr>
      <w:bookmarkStart w:id="1318" w:name="ExecutiveOverview_460502"/>
      <w:bookmarkStart w:id="1319" w:name="_Hlk179983240"/>
      <w:bookmarkEnd w:id="1318"/>
      <w:bookmarkEnd w:id="1319"/>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working and mineral </w:t>
      </w:r>
      <w:r>
        <w:rPr>
          <w:rFonts w:ascii="Times New Roman;Times;serif" w:hAnsi="Times New Roman;Times;serif"/>
          <w:color w:val="333333"/>
          <w:sz w:val="20"/>
        </w:rPr>
        <w:t xml:space="preserve">interests in the following areas (as well as </w:t>
      </w:r>
      <w:r>
        <w:rPr>
          <w:rFonts w:ascii="Times New Roman;Times;serif" w:hAnsi="Times New Roman;Times;serif"/>
          <w:sz w:val="20"/>
        </w:rPr>
        <w:t>small overriding royalty interests in four onshore central Texas wells):</w:t>
      </w:r>
    </w:p>
    <w:p>
      <w:pPr>
        <w:pStyle w:val="Normal"/>
        <w:bidi w:val="0"/>
        <w:spacing w:before="0" w:after="0"/>
        <w:jc w:val="left"/>
        <w:rPr>
          <w:sz w:val="4"/>
          <w:szCs w:val="4"/>
        </w:rPr>
      </w:pPr>
      <w:r>
        <w:rPr>
          <w:sz w:val="4"/>
          <w:szCs w:val="4"/>
        </w:rPr>
      </w:r>
      <w:bookmarkStart w:id="1320" w:name="_Hlk164863535"/>
      <w:bookmarkStart w:id="1321" w:name="_Hlk164863535"/>
      <w:bookmarkEnd w:id="132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and mineral interests in the SCOOP and STACK plays consist of oil and natural gas producing properties in the Anadarko basin, where we hold an approximate 2.7% average net working interest with an associated 2.0% average net revenue interest located on approximately 103,700 gross (4,200 net) acres (approximately 97% held by production) and a separate approximate 0.6% average net royalty interests located on approximately 5,500 net royalty acres across Blaine, Canadian, Carter, Custer, Dewey, Garvin, Grady, Kingfisher, McClain, Murray, and Stephens counties in Oklahoma. The oil and natural gas properties are primarily operated by Continental Resources, Inc., Ovintiv USA Inc. and EOG Resources, Inc. with approximately 40% of wells operated by other operators. Production from our SCOOP/STACK properties for the six months ended December 31, 2025 is comprised of 54% natural gas, 25% crude oil, and 21%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Chaveroo Field consist of a 50% net working interest, with an average associated 41% average net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Production from our Chaveroo Field properties for the six months ended December 31, 2025 is comprised of 100%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 Production from our Jonah Field properties for the six months ended December 31, 2025 is comprised of 89% natural gas, 6% NGLs, and 5%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interests in the Williston Basin, an oil and natural gas producing property, consist of approximately 39% average net working interest and approximately 33% average net revenue interest located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approximately 138,200 gross (41,300 net) acres (approximately 97% held by production) across Billings, Golden Valley, and McKenzie Counties in North Dakota. The properties are operated by Foundation Energy Management. Production from our Williston Basin properties for the six months ended December 31, 2025 is comprised of 72% crude oil, 17% NGL, and 11% natural gas.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and overriding royalty interests in the Barnett Shale, a natural gas and NGL producing shale reservoir, consist of approximately 17% average net working interest and approximately 14% average net revenue interest (inclusive of the overriding royalty interests). The approximately 123,800 gross (21,000 net) acres are held by production across nine North Texas counties. The oil and natural gas properties are primarily operated by Diversified Energy Company with approximately 10% of wells operated by six other operators. Production from our Barnett Shale properties for the six months ended December 31, 2025 is comprised of 73% natural gas, 26% NGLs, and 1%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 Production from our Hamilton Dome Field properties for the six months ended December 31, 2025 is comprised of 100% crude oil.</w:t>
            </w:r>
          </w:p>
        </w:tc>
      </w:tr>
    </w:tbl>
    <w:p>
      <w:pPr>
        <w:pStyle w:val="Normal"/>
        <w:bidi w:val="0"/>
        <w:spacing w:before="0" w:after="0"/>
        <w:jc w:val="left"/>
        <w:rPr>
          <w:sz w:val="4"/>
          <w:szCs w:val="4"/>
        </w:rPr>
      </w:pPr>
      <w:r>
        <w:rPr>
          <w:sz w:val="4"/>
          <w:szCs w:val="4"/>
        </w:rPr>
      </w:r>
      <w:bookmarkStart w:id="1322" w:name="_Hlk113686258"/>
      <w:bookmarkStart w:id="1323" w:name="_Hlk113686258"/>
      <w:bookmarkEnd w:id="132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non-operated working interests and overriding royalty interests in the Delhi Field, a CO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-EOR project, consist of approximately 24% average net working interest, with an associated 19% average net revenue interest and separate overriding royalty and mineral interests of approximately 7% yielding a total average net revenue interest of approximately 26%. The field is operated by Denbury Onshore LLC, a subsidiary of Exxon Mobil Corporation. The 13,600 gross acre unitized Delhi Field, of which we hold approximately 3,200 net acres, is located in northeast Louisiana in Franklin, Madison, and Richland Parishes.</w:t>
            </w:r>
            <w:r>
              <w:rPr>
                <w:caps w:val="false"/>
                <w:smallCaps w:val="false"/>
              </w:rPr>
              <w:t xml:space="preserve"> </w:t>
            </w:r>
            <w:r>
              <w:rPr>
                <w:rFonts w:ascii="Times New Roman;Times;serif" w:hAnsi="Times New Roman;Times;serif"/>
                <w:b w:val="false"/>
                <w:i w:val="false"/>
                <w:caps w:val="false"/>
                <w:smallCaps w:val="false"/>
                <w:sz w:val="20"/>
              </w:rPr>
              <w:t>Production from our Delhi Field properties for the six months ended December 31, 2025 is comprised of 80% crude oil and 20%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TexMex consists of oil and natural gas producing properties where we hold an approximate 42% net working interest and 35% average net revenue interest located on approximately 27,800 gross (11,200 net) acres (all held by production) primarily in Lea, Eddy and Chaves Counties, New Mexico and Stephens County, Texas. The oil and natural gas properties are operated by Texian Operating Company. Production from our TexMex properties for the six months ended December 31, 2025 is comprised of 56% crude oil and 44% natural gas.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bookmarkStart w:id="1324" w:name="_Hlk113687433"/>
      <w:bookmarkEnd w:id="1324"/>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9, 2026, Evolution’s Board of Directors approved and declared a quarterly dividend of $0.12 per common share payable March 31,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28, 2025, we entered into a letter agreement with MidFirst Bank pursuant to which Margined Collateral Value, as defined under the Senior Secured Credit, was modified to $65.0 million and allowed us until December 31, 2025 to enter into additional commodity hedge transactions to satisfy the level of hedging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SCOOP/STACK Minerals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4, 2025, we </w:t>
      </w:r>
      <w:r>
        <w:rPr>
          <w:rFonts w:ascii="Times New Roman;Times;serif" w:hAnsi="Times New Roman;Times;serif"/>
          <w:sz w:val="20"/>
          <w:shd w:fill="FFFFFF" w:val="clear"/>
        </w:rPr>
        <w:t xml:space="preserve">completed the acquisition of certain mineral and royalty interests in the SCOOP and STACK plays in Oklahoma from a non-affiliated private seller (the “Minerals Acquisition”) in a cash transaction valued at approximately $16.3 million, which includes $17.0 million paid at closing less interim purchase price adjustments totaling approximately $0.7 million related to net cash flows earned on the properties from the effective date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closing date. We expect to receive the remaining net cash flows from the properties between the effective date of May 1, 2025 and the closing date, at the final post-closing settlement process expected to occur during the third quarter of fiscal 2026. </w:t>
      </w:r>
      <w:r>
        <w:rPr>
          <w:rFonts w:ascii="Times New Roman;Times;serif" w:hAnsi="Times New Roman;Times;serif"/>
          <w:sz w:val="20"/>
        </w:rPr>
        <w:t xml:space="preserve">We accounted for the transaction as an asset acquisition and the allocation of the purchase price was $11.7 million to proved oil and natural gas properties, subject to amortization, and $4.6 million to unproved properties. </w:t>
      </w:r>
      <w:r>
        <w:rPr>
          <w:rFonts w:ascii="Times New Roman;Times;serif" w:hAnsi="Times New Roman;Times;serif"/>
          <w:sz w:val="20"/>
          <w:shd w:fill="FFFFFF" w:val="clear"/>
        </w:rPr>
        <w:t>We funded the purchase price for the Minerals Acquisition with a combination of $15.0 million in borrowings under our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tariffs, trade sanctions, taxation, energy, climate change and the environment, geopolitical instability, (including ongoing conflicts between Russia and Ukraine, in the Middle East and Venezuela),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natural gas, and NGL prices have been, and we expect may continue to be, volatile. Lower oil and natural gas prices not only decrease our revenues,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In 2022, the Federal Reserve took actions to raise interest rates in an attempt to constrain inflation and slow the economy. In 2024 and 2025, the Federal Reserve has taken action to slowly drop interest rates as inflationary pressures in the United States economy have begun to subside, but it is uncertain how recent trade policies and tariffs by the United States and foreign governments will impact inflation and the economy.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factors and events, we cannot reasonably estimate the period of time that certain market conditions will persist. Continuing volatility in political, trade, regulatory and economic conditions could impact supply and demand fundamentals, and any related significant declines in crude oil, natural gas, and NGL prices could lead to proved property impairments in the future. Future impairments of proved properties are difficult to predict, especially in a volatile price environment.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pStyle w:val="TextBody"/>
        <w:bidi w:val="0"/>
        <w:spacing w:before="240" w:after="240"/>
        <w:ind w:left="0" w:right="0" w:hanging="0"/>
        <w:jc w:val="center"/>
        <w:rPr>
          <w:rFonts w:ascii="Times New Roman;Times;serif" w:hAnsi="Times New Roman;Times;serif"/>
          <w:b/>
          <w:sz w:val="20"/>
        </w:rPr>
      </w:pPr>
      <w:bookmarkStart w:id="1325" w:name="LiquidityandCapitalResources"/>
      <w:bookmarkEnd w:id="1325"/>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December 31, 2025, we had $3.8 million in cash and cash equivalents and $54.5 million outstanding borrowings on our Senior Secured Credit Facility compared to $2.5 million in cash and cash equivalents and $37.5 million outstanding borrowings on our Senior Secured Credit Facility at June 30, 2025. Our primary sources of liquidity and capital resources during the six months ended December 31, 2025 were cash provided by operations and net borrowings under our Senior Secured Credit Facility. Our primary uses of liquidity and capital resources for the six months ended December 31, 2025 were cash used to fund our Minerals Acquisition, cash dividend payments to our common stockholders, and development capital expenditures. As of December 31, 2025, working capital was a deficit of $2.0 million. As of June 30, 2025, working capital was a deficit of $4.0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syndicated Senior Secured Credit Facility has a maximum capacity of $200.0 million subject to a borrowing base determined by the lenders based on a percentage of the value of our oil and natural gas properties. The Senior Secured Credit Facility has a current borrowing base of $65.0 million. As of December 31, 2025, we had $54.5 million of indebtedness, $0.8 million of letters of credit outstanding, and available capacity of $9.7 million. The Senior Secured Credit Facility is secured by substantially all of our oil and natural gas properties and matures on June 30, 2028.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For the six months ended December 31, 2025 and 2024, the weighted average interest on our borrowings was 6.88% and 7.80%, respectively.</w:t>
      </w:r>
      <w:r>
        <w:rPr>
          <w:rFonts w:ascii="Times New Roman;Times;serif" w:hAnsi="Times New Roman;Times;serif"/>
          <w:sz w:val="20"/>
        </w:rPr>
        <w:t xml:space="preserve"> Borrowings bear interest, at our option, at either (i) the SOFR, subject to a minimum SOFR of 3.25%, plus a credit spread adjustment of 0.05%, or (ii) the Prime Rate, as defined under the Senior Secured Credit Facility, plus 1.0%, plus, in either case of (i) or (ii), an applicable margin of 2.75%.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 It also contains other customary affirmative and negative covenants, including a hedging covenant discussed below, and events of default. As of December 31, 2025,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requires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On November 28, 2025, we entered into a letter agreement with MidFirst Bank pursuant to which Margined Collateral Value, as defined under the Senior Secured Credit, was modified to $65.0 million and allowed us until December 31, 2025 to enter into additional commodity hedge transactions to satisfy the level of hedging requirements. On August 29, 2025, we entered into the first amendment to our Senior Secured Credit Facility with MidFirst Bank, whereas it was determined for purposes of the hedge covenant that total crude oil and natural gas production volumes from proved developed producing reserves will be combined on a barrels of oil equivalent (“BOE”) basis to determine compliance with the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as needed, borrowings under our Senior Secured Credit Facility and proceeds from the ATM Sales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$9.7 million as of December 31, 2025. We also have an effective shelf registration statement with the SEC under which we may issue up to $500.0 million of new debt or equity securities.</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to facilitate acquisitions and other general corporate purposes. During the six months ended December 31, 2025, we sold a total of approximately 0.3 million shares of our common stock under the ATM Sales Agreement for net proceeds of approximately $1.2 million, net of $46 thousand of offering costs. </w:t>
      </w:r>
    </w:p>
    <w:p>
      <w:pPr>
        <w:pStyle w:val="TextBody"/>
        <w:bidi w:val="0"/>
        <w:spacing w:before="0" w:after="0"/>
        <w:ind w:left="0" w:right="0" w:hanging="0"/>
        <w:jc w:val="left"/>
        <w:rPr>
          <w:rFonts w:ascii="Times New Roman;Times;serif" w:hAnsi="Times New Roman;Times;serif"/>
          <w:sz w:val="20"/>
        </w:rPr>
      </w:pPr>
      <w:bookmarkStart w:id="1326" w:name="_Hlk221177228"/>
      <w:bookmarkStart w:id="1327" w:name="_Hlk221181469"/>
      <w:bookmarkEnd w:id="1326"/>
      <w:bookmarkEnd w:id="1327"/>
      <w:r>
        <w:rPr>
          <w:rFonts w:ascii="Times New Roman;Times;serif" w:hAnsi="Times New Roman;Times;serif"/>
          <w:sz w:val="20"/>
        </w:rPr>
        <w:t xml:space="preserve">Our Board of Directors instituted a cash dividend on common stock in December 2013. We have since paid 49 consecutive quarterly dividends. Distribution of a substantial portion of free cash flow in excess of operating and capital requirements through cash dividends remains a priority of our financial strategy, and it is our long-term goal to increase dividends over time, subject to adjustments as appropriate in the Board of Directors’ discretion depending on factors such as commodity prices, other opportunities for uses of capital, and any other factors the Board of Directors deems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relevant. On February 9, 2026, the Board of Directors declared a quarterly cash dividend of $0.12 per share of common stock to shareholders of record on March 16, 2026 and payable on March 31,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1328" w:name="_Hlk117670278"/>
      <w:bookmarkEnd w:id="1328"/>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bookmarkStart w:id="1329" w:name="_Hlk221612264"/>
      <w:bookmarkStart w:id="1330" w:name="_Hlk212708535"/>
      <w:bookmarkEnd w:id="1329"/>
      <w:bookmarkEnd w:id="1330"/>
      <w:r>
        <w:rPr>
          <w:rFonts w:ascii="Times New Roman;Times;serif" w:hAnsi="Times New Roman;Times;serif"/>
          <w:sz w:val="20"/>
        </w:rPr>
        <w:t xml:space="preserve">During the six months ending December 31, 2025, we incurred $2.5 million on development capital expenditures. A majority of our spending occurred at SCOOP/STACK where our operators are actively drilling. Three gross wells were brought online during the first quarter of the year, and three gross wells are currently in progress. Based on discussions with our operators, we expect capital workover projects to continue in most of our fields throughout the remainder of the year as well as further drilling at SCOOP/STACK. </w:t>
      </w:r>
    </w:p>
    <w:p>
      <w:pPr>
        <w:pStyle w:val="TextBody"/>
        <w:bidi w:val="0"/>
        <w:spacing w:before="0" w:after="240"/>
        <w:ind w:left="0" w:right="0" w:hanging="0"/>
        <w:jc w:val="left"/>
        <w:rPr>
          <w:rFonts w:ascii="Times New Roman;Times;serif" w:hAnsi="Times New Roman;Times;serif"/>
          <w:sz w:val="20"/>
        </w:rPr>
      </w:pPr>
      <w:bookmarkStart w:id="1331" w:name="_Hlk212708472"/>
      <w:bookmarkEnd w:id="1331"/>
      <w:r>
        <w:rPr>
          <w:rFonts w:ascii="Times New Roman;Times;serif" w:hAnsi="Times New Roman;Times;serif"/>
          <w:sz w:val="20"/>
        </w:rPr>
        <w:t>Overall, for fiscal year 2026, we expect budgeted capital expenditures to be in the range of $4.0 million to $6.0 million, which excludes any potential acquisitions. Our expected capital expenditures for fiscal year 2026 include bringing approximately nine gross wells online, including the six gross wells described above, at our SCOOP/STACK properties. Additionally, as our third-party operators continue to be active around our acreage, we would expect additional wells to be drilled and/or completed. At Chaveroo Field, we anticipate securing permits for the next six wells before the end of the fiscal year 2026. The final decision, made jointly with our partner, on when to spud these wells will depend on prevailing oil prices and completed well costs at that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December 31, 2025 were $66.01 per barrel of oil, $3.40 per MMBtu of natural gas and $23.22 per barrel of NGLs. As of December 31, 2025, our capitalized costs of oil and natural gas properties, subject to amortization, were below the full cost valuation ceiling. If commodity price levels were to substantially decline from the 12-month average first day of the month pricing levels as of December 31, 2025 and remain down for a prolonged period of time, our valuation ceiling over our capitalized costs may be reduced and adversely impact our ceiling test results in future quarters and the effect could be material to our net earnings. Using first day of the month prices for January and February 2026, which are more reflective of recent prices trends, to calculate a trailing 12-month average price of $64.05 per barrel of oil and $3.80 per MMBtu of natural gas, and keeping all other factors constant, the ceiling test calculation as of the second quarter of fiscal year 2026 would not have generated a ceiling test impairment. We cannot give assurance that a write-down of capitalized oil and natural gas properties will not be required at some point in the future as commodity prices are volatile and unpredictable.</w:t>
      </w:r>
      <w:r>
        <w:rPr>
          <w:rFonts w:ascii="Times New Roman;Times;serif" w:hAnsi="Times New Roman;Times;serif"/>
          <w:sz w:val="20"/>
          <w:shd w:fill="FFFFFF" w:val="clear"/>
        </w:rPr>
        <w:t> </w:t>
      </w:r>
      <w:r>
        <w:rPr>
          <w:rFonts w:ascii="Times New Roman;Times;serif" w:hAnsi="Times New Roman;Times;serif"/>
          <w:sz w:val="20"/>
        </w:rPr>
        <w:t>In addition to commodity prices, our production rates, levels of proved reserves, future development costs, transfers of unevaluated properties to our full cost pool, capital spending and other factors will determine our actual ceiling test calculation and impairment analyses in future periods.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8194" w:type="dxa"/>
        <w:jc w:val="left"/>
        <w:tblInd w:w="0" w:type="dxa"/>
        <w:tblLayout w:type="fixed"/>
        <w:tblCellMar>
          <w:top w:w="0" w:type="dxa"/>
          <w:left w:w="0" w:type="dxa"/>
          <w:bottom w:w="0" w:type="dxa"/>
          <w:right w:w="0" w:type="dxa"/>
        </w:tblCellMar>
      </w:tblPr>
      <w:tblGrid>
        <w:gridCol w:w="3871"/>
        <w:gridCol w:w="346"/>
        <w:gridCol w:w="250"/>
        <w:gridCol w:w="921"/>
        <w:gridCol w:w="442"/>
        <w:gridCol w:w="250"/>
        <w:gridCol w:w="806"/>
        <w:gridCol w:w="34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58085" cy="175260"/>
                      <wp:effectExtent l="0" t="0" r="0" b="0"/>
                      <wp:wrapNone/>
                      <wp:docPr id="283" name="Frame28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8750" cy="175260"/>
                      <wp:effectExtent l="0" t="0" r="0" b="0"/>
                      <wp:wrapNone/>
                      <wp:docPr id="285" name="Frame28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84835" cy="175260"/>
                      <wp:effectExtent l="0" t="0" r="0" b="0"/>
                      <wp:wrapNone/>
                      <wp:docPr id="286" name="Frame28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0670" cy="175260"/>
                      <wp:effectExtent l="0" t="0" r="0" b="0"/>
                      <wp:wrapNone/>
                      <wp:docPr id="287" name="Frame28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58750" cy="175260"/>
                      <wp:effectExtent l="0" t="0" r="0" b="0"/>
                      <wp:wrapNone/>
                      <wp:docPr id="288" name="Frame28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11810" cy="175260"/>
                      <wp:effectExtent l="0" t="0" r="0" b="0"/>
                      <wp:wrapNone/>
                      <wp:docPr id="289" name="Frame288"/>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91"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86410" cy="175260"/>
                      <wp:effectExtent l="0" t="0" r="0" b="0"/>
                      <wp:wrapNone/>
                      <wp:docPr id="292" name="Frame2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December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442" w:type="dxa"/>
            <w:tcBorders/>
            <w:vAlign w:val="center"/>
          </w:tcPr>
          <w:p>
            <w:pPr>
              <w:pStyle w:val="TableContents"/>
              <w:bidi w:val="0"/>
              <w:spacing w:before="0" w:after="1"/>
              <w:ind w:left="0" w:right="0" w:hanging="0"/>
              <w:jc w:val="left"/>
              <w:rPr/>
            </w:pPr>
            <w:r>
              <w:rPr/>
              <w:t>  ​ ​ ​</w:t>
            </w:r>
          </w:p>
        </w:tc>
        <w:tc>
          <w:tcPr>
            <w:tcW w:w="10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13,230</w:t>
            </w:r>
          </w:p>
        </w:tc>
        <w:tc>
          <w:tcPr>
            <w:tcW w:w="442"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(21,303)</w:t>
            </w:r>
          </w:p>
        </w:tc>
        <w:tc>
          <w:tcPr>
            <w:tcW w:w="442"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(17,474)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9,328</w:t>
            </w:r>
          </w:p>
        </w:tc>
        <w:tc>
          <w:tcPr>
            <w:tcW w:w="442"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15,611</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1,255</w:t>
            </w:r>
          </w:p>
        </w:tc>
        <w:tc>
          <w:tcPr>
            <w:tcW w:w="442"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six months ended December 31, 2025 decreased $2.1 million compared to the six months ended December 31, 2024 primarily d</w:t>
      </w:r>
      <w:r>
        <w:rPr>
          <w:rFonts w:ascii="Times New Roman;Times;serif" w:hAnsi="Times New Roman;Times;serif"/>
          <w:sz w:val="20"/>
          <w:shd w:fill="FFFFFF" w:val="clear"/>
        </w:rPr>
        <w:t xml:space="preserve">ue a decrease in revenues and increases in our interest expense and lease operating costs for the comparable periods partially offset by realized gains on derivative contracts in the 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period of $1.7 million compared to $0.1 million in the prior period.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six months ended December 31, 2025 increased $17.5 million compared to the six months ended December 31, 2024 primarily due to the closing of the Minerals Acquisition in August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provided by financing activities for the six months ended December 31, 2025 were $9.3 million compared to net cash flows used in financing activities of $6.3 million for the six months ended December 31, 2024. For the six months ended December 31, 2025, we received net borrowings of $17.0 million under our Senior Secured Credit Facility primarily to finance our Minerals Acquisition, received net proceeds from the sale of common stock under the ATM Sales agreement of approximately $1.2 million, after deducting issuance fees,</w:t>
      </w:r>
      <w:r>
        <w:rPr>
          <w:rFonts w:ascii="Times New Roman;Times;serif" w:hAnsi="Times New Roman;Times;serif"/>
          <w:color w:val="212529"/>
          <w:sz w:val="20"/>
          <w:shd w:fill="FFFFFF" w:val="clear"/>
        </w:rPr>
        <w:t xml:space="preserve"> and </w:t>
      </w:r>
      <w:r>
        <w:rPr>
          <w:rFonts w:ascii="Times New Roman;Times;serif" w:hAnsi="Times New Roman;Times;serif"/>
          <w:sz w:val="20"/>
        </w:rPr>
        <w:t>paid $8.4 million in cash dividends to our common stockholders. For the six months ended December 31, 2024, we paid $8.1 million in cash dividends to our common stockholders and r</w:t>
      </w:r>
      <w:r>
        <w:rPr>
          <w:rFonts w:ascii="Times New Roman;Times;serif" w:hAnsi="Times New Roman;Times;serif"/>
          <w:sz w:val="20"/>
          <w:shd w:fill="FFFFFF" w:val="clear"/>
        </w:rPr>
        <w:t>eceived </w:t>
      </w:r>
      <w:r>
        <w:rPr>
          <w:rFonts w:ascii="Times New Roman;Times;serif" w:hAnsi="Times New Roman;Times;serif"/>
          <w:color w:val="212529"/>
          <w:sz w:val="20"/>
          <w:shd w:fill="FFFFFF" w:val="clear"/>
        </w:rPr>
        <w:t>net proceeds from the sale of common stock under the ATM Sales Agreement of approximately $2.0 million, after deducting $0.2 million of fees for due diligence incurred with the offering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332" w:name="ResultsofOperations_272777"/>
      <w:bookmarkEnd w:id="1332"/>
      <w:r>
        <w:rPr>
          <w:rFonts w:ascii="Times New Roman;Times;serif" w:hAnsi="Times New Roman;Times;serif"/>
          <w:b/>
          <w:sz w:val="20"/>
        </w:rPr>
        <w:t>Results of Operations</w:t>
      </w:r>
    </w:p>
    <w:p>
      <w:pPr>
        <w:pStyle w:val="TextBody"/>
        <w:bidi w:val="0"/>
        <w:spacing w:before="240" w:after="240"/>
        <w:ind w:left="0" w:right="0" w:hanging="0"/>
        <w:jc w:val="center"/>
        <w:rPr>
          <w:rFonts w:ascii="Times New Roman;Times;serif" w:hAnsi="Times New Roman;Times;serif"/>
          <w:b/>
          <w:sz w:val="20"/>
        </w:rPr>
      </w:pPr>
      <w:r>
        <w:rPr>
          <w:rFonts w:ascii="Times New Roman;Times;serif" w:hAnsi="Times New Roman;Times;serif"/>
          <w:b/>
          <w:sz w:val="20"/>
        </w:rPr>
        <w:t>Three Months Ended December 31, 2025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$1.1 million and net loss of $1.8 million for the three months ended December 31, 2025 and 2024,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871" w:type="dxa"/>
        <w:jc w:val="left"/>
        <w:tblInd w:w="0" w:type="dxa"/>
        <w:tblLayout w:type="fixed"/>
        <w:tblCellMar>
          <w:top w:w="0" w:type="dxa"/>
          <w:left w:w="0" w:type="dxa"/>
          <w:bottom w:w="0" w:type="dxa"/>
          <w:right w:w="0" w:type="dxa"/>
        </w:tblCellMar>
      </w:tblPr>
      <w:tblGrid>
        <w:gridCol w:w="4186"/>
        <w:gridCol w:w="346"/>
        <w:gridCol w:w="200"/>
        <w:gridCol w:w="644"/>
        <w:gridCol w:w="111"/>
        <w:gridCol w:w="200"/>
        <w:gridCol w:w="644"/>
        <w:gridCol w:w="346"/>
        <w:gridCol w:w="196"/>
        <w:gridCol w:w="631"/>
        <w:gridCol w:w="346"/>
        <w:gridCol w:w="680"/>
        <w:gridCol w:w="341"/>
      </w:tblGrid>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7000" cy="175260"/>
                      <wp:effectExtent l="0" t="0" r="0" b="0"/>
                      <wp:wrapNone/>
                      <wp:docPr id="294" name="Frame29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08940" cy="175260"/>
                      <wp:effectExtent l="0" t="0" r="0" b="0"/>
                      <wp:wrapNone/>
                      <wp:docPr id="295" name="Frame294"/>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0485" cy="175260"/>
                      <wp:effectExtent l="0" t="0" r="0" b="0"/>
                      <wp:wrapNone/>
                      <wp:docPr id="296" name="Frame29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7000" cy="175260"/>
                      <wp:effectExtent l="0" t="0" r="0" b="0"/>
                      <wp:wrapNone/>
                      <wp:docPr id="297" name="Frame29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8940" cy="175260"/>
                      <wp:effectExtent l="0" t="0" r="0" b="0"/>
                      <wp:wrapNone/>
                      <wp:docPr id="298" name="Frame297"/>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0" name="Frame2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00685" cy="175260"/>
                      <wp:effectExtent l="0" t="0" r="0" b="0"/>
                      <wp:wrapNone/>
                      <wp:docPr id="301" name="Frame30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31800" cy="175260"/>
                      <wp:effectExtent l="0" t="0" r="0" b="0"/>
                      <wp:wrapNone/>
                      <wp:docPr id="303" name="Frame30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6535" cy="175260"/>
                      <wp:effectExtent l="0" t="0" r="0" b="0"/>
                      <wp:wrapNone/>
                      <wp:docPr id="304" name="Frame30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799"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0"/>
              <w:ind w:left="0" w:right="0" w:hanging="0"/>
              <w:jc w:val="left"/>
              <w:rPr/>
            </w:pPr>
            <w:r>
              <w:rPr/>
              <w:t>  ​ ​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11" w:type="dxa"/>
            <w:tcBorders/>
            <w:vAlign w:val="center"/>
          </w:tcPr>
          <w:p>
            <w:pPr>
              <w:pStyle w:val="TableContents"/>
              <w:bidi w:val="0"/>
              <w:spacing w:before="0" w:after="0"/>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2,890</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(158.4)</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10,696</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(1,067)</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7,441</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1,648</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2,542</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20,679</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1,441</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2,667</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2,889</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8,255</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5,532</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1,979</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3,454</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(1,548)</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(217.7)</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2,241</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7,380</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55.42</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0.59</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22.70</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30.46</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0.87</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(0.60)</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0.28</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(0.22)</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4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0.90</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(0.13)</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$20.7 million and $20.3 million for the three months ended December 31, 2025 and 2024, respectively, with the increase in revenues due to an increase in production volumes partially offset by decreases in our average realized price per BOE. Average daily equivalent production increased 6.4% to 7,380 BOEPD in the current year period from 6,935 BOEPD in the prior period </w:t>
      </w:r>
      <w:r>
        <w:rPr>
          <w:rFonts w:ascii="Times" w:hAnsi="Times"/>
          <w:sz w:val="20"/>
        </w:rPr>
        <w:t xml:space="preserve">primarily as a result </w:t>
      </w:r>
      <w:r>
        <w:rPr>
          <w:rFonts w:ascii="Times New Roman;Times;serif" w:hAnsi="Times New Roman;Times;serif"/>
          <w:sz w:val="20"/>
        </w:rPr>
        <w:t xml:space="preserve">production from our Minerals Acquisition in August 2025 and TexMex Acquisition in April 2025. </w:t>
      </w:r>
      <w:r>
        <w:rPr>
          <w:rFonts w:ascii="Times" w:hAnsi="Times"/>
          <w:sz w:val="20"/>
        </w:rPr>
        <w:t>Our average realized commodity price (excluding the impact of derivative contracts) for the three months ended December 31, 2025 decreased approximately $1.32 per BOE, or 4.2%, over</w:t>
      </w:r>
      <w:r>
        <w:rPr>
          <w:rFonts w:ascii="Times New Roman;Times;serif" w:hAnsi="Times New Roman;Times;serif"/>
          <w:sz w:val="20"/>
        </w:rPr>
        <w:t xml:space="preserve"> the prior year period as our r</w:t>
      </w:r>
      <w:r>
        <w:rPr>
          <w:rFonts w:ascii="Times" w:hAnsi="Times"/>
          <w:sz w:val="20"/>
        </w:rPr>
        <w:t>ealized crude oil decreased 15.7% and realized NGL prices decreased 12.4% from the three months ended December 31, 2024. The overall decrease in our realized crude oil and NGL prices was partially offset by a 21.6% increase in our realized natural gas prices over the prior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$0.6 million and $1.4 million, respectively, for the three months ended December 31, 2025 and 2024. The $0.8 million decrease is directly related to a reduction of calendar years 2024 and 2025 ad valorem taxes which were passed along from the operator of our Barnett Shale natural gas properties. On a per unit basis, ad valorem and production taxes were $0.87 per BOE and $2.26 per BOE for the three months ended December 31, 2025 and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$2.7 million for the three months ended December 31, 2025 compared to $2.9 million for the three months ended December 31, 2024. These costs are gathering, transportation and processing fees we incur primarily for our natural gas producing properties. The decrease is primarily due to decreased natural gas sales at Jonah Field and Barnett Shale. On a per unit basis, gathering, transportation and other costs were $3.93 per BOE and $4.53 per BOE for the three months ended December 31, 2025 and 2024, respectively. </w:t>
      </w:r>
    </w:p>
    <w:p>
      <w:pPr>
        <w:pStyle w:val="TextBody"/>
        <w:bidi w:val="0"/>
        <w:spacing w:before="0" w:after="240"/>
        <w:ind w:left="0" w:right="0" w:hanging="0"/>
        <w:jc w:val="left"/>
        <w:rPr>
          <w:rFonts w:ascii="Times New Roman;Times;serif" w:hAnsi="Times New Roman;Times;serif"/>
          <w:sz w:val="14"/>
        </w:rPr>
      </w:pPr>
      <w:r>
        <w:rPr>
          <w:rFonts w:ascii="Times New Roman;Times;serif" w:hAnsi="Times New Roman;Times;serif"/>
          <w:sz w:val="20"/>
        </w:rPr>
        <w:t>Other lease operating costs were $8.3 million for the three months ended December 31, 2025 compared to $8.5 million for the three months ended December 31, 2024. Other lease operating costs decreased primarily due to the cessation of CO</w:t>
      </w:r>
      <w:r>
        <w:rPr>
          <w:rFonts w:ascii="Times New Roman;Times;serif" w:hAnsi="Times New Roman;Times;serif"/>
          <w:sz w:val="11"/>
        </w:rPr>
        <w:t>2 </w:t>
      </w:r>
      <w:r>
        <w:rPr>
          <w:rFonts w:ascii="Times New Roman;Times;serif" w:hAnsi="Times New Roman;Times;serif"/>
          <w:sz w:val="14"/>
        </w:rPr>
        <w:t xml:space="preserve"> </w:t>
      </w:r>
      <w:r>
        <w:rPr>
          <w:rFonts w:ascii="Times New Roman;Times;serif" w:hAnsi="Times New Roman;Times;serif"/>
          <w:sz w:val="20"/>
        </w:rPr>
        <w:t>purchases at Delhi late during the third quarter of fiscal 2025. For the three months ended December 31, 2024, we had net CO</w:t>
      </w:r>
      <w:r>
        <w:rPr>
          <w:rFonts w:ascii="Times New Roman;Times;serif" w:hAnsi="Times New Roman;Times;serif"/>
          <w:sz w:val="11"/>
        </w:rPr>
        <w:t>2</w:t>
      </w:r>
      <w:r>
        <w:rPr>
          <w:rFonts w:ascii="Times New Roman;Times;serif" w:hAnsi="Times New Roman;Times;serif"/>
          <w:sz w:val="14"/>
        </w:rPr>
        <w:t xml:space="preserve"> </w:t>
      </w:r>
      <w:r>
        <w:rPr>
          <w:rFonts w:ascii="Times New Roman;Times;serif" w:hAnsi="Times New Roman;Times;serif"/>
          <w:sz w:val="20"/>
        </w:rPr>
        <w:t xml:space="preserve">purchases of $1.1 million. Partially offsetting the overall decrease in other lease operating costs were increases due to </w:t>
      </w:r>
      <w:r>
        <w:rPr>
          <w:rFonts w:ascii="Times New Roman;Times;serif" w:hAnsi="Times New Roman;Times;serif"/>
          <w:sz w:val="20"/>
          <w:shd w:fill="FFFFFF" w:val="clear"/>
        </w:rPr>
        <w:t>the TexMex Acquisition in April 2025, which increased other lease operating costs by $1.1 million over the prior year period.</w:t>
      </w:r>
      <w:r>
        <w:rPr>
          <w:rFonts w:ascii="Times New Roman;Times;serif" w:hAnsi="Times New Roman;Times;serif"/>
          <w:sz w:val="14"/>
        </w:rPr>
        <w:t xml:space="preserve"> </w:t>
      </w:r>
      <w:r>
        <w:rPr>
          <w:rFonts w:ascii="Times New Roman;Times;serif" w:hAnsi="Times New Roman;Times;serif"/>
          <w:sz w:val="20"/>
        </w:rPr>
        <w:t xml:space="preserve">On a per unit basis, other lease operating costs decreased to $12.16 per BOE for the three months ended December 31, 2025 from $13.26 per BOE in the three months ended December 31,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from $5.0 million for the three months ended December 31, 2024 to $5.5 million for the three months ended December 31, 2025 primarily due to an increase in the depletion rate and decrease in reserves volumes. </w:t>
      </w:r>
      <w:r>
        <w:rPr>
          <w:rFonts w:ascii="Times New Roman;Times;serif" w:hAnsi="Times New Roman;Times;serif"/>
          <w:sz w:val="20"/>
          <w:shd w:fill="FFFFFF" w:val="clear"/>
        </w:rPr>
        <w:t xml:space="preserve">On a per unit basis, depletion expense was $8.15 per BOE and $7.87 per BOE for the three months ended December 31,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were $2.0 million for each of the periods ended December 31, 2025 and 2024. On a per unit basis, general and administrative expenses were $2.91 per BOE and $3.13 per BOE for the three months ended December 31, 2025 and 2024, respectively. The decrease on a per unit basis is primarily the result of the increase in production for the current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three months ended December 31, 2025 was $0.6 million compared to $0.7 million for the </w:t>
      </w:r>
      <w:r>
        <w:rPr>
          <w:rFonts w:ascii="Times" w:hAnsi="Times"/>
          <w:sz w:val="20"/>
        </w:rPr>
        <w:t>year-ago period</w:t>
      </w:r>
      <w:r>
        <w:rPr>
          <w:rFonts w:ascii="Times New Roman;Times;serif" w:hAnsi="Times New Roman;Times;serif"/>
          <w:sz w:val="20"/>
        </w:rPr>
        <w:t>. The decrease is due to a decrease in the awards granted in the current fiscal period compared to the year-ago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As a result of our recent acquisitions and the corresponding borrowings on our Senior Secured Credit Facility, we were required by terms in our Senior Secured Credit Facility to hedge a portion of our production. As of December 31, 2025, we had $3.3 million derivative assets, $3.2 million of which was classified as current, and $2.0 million derivative liabilities, $1.5 million of which was classified as current. Subsequent to the end of the quarter through February 2026, we have seen increased volatility in the crude oil and natural gas commodity markets, and we expect to see continued volatility in the fair value of our derivative contracts.</w:t>
      </w:r>
    </w:p>
    <w:p>
      <w:pPr>
        <w:pStyle w:val="TextBody"/>
        <w:bidi w:val="0"/>
        <w:spacing w:before="0" w:after="240"/>
        <w:ind w:left="0" w:right="0" w:hanging="0"/>
        <w:jc w:val="left"/>
        <w:rPr/>
      </w:pPr>
      <w:r>
        <w:rPr/>
        <w:t>​</w:t>
      </w:r>
    </w:p>
    <w:tbl>
      <w:tblPr>
        <w:tblW w:w="9627" w:type="dxa"/>
        <w:jc w:val="left"/>
        <w:tblInd w:w="0" w:type="dxa"/>
        <w:tblLayout w:type="fixed"/>
        <w:tblCellMar>
          <w:top w:w="0" w:type="dxa"/>
          <w:left w:w="0" w:type="dxa"/>
          <w:bottom w:w="0" w:type="dxa"/>
          <w:right w:w="0" w:type="dxa"/>
        </w:tblCellMar>
      </w:tblPr>
      <w:tblGrid>
        <w:gridCol w:w="4861"/>
        <w:gridCol w:w="346"/>
        <w:gridCol w:w="196"/>
        <w:gridCol w:w="511"/>
        <w:gridCol w:w="346"/>
        <w:gridCol w:w="196"/>
        <w:gridCol w:w="631"/>
        <w:gridCol w:w="346"/>
        <w:gridCol w:w="196"/>
        <w:gridCol w:w="631"/>
        <w:gridCol w:w="346"/>
        <w:gridCol w:w="680"/>
        <w:gridCol w:w="341"/>
      </w:tblGrid>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6"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24485" cy="175260"/>
                      <wp:effectExtent l="0" t="0" r="0" b="0"/>
                      <wp:wrapNone/>
                      <wp:docPr id="307" name="Frame3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09"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00685" cy="175260"/>
                      <wp:effectExtent l="0" t="0" r="0" b="0"/>
                      <wp:wrapNone/>
                      <wp:docPr id="310" name="Frame3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4460" cy="175260"/>
                      <wp:effectExtent l="0" t="0" r="0" b="0"/>
                      <wp:wrapNone/>
                      <wp:docPr id="312"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00685" cy="175260"/>
                      <wp:effectExtent l="0" t="0" r="0" b="0"/>
                      <wp:wrapNone/>
                      <wp:docPr id="313" name="Frame31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31800" cy="175260"/>
                      <wp:effectExtent l="0" t="0" r="0" b="0"/>
                      <wp:wrapNone/>
                      <wp:docPr id="315" name="Frame314"/>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6535" cy="175260"/>
                      <wp:effectExtent l="0" t="0" r="0" b="0"/>
                      <wp:wrapNone/>
                      <wp:docPr id="316" name="Frame31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8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2,811</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3,454</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(10.30)</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0.86</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0.21</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0.80</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increased $0.2 million for the three months ended December 31, 2025 compared to the prior year period primarily due to additional borrowings drawn on our Senior Secured Credit Facility to finance our Minerals Acquisition in August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bookmarkStart w:id="1333" w:name="_Hlk221177709"/>
      <w:bookmarkEnd w:id="1333"/>
      <w:r>
        <w:rPr>
          <w:rFonts w:ascii="Times New Roman;Times;serif" w:hAnsi="Times New Roman;Times;serif"/>
          <w:sz w:val="20"/>
        </w:rPr>
        <w:t xml:space="preserve">For the three months ended December 31, 2025, we recognized income tax expense of $0.8 million on net income before income taxes of $1.9 million compared to income tax benefit of $0.7 million on net losses before income taxes of $2.5 million for the three months ended December 31, 2024. The effective tax rates were 44.0% and 28.0% for three months ended December 31, 2025 and 2024, respectively. The increase in the effective tax rate from the prior year period is due to projected higher state income taxes in Oklahoma associated with the Minerals Acquisition in August 2025. </w:t>
      </w:r>
      <w:r>
        <w:rPr>
          <w:rFonts w:ascii="Times New Roman;Times;serif" w:hAnsi="Times New Roman;Times;serif"/>
          <w:color w:val="232323"/>
          <w:sz w:val="20"/>
          <w:shd w:fill="FFFFFF" w:val="clear"/>
        </w:rPr>
        <w:t>We continue to evaluate our tax provision on a quarterly basis and adjust our effective tax rate for any given changes in facts and circumstances that are expected in the future.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Six Months Ended December 31, 2025 and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$1.9 million and $0.2 million for the six months ended December 31, 2025 and 2024,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072" w:type="dxa"/>
        <w:jc w:val="left"/>
        <w:tblInd w:w="0" w:type="dxa"/>
        <w:tblLayout w:type="fixed"/>
        <w:tblCellMar>
          <w:top w:w="0" w:type="dxa"/>
          <w:left w:w="0" w:type="dxa"/>
          <w:bottom w:w="0" w:type="dxa"/>
          <w:right w:w="0" w:type="dxa"/>
        </w:tblCellMar>
      </w:tblPr>
      <w:tblGrid>
        <w:gridCol w:w="4186"/>
        <w:gridCol w:w="346"/>
        <w:gridCol w:w="196"/>
        <w:gridCol w:w="631"/>
        <w:gridCol w:w="346"/>
        <w:gridCol w:w="196"/>
        <w:gridCol w:w="631"/>
        <w:gridCol w:w="346"/>
        <w:gridCol w:w="196"/>
        <w:gridCol w:w="631"/>
        <w:gridCol w:w="346"/>
        <w:gridCol w:w="654"/>
        <w:gridCol w:w="367"/>
      </w:tblGrid>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4460" cy="175260"/>
                      <wp:effectExtent l="0" t="0" r="0" b="0"/>
                      <wp:wrapNone/>
                      <wp:docPr id="318"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00685" cy="175260"/>
                      <wp:effectExtent l="0" t="0" r="0" b="0"/>
                      <wp:wrapNone/>
                      <wp:docPr id="319" name="Frame3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4460" cy="175260"/>
                      <wp:effectExtent l="0" t="0" r="0" b="0"/>
                      <wp:wrapNone/>
                      <wp:docPr id="321"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00685" cy="175260"/>
                      <wp:effectExtent l="0" t="0" r="0" b="0"/>
                      <wp:wrapNone/>
                      <wp:docPr id="322" name="Frame3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4"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00685" cy="175260"/>
                      <wp:effectExtent l="0" t="0" r="0" b="0"/>
                      <wp:wrapNone/>
                      <wp:docPr id="325" name="Frame3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15290" cy="175260"/>
                      <wp:effectExtent l="0" t="0" r="0" b="0"/>
                      <wp:wrapNone/>
                      <wp:docPr id="327" name="Frame326"/>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33045" cy="175260"/>
                      <wp:effectExtent l="0" t="0" r="0" b="0"/>
                      <wp:wrapNone/>
                      <wp:docPr id="328" name="Frame32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1,649</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23,568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3,263</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41,967</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17,030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16,049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981</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11,092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3,767</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662.7</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(1,092)</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992.7</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(0.74)</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(0.66)</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0.51</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(0.20)</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$42.0 million and $42.2 million for the six months ended December 31, 2025 and 2024, respectively, with the decrease in revenues due to decreases in our average realized price per BOE partially offset by increases in production volumes. Average daily equivalent production increased 1.9% from 7,212 BOEPD in the prior year period to 7,348 BOEPD in the current period </w:t>
      </w:r>
      <w:r>
        <w:rPr>
          <w:rFonts w:ascii="Times" w:hAnsi="Times"/>
          <w:sz w:val="20"/>
        </w:rPr>
        <w:t xml:space="preserve">primarily as a result of </w:t>
      </w:r>
      <w:r>
        <w:rPr>
          <w:rFonts w:ascii="Times New Roman;Times;serif" w:hAnsi="Times New Roman;Times;serif"/>
          <w:sz w:val="20"/>
        </w:rPr>
        <w:t xml:space="preserve">production from our Minerals Acquisition in August 2025 and TexMex Acquisition in April 2025. </w:t>
      </w:r>
      <w:r>
        <w:rPr>
          <w:rFonts w:ascii="Times" w:hAnsi="Times"/>
          <w:sz w:val="20"/>
        </w:rPr>
        <w:t>Our average realized commodity price (excluding the impact of derivative contracts) for the six months ended December 31, 2025 decreased approximately $0.74 per BOE, or 2.3%, over</w:t>
      </w:r>
      <w:r>
        <w:rPr>
          <w:rFonts w:ascii="Times New Roman;Times;serif" w:hAnsi="Times New Roman;Times;serif"/>
          <w:sz w:val="20"/>
        </w:rPr>
        <w:t xml:space="preserve"> the prior year period as our r</w:t>
      </w:r>
      <w:r>
        <w:rPr>
          <w:rFonts w:ascii="Times" w:hAnsi="Times"/>
          <w:sz w:val="20"/>
        </w:rPr>
        <w:t>ealized crude oil decreased 14.8% and realized NGL prices decreased 10.4% from the six months ended December 31, 2024. The overall decrease in our crude oil and NGL realized prices was partially offset by a 31.0% increase in our realized natural gas prices over the prior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$2.0 million and $2.9 million for the six months ended December 31, 2025 and 2024, respectively. The decrease is primarily related to a reduction of calendar years 2024 and 2025 ad valorem taxes which were passed along from the operator of our Barnett Shale natural gas properties. On a per unit basis, ad valorem and production taxes were $1.49 per BOE and $2.15 per BOE for the six months ended December 31, 2025 and 2024,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$5.6 million for the six months ended December 31, 2025 compared to $5.7 million for the six months ended December 31, 2024. These costs are gathering, transportation and processing fees we incur primarily for our natural gas producing properties. The decrease is primarily due to decreased natural gas sales at Jonah Field partially offset by increased natural gas sales at Barnett Shale. On a per unit basis, gathering, transportation and other costs were $4.11 per BOE and $4.28 per BOE for the six months ended December 31, 2025 and 2024, respectively. </w:t>
      </w:r>
    </w:p>
    <w:p>
      <w:pPr>
        <w:pStyle w:val="TextBody"/>
        <w:bidi w:val="0"/>
        <w:spacing w:before="0" w:after="240"/>
        <w:ind w:left="0" w:right="0" w:hanging="0"/>
        <w:jc w:val="left"/>
        <w:rPr>
          <w:rFonts w:ascii="Times New Roman;Times;serif" w:hAnsi="Times New Roman;Times;serif"/>
          <w:sz w:val="14"/>
        </w:rPr>
      </w:pPr>
      <w:r>
        <w:rPr>
          <w:rFonts w:ascii="Times New Roman;Times;serif" w:hAnsi="Times New Roman;Times;serif"/>
          <w:sz w:val="20"/>
        </w:rPr>
        <w:t xml:space="preserve">Other lease operating costs were $17.0 million for the six months ended December 31, 2025 compared to $16.0 million for the six months ended December 31, 2024. Other lease operating costs increased primarily due to </w:t>
      </w:r>
      <w:r>
        <w:rPr>
          <w:rFonts w:ascii="Times New Roman;Times;serif" w:hAnsi="Times New Roman;Times;serif"/>
          <w:sz w:val="20"/>
          <w:shd w:fill="FFFFFF" w:val="clear"/>
        </w:rPr>
        <w:t>the TexMex Acquisition in April 2025, which increased other lease operating costs by $2.4 million over the prior year period.</w:t>
      </w:r>
      <w:r>
        <w:rPr>
          <w:rFonts w:ascii="Times New Roman;Times;serif" w:hAnsi="Times New Roman;Times;serif"/>
          <w:sz w:val="14"/>
        </w:rPr>
        <w:t xml:space="preserve"> </w:t>
      </w:r>
      <w:r>
        <w:rPr>
          <w:rFonts w:ascii="Times New Roman;Times;serif" w:hAnsi="Times New Roman;Times;serif"/>
          <w:sz w:val="20"/>
        </w:rPr>
        <w:t>Partially offsetting the overall increase in other lease operating costs is the cessation of CO</w:t>
      </w:r>
      <w:r>
        <w:rPr>
          <w:rFonts w:ascii="Times New Roman;Times;serif" w:hAnsi="Times New Roman;Times;serif"/>
          <w:sz w:val="11"/>
        </w:rPr>
        <w:t>2 </w:t>
      </w:r>
      <w:r>
        <w:rPr>
          <w:rFonts w:ascii="Times New Roman;Times;serif" w:hAnsi="Times New Roman;Times;serif"/>
          <w:sz w:val="14"/>
        </w:rPr>
        <w:t xml:space="preserve"> </w:t>
      </w:r>
      <w:r>
        <w:rPr>
          <w:rFonts w:ascii="Times New Roman;Times;serif" w:hAnsi="Times New Roman;Times;serif"/>
          <w:sz w:val="20"/>
        </w:rPr>
        <w:t>purchases at Delhi late during the third quarter of fiscal 2025. For the six months ended December 31, 2024, we had net CO</w:t>
      </w:r>
      <w:r>
        <w:rPr>
          <w:rFonts w:ascii="Times New Roman;Times;serif" w:hAnsi="Times New Roman;Times;serif"/>
          <w:sz w:val="11"/>
        </w:rPr>
        <w:t>2</w:t>
      </w:r>
      <w:r>
        <w:rPr>
          <w:rFonts w:ascii="Times New Roman;Times;serif" w:hAnsi="Times New Roman;Times;serif"/>
          <w:sz w:val="14"/>
        </w:rPr>
        <w:t xml:space="preserve"> </w:t>
      </w:r>
      <w:r>
        <w:rPr>
          <w:rFonts w:ascii="Times New Roman;Times;serif" w:hAnsi="Times New Roman;Times;serif"/>
          <w:sz w:val="20"/>
        </w:rPr>
        <w:t xml:space="preserve">purchases of $1.1 million. On a per unit basis, other lease operating costs increased to $12.60 per BOE for the six months ended December 31, 2025 from $12.09 per BOE in the six months ended December 31,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from $10.3 million for the six months ended December 31, 2024 to $11.1 million for the six months ended December 31, 2025 primarily due to an increase in the depletion rate and decrease in reserves volumes. </w:t>
      </w:r>
      <w:r>
        <w:rPr>
          <w:rFonts w:ascii="Times New Roman;Times;serif" w:hAnsi="Times New Roman;Times;serif"/>
          <w:sz w:val="20"/>
          <w:shd w:fill="FFFFFF" w:val="clear"/>
        </w:rPr>
        <w:t xml:space="preserve">On a per unit basis, depletion expense was $8.20 per BOE and $7.80 per BOE for the six months ended December 31, 2025 and 2024,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six months ended December 31, 2025 and 2024 were $3.8 million and $4.0 million, respectively. The decrease in the current period is primarily due to a decrease in professional fees. On a per unit basis, general and administrative expenses were $2.79 per BOE and $2.99 per BOE for the six months ended December 31, 2025 and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As a result of our recent acquisitions and the corresponding borrowings on our Senior Secured Credit Facility, we were required by terms in our Senior Secured Credit Facility to hedge a portion of our production. As of December 31, 2025, we had $3.3 million derivative assets, $3.2 million of which was classified as current, and $2.0 million derivative liabilities, $1.5 million of which was classified as current. Subsequent to the end of the quarter through February 2026, we have seen increased volatility in the crude oil and natural gas commodity markets, and we expect to see continued volatility in the fair value of our derivative contracts.</w:t>
      </w:r>
    </w:p>
    <w:p>
      <w:pPr>
        <w:pStyle w:val="TextBody"/>
        <w:bidi w:val="0"/>
        <w:spacing w:before="0" w:after="240"/>
        <w:ind w:left="0" w:right="0" w:hanging="0"/>
        <w:jc w:val="left"/>
        <w:rPr/>
      </w:pPr>
      <w:r>
        <w:rPr/>
        <w:t>​</w:t>
      </w:r>
    </w:p>
    <w:tbl>
      <w:tblPr>
        <w:tblW w:w="9507" w:type="dxa"/>
        <w:jc w:val="left"/>
        <w:tblInd w:w="0" w:type="dxa"/>
        <w:tblLayout w:type="fixed"/>
        <w:tblCellMar>
          <w:top w:w="0" w:type="dxa"/>
          <w:left w:w="0" w:type="dxa"/>
          <w:bottom w:w="0" w:type="dxa"/>
          <w:right w:w="0" w:type="dxa"/>
        </w:tblCellMar>
      </w:tblPr>
      <w:tblGrid>
        <w:gridCol w:w="4861"/>
        <w:gridCol w:w="346"/>
        <w:gridCol w:w="196"/>
        <w:gridCol w:w="511"/>
        <w:gridCol w:w="346"/>
        <w:gridCol w:w="196"/>
        <w:gridCol w:w="511"/>
        <w:gridCol w:w="346"/>
        <w:gridCol w:w="196"/>
        <w:gridCol w:w="631"/>
        <w:gridCol w:w="346"/>
        <w:gridCol w:w="707"/>
        <w:gridCol w:w="314"/>
      </w:tblGrid>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460" cy="175260"/>
                      <wp:effectExtent l="0" t="0" r="0" b="0"/>
                      <wp:wrapNone/>
                      <wp:docPr id="330"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24485" cy="175260"/>
                      <wp:effectExtent l="0" t="0" r="0" b="0"/>
                      <wp:wrapNone/>
                      <wp:docPr id="331" name="Frame33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2"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3"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24485" cy="175260"/>
                      <wp:effectExtent l="0" t="0" r="0" b="0"/>
                      <wp:wrapNone/>
                      <wp:docPr id="334" name="Frame3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6"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00685" cy="175260"/>
                      <wp:effectExtent l="0" t="0" r="0" b="0"/>
                      <wp:wrapNone/>
                      <wp:docPr id="337" name="Frame3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48945" cy="175260"/>
                      <wp:effectExtent l="0" t="0" r="0" b="0"/>
                      <wp:wrapNone/>
                      <wp:docPr id="339" name="Frame338"/>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99390" cy="175260"/>
                      <wp:effectExtent l="0" t="0" r="0" b="0"/>
                      <wp:wrapNone/>
                      <wp:docPr id="340" name="Frame33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1,591</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2,013.9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3,837</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662.7</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(10.27)</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561.9</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0.72</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0.25</w:t>
            </w:r>
          </w:p>
        </w:tc>
        <w:tc>
          <w:tcPr>
            <w:tcW w:w="34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0.97</w:t>
            </w:r>
          </w:p>
        </w:tc>
        <w:tc>
          <w:tcPr>
            <w:tcW w:w="34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$0.3 million for the six months ended December 31, 2025 compared to the prior year period primarily due to additional borrowings drawn on our Senior Secured Credit Facility to finance our Minerals Acquisition in August 2025. The weighted average interest rate on our borrowings was 6.88% for the six months ended December 31, 2025 compared to 7.80% for the six months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bookmarkStart w:id="1334" w:name="_Hlk212708608"/>
      <w:bookmarkEnd w:id="1334"/>
      <w:r>
        <w:rPr>
          <w:rFonts w:ascii="Times New Roman;Times;serif" w:hAnsi="Times New Roman;Times;serif"/>
          <w:sz w:val="20"/>
        </w:rPr>
        <w:t xml:space="preserve">For the six months ended December 31, 2025, we recognized income tax expense of $1.2 million on net income before income taxes of $3.1 million compared to income tax expense of $0.1 million on net income before income taxes of $0.4 million for the six months ended December 31, 2024. The effective tax rates were 38.9% and 31.4% for six months ended December 31, 2025 and 2024, respectively. The increase in the effective tax rate from the prior year period is due to projected higher state income taxes in Oklahoma associated with the Minerals Acquisition. </w:t>
      </w:r>
      <w:r>
        <w:rPr>
          <w:rFonts w:ascii="Times New Roman;Times;serif" w:hAnsi="Times New Roman;Times;serif"/>
          <w:color w:val="232323"/>
          <w:sz w:val="20"/>
          <w:shd w:fill="FFFFFF" w:val="clear"/>
        </w:rPr>
        <w:t>We continue to evaluate our tax provision on a quarterly basis and adjust our effective tax rate for any given changes in facts and circumstances that are expected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35" w:name="CriticalAccountingPoliciesandEstimates"/>
      <w:bookmarkStart w:id="1336" w:name="CriticalAccountingPoliciesandEstimates_6"/>
      <w:bookmarkEnd w:id="1335"/>
      <w:bookmarkEnd w:id="1336"/>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2025.</w:t>
      </w:r>
    </w:p>
    <w:p>
      <w:pPr>
        <w:pStyle w:val="TextBody"/>
        <w:bidi w:val="0"/>
        <w:spacing w:before="0" w:after="240"/>
        <w:ind w:left="0" w:right="0" w:hanging="0"/>
        <w:jc w:val="left"/>
        <w:rPr>
          <w:rFonts w:ascii="Times New Roman;Times;serif" w:hAnsi="Times New Roman;Times;serif"/>
          <w:b/>
          <w:sz w:val="20"/>
        </w:rPr>
      </w:pPr>
      <w:bookmarkStart w:id="1337" w:name="Item_3_Quantitative"/>
      <w:bookmarkStart w:id="1338" w:name="Item7AQuantitativeandQualitativeDisclosu"/>
      <w:bookmarkStart w:id="1339" w:name="_04af2fab_f883_4d27_beee_febac3408f71"/>
      <w:bookmarkEnd w:id="1337"/>
      <w:bookmarkEnd w:id="1338"/>
      <w:bookmarkEnd w:id="1339"/>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NGL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have been and may be required in the future to enter into hedges if we meet certain utilization levels of the borrowing base under the credit facility. We intend to remain in compliance with these covenants and will enter into derivative contracts from time to time to meet the requirements. </w:t>
      </w:r>
      <w:r>
        <w:rPr>
          <w:rFonts w:ascii="Times New Roman;Times;serif" w:hAnsi="Times New Roman;Times;serif"/>
          <w:sz w:val="20"/>
          <w:shd w:fill="FFFFFF" w:val="clear"/>
        </w:rPr>
        <w:t xml:space="preserve">As a result of our recent acquisitions and the corresponding borrowings on our Senior Secured Credit Facility, we were required by terms in our Senior Secured Credit Facility to hedge a portion of our production. </w:t>
      </w:r>
      <w:r>
        <w:rPr>
          <w:rFonts w:ascii="Times New Roman;Times;serif" w:hAnsi="Times New Roman;Times;serif"/>
          <w:sz w:val="20"/>
        </w:rPr>
        <w:t>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2026 and 2025,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(i) SOFR, subject to a minimum SOFR of 3.25%, plus a credit spread adjustment of 0.05%, or (ii) the Prime Rate, as defined under the Senior Secured Credit Facility, plus 1.00%, plus, in either case of (i) or (ii), an applicable margin of 2.75%.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240"/>
        <w:ind w:left="0" w:right="0" w:hanging="0"/>
        <w:jc w:val="left"/>
        <w:rPr>
          <w:rFonts w:ascii="Times New Roman;Times;serif" w:hAnsi="Times New Roman;Times;serif"/>
          <w:b/>
          <w:sz w:val="20"/>
        </w:rPr>
      </w:pPr>
      <w:bookmarkStart w:id="1340" w:name="Item4ControlsandProcedures"/>
      <w:bookmarkStart w:id="1341" w:name="_b12fd833_4eb9_4e0f_abbd_151a12876b9d"/>
      <w:bookmarkEnd w:id="1340"/>
      <w:bookmarkEnd w:id="1341"/>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disclosure controls and procedures that are designed to ensure that information required to be disclosed in our Exchange Act reports is recorded, processed, summarized, and reported within the time periods specified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December 31, 2025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December 31, 2025, we have determined that there have been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342" w:name="Part_II_OTHER_INFORMATION"/>
      <w:bookmarkEnd w:id="1342"/>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343" w:name="Item1LegalProceedings"/>
      <w:bookmarkStart w:id="1344" w:name="_4829f7fb_63a3_4620_893d_908e3377e534"/>
      <w:bookmarkEnd w:id="1343"/>
      <w:bookmarkEnd w:id="1344"/>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1345" w:name="Item1ARiskFactors_401633"/>
      <w:bookmarkStart w:id="1346" w:name="_e18a35bc_e239_490c_8ddf_3e5c27862d2b"/>
      <w:bookmarkStart w:id="1347" w:name="_Supplemental_Disclosure_about"/>
      <w:bookmarkEnd w:id="1345"/>
      <w:bookmarkEnd w:id="1346"/>
      <w:bookmarkEnd w:id="1347"/>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2025 includes a detailed description of our risk factors.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48" w:name="Item2UnregisteredSalesofEquitySecurities"/>
      <w:bookmarkStart w:id="1349" w:name="_738a85f0_3675_4ca1_b9b1_af7f898f20f7"/>
      <w:bookmarkEnd w:id="1348"/>
      <w:bookmarkEnd w:id="1349"/>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December 31, 2025.</w:t>
      </w:r>
    </w:p>
    <w:tbl>
      <w:tblPr>
        <w:tblW w:w="8404" w:type="dxa"/>
        <w:jc w:val="left"/>
        <w:tblInd w:w="0" w:type="dxa"/>
        <w:tblLayout w:type="fixed"/>
        <w:tblCellMar>
          <w:top w:w="0" w:type="dxa"/>
          <w:left w:w="0" w:type="dxa"/>
          <w:bottom w:w="0" w:type="dxa"/>
          <w:right w:w="0" w:type="dxa"/>
        </w:tblCellMar>
      </w:tblPr>
      <w:tblGrid>
        <w:gridCol w:w="1276"/>
        <w:gridCol w:w="109"/>
        <w:gridCol w:w="1426"/>
        <w:gridCol w:w="109"/>
        <w:gridCol w:w="452"/>
        <w:gridCol w:w="973"/>
        <w:gridCol w:w="109"/>
        <w:gridCol w:w="1681"/>
        <w:gridCol w:w="109"/>
        <w:gridCol w:w="654"/>
        <w:gridCol w:w="1506"/>
      </w:tblGrid>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905510" cy="175260"/>
                      <wp:effectExtent l="0" t="0" r="0" b="0"/>
                      <wp:wrapNone/>
                      <wp:docPr id="341" name="Frame34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17855" cy="175260"/>
                      <wp:effectExtent l="0" t="0" r="0" b="0"/>
                      <wp:wrapNone/>
                      <wp:docPr id="342" name="Frame34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067435" cy="175260"/>
                      <wp:effectExtent l="0" t="0" r="0" b="0"/>
                      <wp:wrapNone/>
                      <wp:docPr id="343" name="Frame34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56310" cy="175260"/>
                      <wp:effectExtent l="0" t="0" r="0" b="0"/>
                      <wp:wrapNone/>
                      <wp:docPr id="344" name="Frame343"/>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October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11,356</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November 2025</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2025</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December 31, 2025, </w:t>
            </w:r>
            <w:r>
              <w:rPr>
                <w:rFonts w:ascii="Times New Roman;Times;serif" w:hAnsi="Times New Roman;Times;serif"/>
                <w:b w:val="false"/>
                <w:i w:val="false"/>
                <w:caps w:val="false"/>
                <w:smallCaps w:val="false"/>
                <w:sz w:val="20"/>
                <w:shd w:fill="FFFFFF" w:val="clear"/>
              </w:rPr>
              <w:t>all of the shares received were surrendered by employees in exchange for the payment of tax withholding upon the vesting of restricted stock awards.</w:t>
            </w:r>
          </w:p>
        </w:tc>
      </w:tr>
    </w:tbl>
    <w:p>
      <w:pPr>
        <w:pStyle w:val="TextBody"/>
        <w:bidi w:val="0"/>
        <w:spacing w:before="0" w:after="240"/>
        <w:ind w:left="360" w:right="0" w:hanging="0"/>
        <w:jc w:val="left"/>
        <w:rPr/>
      </w:pPr>
      <w:r>
        <w:rPr/>
        <w:t>​</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50" w:name="Item3DefaultsUponSeniorSecurities"/>
      <w:bookmarkStart w:id="1351" w:name="_206f4c1a_0050_401e_817e_b44faf3f8d90"/>
      <w:bookmarkEnd w:id="1350"/>
      <w:bookmarkEnd w:id="1351"/>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52" w:name="Item4MineSafetyDisclosures_798178"/>
      <w:bookmarkStart w:id="1353" w:name="MineSaftty"/>
      <w:bookmarkStart w:id="1354" w:name="_9754c673_87f2_4bef_938a_05436c74bf71"/>
      <w:bookmarkEnd w:id="1352"/>
      <w:bookmarkEnd w:id="1353"/>
      <w:bookmarkEnd w:id="1354"/>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55" w:name="Item5OtherInformation"/>
      <w:bookmarkStart w:id="1356" w:name="_e3ed401f_0a65_4f42_8434_73a375a23fac"/>
      <w:bookmarkEnd w:id="1355"/>
      <w:bookmarkEnd w:id="1356"/>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357" w:name="Item6Exhibits"/>
      <w:bookmarkStart w:id="1358" w:name="_415857ad_b74a_4d40_bf1d_3d9d96c9b3f1"/>
      <w:bookmarkEnd w:id="1357"/>
      <w:bookmarkEnd w:id="1358"/>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819"/>
        <w:gridCol w:w="109"/>
        <w:gridCol w:w="9277"/>
      </w:tblGrid>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277" w:type="dxa"/>
            <w:tcBorders/>
            <w:vAlign w:val="center"/>
          </w:tcPr>
          <w:p>
            <w:pPr>
              <w:pStyle w:val="TableHeading"/>
              <w:bidi w:val="0"/>
              <w:spacing w:before="0" w:after="0"/>
              <w:ind w:left="0" w:right="0" w:hanging="0"/>
              <w:jc w:val="left"/>
              <w:rPr/>
            </w:pPr>
            <w:r>
              <w:rPr/>
              <w:t>​</w:t>
            </w:r>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 xml:space="preserve">Restated Articles of Incorporation (incorporated by reference to Exhibit 3.1 of our Quarterly Report on Form 10-Q filed February 8, 2023) </w:t>
              </w:r>
            </w:hyperlink>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30"/>
              <w:ind w:left="0" w:right="0" w:hanging="0"/>
              <w:jc w:val="left"/>
              <w:rPr/>
            </w:pPr>
            <w:r>
              <w:rPr/>
              <w:t>​</w:t>
            </w:r>
          </w:p>
        </w:tc>
        <w:tc>
          <w:tcPr>
            <w:tcW w:w="9277"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 filed September 13, 2023)</w:t>
              </w:r>
            </w:hyperlink>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10.2.2*</w:t>
            </w:r>
          </w:p>
        </w:tc>
        <w:tc>
          <w:tcPr>
            <w:tcW w:w="109" w:type="dxa"/>
            <w:tcBorders/>
            <w:shd w:fill="CCEEFF" w:val="clear"/>
            <w:vAlign w:val="center"/>
          </w:tcPr>
          <w:p>
            <w:pPr>
              <w:pStyle w:val="TableContents"/>
              <w:bidi w:val="0"/>
              <w:spacing w:before="0" w:after="3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pPr>
            <w:hyperlink w:anchor="epm-20251231xex10d22.htm">
              <w:r>
                <w:rPr>
                  <w:rStyle w:val="InternetLink"/>
                  <w:rFonts w:ascii="Times New Roman;Times;serif" w:hAnsi="Times New Roman;Times;serif"/>
                  <w:b w:val="false"/>
                  <w:i w:val="false"/>
                  <w:caps w:val="false"/>
                  <w:smallCaps w:val="false"/>
                  <w:sz w:val="20"/>
                </w:rPr>
                <w:t>Letter Agreement to the Credit Agreement dated November 28, 2025 between Evolution Petroleum and MidFirst Bank</w:t>
              </w:r>
            </w:hyperlink>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pPr>
            <w:hyperlink w:anchor="epm-20251231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pPr>
            <w:hyperlink w:anchor="epm-20251231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pPr>
            <w:hyperlink w:anchor="epm-2025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pPr>
            <w:hyperlink w:anchor="epm-2025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9"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shd w:fill="CCEEFF" w:val="clear"/>
            <w:vAlign w:val="center"/>
          </w:tcPr>
          <w:p>
            <w:pPr>
              <w:pStyle w:val="TableContents"/>
              <w:bidi w:val="0"/>
              <w:spacing w:before="0" w:after="0"/>
              <w:ind w:left="0" w:right="0" w:hanging="0"/>
              <w:jc w:val="left"/>
              <w:rPr/>
            </w:pPr>
            <w:r>
              <w:rPr/>
              <w:t>​</w:t>
            </w:r>
          </w:p>
        </w:tc>
        <w:tc>
          <w:tcPr>
            <w:tcW w:w="9277"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9"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77"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w:t>
      </w:r>
    </w:p>
    <w:p>
      <w:pPr>
        <w:pStyle w:val="TextBody"/>
        <w:bidi w:val="0"/>
        <w:spacing w:before="0" w:after="240"/>
        <w:ind w:left="0" w:right="0" w:hanging="0"/>
        <w:jc w:val="center"/>
        <w:rPr/>
      </w:pPr>
      <w:bookmarkStart w:id="1359" w:name="_856a6d26_b135_4baf_a583_cee936972a52"/>
      <w:bookmarkEnd w:id="135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0" w:name="SIGNATURES_679961"/>
      <w:bookmarkEnd w:id="1360"/>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996"/>
        <w:gridCol w:w="346"/>
        <w:gridCol w:w="402"/>
        <w:gridCol w:w="7461"/>
      </w:tblGrid>
      <w:tr>
        <w:trPr/>
        <w:tc>
          <w:tcPr>
            <w:tcW w:w="1996" w:type="dxa"/>
            <w:tcBorders/>
            <w:vAlign w:val="center"/>
          </w:tcPr>
          <w:p>
            <w:pPr>
              <w:pStyle w:val="TableContents"/>
              <w:bidi w:val="0"/>
              <w:spacing w:before="0" w:after="3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7863"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11, 2026</w:t>
            </w:r>
          </w:p>
        </w:tc>
        <w:tc>
          <w:tcPr>
            <w:tcW w:w="34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46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74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4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74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right"/>
        <w:rPr>
          <w:rFonts w:ascii="Times New Roman;Times;serif" w:hAnsi="Times New Roman;Times;serif"/>
          <w:sz w:val="24"/>
        </w:rPr>
      </w:pPr>
      <w:bookmarkStart w:id="1361" w:name="epm-20251231xex10d22.htm"/>
      <w:bookmarkStart w:id="1362" w:name="ksepm20251231xex10d22"/>
      <w:bookmarkEnd w:id="1361"/>
      <w:bookmarkEnd w:id="1362"/>
      <w:r>
        <w:rPr>
          <w:rFonts w:ascii="Times New Roman;Times;serif" w:hAnsi="Times New Roman;Times;serif"/>
          <w:sz w:val="24"/>
        </w:rPr>
        <w:t>EXHIBIT 10.2.2</w:t>
      </w:r>
      <w:r>
        <w:br w:type="page"/>
      </w:r>
    </w:p>
    <w:p>
      <w:pPr>
        <w:pStyle w:val="TextBody"/>
        <w:bidi w:val="0"/>
        <w:spacing w:before="0" w:after="0"/>
        <w:ind w:left="0" w:right="0" w:hanging="0"/>
        <w:jc w:val="center"/>
        <w:rPr/>
      </w:pPr>
      <w:r>
        <w:rPr/>
        <w:drawing>
          <wp:inline distT="0" distB="0" distL="0" distR="0">
            <wp:extent cx="2992755" cy="617220"/>
            <wp:effectExtent l="0" t="0" r="0" b="0"/>
            <wp:docPr id="3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 descr=""/>
                    <pic:cNvPicPr>
                      <a:picLocks noChangeAspect="1" noChangeArrowheads="1"/>
                    </pic:cNvPicPr>
                  </pic:nvPicPr>
                  <pic:blipFill>
                    <a:blip r:embed="rId5"/>
                    <a:stretch>
                      <a:fillRect/>
                    </a:stretch>
                  </pic:blipFill>
                  <pic:spPr bwMode="auto">
                    <a:xfrm>
                      <a:off x="0" y="0"/>
                      <a:ext cx="2992755" cy="617220"/>
                    </a:xfrm>
                    <a:prstGeom prst="rect">
                      <a:avLst/>
                    </a:prstGeom>
                  </pic:spPr>
                </pic:pic>
              </a:graphicData>
            </a:graphic>
          </wp:inline>
        </w:drawing>
      </w:r>
    </w:p>
    <w:p>
      <w:pPr>
        <w:pStyle w:val="TextBody"/>
        <w:bidi w:val="0"/>
        <w:spacing w:before="480" w:after="360"/>
        <w:ind w:left="0" w:right="0" w:hanging="0"/>
        <w:jc w:val="center"/>
        <w:rPr>
          <w:rFonts w:ascii="Times New Roman;Times;serif" w:hAnsi="Times New Roman;Times;serif"/>
          <w:sz w:val="20"/>
        </w:rPr>
      </w:pPr>
      <w:bookmarkStart w:id="1363" w:name="_Hlk154725832"/>
      <w:bookmarkEnd w:id="1363"/>
      <w:r>
        <w:rPr>
          <w:rFonts w:ascii="Times New Roman;Times;serif" w:hAnsi="Times New Roman;Times;serif"/>
          <w:sz w:val="20"/>
        </w:rPr>
        <w:t>November 28, 2025</w:t>
      </w:r>
    </w:p>
    <w:p>
      <w:pPr>
        <w:pStyle w:val="TextBody"/>
        <w:bidi w:val="0"/>
        <w:spacing w:before="0" w:after="0"/>
        <w:ind w:left="0" w:right="720" w:hanging="0"/>
        <w:jc w:val="both"/>
        <w:rPr>
          <w:rFonts w:ascii="Times New Roman;Times;serif" w:hAnsi="Times New Roman;Times;serif"/>
          <w:smallCaps/>
          <w:sz w:val="20"/>
        </w:rPr>
      </w:pPr>
      <w:r>
        <w:rPr>
          <w:rFonts w:ascii="Times New Roman;Times;serif" w:hAnsi="Times New Roman;Times;serif"/>
          <w:smallCaps/>
          <w:sz w:val="20"/>
        </w:rPr>
        <w:t>EVOLUTION PETROLEUM CORPORATION</w:t>
      </w:r>
    </w:p>
    <w:p>
      <w:pPr>
        <w:pStyle w:val="TextBody"/>
        <w:bidi w:val="0"/>
        <w:spacing w:before="0" w:after="0"/>
        <w:ind w:left="0" w:right="720" w:hanging="0"/>
        <w:jc w:val="both"/>
        <w:rPr>
          <w:rFonts w:ascii="Times New Roman;Times;serif" w:hAnsi="Times New Roman;Times;serif"/>
          <w:smallCaps/>
          <w:sz w:val="20"/>
        </w:rPr>
      </w:pPr>
      <w:r>
        <w:rPr>
          <w:rFonts w:ascii="Times New Roman;Times;serif" w:hAnsi="Times New Roman;Times;serif"/>
          <w:smallCaps/>
          <w:sz w:val="20"/>
        </w:rPr>
        <w:t>EVOLUTION PETROLEUM OK, INC.</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NGS TECHNOLOGIES, INC.</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EVOLUTION ROYALTIES, INC.</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EVOLUTION PETROLEUM WEST, INC.</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1155 Dairy Ashford Rd. Suite 425</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Houston, Texas 77079</w:t>
      </w:r>
    </w:p>
    <w:p>
      <w:pPr>
        <w:pStyle w:val="TextBody"/>
        <w:bidi w:val="0"/>
        <w:spacing w:before="0" w:after="0"/>
        <w:ind w:left="0" w:right="720" w:hanging="0"/>
        <w:jc w:val="both"/>
        <w:rPr>
          <w:rFonts w:ascii="Times New Roman;Times;serif" w:hAnsi="Times New Roman;Times;serif"/>
          <w:sz w:val="20"/>
        </w:rPr>
      </w:pPr>
      <w:r>
        <w:rPr>
          <w:rFonts w:ascii="Times New Roman;Times;serif" w:hAnsi="Times New Roman;Times;serif"/>
          <w:sz w:val="20"/>
        </w:rPr>
        <w:t>Attention:  Kelly Loyd</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E-mail:  kloyd@evolutionpetroleum.com</w:t>
      </w:r>
    </w:p>
    <w:p>
      <w:pPr>
        <w:pStyle w:val="TextBody"/>
        <w:bidi w:val="0"/>
        <w:spacing w:before="0" w:after="240"/>
        <w:ind w:left="0" w:right="72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w:t>
            </w:r>
          </w:p>
        </w:tc>
        <w:tc>
          <w:tcPr>
            <w:tcW w:w="99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Amended and Restated Credit Agreement dated as of June 30, 2025, as amended, by and among EVOLUTION PETROLEUM CORPORATION, a Nevada corporation (“EPC”), EVOLUTION PETROLEUM OK, INC., a Texas corporation (“Evolution Texas”), NGS TECHNOLOGIES, INC., a Delaware corporation (“NGS”), EVOLUTION ROYALTIES, INC., a Delaware corporation (“Evolution Royalties”), EVOLUTION PETROLEUM WEST, INC., a Delaware corporation (“Evolution West”; Evolution West, EPC, Evolution Texas, NGS, and Evolution Royalties are collectively referred to herein as the “Borrowers”), the Lenders from time to time party thereto, and MIDFIRST BANK, a federally chartered savings association, as Administrative Agent and Issuing Bank (the “Credit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Mr. Loyd: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letter is in reference to the Credit Agreement described above. Capitalized terms not otherwise defined herein shall be defined as set forth in the Credit Agreement.  Your execution below memorializes your acknowledgement and agreement to the following: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First, pursuant to Section 2.9(b) of the Credit Agreement, the Administrative Agent hereby notifies you that the Borrowing Base is reaffirmed at $65,000,000.00 effective as of the date hereof until but not including the next regularly scheduled determination of the Borrowing Base (or the next other adjustment to the Borrowing Base in accordance with the terms of the Credit Agreement, whichever occurs first).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Second, also pursuant to Section 2.9(b) of the Credit Agreement, the Administrative Agent hereby notifies you that the MFB Margined Collateral Value is reduced to $65,000,000.00 effective as of the date hereof until but not including the next regularly scheduled determination of the MFB Margined Collateral Value (or the next other adjustment to the MFB Margined Collateral Value in accordance with the terms of the Credit Agreement, whichever occurs first).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Third, notwithstanding anything to the contrary in the Credit Agreement, the Administrative Agent and Lenders hereby agree that Borrower shall have until December 31, 2025 to satisfy the requirements of Section 7.14(a) for the current hedging requirement level by either entering into additional Commodity Hedging Transactions or making a sufficient payment of principal on the Loans.</w:t>
      </w:r>
    </w:p>
    <w:p>
      <w:pPr>
        <w:pStyle w:val="TextBody"/>
        <w:bidi w:val="0"/>
        <w:spacing w:before="0" w:after="0"/>
        <w:ind w:left="0" w:right="0" w:firstLine="720"/>
        <w:jc w:val="both"/>
        <w:rPr/>
      </w:pPr>
      <w:r>
        <w:rPr/>
        <w:t>​</w:t>
      </w:r>
    </w:p>
    <w:p>
      <w:pPr>
        <w:pStyle w:val="TextBody"/>
        <w:bidi w:val="0"/>
        <w:spacing w:before="0" w:after="240"/>
        <w:ind w:left="0" w:right="12" w:firstLine="720"/>
        <w:jc w:val="both"/>
        <w:rPr>
          <w:rFonts w:ascii="Times New Roman;Times;serif" w:hAnsi="Times New Roman;Times;serif"/>
          <w:sz w:val="20"/>
        </w:rPr>
      </w:pPr>
      <w:r>
        <w:rPr>
          <w:rFonts w:ascii="Times New Roman;Times;serif" w:hAnsi="Times New Roman;Times;serif"/>
          <w:sz w:val="20"/>
        </w:rPr>
        <w:t>The rest and remainder of the Credit Agreement and all other Loan Documents executed in connection therewith shall remain unchanged and in full force and effect, except as amended and changed by this letter agreement.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bidi w:val="0"/>
        <w:spacing w:lineRule="atLeast" w:line="200"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Executed this 28th day of November 2025.</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Respectfully submitted,</w:t>
      </w:r>
    </w:p>
    <w:p>
      <w:pPr>
        <w:pStyle w:val="TextBody"/>
        <w:bidi w:val="0"/>
        <w:spacing w:before="0" w:after="0"/>
        <w:ind w:left="4320" w:right="0" w:firstLine="2"/>
        <w:jc w:val="left"/>
        <w:rPr>
          <w:rFonts w:ascii="Times New Roman;Times;serif" w:hAnsi="Times New Roman;Times;serif"/>
          <w:color w:val="262626"/>
          <w:sz w:val="20"/>
        </w:rPr>
      </w:pPr>
      <w:r>
        <w:rPr>
          <w:rFonts w:ascii="Times New Roman;Times;serif" w:hAnsi="Times New Roman;Times;serif"/>
          <w:color w:val="262626"/>
          <w:sz w:val="20"/>
        </w:rPr>
        <w:t>MIDFIRST BANK, as Administrative Agent</w:t>
      </w:r>
    </w:p>
    <w:p>
      <w:pPr>
        <w:pStyle w:val="TextBody"/>
        <w:bidi w:val="0"/>
        <w:spacing w:before="0" w:after="0"/>
        <w:ind w:left="0" w:right="0" w:hanging="0"/>
        <w:jc w:val="left"/>
        <w:rPr>
          <w:color w:val="262626"/>
        </w:rPr>
      </w:pPr>
      <w:r>
        <w:rPr>
          <w:color w:val="262626"/>
        </w:rPr>
        <w:t>​</w:t>
      </w:r>
    </w:p>
    <w:tbl>
      <w:tblPr>
        <w:tblW w:w="2237" w:type="dxa"/>
        <w:jc w:val="left"/>
        <w:tblInd w:w="0" w:type="dxa"/>
        <w:tblLayout w:type="fixed"/>
        <w:tblCellMar>
          <w:top w:w="0" w:type="dxa"/>
          <w:left w:w="0" w:type="dxa"/>
          <w:bottom w:w="0" w:type="dxa"/>
          <w:right w:w="0" w:type="dxa"/>
        </w:tblCellMar>
      </w:tblPr>
      <w:tblGrid>
        <w:gridCol w:w="421"/>
        <w:gridCol w:w="1816"/>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67335" cy="29210"/>
                      <wp:effectExtent l="0" t="0" r="0" b="0"/>
                      <wp:wrapNone/>
                      <wp:docPr id="346" name="Frame344"/>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153160" cy="29210"/>
                      <wp:effectExtent l="0" t="0" r="0" b="0"/>
                      <wp:wrapNone/>
                      <wp:docPr id="347" name="Frame345"/>
                      <a:graphic xmlns:a="http://schemas.openxmlformats.org/drawingml/2006/main">
                        <a:graphicData uri="http://schemas.microsoft.com/office/word/2010/wordprocessingShape">
                          <wps:wsp>
                            <wps:cNvSpPr txBox="1"/>
                            <wps:spPr>
                              <a:xfrm>
                                <a:off x="0" y="0"/>
                                <a:ext cx="1153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CHAY KRAMER</w:t>
            </w:r>
          </w:p>
        </w:tc>
      </w:tr>
      <w:tr>
        <w:trPr/>
        <w:tc>
          <w:tcPr>
            <w:tcW w:w="421" w:type="dxa"/>
            <w:tcBorders/>
            <w:vAlign w:val="center"/>
          </w:tcPr>
          <w:p>
            <w:pPr>
              <w:pStyle w:val="TableContents"/>
              <w:bidi w:val="0"/>
              <w:spacing w:before="0" w:after="240"/>
              <w:ind w:left="0" w:right="0" w:hanging="0"/>
              <w:jc w:val="left"/>
              <w:rPr/>
            </w:pPr>
            <w:r>
              <w:rPr/>
              <w:t>​</w:t>
            </w:r>
          </w:p>
        </w:tc>
        <w:tc>
          <w:tcPr>
            <w:tcW w:w="18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Chay Kramer</w:t>
            </w:r>
          </w:p>
        </w:tc>
      </w:tr>
      <w:tr>
        <w:trPr/>
        <w:tc>
          <w:tcPr>
            <w:tcW w:w="421" w:type="dxa"/>
            <w:tcBorders/>
            <w:vAlign w:val="center"/>
          </w:tcPr>
          <w:p>
            <w:pPr>
              <w:pStyle w:val="TableContents"/>
              <w:bidi w:val="0"/>
              <w:spacing w:before="0" w:after="240"/>
              <w:ind w:left="0" w:right="0" w:hanging="0"/>
              <w:jc w:val="left"/>
              <w:rPr/>
            </w:pPr>
            <w:r>
              <w:rPr/>
              <w:t>​</w:t>
            </w:r>
          </w:p>
        </w:tc>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15"/>
              </w:rPr>
              <w:t>st</w:t>
            </w:r>
            <w:r>
              <w:rPr>
                <w:rFonts w:ascii="Times New Roman;Times;serif" w:hAnsi="Times New Roman;Times;serif"/>
                <w:sz w:val="20"/>
              </w:rPr>
              <w:t xml:space="preserve"> Vice President</w:t>
            </w:r>
          </w:p>
        </w:tc>
      </w:tr>
    </w:tbl>
    <w:p>
      <w:pPr>
        <w:pStyle w:val="TextBody"/>
        <w:bidi w:val="0"/>
        <w:spacing w:before="0" w:after="0"/>
        <w:ind w:left="0" w:right="0" w:hanging="0"/>
        <w:jc w:val="left"/>
        <w:rPr/>
      </w:pPr>
      <w:r>
        <w:rPr/>
        <w:t>​</w:t>
      </w:r>
    </w:p>
    <w:p>
      <w:pPr>
        <w:pStyle w:val="TextBody"/>
        <w:bidi w:val="0"/>
        <w:spacing w:before="0" w:after="360"/>
        <w:ind w:left="0" w:right="720" w:firstLine="720"/>
        <w:jc w:val="both"/>
        <w:rPr>
          <w:rFonts w:ascii="Times New Roman;Times;serif" w:hAnsi="Times New Roman;Times;serif"/>
          <w:sz w:val="20"/>
        </w:rPr>
      </w:pPr>
      <w:r>
        <w:rPr>
          <w:rFonts w:ascii="Times New Roman;Times;serif" w:hAnsi="Times New Roman;Times;serif"/>
          <w:sz w:val="20"/>
        </w:rPr>
        <w:t>ACKNOWLEDGED, AGREED AND ACCEPTED, this 28th day of November 2025.</w:t>
      </w:r>
    </w:p>
    <w:p>
      <w:pPr>
        <w:pStyle w:val="TextBody"/>
        <w:bidi w:val="0"/>
        <w:spacing w:before="0" w:after="0"/>
        <w:ind w:left="0" w:right="0" w:hanging="0"/>
        <w:jc w:val="left"/>
        <w:rPr>
          <w:rFonts w:ascii="Times New Roman;Times;serif" w:hAnsi="Times New Roman;Times;serif"/>
          <w:b/>
          <w:color w:val="262626"/>
          <w:sz w:val="20"/>
        </w:rPr>
      </w:pPr>
      <w:r>
        <w:rPr>
          <w:rFonts w:ascii="Times New Roman;Times;serif" w:hAnsi="Times New Roman;Times;serif"/>
          <w:b/>
          <w:color w:val="262626"/>
          <w:sz w:val="20"/>
        </w:rPr>
        <w:t>Lenders:</w:t>
      </w:r>
    </w:p>
    <w:p>
      <w:pPr>
        <w:pStyle w:val="TextBody"/>
        <w:bidi w:val="0"/>
        <w:spacing w:before="0" w:after="0"/>
        <w:ind w:left="4320" w:right="0" w:firstLine="2"/>
        <w:jc w:val="left"/>
        <w:rPr>
          <w:rFonts w:ascii="Times New Roman;Times;serif" w:hAnsi="Times New Roman;Times;serif"/>
          <w:color w:val="262626"/>
          <w:sz w:val="20"/>
        </w:rPr>
      </w:pPr>
      <w:r>
        <w:rPr>
          <w:rFonts w:ascii="Times New Roman;Times;serif" w:hAnsi="Times New Roman;Times;serif"/>
          <w:color w:val="262626"/>
          <w:sz w:val="20"/>
        </w:rPr>
        <w:t>MIDFIRST BANK</w:t>
      </w:r>
    </w:p>
    <w:p>
      <w:pPr>
        <w:pStyle w:val="TextBody"/>
        <w:bidi w:val="0"/>
        <w:spacing w:before="0" w:after="0"/>
        <w:ind w:left="4320" w:right="0" w:firstLine="2"/>
        <w:jc w:val="left"/>
        <w:rPr>
          <w:color w:val="262626"/>
        </w:rPr>
      </w:pPr>
      <w:r>
        <w:rPr>
          <w:color w:val="262626"/>
        </w:rPr>
        <w:t>​</w:t>
      </w:r>
    </w:p>
    <w:tbl>
      <w:tblPr>
        <w:tblW w:w="2237" w:type="dxa"/>
        <w:jc w:val="left"/>
        <w:tblInd w:w="0" w:type="dxa"/>
        <w:tblLayout w:type="fixed"/>
        <w:tblCellMar>
          <w:top w:w="0" w:type="dxa"/>
          <w:left w:w="0" w:type="dxa"/>
          <w:bottom w:w="0" w:type="dxa"/>
          <w:right w:w="0" w:type="dxa"/>
        </w:tblCellMar>
      </w:tblPr>
      <w:tblGrid>
        <w:gridCol w:w="421"/>
        <w:gridCol w:w="1816"/>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67335" cy="29210"/>
                      <wp:effectExtent l="0" t="0" r="0" b="0"/>
                      <wp:wrapNone/>
                      <wp:docPr id="348" name="Frame346"/>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153160" cy="29210"/>
                      <wp:effectExtent l="0" t="0" r="0" b="0"/>
                      <wp:wrapNone/>
                      <wp:docPr id="349" name="Frame347"/>
                      <a:graphic xmlns:a="http://schemas.openxmlformats.org/drawingml/2006/main">
                        <a:graphicData uri="http://schemas.microsoft.com/office/word/2010/wordprocessingShape">
                          <wps:wsp>
                            <wps:cNvSpPr txBox="1"/>
                            <wps:spPr>
                              <a:xfrm>
                                <a:off x="0" y="0"/>
                                <a:ext cx="1153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CHAY KRAMER</w:t>
            </w:r>
          </w:p>
        </w:tc>
      </w:tr>
      <w:tr>
        <w:trPr/>
        <w:tc>
          <w:tcPr>
            <w:tcW w:w="421" w:type="dxa"/>
            <w:tcBorders/>
            <w:vAlign w:val="center"/>
          </w:tcPr>
          <w:p>
            <w:pPr>
              <w:pStyle w:val="TableContents"/>
              <w:bidi w:val="0"/>
              <w:spacing w:before="0" w:after="240"/>
              <w:ind w:left="0" w:right="0" w:hanging="0"/>
              <w:jc w:val="left"/>
              <w:rPr/>
            </w:pPr>
            <w:r>
              <w:rPr/>
              <w:t>​</w:t>
            </w:r>
          </w:p>
        </w:tc>
        <w:tc>
          <w:tcPr>
            <w:tcW w:w="18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Chay Kramer</w:t>
            </w:r>
          </w:p>
        </w:tc>
      </w:tr>
      <w:tr>
        <w:trPr/>
        <w:tc>
          <w:tcPr>
            <w:tcW w:w="421" w:type="dxa"/>
            <w:tcBorders/>
            <w:vAlign w:val="center"/>
          </w:tcPr>
          <w:p>
            <w:pPr>
              <w:pStyle w:val="TableContents"/>
              <w:bidi w:val="0"/>
              <w:spacing w:before="0" w:after="240"/>
              <w:ind w:left="0" w:right="0" w:hanging="0"/>
              <w:jc w:val="left"/>
              <w:rPr/>
            </w:pPr>
            <w:r>
              <w:rPr/>
              <w:t>​</w:t>
            </w:r>
          </w:p>
        </w:tc>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15"/>
              </w:rPr>
              <w:t>st</w:t>
            </w:r>
            <w:r>
              <w:rPr>
                <w:rFonts w:ascii="Times New Roman;Times;serif" w:hAnsi="Times New Roman;Times;serif"/>
                <w:sz w:val="20"/>
              </w:rPr>
              <w:t xml:space="preserve"> Vice President</w:t>
            </w:r>
          </w:p>
        </w:tc>
      </w:tr>
    </w:tbl>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color w:val="262626"/>
        </w:rPr>
      </w:pPr>
      <w:r>
        <w:rPr>
          <w:color w:val="262626"/>
        </w:rPr>
        <w:t>​</w:t>
      </w:r>
    </w:p>
    <w:p>
      <w:pPr>
        <w:pStyle w:val="TextBody"/>
        <w:bidi w:val="0"/>
        <w:spacing w:before="0" w:after="0"/>
        <w:ind w:left="4320" w:right="0" w:firstLine="2"/>
        <w:jc w:val="left"/>
        <w:rPr>
          <w:rFonts w:ascii="Times New Roman;Times;serif" w:hAnsi="Times New Roman;Times;serif"/>
          <w:color w:val="262626"/>
          <w:sz w:val="20"/>
        </w:rPr>
      </w:pPr>
      <w:r>
        <w:rPr>
          <w:rFonts w:ascii="Times New Roman;Times;serif" w:hAnsi="Times New Roman;Times;serif"/>
          <w:color w:val="262626"/>
          <w:sz w:val="20"/>
        </w:rPr>
        <w:t>Prism Bank</w:t>
      </w:r>
    </w:p>
    <w:p>
      <w:pPr>
        <w:pStyle w:val="TextBody"/>
        <w:bidi w:val="0"/>
        <w:spacing w:before="0" w:after="0"/>
        <w:ind w:left="4320" w:right="0" w:firstLine="2"/>
        <w:jc w:val="left"/>
        <w:rPr>
          <w:color w:val="262626"/>
        </w:rPr>
      </w:pPr>
      <w:r>
        <w:rPr>
          <w:color w:val="262626"/>
        </w:rPr>
        <w:t>​</w:t>
      </w:r>
    </w:p>
    <w:tbl>
      <w:tblPr>
        <w:tblW w:w="2387" w:type="dxa"/>
        <w:jc w:val="left"/>
        <w:tblInd w:w="0" w:type="dxa"/>
        <w:tblLayout w:type="fixed"/>
        <w:tblCellMar>
          <w:top w:w="0" w:type="dxa"/>
          <w:left w:w="0" w:type="dxa"/>
          <w:bottom w:w="0" w:type="dxa"/>
          <w:right w:w="0" w:type="dxa"/>
        </w:tblCellMar>
      </w:tblPr>
      <w:tblGrid>
        <w:gridCol w:w="421"/>
        <w:gridCol w:w="1966"/>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67335" cy="29210"/>
                      <wp:effectExtent l="0" t="0" r="0" b="0"/>
                      <wp:wrapNone/>
                      <wp:docPr id="350" name="Frame348"/>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8410" cy="29210"/>
                      <wp:effectExtent l="0" t="0" r="0" b="0"/>
                      <wp:wrapNone/>
                      <wp:docPr id="351" name="Frame349"/>
                      <a:graphic xmlns:a="http://schemas.openxmlformats.org/drawingml/2006/main">
                        <a:graphicData uri="http://schemas.microsoft.com/office/word/2010/wordprocessingShape">
                          <wps:wsp>
                            <wps:cNvSpPr txBox="1"/>
                            <wps:spPr>
                              <a:xfrm>
                                <a:off x="0" y="0"/>
                                <a:ext cx="1248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AHOLT</w:t>
            </w:r>
          </w:p>
        </w:tc>
      </w:tr>
      <w:tr>
        <w:trPr/>
        <w:tc>
          <w:tcPr>
            <w:tcW w:w="421" w:type="dxa"/>
            <w:tcBorders/>
            <w:vAlign w:val="center"/>
          </w:tcPr>
          <w:p>
            <w:pPr>
              <w:pStyle w:val="TableContents"/>
              <w:bidi w:val="0"/>
              <w:spacing w:before="0" w:after="24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Aholt</w:t>
            </w:r>
          </w:p>
        </w:tc>
      </w:tr>
      <w:tr>
        <w:trPr/>
        <w:tc>
          <w:tcPr>
            <w:tcW w:w="421" w:type="dxa"/>
            <w:tcBorders/>
            <w:vAlign w:val="center"/>
          </w:tcPr>
          <w:p>
            <w:pPr>
              <w:pStyle w:val="TableContents"/>
              <w:bidi w:val="0"/>
              <w:spacing w:before="0" w:after="24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bl>
    <w:p>
      <w:pPr>
        <w:pStyle w:val="TextBody"/>
        <w:pBdr/>
        <w:bidi w:val="0"/>
        <w:spacing w:before="0" w:after="0"/>
        <w:ind w:left="0" w:right="0" w:hanging="4320"/>
        <w:jc w:val="left"/>
        <w:rPr/>
      </w:pPr>
      <w:r>
        <w:rPr/>
        <w:t>​</w:t>
      </w:r>
    </w:p>
    <w:p>
      <w:pPr>
        <w:pStyle w:val="TextBody"/>
        <w:pBdr/>
        <w:bidi w:val="0"/>
        <w:spacing w:before="0" w:after="0"/>
        <w:ind w:left="0" w:right="0" w:hanging="4320"/>
        <w:jc w:val="left"/>
        <w:rPr>
          <w:rFonts w:ascii="Times New Roman;Times;serif" w:hAnsi="Times New Roman;Times;serif"/>
          <w:b/>
          <w:sz w:val="20"/>
        </w:rPr>
      </w:pPr>
      <w:r>
        <w:rPr>
          <w:rFonts w:ascii="Times New Roman;Times;serif" w:hAnsi="Times New Roman;Times;serif"/>
          <w:b/>
          <w:sz w:val="20"/>
        </w:rPr>
        <w:t>Borrowers:</w:t>
      </w:r>
    </w:p>
    <w:p>
      <w:pPr>
        <w:pStyle w:val="TextBody"/>
        <w:bidi w:val="0"/>
        <w:spacing w:before="0" w:after="240"/>
        <w:ind w:left="0" w:right="720" w:hanging="0"/>
        <w:jc w:val="both"/>
        <w:rPr/>
      </w:pPr>
      <w:bookmarkStart w:id="1364" w:name="_Hlk154725833"/>
      <w:bookmarkEnd w:id="1364"/>
      <w:r>
        <w:rPr/>
        <w:t>​</w:t>
      </w:r>
    </w:p>
    <w:p>
      <w:pPr>
        <w:pStyle w:val="TextBody"/>
        <w:bidi w:val="0"/>
        <w:spacing w:before="0" w:after="0"/>
        <w:ind w:left="4320" w:right="90" w:hanging="0"/>
        <w:jc w:val="left"/>
        <w:rPr>
          <w:rFonts w:ascii="Times New Roman;Times;serif" w:hAnsi="Times New Roman;Times;serif"/>
          <w:sz w:val="20"/>
        </w:rPr>
      </w:pPr>
      <w:r>
        <w:rPr>
          <w:rFonts w:ascii="Times New Roman;Times;serif" w:hAnsi="Times New Roman;Times;serif"/>
          <w:sz w:val="20"/>
        </w:rPr>
        <w:t>EVOLUTION PETROLEUM CORPORATION, a Nevada corporation</w:t>
        <w:br/>
        <w:br/>
        <w:t>​</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67335" cy="29210"/>
                      <wp:effectExtent l="0" t="0" r="0" b="0"/>
                      <wp:wrapNone/>
                      <wp:docPr id="352" name="Frame350"/>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38985" cy="29210"/>
                      <wp:effectExtent l="0" t="0" r="0" b="0"/>
                      <wp:wrapNone/>
                      <wp:docPr id="353" name="Frame351"/>
                      <a:graphic xmlns:a="http://schemas.openxmlformats.org/drawingml/2006/main">
                        <a:graphicData uri="http://schemas.microsoft.com/office/word/2010/wordprocessingShape">
                          <wps:wsp>
                            <wps:cNvSpPr txBox="1"/>
                            <wps:spPr>
                              <a:xfrm>
                                <a:off x="0" y="0"/>
                                <a:ext cx="2038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4320" w:right="90" w:hanging="0"/>
        <w:jc w:val="left"/>
        <w:rPr/>
      </w:pPr>
      <w:r>
        <w:rPr/>
        <w:t>​</w:t>
      </w:r>
    </w:p>
    <w:p>
      <w:pPr>
        <w:pStyle w:val="TextBody"/>
        <w:bidi w:val="0"/>
        <w:spacing w:before="0" w:after="0"/>
        <w:ind w:left="4320" w:right="90" w:hanging="0"/>
        <w:jc w:val="left"/>
        <w:rPr>
          <w:rFonts w:ascii="Times New Roman;Times;serif" w:hAnsi="Times New Roman;Times;serif"/>
          <w:sz w:val="20"/>
        </w:rPr>
      </w:pPr>
      <w:r>
        <w:rPr>
          <w:rFonts w:ascii="Times New Roman;Times;serif" w:hAnsi="Times New Roman;Times;serif"/>
          <w:sz w:val="20"/>
        </w:rPr>
        <w:t>EVOLUTION PETROLEUM OK, INC., a Texas corporation</w:t>
        <w:br/>
        <w:br/>
        <w:t>​</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67335" cy="29210"/>
                      <wp:effectExtent l="0" t="0" r="0" b="0"/>
                      <wp:wrapNone/>
                      <wp:docPr id="354" name="Frame352"/>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38985" cy="29210"/>
                      <wp:effectExtent l="0" t="0" r="0" b="0"/>
                      <wp:wrapNone/>
                      <wp:docPr id="355" name="Frame353"/>
                      <a:graphic xmlns:a="http://schemas.openxmlformats.org/drawingml/2006/main">
                        <a:graphicData uri="http://schemas.microsoft.com/office/word/2010/wordprocessingShape">
                          <wps:wsp>
                            <wps:cNvSpPr txBox="1"/>
                            <wps:spPr>
                              <a:xfrm>
                                <a:off x="0" y="0"/>
                                <a:ext cx="2038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pBdr/>
        <w:bidi w:val="0"/>
        <w:spacing w:before="0" w:after="0"/>
        <w:ind w:left="0" w:right="0" w:hanging="4320"/>
        <w:jc w:val="left"/>
        <w:rPr/>
      </w:pPr>
      <w:r>
        <w:rPr/>
        <w:t>​</w:t>
      </w:r>
    </w:p>
    <w:p>
      <w:pPr>
        <w:pStyle w:val="TextBody"/>
        <w:bidi w:val="0"/>
        <w:spacing w:before="0" w:after="0"/>
        <w:ind w:left="4320" w:right="90" w:hanging="0"/>
        <w:jc w:val="left"/>
        <w:rPr>
          <w:rFonts w:ascii="Times New Roman;Times;serif" w:hAnsi="Times New Roman;Times;serif"/>
          <w:sz w:val="20"/>
        </w:rPr>
      </w:pPr>
      <w:r>
        <w:rPr>
          <w:rFonts w:ascii="Times New Roman;Times;serif" w:hAnsi="Times New Roman;Times;serif"/>
          <w:sz w:val="20"/>
        </w:rPr>
        <w:t>NGS TECHNOLOGIES, INC., a Delaware corporation</w:t>
        <w:br/>
        <w:br/>
        <w:t>​</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67335" cy="29210"/>
                      <wp:effectExtent l="0" t="0" r="0" b="0"/>
                      <wp:wrapNone/>
                      <wp:docPr id="356" name="Frame354"/>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38985" cy="29210"/>
                      <wp:effectExtent l="0" t="0" r="0" b="0"/>
                      <wp:wrapNone/>
                      <wp:docPr id="357" name="Frame355"/>
                      <a:graphic xmlns:a="http://schemas.openxmlformats.org/drawingml/2006/main">
                        <a:graphicData uri="http://schemas.microsoft.com/office/word/2010/wordprocessingShape">
                          <wps:wsp>
                            <wps:cNvSpPr txBox="1"/>
                            <wps:spPr>
                              <a:xfrm>
                                <a:off x="0" y="0"/>
                                <a:ext cx="2038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480"/>
        <w:ind w:left="4320" w:right="0" w:firstLine="72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4320" w:right="90" w:hanging="0"/>
        <w:jc w:val="left"/>
        <w:rPr>
          <w:rFonts w:ascii="Times New Roman;Times;serif" w:hAnsi="Times New Roman;Times;serif"/>
          <w:sz w:val="20"/>
        </w:rPr>
      </w:pPr>
      <w:r>
        <w:rPr>
          <w:rFonts w:ascii="Times New Roman;Times;serif" w:hAnsi="Times New Roman;Times;serif"/>
          <w:sz w:val="20"/>
        </w:rPr>
        <w:t>EVOLUTION ROYALTIES, INC., a Delaware corporation</w:t>
        <w:br/>
        <w:br/>
        <w:t>​</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67335" cy="29210"/>
                      <wp:effectExtent l="0" t="0" r="0" b="0"/>
                      <wp:wrapNone/>
                      <wp:docPr id="358" name="Frame356"/>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38985" cy="29210"/>
                      <wp:effectExtent l="0" t="0" r="0" b="0"/>
                      <wp:wrapNone/>
                      <wp:docPr id="359" name="Frame357"/>
                      <a:graphic xmlns:a="http://schemas.openxmlformats.org/drawingml/2006/main">
                        <a:graphicData uri="http://schemas.microsoft.com/office/word/2010/wordprocessingShape">
                          <wps:wsp>
                            <wps:cNvSpPr txBox="1"/>
                            <wps:spPr>
                              <a:xfrm>
                                <a:off x="0" y="0"/>
                                <a:ext cx="2038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0"/>
        </w:rPr>
      </w:pPr>
      <w:r>
        <w:rPr>
          <w:rFonts w:ascii="Times New Roman;Times;serif" w:hAnsi="Times New Roman;Times;serif"/>
          <w:sz w:val="20"/>
        </w:rPr>
        <w:t>EVOLUTION PETROLEUM WEST, INC., a Delaware corporation</w:t>
      </w:r>
    </w:p>
    <w:p>
      <w:pPr>
        <w:pStyle w:val="TextBody"/>
        <w:bidi w:val="0"/>
        <w:spacing w:before="0" w:after="0"/>
        <w:ind w:left="4320" w:right="90" w:hanging="0"/>
        <w:jc w:val="left"/>
        <w:rPr/>
      </w:pPr>
      <w:r>
        <w:rPr/>
        <w:t>​</w:t>
      </w:r>
    </w:p>
    <w:p>
      <w:pPr>
        <w:pStyle w:val="TextBody"/>
        <w:bidi w:val="0"/>
        <w:spacing w:before="0" w:after="0"/>
        <w:ind w:left="4320" w:right="0" w:hanging="0"/>
        <w:jc w:val="left"/>
        <w:rPr/>
      </w:pPr>
      <w:r>
        <w:rPr/>
        <w:t>​</w:t>
      </w:r>
    </w:p>
    <w:tbl>
      <w:tblPr>
        <w:tblW w:w="3632" w:type="dxa"/>
        <w:jc w:val="left"/>
        <w:tblInd w:w="0" w:type="dxa"/>
        <w:tblLayout w:type="fixed"/>
        <w:tblCellMar>
          <w:top w:w="0" w:type="dxa"/>
          <w:left w:w="0" w:type="dxa"/>
          <w:bottom w:w="0" w:type="dxa"/>
          <w:right w:w="0" w:type="dxa"/>
        </w:tblCellMar>
      </w:tblPr>
      <w:tblGrid>
        <w:gridCol w:w="421"/>
        <w:gridCol w:w="321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67335" cy="29210"/>
                      <wp:effectExtent l="0" t="0" r="0" b="0"/>
                      <wp:wrapNone/>
                      <wp:docPr id="360" name="Frame358"/>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38985" cy="29210"/>
                      <wp:effectExtent l="0" t="0" r="0" b="0"/>
                      <wp:wrapNone/>
                      <wp:docPr id="361" name="Frame359"/>
                      <a:graphic xmlns:a="http://schemas.openxmlformats.org/drawingml/2006/main">
                        <a:graphicData uri="http://schemas.microsoft.com/office/word/2010/wordprocessingShape">
                          <wps:wsp>
                            <wps:cNvSpPr txBox="1"/>
                            <wps:spPr>
                              <a:xfrm>
                                <a:off x="0" y="0"/>
                                <a:ext cx="2038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Loyd</w:t>
            </w:r>
          </w:p>
        </w:tc>
      </w:tr>
      <w:tr>
        <w:trPr/>
        <w:tc>
          <w:tcPr>
            <w:tcW w:w="421" w:type="dxa"/>
            <w:tcBorders/>
            <w:vAlign w:val="center"/>
          </w:tcPr>
          <w:p>
            <w:pPr>
              <w:pStyle w:val="TableContents"/>
              <w:bidi w:val="0"/>
              <w:spacing w:before="0" w:after="24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65" w:name="epm-20251231xex31d1.htm"/>
      <w:bookmarkStart w:id="1366" w:name="ksepm20251231xex31d1"/>
      <w:bookmarkEnd w:id="1365"/>
      <w:bookmarkEnd w:id="1366"/>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left"/>
        <w:rPr/>
      </w:pPr>
      <w:r>
        <w:rPr/>
        <w:t>​</w:t>
      </w:r>
    </w:p>
    <w:tbl>
      <w:tblPr>
        <w:tblW w:w="8927" w:type="dxa"/>
        <w:jc w:val="center"/>
        <w:tblInd w:w="0" w:type="dxa"/>
        <w:tblLayout w:type="fixed"/>
        <w:tblCellMar>
          <w:top w:w="0" w:type="dxa"/>
          <w:left w:w="0" w:type="dxa"/>
          <w:bottom w:w="0" w:type="dxa"/>
          <w:right w:w="0" w:type="dxa"/>
        </w:tblCellMar>
      </w:tblPr>
      <w:tblGrid>
        <w:gridCol w:w="2191"/>
        <w:gridCol w:w="673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91285" cy="175260"/>
                      <wp:effectExtent l="0" t="0" r="0" b="0"/>
                      <wp:wrapNone/>
                      <wp:docPr id="362" name="Frame360"/>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77360" cy="175260"/>
                      <wp:effectExtent l="0" t="0" r="0" b="0"/>
                      <wp:wrapNone/>
                      <wp:docPr id="363" name="Frame361"/>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11, 2026</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191"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191"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67" w:name="epm-20251231xex31d2.htm"/>
      <w:bookmarkStart w:id="1368" w:name="ksepm20251231xex31d2"/>
      <w:bookmarkEnd w:id="1367"/>
      <w:bookmarkEnd w:id="1368"/>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737" w:type="dxa"/>
        <w:jc w:val="center"/>
        <w:tblInd w:w="0" w:type="dxa"/>
        <w:tblLayout w:type="fixed"/>
        <w:tblCellMar>
          <w:top w:w="0" w:type="dxa"/>
          <w:left w:w="0" w:type="dxa"/>
          <w:bottom w:w="0" w:type="dxa"/>
          <w:right w:w="0" w:type="dxa"/>
        </w:tblCellMar>
      </w:tblPr>
      <w:tblGrid>
        <w:gridCol w:w="2191"/>
        <w:gridCol w:w="754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91285" cy="175260"/>
                      <wp:effectExtent l="0" t="0" r="0" b="0"/>
                      <wp:wrapNone/>
                      <wp:docPr id="364" name="Frame36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791710" cy="175260"/>
                      <wp:effectExtent l="0" t="0" r="0" b="0"/>
                      <wp:wrapNone/>
                      <wp:docPr id="365" name="Frame363"/>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11, 2026</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191"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191"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69" w:name="epm-20251231xex32d1.htm"/>
      <w:bookmarkStart w:id="1370" w:name="ksepm20251231xex32d1"/>
      <w:bookmarkEnd w:id="1369"/>
      <w:bookmarkEnd w:id="1370"/>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December 31,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February 11, 2026.</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8740" cy="175260"/>
                      <wp:effectExtent l="0" t="0" r="0" b="0"/>
                      <wp:wrapNone/>
                      <wp:docPr id="366" name="Frame36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277995" cy="175260"/>
                      <wp:effectExtent l="0" t="0" r="0" b="0"/>
                      <wp:wrapNone/>
                      <wp:docPr id="367" name="Frame365"/>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71" w:name="epm-20251231xex32d2.htm"/>
      <w:bookmarkStart w:id="1372" w:name="ksepm20251231xex32d2"/>
      <w:bookmarkEnd w:id="1371"/>
      <w:bookmarkEnd w:id="137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December 31, 2025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February 11, 2026.</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8740" cy="175260"/>
                      <wp:effectExtent l="0" t="0" r="0" b="0"/>
                      <wp:wrapNone/>
                      <wp:docPr id="368" name="Frame36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792345" cy="175260"/>
                      <wp:effectExtent l="0" t="0" r="0" b="0"/>
                      <wp:wrapNone/>
                      <wp:docPr id="369" name="Frame367"/>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23517</Words>
  <Characters>129934</Characters>
  <CharactersWithSpaces>155434</CharactersWithSpaces>
  <Paragraphs>6648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